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3223B" w14:textId="4383A804" w:rsidR="00397633" w:rsidRDefault="002F2BEC" w:rsidP="009749D4">
      <w:pPr>
        <w:pStyle w:val="Schedule3"/>
        <w:widowControl w:val="0"/>
        <w:spacing w:before="0" w:after="0"/>
        <w:ind w:left="720"/>
        <w:rPr>
          <w:rFonts w:cs="Arial"/>
          <w:b/>
          <w:u w:val="single"/>
        </w:rPr>
      </w:pPr>
      <w:r w:rsidRPr="00D2566F">
        <w:rPr>
          <w:rFonts w:cs="Arial"/>
          <w:b/>
          <w:u w:val="single"/>
        </w:rPr>
        <w:t xml:space="preserve">Award Criteria </w:t>
      </w:r>
    </w:p>
    <w:tbl>
      <w:tblPr>
        <w:tblW w:w="9006" w:type="dxa"/>
        <w:tblLook w:val="04A0" w:firstRow="1" w:lastRow="0" w:firstColumn="1" w:lastColumn="0" w:noHBand="0" w:noVBand="1"/>
      </w:tblPr>
      <w:tblGrid>
        <w:gridCol w:w="7315"/>
        <w:gridCol w:w="995"/>
        <w:gridCol w:w="654"/>
        <w:gridCol w:w="654"/>
      </w:tblGrid>
      <w:tr w:rsidR="00D44682" w:rsidRPr="00D44682" w14:paraId="2CA4E3FC" w14:textId="77777777" w:rsidTr="00D44682">
        <w:trPr>
          <w:trHeight w:val="300"/>
        </w:trPr>
        <w:tc>
          <w:tcPr>
            <w:tcW w:w="8149" w:type="dxa"/>
            <w:tcBorders>
              <w:top w:val="single" w:sz="8" w:space="0" w:color="auto"/>
              <w:left w:val="single" w:sz="8" w:space="0" w:color="auto"/>
              <w:bottom w:val="single" w:sz="4" w:space="0" w:color="auto"/>
              <w:right w:val="single" w:sz="4" w:space="0" w:color="auto"/>
            </w:tcBorders>
            <w:noWrap/>
            <w:vAlign w:val="bottom"/>
            <w:hideMark/>
          </w:tcPr>
          <w:p w14:paraId="483CE764" w14:textId="77777777" w:rsidR="00D44682" w:rsidRPr="00D44682" w:rsidRDefault="00D44682" w:rsidP="00D44682">
            <w:pPr>
              <w:rPr>
                <w:rFonts w:ascii="Aptos Narrow" w:hAnsi="Aptos Narrow"/>
                <w:color w:val="000000"/>
                <w:szCs w:val="22"/>
                <w:lang w:val="en-IE" w:eastAsia="en-IE"/>
              </w:rPr>
            </w:pPr>
            <w:r w:rsidRPr="00D44682">
              <w:rPr>
                <w:rFonts w:ascii="Aptos Narrow" w:hAnsi="Aptos Narrow"/>
                <w:color w:val="000000"/>
                <w:szCs w:val="22"/>
                <w:lang w:val="en-IE" w:eastAsia="en-IE"/>
              </w:rPr>
              <w:t>Category</w:t>
            </w:r>
          </w:p>
        </w:tc>
        <w:tc>
          <w:tcPr>
            <w:tcW w:w="294" w:type="dxa"/>
            <w:tcBorders>
              <w:top w:val="single" w:sz="8" w:space="0" w:color="auto"/>
              <w:left w:val="nil"/>
              <w:bottom w:val="single" w:sz="4" w:space="0" w:color="auto"/>
              <w:right w:val="single" w:sz="4" w:space="0" w:color="auto"/>
            </w:tcBorders>
            <w:noWrap/>
            <w:vAlign w:val="bottom"/>
            <w:hideMark/>
          </w:tcPr>
          <w:p w14:paraId="6385C510" w14:textId="77777777" w:rsidR="00D44682" w:rsidRPr="00D44682" w:rsidRDefault="00D44682" w:rsidP="00D44682">
            <w:pPr>
              <w:rPr>
                <w:rFonts w:ascii="Aptos Narrow" w:hAnsi="Aptos Narrow"/>
                <w:color w:val="000000"/>
                <w:szCs w:val="22"/>
                <w:lang w:val="en-IE" w:eastAsia="en-IE"/>
              </w:rPr>
            </w:pPr>
            <w:r w:rsidRPr="00D44682">
              <w:rPr>
                <w:rFonts w:ascii="Aptos Narrow" w:hAnsi="Aptos Narrow"/>
                <w:color w:val="000000"/>
                <w:szCs w:val="22"/>
                <w:lang w:val="en-IE" w:eastAsia="en-IE"/>
              </w:rPr>
              <w:t>Weighting</w:t>
            </w:r>
          </w:p>
        </w:tc>
        <w:tc>
          <w:tcPr>
            <w:tcW w:w="269" w:type="dxa"/>
            <w:tcBorders>
              <w:top w:val="single" w:sz="8" w:space="0" w:color="auto"/>
              <w:left w:val="nil"/>
              <w:bottom w:val="single" w:sz="4" w:space="0" w:color="auto"/>
              <w:right w:val="single" w:sz="4" w:space="0" w:color="auto"/>
            </w:tcBorders>
            <w:noWrap/>
            <w:vAlign w:val="bottom"/>
            <w:hideMark/>
          </w:tcPr>
          <w:p w14:paraId="1DE5D992" w14:textId="77777777" w:rsidR="00D44682" w:rsidRPr="00D44682" w:rsidRDefault="00D44682" w:rsidP="00D44682">
            <w:pPr>
              <w:rPr>
                <w:rFonts w:ascii="Aptos Narrow" w:hAnsi="Aptos Narrow"/>
                <w:color w:val="000000"/>
                <w:szCs w:val="22"/>
                <w:lang w:val="en-IE" w:eastAsia="en-IE"/>
              </w:rPr>
            </w:pPr>
            <w:r w:rsidRPr="00D44682">
              <w:rPr>
                <w:rFonts w:ascii="Aptos Narrow" w:hAnsi="Aptos Narrow"/>
                <w:color w:val="000000"/>
                <w:szCs w:val="22"/>
                <w:lang w:val="en-IE" w:eastAsia="en-IE"/>
              </w:rPr>
              <w:t>Min score</w:t>
            </w:r>
          </w:p>
        </w:tc>
        <w:tc>
          <w:tcPr>
            <w:tcW w:w="294" w:type="dxa"/>
            <w:tcBorders>
              <w:top w:val="single" w:sz="8" w:space="0" w:color="auto"/>
              <w:left w:val="nil"/>
              <w:bottom w:val="single" w:sz="4" w:space="0" w:color="auto"/>
              <w:right w:val="single" w:sz="8" w:space="0" w:color="auto"/>
            </w:tcBorders>
            <w:noWrap/>
            <w:vAlign w:val="bottom"/>
            <w:hideMark/>
          </w:tcPr>
          <w:p w14:paraId="15D878F4" w14:textId="77777777" w:rsidR="00D44682" w:rsidRPr="00D44682" w:rsidRDefault="00D44682" w:rsidP="00D44682">
            <w:pPr>
              <w:rPr>
                <w:rFonts w:ascii="Aptos Narrow" w:hAnsi="Aptos Narrow"/>
                <w:color w:val="000000"/>
                <w:szCs w:val="22"/>
                <w:lang w:val="en-IE" w:eastAsia="en-IE"/>
              </w:rPr>
            </w:pPr>
            <w:r w:rsidRPr="00D44682">
              <w:rPr>
                <w:rFonts w:ascii="Aptos Narrow" w:hAnsi="Aptos Narrow"/>
                <w:color w:val="000000"/>
                <w:szCs w:val="22"/>
                <w:lang w:val="en-IE" w:eastAsia="en-IE"/>
              </w:rPr>
              <w:t>Max score</w:t>
            </w:r>
          </w:p>
        </w:tc>
      </w:tr>
      <w:tr w:rsidR="00D44682" w:rsidRPr="00D44682" w14:paraId="2FF735F5" w14:textId="77777777" w:rsidTr="00D44682">
        <w:trPr>
          <w:trHeight w:val="2520"/>
        </w:trPr>
        <w:tc>
          <w:tcPr>
            <w:tcW w:w="8149" w:type="dxa"/>
            <w:tcBorders>
              <w:top w:val="nil"/>
              <w:left w:val="single" w:sz="8" w:space="0" w:color="auto"/>
              <w:bottom w:val="single" w:sz="4" w:space="0" w:color="auto"/>
              <w:right w:val="single" w:sz="4" w:space="0" w:color="auto"/>
            </w:tcBorders>
            <w:noWrap/>
            <w:hideMark/>
          </w:tcPr>
          <w:p w14:paraId="4CCB0EFE" w14:textId="77777777" w:rsidR="00D44682" w:rsidRPr="00D44682" w:rsidRDefault="00D44682" w:rsidP="00D44682">
            <w:pPr>
              <w:jc w:val="both"/>
              <w:rPr>
                <w:rFonts w:ascii="Times New Roman" w:hAnsi="Times New Roman"/>
                <w:color w:val="000000"/>
                <w:sz w:val="24"/>
                <w:szCs w:val="24"/>
                <w:lang w:val="en-IE" w:eastAsia="en-IE"/>
              </w:rPr>
            </w:pPr>
            <w:r w:rsidRPr="00D44682">
              <w:rPr>
                <w:rFonts w:ascii="Times New Roman" w:hAnsi="Times New Roman"/>
                <w:color w:val="000000"/>
                <w:sz w:val="24"/>
                <w:szCs w:val="24"/>
                <w:lang w:val="en-IE" w:eastAsia="en-IE"/>
              </w:rPr>
              <w:t xml:space="preserve">1. Aesthetic Characteristics: Sample for each type of Award must be provided before the closing date for submission of tenders. This will be based on the Design, Look and Quality of the submitted samples, scores will be awarded at the sole discretion of the review group. If samples are not received for each item the tender will not be considered. Sample must meet or be similiar to specification supplied. </w:t>
            </w:r>
          </w:p>
        </w:tc>
        <w:tc>
          <w:tcPr>
            <w:tcW w:w="294" w:type="dxa"/>
            <w:tcBorders>
              <w:top w:val="nil"/>
              <w:left w:val="nil"/>
              <w:bottom w:val="single" w:sz="4" w:space="0" w:color="auto"/>
              <w:right w:val="single" w:sz="4" w:space="0" w:color="auto"/>
            </w:tcBorders>
            <w:noWrap/>
            <w:hideMark/>
          </w:tcPr>
          <w:p w14:paraId="250AF4F3" w14:textId="77777777" w:rsidR="00D44682" w:rsidRPr="00D44682" w:rsidRDefault="00D44682" w:rsidP="00D44682">
            <w:pPr>
              <w:rPr>
                <w:rFonts w:ascii="Aptos Narrow" w:hAnsi="Aptos Narrow"/>
                <w:color w:val="000000"/>
                <w:szCs w:val="22"/>
                <w:lang w:val="en-IE" w:eastAsia="en-IE"/>
              </w:rPr>
            </w:pPr>
            <w:r w:rsidRPr="00D44682">
              <w:rPr>
                <w:rFonts w:ascii="Aptos Narrow" w:hAnsi="Aptos Narrow"/>
                <w:color w:val="000000"/>
                <w:szCs w:val="22"/>
                <w:lang w:val="en-IE" w:eastAsia="en-IE"/>
              </w:rPr>
              <w:t> </w:t>
            </w:r>
          </w:p>
        </w:tc>
        <w:tc>
          <w:tcPr>
            <w:tcW w:w="269" w:type="dxa"/>
            <w:tcBorders>
              <w:top w:val="nil"/>
              <w:left w:val="nil"/>
              <w:bottom w:val="single" w:sz="4" w:space="0" w:color="auto"/>
              <w:right w:val="single" w:sz="4" w:space="0" w:color="auto"/>
            </w:tcBorders>
            <w:noWrap/>
            <w:vAlign w:val="bottom"/>
            <w:hideMark/>
          </w:tcPr>
          <w:p w14:paraId="3063DD7A" w14:textId="77777777" w:rsidR="00D44682" w:rsidRPr="00D44682" w:rsidRDefault="00D44682" w:rsidP="00D44682">
            <w:pPr>
              <w:rPr>
                <w:rFonts w:ascii="Aptos Narrow" w:hAnsi="Aptos Narrow"/>
                <w:color w:val="000000"/>
                <w:szCs w:val="22"/>
                <w:lang w:val="en-IE" w:eastAsia="en-IE"/>
              </w:rPr>
            </w:pPr>
            <w:r w:rsidRPr="00D44682">
              <w:rPr>
                <w:rFonts w:ascii="Aptos Narrow" w:hAnsi="Aptos Narrow"/>
                <w:color w:val="000000"/>
                <w:szCs w:val="22"/>
                <w:lang w:val="en-IE" w:eastAsia="en-IE"/>
              </w:rPr>
              <w:t> </w:t>
            </w:r>
          </w:p>
        </w:tc>
        <w:tc>
          <w:tcPr>
            <w:tcW w:w="294" w:type="dxa"/>
            <w:tcBorders>
              <w:top w:val="nil"/>
              <w:left w:val="nil"/>
              <w:bottom w:val="single" w:sz="4" w:space="0" w:color="auto"/>
              <w:right w:val="single" w:sz="8" w:space="0" w:color="auto"/>
            </w:tcBorders>
            <w:noWrap/>
            <w:vAlign w:val="bottom"/>
            <w:hideMark/>
          </w:tcPr>
          <w:p w14:paraId="02346AF0" w14:textId="77777777" w:rsidR="00D44682" w:rsidRPr="00D44682" w:rsidRDefault="00D44682" w:rsidP="00D44682">
            <w:pPr>
              <w:jc w:val="right"/>
              <w:rPr>
                <w:rFonts w:ascii="Aptos Narrow" w:hAnsi="Aptos Narrow"/>
                <w:color w:val="000000"/>
                <w:szCs w:val="22"/>
                <w:lang w:val="en-IE" w:eastAsia="en-IE"/>
              </w:rPr>
            </w:pPr>
            <w:r w:rsidRPr="00D44682">
              <w:rPr>
                <w:rFonts w:ascii="Aptos Narrow" w:hAnsi="Aptos Narrow"/>
                <w:color w:val="000000"/>
                <w:szCs w:val="22"/>
                <w:lang w:val="en-IE" w:eastAsia="en-IE"/>
              </w:rPr>
              <w:t>200</w:t>
            </w:r>
          </w:p>
        </w:tc>
      </w:tr>
      <w:tr w:rsidR="00D44682" w:rsidRPr="00D44682" w14:paraId="5595BD09" w14:textId="77777777" w:rsidTr="00D44682">
        <w:trPr>
          <w:trHeight w:val="315"/>
        </w:trPr>
        <w:tc>
          <w:tcPr>
            <w:tcW w:w="8149" w:type="dxa"/>
            <w:tcBorders>
              <w:top w:val="nil"/>
              <w:left w:val="single" w:sz="8" w:space="0" w:color="auto"/>
              <w:bottom w:val="single" w:sz="4" w:space="0" w:color="auto"/>
              <w:right w:val="single" w:sz="4" w:space="0" w:color="auto"/>
            </w:tcBorders>
            <w:noWrap/>
            <w:hideMark/>
          </w:tcPr>
          <w:p w14:paraId="39DDB765" w14:textId="77777777" w:rsidR="00D44682" w:rsidRPr="00D44682" w:rsidRDefault="00D44682" w:rsidP="00D44682">
            <w:pPr>
              <w:jc w:val="both"/>
              <w:rPr>
                <w:rFonts w:ascii="Times New Roman" w:hAnsi="Times New Roman"/>
                <w:color w:val="000000"/>
                <w:sz w:val="24"/>
                <w:szCs w:val="24"/>
                <w:lang w:val="en-IE" w:eastAsia="en-IE"/>
              </w:rPr>
            </w:pPr>
            <w:r w:rsidRPr="00D44682">
              <w:rPr>
                <w:rFonts w:ascii="Times New Roman" w:hAnsi="Times New Roman"/>
                <w:color w:val="000000"/>
                <w:sz w:val="24"/>
                <w:szCs w:val="24"/>
                <w:lang w:val="en-IE" w:eastAsia="en-IE"/>
              </w:rPr>
              <w:t> </w:t>
            </w:r>
          </w:p>
        </w:tc>
        <w:tc>
          <w:tcPr>
            <w:tcW w:w="294" w:type="dxa"/>
            <w:tcBorders>
              <w:top w:val="nil"/>
              <w:left w:val="nil"/>
              <w:bottom w:val="single" w:sz="4" w:space="0" w:color="auto"/>
              <w:right w:val="single" w:sz="4" w:space="0" w:color="auto"/>
            </w:tcBorders>
            <w:noWrap/>
            <w:vAlign w:val="bottom"/>
            <w:hideMark/>
          </w:tcPr>
          <w:p w14:paraId="09D181CD" w14:textId="77777777" w:rsidR="00D44682" w:rsidRPr="00D44682" w:rsidRDefault="00D44682" w:rsidP="00D44682">
            <w:pPr>
              <w:rPr>
                <w:rFonts w:ascii="Aptos Narrow" w:hAnsi="Aptos Narrow"/>
                <w:color w:val="000000"/>
                <w:szCs w:val="22"/>
                <w:lang w:val="en-IE" w:eastAsia="en-IE"/>
              </w:rPr>
            </w:pPr>
            <w:r w:rsidRPr="00D44682">
              <w:rPr>
                <w:rFonts w:ascii="Aptos Narrow" w:hAnsi="Aptos Narrow"/>
                <w:color w:val="000000"/>
                <w:szCs w:val="22"/>
                <w:lang w:val="en-IE" w:eastAsia="en-IE"/>
              </w:rPr>
              <w:t> </w:t>
            </w:r>
          </w:p>
        </w:tc>
        <w:tc>
          <w:tcPr>
            <w:tcW w:w="269" w:type="dxa"/>
            <w:tcBorders>
              <w:top w:val="nil"/>
              <w:left w:val="nil"/>
              <w:bottom w:val="single" w:sz="4" w:space="0" w:color="auto"/>
              <w:right w:val="single" w:sz="4" w:space="0" w:color="auto"/>
            </w:tcBorders>
            <w:noWrap/>
            <w:vAlign w:val="bottom"/>
            <w:hideMark/>
          </w:tcPr>
          <w:p w14:paraId="456D3C5C" w14:textId="77777777" w:rsidR="00D44682" w:rsidRPr="00D44682" w:rsidRDefault="00D44682" w:rsidP="00D44682">
            <w:pPr>
              <w:rPr>
                <w:rFonts w:ascii="Aptos Narrow" w:hAnsi="Aptos Narrow"/>
                <w:color w:val="000000"/>
                <w:szCs w:val="22"/>
                <w:lang w:val="en-IE" w:eastAsia="en-IE"/>
              </w:rPr>
            </w:pPr>
            <w:r w:rsidRPr="00D44682">
              <w:rPr>
                <w:rFonts w:ascii="Aptos Narrow" w:hAnsi="Aptos Narrow"/>
                <w:color w:val="000000"/>
                <w:szCs w:val="22"/>
                <w:lang w:val="en-IE" w:eastAsia="en-IE"/>
              </w:rPr>
              <w:t> </w:t>
            </w:r>
          </w:p>
        </w:tc>
        <w:tc>
          <w:tcPr>
            <w:tcW w:w="294" w:type="dxa"/>
            <w:tcBorders>
              <w:top w:val="nil"/>
              <w:left w:val="nil"/>
              <w:bottom w:val="single" w:sz="4" w:space="0" w:color="auto"/>
              <w:right w:val="single" w:sz="8" w:space="0" w:color="auto"/>
            </w:tcBorders>
            <w:noWrap/>
            <w:vAlign w:val="bottom"/>
            <w:hideMark/>
          </w:tcPr>
          <w:p w14:paraId="0AB179AE" w14:textId="77777777" w:rsidR="00D44682" w:rsidRPr="00D44682" w:rsidRDefault="00D44682" w:rsidP="00D44682">
            <w:pPr>
              <w:rPr>
                <w:rFonts w:ascii="Aptos Narrow" w:hAnsi="Aptos Narrow"/>
                <w:color w:val="000000"/>
                <w:szCs w:val="22"/>
                <w:lang w:val="en-IE" w:eastAsia="en-IE"/>
              </w:rPr>
            </w:pPr>
            <w:r w:rsidRPr="00D44682">
              <w:rPr>
                <w:rFonts w:ascii="Aptos Narrow" w:hAnsi="Aptos Narrow"/>
                <w:color w:val="000000"/>
                <w:szCs w:val="22"/>
                <w:lang w:val="en-IE" w:eastAsia="en-IE"/>
              </w:rPr>
              <w:t> </w:t>
            </w:r>
          </w:p>
        </w:tc>
      </w:tr>
      <w:tr w:rsidR="00D44682" w:rsidRPr="00D44682" w14:paraId="55E71526" w14:textId="77777777" w:rsidTr="00D44682">
        <w:trPr>
          <w:trHeight w:val="630"/>
        </w:trPr>
        <w:tc>
          <w:tcPr>
            <w:tcW w:w="8149" w:type="dxa"/>
            <w:tcBorders>
              <w:top w:val="nil"/>
              <w:left w:val="single" w:sz="8" w:space="0" w:color="auto"/>
              <w:bottom w:val="single" w:sz="4" w:space="0" w:color="auto"/>
              <w:right w:val="single" w:sz="4" w:space="0" w:color="auto"/>
            </w:tcBorders>
            <w:vAlign w:val="bottom"/>
            <w:hideMark/>
          </w:tcPr>
          <w:p w14:paraId="6C81DE47" w14:textId="77777777" w:rsidR="00D44682" w:rsidRPr="00D44682" w:rsidRDefault="00D44682" w:rsidP="00D44682">
            <w:pPr>
              <w:rPr>
                <w:rFonts w:ascii="Times New Roman" w:hAnsi="Times New Roman"/>
                <w:color w:val="000000"/>
                <w:sz w:val="24"/>
                <w:szCs w:val="24"/>
                <w:lang w:val="en-IE" w:eastAsia="en-IE"/>
              </w:rPr>
            </w:pPr>
            <w:r w:rsidRPr="00D44682">
              <w:rPr>
                <w:rFonts w:ascii="Times New Roman" w:hAnsi="Times New Roman"/>
                <w:color w:val="000000"/>
                <w:sz w:val="24"/>
                <w:szCs w:val="24"/>
                <w:lang w:val="en-IE" w:eastAsia="en-IE"/>
              </w:rPr>
              <w:t xml:space="preserve">Supplier must evidence capacity to deliver Awards within three weeks of receipt of Purchase Order. </w:t>
            </w:r>
          </w:p>
        </w:tc>
        <w:tc>
          <w:tcPr>
            <w:tcW w:w="294" w:type="dxa"/>
            <w:tcBorders>
              <w:top w:val="nil"/>
              <w:left w:val="nil"/>
              <w:bottom w:val="single" w:sz="4" w:space="0" w:color="auto"/>
              <w:right w:val="single" w:sz="4" w:space="0" w:color="auto"/>
            </w:tcBorders>
            <w:noWrap/>
            <w:vAlign w:val="bottom"/>
            <w:hideMark/>
          </w:tcPr>
          <w:p w14:paraId="4D394C18" w14:textId="77777777" w:rsidR="00D44682" w:rsidRPr="00D44682" w:rsidRDefault="00D44682" w:rsidP="00D44682">
            <w:pPr>
              <w:rPr>
                <w:rFonts w:ascii="Aptos Narrow" w:hAnsi="Aptos Narrow"/>
                <w:color w:val="000000"/>
                <w:szCs w:val="22"/>
                <w:lang w:val="en-IE" w:eastAsia="en-IE"/>
              </w:rPr>
            </w:pPr>
            <w:r w:rsidRPr="00D44682">
              <w:rPr>
                <w:rFonts w:ascii="Aptos Narrow" w:hAnsi="Aptos Narrow"/>
                <w:color w:val="000000"/>
                <w:szCs w:val="22"/>
                <w:lang w:val="en-IE" w:eastAsia="en-IE"/>
              </w:rPr>
              <w:t> </w:t>
            </w:r>
          </w:p>
        </w:tc>
        <w:tc>
          <w:tcPr>
            <w:tcW w:w="269" w:type="dxa"/>
            <w:tcBorders>
              <w:top w:val="nil"/>
              <w:left w:val="nil"/>
              <w:bottom w:val="single" w:sz="4" w:space="0" w:color="auto"/>
              <w:right w:val="single" w:sz="4" w:space="0" w:color="auto"/>
            </w:tcBorders>
            <w:noWrap/>
            <w:vAlign w:val="bottom"/>
            <w:hideMark/>
          </w:tcPr>
          <w:p w14:paraId="2A2909C4" w14:textId="77777777" w:rsidR="00D44682" w:rsidRPr="00D44682" w:rsidRDefault="00D44682" w:rsidP="00D44682">
            <w:pPr>
              <w:rPr>
                <w:rFonts w:ascii="Aptos Narrow" w:hAnsi="Aptos Narrow"/>
                <w:color w:val="000000"/>
                <w:szCs w:val="22"/>
                <w:lang w:val="en-IE" w:eastAsia="en-IE"/>
              </w:rPr>
            </w:pPr>
            <w:r w:rsidRPr="00D44682">
              <w:rPr>
                <w:rFonts w:ascii="Aptos Narrow" w:hAnsi="Aptos Narrow"/>
                <w:color w:val="000000"/>
                <w:szCs w:val="22"/>
                <w:lang w:val="en-IE" w:eastAsia="en-IE"/>
              </w:rPr>
              <w:t> </w:t>
            </w:r>
          </w:p>
        </w:tc>
        <w:tc>
          <w:tcPr>
            <w:tcW w:w="294" w:type="dxa"/>
            <w:tcBorders>
              <w:top w:val="nil"/>
              <w:left w:val="nil"/>
              <w:bottom w:val="single" w:sz="4" w:space="0" w:color="auto"/>
              <w:right w:val="single" w:sz="8" w:space="0" w:color="auto"/>
            </w:tcBorders>
            <w:noWrap/>
            <w:vAlign w:val="bottom"/>
            <w:hideMark/>
          </w:tcPr>
          <w:p w14:paraId="03685DE7" w14:textId="77777777" w:rsidR="00D44682" w:rsidRPr="00D44682" w:rsidRDefault="00D44682" w:rsidP="00D44682">
            <w:pPr>
              <w:jc w:val="right"/>
              <w:rPr>
                <w:rFonts w:ascii="Aptos Narrow" w:hAnsi="Aptos Narrow"/>
                <w:color w:val="000000"/>
                <w:szCs w:val="22"/>
                <w:lang w:val="en-IE" w:eastAsia="en-IE"/>
              </w:rPr>
            </w:pPr>
            <w:r w:rsidRPr="00D44682">
              <w:rPr>
                <w:rFonts w:ascii="Aptos Narrow" w:hAnsi="Aptos Narrow"/>
                <w:color w:val="000000"/>
                <w:szCs w:val="22"/>
                <w:lang w:val="en-IE" w:eastAsia="en-IE"/>
              </w:rPr>
              <w:t>200</w:t>
            </w:r>
          </w:p>
        </w:tc>
      </w:tr>
      <w:tr w:rsidR="00D44682" w:rsidRPr="00D44682" w14:paraId="6561450E" w14:textId="77777777" w:rsidTr="00D44682">
        <w:trPr>
          <w:trHeight w:val="315"/>
        </w:trPr>
        <w:tc>
          <w:tcPr>
            <w:tcW w:w="8149" w:type="dxa"/>
            <w:tcBorders>
              <w:top w:val="nil"/>
              <w:left w:val="single" w:sz="8" w:space="0" w:color="auto"/>
              <w:bottom w:val="single" w:sz="4" w:space="0" w:color="auto"/>
              <w:right w:val="single" w:sz="4" w:space="0" w:color="auto"/>
            </w:tcBorders>
            <w:noWrap/>
            <w:vAlign w:val="bottom"/>
            <w:hideMark/>
          </w:tcPr>
          <w:p w14:paraId="1D232F6B" w14:textId="77777777" w:rsidR="00D44682" w:rsidRPr="00D44682" w:rsidRDefault="00D44682" w:rsidP="00D44682">
            <w:pPr>
              <w:rPr>
                <w:rFonts w:ascii="Aptos Narrow" w:hAnsi="Aptos Narrow"/>
                <w:color w:val="000000"/>
                <w:sz w:val="24"/>
                <w:szCs w:val="24"/>
                <w:lang w:val="en-IE" w:eastAsia="en-IE"/>
              </w:rPr>
            </w:pPr>
            <w:r w:rsidRPr="00D44682">
              <w:rPr>
                <w:rFonts w:ascii="Aptos Narrow" w:hAnsi="Aptos Narrow"/>
                <w:color w:val="000000"/>
                <w:sz w:val="24"/>
                <w:szCs w:val="24"/>
                <w:lang w:val="en-IE" w:eastAsia="en-IE"/>
              </w:rPr>
              <w:t> </w:t>
            </w:r>
          </w:p>
        </w:tc>
        <w:tc>
          <w:tcPr>
            <w:tcW w:w="294" w:type="dxa"/>
            <w:tcBorders>
              <w:top w:val="nil"/>
              <w:left w:val="nil"/>
              <w:bottom w:val="single" w:sz="4" w:space="0" w:color="auto"/>
              <w:right w:val="single" w:sz="4" w:space="0" w:color="auto"/>
            </w:tcBorders>
            <w:noWrap/>
            <w:vAlign w:val="bottom"/>
            <w:hideMark/>
          </w:tcPr>
          <w:p w14:paraId="69DEE2D3" w14:textId="77777777" w:rsidR="00D44682" w:rsidRPr="00D44682" w:rsidRDefault="00D44682" w:rsidP="00D44682">
            <w:pPr>
              <w:rPr>
                <w:rFonts w:ascii="Aptos Narrow" w:hAnsi="Aptos Narrow"/>
                <w:color w:val="000000"/>
                <w:szCs w:val="22"/>
                <w:lang w:val="en-IE" w:eastAsia="en-IE"/>
              </w:rPr>
            </w:pPr>
            <w:r w:rsidRPr="00D44682">
              <w:rPr>
                <w:rFonts w:ascii="Aptos Narrow" w:hAnsi="Aptos Narrow"/>
                <w:color w:val="000000"/>
                <w:szCs w:val="22"/>
                <w:lang w:val="en-IE" w:eastAsia="en-IE"/>
              </w:rPr>
              <w:t> </w:t>
            </w:r>
          </w:p>
        </w:tc>
        <w:tc>
          <w:tcPr>
            <w:tcW w:w="269" w:type="dxa"/>
            <w:tcBorders>
              <w:top w:val="nil"/>
              <w:left w:val="nil"/>
              <w:bottom w:val="single" w:sz="4" w:space="0" w:color="auto"/>
              <w:right w:val="single" w:sz="4" w:space="0" w:color="auto"/>
            </w:tcBorders>
            <w:noWrap/>
            <w:vAlign w:val="bottom"/>
            <w:hideMark/>
          </w:tcPr>
          <w:p w14:paraId="26B0B962" w14:textId="77777777" w:rsidR="00D44682" w:rsidRPr="00D44682" w:rsidRDefault="00D44682" w:rsidP="00D44682">
            <w:pPr>
              <w:rPr>
                <w:rFonts w:ascii="Aptos Narrow" w:hAnsi="Aptos Narrow"/>
                <w:color w:val="000000"/>
                <w:szCs w:val="22"/>
                <w:lang w:val="en-IE" w:eastAsia="en-IE"/>
              </w:rPr>
            </w:pPr>
            <w:r w:rsidRPr="00D44682">
              <w:rPr>
                <w:rFonts w:ascii="Aptos Narrow" w:hAnsi="Aptos Narrow"/>
                <w:color w:val="000000"/>
                <w:szCs w:val="22"/>
                <w:lang w:val="en-IE" w:eastAsia="en-IE"/>
              </w:rPr>
              <w:t> </w:t>
            </w:r>
          </w:p>
        </w:tc>
        <w:tc>
          <w:tcPr>
            <w:tcW w:w="294" w:type="dxa"/>
            <w:tcBorders>
              <w:top w:val="nil"/>
              <w:left w:val="nil"/>
              <w:bottom w:val="single" w:sz="4" w:space="0" w:color="auto"/>
              <w:right w:val="single" w:sz="8" w:space="0" w:color="auto"/>
            </w:tcBorders>
            <w:noWrap/>
            <w:vAlign w:val="bottom"/>
            <w:hideMark/>
          </w:tcPr>
          <w:p w14:paraId="64C49A53" w14:textId="77777777" w:rsidR="00D44682" w:rsidRPr="00D44682" w:rsidRDefault="00D44682" w:rsidP="00D44682">
            <w:pPr>
              <w:rPr>
                <w:rFonts w:ascii="Aptos Narrow" w:hAnsi="Aptos Narrow"/>
                <w:color w:val="000000"/>
                <w:szCs w:val="22"/>
                <w:lang w:val="en-IE" w:eastAsia="en-IE"/>
              </w:rPr>
            </w:pPr>
            <w:r w:rsidRPr="00D44682">
              <w:rPr>
                <w:rFonts w:ascii="Aptos Narrow" w:hAnsi="Aptos Narrow"/>
                <w:color w:val="000000"/>
                <w:szCs w:val="22"/>
                <w:lang w:val="en-IE" w:eastAsia="en-IE"/>
              </w:rPr>
              <w:t> </w:t>
            </w:r>
          </w:p>
        </w:tc>
      </w:tr>
      <w:tr w:rsidR="00D44682" w:rsidRPr="00D44682" w14:paraId="1D68A6D6" w14:textId="77777777" w:rsidTr="00D44682">
        <w:trPr>
          <w:trHeight w:val="630"/>
        </w:trPr>
        <w:tc>
          <w:tcPr>
            <w:tcW w:w="8149" w:type="dxa"/>
            <w:tcBorders>
              <w:top w:val="nil"/>
              <w:left w:val="single" w:sz="8" w:space="0" w:color="auto"/>
              <w:bottom w:val="single" w:sz="4" w:space="0" w:color="auto"/>
              <w:right w:val="single" w:sz="4" w:space="0" w:color="auto"/>
            </w:tcBorders>
            <w:vAlign w:val="bottom"/>
            <w:hideMark/>
          </w:tcPr>
          <w:p w14:paraId="5FA3214C" w14:textId="77777777" w:rsidR="00D44682" w:rsidRPr="00D44682" w:rsidRDefault="00D44682" w:rsidP="00D44682">
            <w:pPr>
              <w:rPr>
                <w:rFonts w:ascii="Times New Roman" w:hAnsi="Times New Roman"/>
                <w:color w:val="000000"/>
                <w:sz w:val="24"/>
                <w:szCs w:val="24"/>
                <w:lang w:val="en-IE" w:eastAsia="en-IE"/>
              </w:rPr>
            </w:pPr>
            <w:r w:rsidRPr="00D44682">
              <w:rPr>
                <w:rFonts w:ascii="Times New Roman" w:hAnsi="Times New Roman"/>
                <w:color w:val="000000"/>
                <w:sz w:val="24"/>
                <w:szCs w:val="24"/>
                <w:lang w:val="en-IE" w:eastAsia="en-IE"/>
              </w:rPr>
              <w:t>Tenderers must evidence of having provided similar goods in three previous contracts.</w:t>
            </w:r>
          </w:p>
        </w:tc>
        <w:tc>
          <w:tcPr>
            <w:tcW w:w="294" w:type="dxa"/>
            <w:tcBorders>
              <w:top w:val="nil"/>
              <w:left w:val="nil"/>
              <w:bottom w:val="single" w:sz="4" w:space="0" w:color="auto"/>
              <w:right w:val="single" w:sz="4" w:space="0" w:color="auto"/>
            </w:tcBorders>
            <w:noWrap/>
            <w:vAlign w:val="bottom"/>
            <w:hideMark/>
          </w:tcPr>
          <w:p w14:paraId="10413A14" w14:textId="77777777" w:rsidR="00D44682" w:rsidRPr="00D44682" w:rsidRDefault="00D44682" w:rsidP="00D44682">
            <w:pPr>
              <w:rPr>
                <w:rFonts w:ascii="Aptos Narrow" w:hAnsi="Aptos Narrow"/>
                <w:color w:val="000000"/>
                <w:szCs w:val="22"/>
                <w:lang w:val="en-IE" w:eastAsia="en-IE"/>
              </w:rPr>
            </w:pPr>
            <w:r w:rsidRPr="00D44682">
              <w:rPr>
                <w:rFonts w:ascii="Aptos Narrow" w:hAnsi="Aptos Narrow"/>
                <w:color w:val="000000"/>
                <w:szCs w:val="22"/>
                <w:lang w:val="en-IE" w:eastAsia="en-IE"/>
              </w:rPr>
              <w:t> </w:t>
            </w:r>
          </w:p>
        </w:tc>
        <w:tc>
          <w:tcPr>
            <w:tcW w:w="269" w:type="dxa"/>
            <w:tcBorders>
              <w:top w:val="nil"/>
              <w:left w:val="nil"/>
              <w:bottom w:val="single" w:sz="4" w:space="0" w:color="auto"/>
              <w:right w:val="single" w:sz="4" w:space="0" w:color="auto"/>
            </w:tcBorders>
            <w:noWrap/>
            <w:vAlign w:val="bottom"/>
            <w:hideMark/>
          </w:tcPr>
          <w:p w14:paraId="315DC019" w14:textId="77777777" w:rsidR="00D44682" w:rsidRPr="00D44682" w:rsidRDefault="00D44682" w:rsidP="00D44682">
            <w:pPr>
              <w:rPr>
                <w:rFonts w:ascii="Aptos Narrow" w:hAnsi="Aptos Narrow"/>
                <w:color w:val="000000"/>
                <w:szCs w:val="22"/>
                <w:lang w:val="en-IE" w:eastAsia="en-IE"/>
              </w:rPr>
            </w:pPr>
            <w:r w:rsidRPr="00D44682">
              <w:rPr>
                <w:rFonts w:ascii="Aptos Narrow" w:hAnsi="Aptos Narrow"/>
                <w:color w:val="000000"/>
                <w:szCs w:val="22"/>
                <w:lang w:val="en-IE" w:eastAsia="en-IE"/>
              </w:rPr>
              <w:t> </w:t>
            </w:r>
          </w:p>
        </w:tc>
        <w:tc>
          <w:tcPr>
            <w:tcW w:w="294" w:type="dxa"/>
            <w:tcBorders>
              <w:top w:val="nil"/>
              <w:left w:val="nil"/>
              <w:bottom w:val="single" w:sz="4" w:space="0" w:color="auto"/>
              <w:right w:val="single" w:sz="8" w:space="0" w:color="auto"/>
            </w:tcBorders>
            <w:noWrap/>
            <w:vAlign w:val="bottom"/>
            <w:hideMark/>
          </w:tcPr>
          <w:p w14:paraId="749F46B6" w14:textId="77777777" w:rsidR="00D44682" w:rsidRPr="00D44682" w:rsidRDefault="00D44682" w:rsidP="00D44682">
            <w:pPr>
              <w:jc w:val="right"/>
              <w:rPr>
                <w:rFonts w:ascii="Aptos Narrow" w:hAnsi="Aptos Narrow"/>
                <w:color w:val="000000"/>
                <w:szCs w:val="22"/>
                <w:lang w:val="en-IE" w:eastAsia="en-IE"/>
              </w:rPr>
            </w:pPr>
            <w:r w:rsidRPr="00D44682">
              <w:rPr>
                <w:rFonts w:ascii="Aptos Narrow" w:hAnsi="Aptos Narrow"/>
                <w:color w:val="000000"/>
                <w:szCs w:val="22"/>
                <w:lang w:val="en-IE" w:eastAsia="en-IE"/>
              </w:rPr>
              <w:t>100</w:t>
            </w:r>
          </w:p>
        </w:tc>
      </w:tr>
      <w:tr w:rsidR="00D44682" w:rsidRPr="00D44682" w14:paraId="7C2CE920" w14:textId="77777777" w:rsidTr="00D44682">
        <w:trPr>
          <w:trHeight w:val="645"/>
        </w:trPr>
        <w:tc>
          <w:tcPr>
            <w:tcW w:w="8149" w:type="dxa"/>
            <w:tcBorders>
              <w:top w:val="nil"/>
              <w:left w:val="single" w:sz="8" w:space="0" w:color="auto"/>
              <w:bottom w:val="single" w:sz="8" w:space="0" w:color="auto"/>
              <w:right w:val="single" w:sz="4" w:space="0" w:color="auto"/>
            </w:tcBorders>
            <w:vAlign w:val="bottom"/>
            <w:hideMark/>
          </w:tcPr>
          <w:p w14:paraId="52D516D0" w14:textId="0253EEAF" w:rsidR="00D44682" w:rsidRPr="00D44682" w:rsidRDefault="00D44682" w:rsidP="00D44682">
            <w:pPr>
              <w:rPr>
                <w:rFonts w:ascii="Times New Roman" w:hAnsi="Times New Roman"/>
                <w:sz w:val="24"/>
                <w:szCs w:val="24"/>
                <w:lang w:val="en-IE" w:eastAsia="en-IE"/>
              </w:rPr>
            </w:pPr>
            <w:r w:rsidRPr="00D44682">
              <w:rPr>
                <w:rFonts w:ascii="Times New Roman" w:hAnsi="Times New Roman"/>
                <w:sz w:val="24"/>
                <w:szCs w:val="24"/>
                <w:lang w:val="en-IE" w:eastAsia="en-IE"/>
              </w:rPr>
              <w:t xml:space="preserve">Sustainability, </w:t>
            </w:r>
            <w:r w:rsidR="00681410">
              <w:rPr>
                <w:rFonts w:ascii="Times New Roman" w:hAnsi="Times New Roman"/>
                <w:sz w:val="24"/>
                <w:szCs w:val="24"/>
                <w:lang w:val="en-IE" w:eastAsia="en-IE"/>
              </w:rPr>
              <w:t>See Donar award sustainability criteria in tender package.</w:t>
            </w:r>
          </w:p>
        </w:tc>
        <w:tc>
          <w:tcPr>
            <w:tcW w:w="294" w:type="dxa"/>
            <w:tcBorders>
              <w:top w:val="nil"/>
              <w:left w:val="nil"/>
              <w:bottom w:val="single" w:sz="8" w:space="0" w:color="auto"/>
              <w:right w:val="single" w:sz="4" w:space="0" w:color="auto"/>
            </w:tcBorders>
            <w:noWrap/>
            <w:vAlign w:val="bottom"/>
            <w:hideMark/>
          </w:tcPr>
          <w:p w14:paraId="53D916CF" w14:textId="77777777" w:rsidR="00D44682" w:rsidRPr="00D44682" w:rsidRDefault="00D44682" w:rsidP="00D44682">
            <w:pPr>
              <w:rPr>
                <w:rFonts w:ascii="Aptos Narrow" w:hAnsi="Aptos Narrow"/>
                <w:color w:val="000000"/>
                <w:szCs w:val="22"/>
                <w:lang w:val="en-IE" w:eastAsia="en-IE"/>
              </w:rPr>
            </w:pPr>
            <w:r w:rsidRPr="00D44682">
              <w:rPr>
                <w:rFonts w:ascii="Aptos Narrow" w:hAnsi="Aptos Narrow"/>
                <w:color w:val="000000"/>
                <w:szCs w:val="22"/>
                <w:lang w:val="en-IE" w:eastAsia="en-IE"/>
              </w:rPr>
              <w:t> </w:t>
            </w:r>
          </w:p>
        </w:tc>
        <w:tc>
          <w:tcPr>
            <w:tcW w:w="269" w:type="dxa"/>
            <w:tcBorders>
              <w:top w:val="nil"/>
              <w:left w:val="nil"/>
              <w:bottom w:val="single" w:sz="8" w:space="0" w:color="auto"/>
              <w:right w:val="single" w:sz="4" w:space="0" w:color="auto"/>
            </w:tcBorders>
            <w:noWrap/>
            <w:vAlign w:val="bottom"/>
            <w:hideMark/>
          </w:tcPr>
          <w:p w14:paraId="4A4CD698" w14:textId="77777777" w:rsidR="00D44682" w:rsidRPr="00D44682" w:rsidRDefault="00D44682" w:rsidP="00D44682">
            <w:pPr>
              <w:rPr>
                <w:rFonts w:ascii="Aptos Narrow" w:hAnsi="Aptos Narrow"/>
                <w:color w:val="000000"/>
                <w:szCs w:val="22"/>
                <w:lang w:val="en-IE" w:eastAsia="en-IE"/>
              </w:rPr>
            </w:pPr>
            <w:r w:rsidRPr="00D44682">
              <w:rPr>
                <w:rFonts w:ascii="Aptos Narrow" w:hAnsi="Aptos Narrow"/>
                <w:color w:val="000000"/>
                <w:szCs w:val="22"/>
                <w:lang w:val="en-IE" w:eastAsia="en-IE"/>
              </w:rPr>
              <w:t> </w:t>
            </w:r>
          </w:p>
        </w:tc>
        <w:tc>
          <w:tcPr>
            <w:tcW w:w="294" w:type="dxa"/>
            <w:tcBorders>
              <w:top w:val="nil"/>
              <w:left w:val="nil"/>
              <w:bottom w:val="single" w:sz="8" w:space="0" w:color="auto"/>
              <w:right w:val="single" w:sz="8" w:space="0" w:color="auto"/>
            </w:tcBorders>
            <w:noWrap/>
            <w:vAlign w:val="bottom"/>
            <w:hideMark/>
          </w:tcPr>
          <w:p w14:paraId="00D1656E" w14:textId="77777777" w:rsidR="00D44682" w:rsidRPr="00D44682" w:rsidRDefault="00D44682" w:rsidP="00D44682">
            <w:pPr>
              <w:jc w:val="right"/>
              <w:rPr>
                <w:rFonts w:ascii="Aptos Narrow" w:hAnsi="Aptos Narrow"/>
                <w:color w:val="000000"/>
                <w:szCs w:val="22"/>
                <w:lang w:val="en-IE" w:eastAsia="en-IE"/>
              </w:rPr>
            </w:pPr>
            <w:r w:rsidRPr="00D44682">
              <w:rPr>
                <w:rFonts w:ascii="Aptos Narrow" w:hAnsi="Aptos Narrow"/>
                <w:color w:val="000000"/>
                <w:szCs w:val="22"/>
                <w:lang w:val="en-IE" w:eastAsia="en-IE"/>
              </w:rPr>
              <w:t>100</w:t>
            </w:r>
          </w:p>
        </w:tc>
      </w:tr>
    </w:tbl>
    <w:p w14:paraId="7C53F3D4" w14:textId="77777777" w:rsidR="00D44682" w:rsidRDefault="00D44682" w:rsidP="009749D4">
      <w:pPr>
        <w:pStyle w:val="Schedule3"/>
        <w:widowControl w:val="0"/>
        <w:spacing w:before="0" w:after="0"/>
        <w:ind w:left="720"/>
        <w:rPr>
          <w:rFonts w:cs="Arial"/>
        </w:rPr>
      </w:pPr>
    </w:p>
    <w:tbl>
      <w:tblPr>
        <w:tblW w:w="5320" w:type="dxa"/>
        <w:tblLook w:val="04A0" w:firstRow="1" w:lastRow="0" w:firstColumn="1" w:lastColumn="0" w:noHBand="0" w:noVBand="1"/>
      </w:tblPr>
      <w:tblGrid>
        <w:gridCol w:w="5320"/>
      </w:tblGrid>
      <w:tr w:rsidR="00195A49" w:rsidRPr="00195A49" w14:paraId="3B793664" w14:textId="77777777" w:rsidTr="00195A49">
        <w:trPr>
          <w:trHeight w:val="315"/>
        </w:trPr>
        <w:tc>
          <w:tcPr>
            <w:tcW w:w="5320" w:type="dxa"/>
            <w:tcBorders>
              <w:top w:val="nil"/>
              <w:left w:val="nil"/>
              <w:bottom w:val="nil"/>
              <w:right w:val="nil"/>
            </w:tcBorders>
            <w:noWrap/>
            <w:vAlign w:val="bottom"/>
            <w:hideMark/>
          </w:tcPr>
          <w:p w14:paraId="170BD1B8" w14:textId="77777777" w:rsidR="00195A49" w:rsidRPr="00195A49" w:rsidRDefault="00195A49" w:rsidP="00195A49">
            <w:pPr>
              <w:rPr>
                <w:rFonts w:ascii="Aptos Narrow" w:hAnsi="Aptos Narrow"/>
                <w:b/>
                <w:bCs/>
                <w:color w:val="000000"/>
                <w:sz w:val="24"/>
                <w:szCs w:val="24"/>
                <w:lang w:val="en-IE" w:eastAsia="en-IE"/>
              </w:rPr>
            </w:pPr>
            <w:r w:rsidRPr="00195A49">
              <w:rPr>
                <w:rFonts w:ascii="Aptos Narrow" w:hAnsi="Aptos Narrow"/>
                <w:b/>
                <w:bCs/>
                <w:color w:val="000000"/>
                <w:sz w:val="24"/>
                <w:szCs w:val="24"/>
                <w:lang w:val="en-IE" w:eastAsia="en-IE"/>
              </w:rPr>
              <w:t>Mandatory Pass/Fail</w:t>
            </w:r>
          </w:p>
        </w:tc>
      </w:tr>
      <w:tr w:rsidR="00195A49" w:rsidRPr="00195A49" w14:paraId="105657C7" w14:textId="77777777" w:rsidTr="00195A49">
        <w:trPr>
          <w:trHeight w:val="1890"/>
        </w:trPr>
        <w:tc>
          <w:tcPr>
            <w:tcW w:w="5320" w:type="dxa"/>
            <w:tcBorders>
              <w:top w:val="nil"/>
              <w:left w:val="nil"/>
              <w:bottom w:val="nil"/>
              <w:right w:val="nil"/>
            </w:tcBorders>
            <w:vAlign w:val="bottom"/>
            <w:hideMark/>
          </w:tcPr>
          <w:p w14:paraId="34287D29" w14:textId="77777777" w:rsidR="00195A49" w:rsidRPr="00195A49" w:rsidRDefault="00195A49" w:rsidP="00195A49">
            <w:pPr>
              <w:rPr>
                <w:rFonts w:ascii="Times New Roman" w:hAnsi="Times New Roman"/>
                <w:color w:val="000000"/>
                <w:sz w:val="24"/>
                <w:szCs w:val="24"/>
                <w:lang w:val="en-IE" w:eastAsia="en-IE"/>
              </w:rPr>
            </w:pPr>
            <w:r w:rsidRPr="00195A49">
              <w:rPr>
                <w:rFonts w:ascii="Times New Roman" w:hAnsi="Times New Roman"/>
                <w:color w:val="000000"/>
                <w:sz w:val="24"/>
                <w:szCs w:val="24"/>
                <w:lang w:val="en-IE" w:eastAsia="en-IE"/>
              </w:rPr>
              <w:t xml:space="preserve">Supplier must evidence that Awards will be Hallmarked on delivery. Hallmarking must be in accordance with </w:t>
            </w:r>
            <w:r w:rsidRPr="00195A49">
              <w:rPr>
                <w:rFonts w:ascii="Times New Roman" w:hAnsi="Times New Roman"/>
                <w:b/>
                <w:bCs/>
                <w:color w:val="000000"/>
                <w:sz w:val="24"/>
                <w:szCs w:val="24"/>
                <w:lang w:val="en-IE" w:eastAsia="en-IE"/>
              </w:rPr>
              <w:t>The Convention on the Control and Marking of Articles of Precious Metals</w:t>
            </w:r>
            <w:r w:rsidRPr="00195A49">
              <w:rPr>
                <w:rFonts w:ascii="Times New Roman" w:hAnsi="Times New Roman"/>
                <w:color w:val="000000"/>
                <w:sz w:val="24"/>
                <w:szCs w:val="24"/>
                <w:lang w:val="en-IE" w:eastAsia="en-IE"/>
              </w:rPr>
              <w:t xml:space="preserve">  </w:t>
            </w:r>
            <w:r w:rsidRPr="00195A49">
              <w:rPr>
                <w:rFonts w:ascii="Times New Roman" w:hAnsi="Times New Roman"/>
                <w:b/>
                <w:bCs/>
                <w:color w:val="000000"/>
                <w:sz w:val="24"/>
                <w:szCs w:val="24"/>
                <w:lang w:val="en-IE" w:eastAsia="en-IE"/>
              </w:rPr>
              <w:t>also known as "Precious Metals Convention", “Hallmarking Convention” or “Vienna Convention”)</w:t>
            </w:r>
            <w:r w:rsidRPr="00195A49">
              <w:rPr>
                <w:rFonts w:ascii="Times New Roman" w:hAnsi="Times New Roman"/>
                <w:color w:val="000000"/>
                <w:sz w:val="24"/>
                <w:szCs w:val="24"/>
                <w:lang w:val="en-IE" w:eastAsia="en-IE"/>
              </w:rPr>
              <w:t xml:space="preserve"> </w:t>
            </w:r>
          </w:p>
        </w:tc>
      </w:tr>
    </w:tbl>
    <w:p w14:paraId="7430A55B" w14:textId="77777777" w:rsidR="005D3F71" w:rsidRDefault="005D3F71" w:rsidP="009749D4">
      <w:pPr>
        <w:pStyle w:val="Schedule3"/>
        <w:widowControl w:val="0"/>
        <w:spacing w:before="0" w:after="0"/>
        <w:ind w:left="720"/>
        <w:rPr>
          <w:rFonts w:cs="Arial"/>
        </w:rPr>
      </w:pPr>
    </w:p>
    <w:p w14:paraId="7B951024" w14:textId="77777777" w:rsidR="00A4783D" w:rsidRDefault="00F83C92" w:rsidP="00331A6B">
      <w:pPr>
        <w:pStyle w:val="Heading1"/>
      </w:pPr>
      <w:r>
        <w:t>Criteria Level 1.</w:t>
      </w:r>
    </w:p>
    <w:p w14:paraId="209925B3" w14:textId="77777777" w:rsidR="00331A6B" w:rsidRPr="00331A6B" w:rsidRDefault="00331A6B" w:rsidP="00331A6B"/>
    <w:p w14:paraId="2E47F7CE" w14:textId="77777777" w:rsidR="00331A6B" w:rsidRDefault="00331A6B" w:rsidP="00331A6B">
      <w:pPr>
        <w:pStyle w:val="Heading2"/>
      </w:pPr>
      <w:r>
        <w:t>Compliance with User Requirement Specification</w:t>
      </w:r>
    </w:p>
    <w:p w14:paraId="19FA6105" w14:textId="77777777" w:rsidR="00331A6B" w:rsidRDefault="00331A6B" w:rsidP="00331A6B"/>
    <w:p w14:paraId="3568C5B9" w14:textId="77777777" w:rsidR="00331A6B" w:rsidRDefault="00331A6B" w:rsidP="00331A6B"/>
    <w:p w14:paraId="38631BBD" w14:textId="77777777" w:rsidR="00331A6B" w:rsidRPr="00331A6B" w:rsidRDefault="00331A6B" w:rsidP="00331A6B"/>
    <w:p w14:paraId="4D2BEACA" w14:textId="77777777" w:rsidR="009749D4" w:rsidRDefault="009749D4" w:rsidP="009749D4">
      <w:pPr>
        <w:spacing w:line="276" w:lineRule="auto"/>
        <w:jc w:val="both"/>
      </w:pPr>
    </w:p>
    <w:p w14:paraId="28DB2C03" w14:textId="77777777" w:rsidR="00F91005" w:rsidRPr="00331A6B" w:rsidRDefault="00F91005" w:rsidP="009749D4">
      <w:pPr>
        <w:pStyle w:val="ListParagraph"/>
        <w:numPr>
          <w:ilvl w:val="0"/>
          <w:numId w:val="1"/>
        </w:numPr>
        <w:spacing w:line="276" w:lineRule="auto"/>
        <w:jc w:val="both"/>
        <w:rPr>
          <w:rFonts w:cs="Arial"/>
        </w:rPr>
      </w:pPr>
      <w:r w:rsidRPr="00331A6B">
        <w:rPr>
          <w:rFonts w:cs="Arial"/>
        </w:rPr>
        <w:t>Supporting documentation must be indexed and specifically referred to the relevant section of the User Requirement Specification.</w:t>
      </w:r>
    </w:p>
    <w:p w14:paraId="7B3446C1" w14:textId="77777777" w:rsidR="00F91005" w:rsidRPr="00331A6B" w:rsidRDefault="00F91005" w:rsidP="009749D4">
      <w:pPr>
        <w:pStyle w:val="ListParagraph"/>
        <w:jc w:val="both"/>
        <w:rPr>
          <w:rFonts w:cs="Arial"/>
        </w:rPr>
      </w:pPr>
    </w:p>
    <w:p w14:paraId="1F8B47E3" w14:textId="77777777" w:rsidR="00F91005" w:rsidRPr="00331A6B" w:rsidRDefault="00F91005" w:rsidP="009749D4">
      <w:pPr>
        <w:pStyle w:val="ListParagraph"/>
        <w:numPr>
          <w:ilvl w:val="0"/>
          <w:numId w:val="1"/>
        </w:numPr>
        <w:spacing w:line="276" w:lineRule="auto"/>
        <w:jc w:val="both"/>
        <w:rPr>
          <w:rFonts w:cs="Arial"/>
        </w:rPr>
      </w:pPr>
      <w:r w:rsidRPr="00331A6B">
        <w:rPr>
          <w:rFonts w:cs="Arial"/>
        </w:rPr>
        <w:t>Tenderers will receive a M</w:t>
      </w:r>
      <w:r w:rsidR="00F83C92" w:rsidRPr="00331A6B">
        <w:rPr>
          <w:rFonts w:cs="Arial"/>
        </w:rPr>
        <w:t>ark between 1 and 5 as per scoring matrix below</w:t>
      </w:r>
      <w:r w:rsidRPr="00331A6B">
        <w:rPr>
          <w:rFonts w:cs="Arial"/>
        </w:rPr>
        <w:t xml:space="preserve">. </w:t>
      </w:r>
      <w:r w:rsidR="00D757EC" w:rsidRPr="00331A6B">
        <w:rPr>
          <w:rFonts w:cs="Arial"/>
        </w:rPr>
        <w:t xml:space="preserve">This </w:t>
      </w:r>
      <w:r w:rsidRPr="00331A6B">
        <w:rPr>
          <w:rFonts w:cs="Arial"/>
        </w:rPr>
        <w:t xml:space="preserve">Mark will be multiplied by the </w:t>
      </w:r>
      <w:r w:rsidRPr="00331A6B">
        <w:rPr>
          <w:rFonts w:cs="Arial"/>
          <w:i/>
        </w:rPr>
        <w:t>Weighting</w:t>
      </w:r>
      <w:r w:rsidRPr="00331A6B">
        <w:rPr>
          <w:rFonts w:cs="Arial"/>
        </w:rPr>
        <w:t xml:space="preserve"> resulting in a Score.  A provisional </w:t>
      </w:r>
      <w:r w:rsidRPr="00331A6B">
        <w:rPr>
          <w:rFonts w:cs="Arial"/>
          <w:i/>
        </w:rPr>
        <w:t>Award of Contract</w:t>
      </w:r>
      <w:r w:rsidRPr="00331A6B">
        <w:rPr>
          <w:rFonts w:cs="Arial"/>
        </w:rPr>
        <w:t xml:space="preserve"> will be made to the Tenderer with the highest Score</w:t>
      </w:r>
      <w:r w:rsidR="00D757EC" w:rsidRPr="00331A6B">
        <w:rPr>
          <w:rFonts w:cs="Arial"/>
        </w:rPr>
        <w:t>.</w:t>
      </w:r>
    </w:p>
    <w:p w14:paraId="3D5186FD" w14:textId="77777777" w:rsidR="00F91005" w:rsidRPr="00331A6B" w:rsidRDefault="00F91005" w:rsidP="009749D4">
      <w:pPr>
        <w:pStyle w:val="ListParagraph"/>
        <w:jc w:val="both"/>
        <w:rPr>
          <w:rFonts w:cs="Arial"/>
        </w:rPr>
      </w:pPr>
    </w:p>
    <w:p w14:paraId="7BB4623C" w14:textId="77777777" w:rsidR="00F83C92" w:rsidRDefault="00F83C92" w:rsidP="00F83C92">
      <w:pPr>
        <w:pStyle w:val="ListParagraph"/>
        <w:numPr>
          <w:ilvl w:val="0"/>
          <w:numId w:val="1"/>
        </w:numPr>
        <w:spacing w:line="360" w:lineRule="auto"/>
        <w:jc w:val="both"/>
        <w:rPr>
          <w:rFonts w:eastAsia="Calibri" w:cs="Arial"/>
          <w:szCs w:val="22"/>
        </w:rPr>
      </w:pPr>
      <w:r w:rsidRPr="00331A6B">
        <w:rPr>
          <w:rFonts w:eastAsia="Calibri" w:cs="Arial"/>
          <w:szCs w:val="22"/>
        </w:rPr>
        <w:lastRenderedPageBreak/>
        <w:t>Tenderers must achieve the Minimum Marks Required to pass for each qualitative criterion in order to pass to the next stage of the Competition.  Any Tenderer that fails to achieve all of the Minimum Marks Required to Pass will be eliminated from the Competition and no further evaluation of its Tender will be carried out.</w:t>
      </w:r>
    </w:p>
    <w:p w14:paraId="05070747" w14:textId="77777777" w:rsidR="00A9109D" w:rsidRPr="00A9109D" w:rsidRDefault="00A9109D" w:rsidP="00A9109D">
      <w:pPr>
        <w:pStyle w:val="ListParagraph"/>
        <w:rPr>
          <w:rFonts w:eastAsia="Calibri" w:cs="Arial"/>
          <w:szCs w:val="22"/>
        </w:rPr>
      </w:pPr>
    </w:p>
    <w:p w14:paraId="56E75DD1" w14:textId="7BC5FBB3" w:rsidR="00A9109D" w:rsidRDefault="00A9109D" w:rsidP="00F83C92">
      <w:pPr>
        <w:pStyle w:val="ListParagraph"/>
        <w:numPr>
          <w:ilvl w:val="0"/>
          <w:numId w:val="1"/>
        </w:numPr>
        <w:spacing w:line="360" w:lineRule="auto"/>
        <w:jc w:val="both"/>
        <w:rPr>
          <w:rFonts w:eastAsia="Calibri" w:cs="Arial"/>
          <w:szCs w:val="22"/>
        </w:rPr>
      </w:pPr>
      <w:r>
        <w:rPr>
          <w:rFonts w:eastAsia="Calibri" w:cs="Arial"/>
          <w:szCs w:val="22"/>
        </w:rPr>
        <w:t>Where two or more bids are equal in final marking scores</w:t>
      </w:r>
      <w:r w:rsidR="00225504">
        <w:rPr>
          <w:rFonts w:eastAsia="Calibri" w:cs="Arial"/>
          <w:szCs w:val="22"/>
        </w:rPr>
        <w:t>,</w:t>
      </w:r>
      <w:r>
        <w:rPr>
          <w:rFonts w:eastAsia="Calibri" w:cs="Arial"/>
          <w:szCs w:val="22"/>
        </w:rPr>
        <w:t xml:space="preserve"> the bid with the highest functional </w:t>
      </w:r>
      <w:r w:rsidR="00225504">
        <w:rPr>
          <w:rFonts w:eastAsia="Calibri" w:cs="Arial"/>
          <w:szCs w:val="22"/>
        </w:rPr>
        <w:t xml:space="preserve">(Level 1) </w:t>
      </w:r>
      <w:r>
        <w:rPr>
          <w:rFonts w:eastAsia="Calibri" w:cs="Arial"/>
          <w:szCs w:val="22"/>
        </w:rPr>
        <w:t>score will be the successful bid.</w:t>
      </w:r>
    </w:p>
    <w:p w14:paraId="69E3AFDC" w14:textId="77777777" w:rsidR="002C75E6" w:rsidRPr="002C75E6" w:rsidRDefault="002C75E6" w:rsidP="002C75E6">
      <w:pPr>
        <w:pStyle w:val="ListParagraph"/>
        <w:rPr>
          <w:rFonts w:eastAsia="Calibri" w:cs="Arial"/>
          <w:szCs w:val="22"/>
        </w:rPr>
      </w:pPr>
    </w:p>
    <w:p w14:paraId="2C44392C" w14:textId="77777777" w:rsidR="002C75E6" w:rsidRPr="00331A6B" w:rsidRDefault="002C75E6" w:rsidP="002C75E6">
      <w:pPr>
        <w:pStyle w:val="ListParagraph"/>
        <w:numPr>
          <w:ilvl w:val="0"/>
          <w:numId w:val="1"/>
        </w:numPr>
        <w:autoSpaceDE w:val="0"/>
        <w:autoSpaceDN w:val="0"/>
        <w:adjustRightInd w:val="0"/>
        <w:spacing w:before="100" w:beforeAutospacing="1" w:after="100" w:afterAutospacing="1" w:line="360" w:lineRule="auto"/>
        <w:rPr>
          <w:rFonts w:cs="Arial"/>
          <w:color w:val="000000"/>
        </w:rPr>
      </w:pPr>
      <w:r w:rsidRPr="00331A6B">
        <w:rPr>
          <w:rFonts w:cs="Arial"/>
          <w:color w:val="000000"/>
        </w:rPr>
        <w:t xml:space="preserve">The Client reserves the right to request the Tenderer(s) to attend a presentation meeting to verify the contents of their proposal.  The Client will not be responsible for the cost of such presentations.  Performance at presentations will NOT be evaluated.   </w:t>
      </w:r>
    </w:p>
    <w:p w14:paraId="3A159AE2" w14:textId="77777777" w:rsidR="002C75E6" w:rsidRPr="00331A6B" w:rsidRDefault="002C75E6" w:rsidP="002C75E6">
      <w:pPr>
        <w:pStyle w:val="ListParagraph"/>
        <w:spacing w:line="360" w:lineRule="auto"/>
        <w:jc w:val="both"/>
        <w:rPr>
          <w:rFonts w:eastAsia="Calibri" w:cs="Arial"/>
          <w:szCs w:val="22"/>
        </w:rPr>
      </w:pPr>
    </w:p>
    <w:p w14:paraId="52299F31" w14:textId="77777777" w:rsidR="00F83C92" w:rsidRPr="00F83C92" w:rsidRDefault="00F83C92" w:rsidP="00F83C92">
      <w:pPr>
        <w:pStyle w:val="ListParagraph"/>
        <w:rPr>
          <w:rFonts w:asciiTheme="minorHAnsi" w:eastAsia="Calibri" w:hAnsiTheme="minorHAnsi" w:cs="Times"/>
          <w:b/>
          <w:szCs w:val="22"/>
        </w:rPr>
      </w:pPr>
    </w:p>
    <w:p w14:paraId="21CCFD55" w14:textId="77777777" w:rsidR="00F83C92" w:rsidRPr="00F83C92" w:rsidRDefault="00F83C92" w:rsidP="00331A6B">
      <w:pPr>
        <w:pStyle w:val="Heading1"/>
        <w:rPr>
          <w:rFonts w:eastAsia="Calibri"/>
        </w:rPr>
      </w:pPr>
      <w:r>
        <w:rPr>
          <w:rFonts w:eastAsia="Calibri"/>
        </w:rPr>
        <w:t>Criteria Level 2</w:t>
      </w:r>
    </w:p>
    <w:p w14:paraId="501F7A3F" w14:textId="77777777" w:rsidR="00F83C92" w:rsidRPr="00F83C92" w:rsidRDefault="00F83C92" w:rsidP="00331A6B">
      <w:pPr>
        <w:pStyle w:val="Heading2"/>
      </w:pPr>
      <w:r w:rsidRPr="00F83C92">
        <w:t>Evaluation of Cost</w:t>
      </w:r>
    </w:p>
    <w:p w14:paraId="62A1B0F4" w14:textId="77777777" w:rsidR="00F83C92" w:rsidRDefault="00F83C92" w:rsidP="00F83C92"/>
    <w:p w14:paraId="700E7A52" w14:textId="77777777" w:rsidR="00F83C92" w:rsidRDefault="00F83C92" w:rsidP="00F83C92">
      <w:pPr>
        <w:pStyle w:val="ListParagraph"/>
      </w:pPr>
    </w:p>
    <w:p w14:paraId="76779B64" w14:textId="77777777" w:rsidR="00F83C92" w:rsidRPr="00F83C92" w:rsidRDefault="00F83C92" w:rsidP="00F83C92">
      <w:pPr>
        <w:pStyle w:val="ListParagraph"/>
        <w:spacing w:line="360" w:lineRule="auto"/>
        <w:jc w:val="both"/>
        <w:rPr>
          <w:rFonts w:asciiTheme="minorHAnsi" w:eastAsia="Calibri" w:hAnsiTheme="minorHAnsi" w:cs="Times"/>
          <w:szCs w:val="22"/>
          <w:lang w:val="en-IE"/>
        </w:rPr>
      </w:pPr>
    </w:p>
    <w:p w14:paraId="6591320E" w14:textId="77777777" w:rsidR="00F83C92" w:rsidRPr="00331A6B" w:rsidRDefault="00F83C92" w:rsidP="00F83C92">
      <w:pPr>
        <w:pStyle w:val="ListParagraph"/>
        <w:spacing w:line="360" w:lineRule="auto"/>
        <w:jc w:val="both"/>
        <w:rPr>
          <w:rFonts w:eastAsia="Calibri" w:cs="Arial"/>
          <w:szCs w:val="22"/>
          <w:lang w:val="en-IE"/>
        </w:rPr>
      </w:pPr>
      <w:r w:rsidRPr="00331A6B">
        <w:rPr>
          <w:rFonts w:eastAsia="Calibri" w:cs="Arial"/>
          <w:szCs w:val="22"/>
          <w:lang w:val="en-IE"/>
        </w:rPr>
        <w:t>Marks for Cost will be allocated using the following formula:</w:t>
      </w:r>
    </w:p>
    <w:tbl>
      <w:tblPr>
        <w:tblW w:w="7560" w:type="dxa"/>
        <w:tblInd w:w="800" w:type="dxa"/>
        <w:tblLook w:val="04A0" w:firstRow="1" w:lastRow="0" w:firstColumn="1" w:lastColumn="0" w:noHBand="0" w:noVBand="1"/>
      </w:tblPr>
      <w:tblGrid>
        <w:gridCol w:w="1170"/>
        <w:gridCol w:w="630"/>
        <w:gridCol w:w="3240"/>
        <w:gridCol w:w="318"/>
        <w:gridCol w:w="2202"/>
      </w:tblGrid>
      <w:tr w:rsidR="00F83C92" w:rsidRPr="000C18DF" w14:paraId="12E10DED" w14:textId="77777777" w:rsidTr="003F2356">
        <w:trPr>
          <w:trHeight w:val="390"/>
        </w:trPr>
        <w:tc>
          <w:tcPr>
            <w:tcW w:w="1170" w:type="dxa"/>
            <w:vMerge w:val="restart"/>
            <w:tcBorders>
              <w:top w:val="single" w:sz="8" w:space="0" w:color="auto"/>
              <w:left w:val="single" w:sz="8" w:space="0" w:color="auto"/>
              <w:bottom w:val="single" w:sz="8" w:space="0" w:color="000000"/>
              <w:right w:val="nil"/>
            </w:tcBorders>
            <w:shd w:val="clear" w:color="000000" w:fill="DEEAF6"/>
            <w:noWrap/>
            <w:vAlign w:val="center"/>
            <w:hideMark/>
          </w:tcPr>
          <w:p w14:paraId="0E3A1E21" w14:textId="77777777" w:rsidR="00F83C92" w:rsidRPr="000C18DF" w:rsidRDefault="00F83C92" w:rsidP="003F2356">
            <w:pPr>
              <w:spacing w:line="360" w:lineRule="auto"/>
              <w:jc w:val="both"/>
              <w:rPr>
                <w:rFonts w:asciiTheme="minorHAnsi" w:eastAsia="Calibri" w:hAnsiTheme="minorHAnsi" w:cs="Times"/>
                <w:b/>
                <w:bCs/>
                <w:szCs w:val="22"/>
                <w:lang w:val="en-IE"/>
              </w:rPr>
            </w:pPr>
            <w:r w:rsidRPr="000C18DF">
              <w:rPr>
                <w:rFonts w:asciiTheme="minorHAnsi" w:eastAsia="Calibri" w:hAnsiTheme="minorHAnsi" w:cs="Times"/>
                <w:b/>
                <w:bCs/>
                <w:szCs w:val="22"/>
              </w:rPr>
              <w:t>Cost Score</w:t>
            </w:r>
          </w:p>
        </w:tc>
        <w:tc>
          <w:tcPr>
            <w:tcW w:w="630" w:type="dxa"/>
            <w:vMerge w:val="restart"/>
            <w:tcBorders>
              <w:top w:val="single" w:sz="8" w:space="0" w:color="auto"/>
              <w:left w:val="nil"/>
              <w:bottom w:val="single" w:sz="8" w:space="0" w:color="000000"/>
              <w:right w:val="nil"/>
            </w:tcBorders>
            <w:shd w:val="clear" w:color="000000" w:fill="DEEAF6"/>
            <w:noWrap/>
            <w:vAlign w:val="center"/>
            <w:hideMark/>
          </w:tcPr>
          <w:p w14:paraId="66A27FB3" w14:textId="77777777" w:rsidR="00F83C92" w:rsidRPr="000C18DF" w:rsidRDefault="00F83C92" w:rsidP="003F2356">
            <w:pPr>
              <w:spacing w:line="360" w:lineRule="auto"/>
              <w:jc w:val="both"/>
              <w:rPr>
                <w:rFonts w:asciiTheme="minorHAnsi" w:eastAsia="Calibri" w:hAnsiTheme="minorHAnsi" w:cs="Times"/>
                <w:szCs w:val="22"/>
                <w:lang w:val="en-IE"/>
              </w:rPr>
            </w:pPr>
            <w:r w:rsidRPr="000C18DF">
              <w:rPr>
                <w:rFonts w:asciiTheme="minorHAnsi" w:eastAsia="Calibri" w:hAnsiTheme="minorHAnsi" w:cs="Times"/>
                <w:szCs w:val="22"/>
              </w:rPr>
              <w:t>=</w:t>
            </w:r>
          </w:p>
        </w:tc>
        <w:tc>
          <w:tcPr>
            <w:tcW w:w="3240" w:type="dxa"/>
            <w:tcBorders>
              <w:top w:val="single" w:sz="8" w:space="0" w:color="auto"/>
              <w:left w:val="nil"/>
              <w:bottom w:val="nil"/>
              <w:right w:val="nil"/>
            </w:tcBorders>
            <w:shd w:val="clear" w:color="000000" w:fill="DEEAF6"/>
            <w:noWrap/>
            <w:vAlign w:val="bottom"/>
            <w:hideMark/>
          </w:tcPr>
          <w:p w14:paraId="0309DA36" w14:textId="77777777" w:rsidR="00F83C92" w:rsidRPr="000C18DF" w:rsidRDefault="00F83C92" w:rsidP="003F2356">
            <w:pPr>
              <w:spacing w:line="360" w:lineRule="auto"/>
              <w:jc w:val="both"/>
              <w:rPr>
                <w:rFonts w:asciiTheme="minorHAnsi" w:eastAsia="Calibri" w:hAnsiTheme="minorHAnsi" w:cs="Times"/>
                <w:b/>
                <w:szCs w:val="22"/>
                <w:lang w:val="en-IE"/>
              </w:rPr>
            </w:pPr>
            <w:r w:rsidRPr="000C18DF">
              <w:rPr>
                <w:rFonts w:asciiTheme="minorHAnsi" w:eastAsia="Calibri" w:hAnsiTheme="minorHAnsi" w:cs="Times"/>
                <w:b/>
                <w:szCs w:val="22"/>
              </w:rPr>
              <w:t>Lowest Tendered Rate</w:t>
            </w:r>
          </w:p>
        </w:tc>
        <w:tc>
          <w:tcPr>
            <w:tcW w:w="312" w:type="dxa"/>
            <w:vMerge w:val="restart"/>
            <w:tcBorders>
              <w:top w:val="single" w:sz="8" w:space="0" w:color="auto"/>
              <w:left w:val="nil"/>
              <w:bottom w:val="single" w:sz="8" w:space="0" w:color="000000"/>
              <w:right w:val="nil"/>
            </w:tcBorders>
            <w:shd w:val="clear" w:color="000000" w:fill="DEEAF6"/>
            <w:noWrap/>
            <w:vAlign w:val="center"/>
            <w:hideMark/>
          </w:tcPr>
          <w:p w14:paraId="2C04F77A" w14:textId="77777777" w:rsidR="00F83C92" w:rsidRPr="000C18DF" w:rsidRDefault="00F83C92" w:rsidP="003F2356">
            <w:pPr>
              <w:spacing w:line="360" w:lineRule="auto"/>
              <w:jc w:val="both"/>
              <w:rPr>
                <w:rFonts w:asciiTheme="minorHAnsi" w:eastAsia="Calibri" w:hAnsiTheme="minorHAnsi" w:cs="Times"/>
                <w:b/>
                <w:szCs w:val="22"/>
                <w:lang w:val="en-IE"/>
              </w:rPr>
            </w:pPr>
            <w:r w:rsidRPr="000C18DF">
              <w:rPr>
                <w:rFonts w:asciiTheme="minorHAnsi" w:eastAsia="Calibri" w:hAnsiTheme="minorHAnsi" w:cs="Times"/>
                <w:b/>
                <w:szCs w:val="22"/>
                <w:lang w:val="en-IE"/>
              </w:rPr>
              <w:t>x</w:t>
            </w:r>
          </w:p>
        </w:tc>
        <w:tc>
          <w:tcPr>
            <w:tcW w:w="2208" w:type="dxa"/>
            <w:vMerge w:val="restart"/>
            <w:tcBorders>
              <w:top w:val="single" w:sz="8" w:space="0" w:color="auto"/>
              <w:left w:val="nil"/>
              <w:bottom w:val="single" w:sz="8" w:space="0" w:color="000000"/>
              <w:right w:val="single" w:sz="8" w:space="0" w:color="auto"/>
            </w:tcBorders>
            <w:shd w:val="clear" w:color="000000" w:fill="DEEAF6"/>
            <w:vAlign w:val="center"/>
            <w:hideMark/>
          </w:tcPr>
          <w:p w14:paraId="5596BD17" w14:textId="77777777" w:rsidR="00F83C92" w:rsidRPr="000C18DF" w:rsidRDefault="00F83C92" w:rsidP="003F2356">
            <w:pPr>
              <w:spacing w:line="360" w:lineRule="auto"/>
              <w:jc w:val="both"/>
              <w:rPr>
                <w:rFonts w:asciiTheme="minorHAnsi" w:eastAsia="Calibri" w:hAnsiTheme="minorHAnsi" w:cs="Times"/>
                <w:b/>
                <w:szCs w:val="22"/>
                <w:lang w:val="en-IE"/>
              </w:rPr>
            </w:pPr>
            <w:r w:rsidRPr="000C18DF">
              <w:rPr>
                <w:rFonts w:asciiTheme="minorHAnsi" w:eastAsia="Calibri" w:hAnsiTheme="minorHAnsi" w:cs="Times"/>
                <w:b/>
                <w:szCs w:val="22"/>
              </w:rPr>
              <w:t>Maximum Number of Marks Available</w:t>
            </w:r>
          </w:p>
        </w:tc>
      </w:tr>
      <w:tr w:rsidR="00F83C92" w:rsidRPr="000C18DF" w14:paraId="2EBD4D1A" w14:textId="77777777" w:rsidTr="003F2356">
        <w:trPr>
          <w:trHeight w:val="315"/>
        </w:trPr>
        <w:tc>
          <w:tcPr>
            <w:tcW w:w="1170" w:type="dxa"/>
            <w:vMerge/>
            <w:tcBorders>
              <w:top w:val="single" w:sz="8" w:space="0" w:color="auto"/>
              <w:left w:val="single" w:sz="8" w:space="0" w:color="auto"/>
              <w:bottom w:val="single" w:sz="8" w:space="0" w:color="000000"/>
              <w:right w:val="nil"/>
            </w:tcBorders>
            <w:vAlign w:val="center"/>
            <w:hideMark/>
          </w:tcPr>
          <w:p w14:paraId="5EDFE628" w14:textId="77777777" w:rsidR="00F83C92" w:rsidRPr="000C18DF" w:rsidRDefault="00F83C92" w:rsidP="003F2356">
            <w:pPr>
              <w:spacing w:line="360" w:lineRule="auto"/>
              <w:jc w:val="both"/>
              <w:rPr>
                <w:rFonts w:asciiTheme="minorHAnsi" w:eastAsia="Calibri" w:hAnsiTheme="minorHAnsi" w:cs="Times"/>
                <w:b/>
                <w:bCs/>
                <w:szCs w:val="22"/>
                <w:lang w:val="en-IE"/>
              </w:rPr>
            </w:pPr>
          </w:p>
        </w:tc>
        <w:tc>
          <w:tcPr>
            <w:tcW w:w="630" w:type="dxa"/>
            <w:vMerge/>
            <w:tcBorders>
              <w:top w:val="single" w:sz="8" w:space="0" w:color="auto"/>
              <w:left w:val="nil"/>
              <w:bottom w:val="single" w:sz="8" w:space="0" w:color="000000"/>
              <w:right w:val="nil"/>
            </w:tcBorders>
            <w:vAlign w:val="center"/>
            <w:hideMark/>
          </w:tcPr>
          <w:p w14:paraId="4E8D7B0D" w14:textId="77777777" w:rsidR="00F83C92" w:rsidRPr="000C18DF" w:rsidRDefault="00F83C92" w:rsidP="003F2356">
            <w:pPr>
              <w:spacing w:line="360" w:lineRule="auto"/>
              <w:jc w:val="both"/>
              <w:rPr>
                <w:rFonts w:asciiTheme="minorHAnsi" w:eastAsia="Calibri" w:hAnsiTheme="minorHAnsi" w:cs="Times"/>
                <w:szCs w:val="22"/>
                <w:lang w:val="en-IE"/>
              </w:rPr>
            </w:pPr>
          </w:p>
        </w:tc>
        <w:tc>
          <w:tcPr>
            <w:tcW w:w="3240" w:type="dxa"/>
            <w:tcBorders>
              <w:top w:val="single" w:sz="8" w:space="0" w:color="auto"/>
              <w:left w:val="nil"/>
              <w:bottom w:val="single" w:sz="8" w:space="0" w:color="auto"/>
              <w:right w:val="nil"/>
            </w:tcBorders>
            <w:shd w:val="clear" w:color="000000" w:fill="DEEAF6"/>
            <w:noWrap/>
            <w:vAlign w:val="center"/>
            <w:hideMark/>
          </w:tcPr>
          <w:p w14:paraId="24B6787E" w14:textId="77777777" w:rsidR="00F83C92" w:rsidRPr="000C18DF" w:rsidRDefault="00F83C92" w:rsidP="003F2356">
            <w:pPr>
              <w:spacing w:line="360" w:lineRule="auto"/>
              <w:jc w:val="both"/>
              <w:rPr>
                <w:rFonts w:asciiTheme="minorHAnsi" w:eastAsia="Calibri" w:hAnsiTheme="minorHAnsi" w:cs="Times"/>
                <w:b/>
                <w:szCs w:val="22"/>
                <w:lang w:val="en-IE"/>
              </w:rPr>
            </w:pPr>
            <w:r w:rsidRPr="000C18DF">
              <w:rPr>
                <w:rFonts w:asciiTheme="minorHAnsi" w:eastAsia="Calibri" w:hAnsiTheme="minorHAnsi" w:cs="Times"/>
                <w:b/>
                <w:szCs w:val="22"/>
              </w:rPr>
              <w:t>Tendered Rate under evaluation</w:t>
            </w:r>
          </w:p>
        </w:tc>
        <w:tc>
          <w:tcPr>
            <w:tcW w:w="312" w:type="dxa"/>
            <w:vMerge/>
            <w:tcBorders>
              <w:top w:val="single" w:sz="8" w:space="0" w:color="auto"/>
              <w:left w:val="nil"/>
              <w:bottom w:val="single" w:sz="8" w:space="0" w:color="000000"/>
              <w:right w:val="nil"/>
            </w:tcBorders>
            <w:vAlign w:val="center"/>
            <w:hideMark/>
          </w:tcPr>
          <w:p w14:paraId="07393A4A" w14:textId="77777777" w:rsidR="00F83C92" w:rsidRPr="000C18DF" w:rsidRDefault="00F83C92" w:rsidP="003F2356">
            <w:pPr>
              <w:spacing w:line="360" w:lineRule="auto"/>
              <w:jc w:val="both"/>
              <w:rPr>
                <w:rFonts w:asciiTheme="minorHAnsi" w:eastAsia="Calibri" w:hAnsiTheme="minorHAnsi" w:cs="Times"/>
                <w:szCs w:val="22"/>
                <w:lang w:val="en-IE"/>
              </w:rPr>
            </w:pPr>
          </w:p>
        </w:tc>
        <w:tc>
          <w:tcPr>
            <w:tcW w:w="2208" w:type="dxa"/>
            <w:vMerge/>
            <w:tcBorders>
              <w:top w:val="single" w:sz="8" w:space="0" w:color="auto"/>
              <w:left w:val="nil"/>
              <w:bottom w:val="single" w:sz="8" w:space="0" w:color="000000"/>
              <w:right w:val="single" w:sz="8" w:space="0" w:color="auto"/>
            </w:tcBorders>
            <w:vAlign w:val="center"/>
            <w:hideMark/>
          </w:tcPr>
          <w:p w14:paraId="397DEB6B" w14:textId="77777777" w:rsidR="00F83C92" w:rsidRPr="000C18DF" w:rsidRDefault="00F83C92" w:rsidP="003F2356">
            <w:pPr>
              <w:spacing w:line="360" w:lineRule="auto"/>
              <w:jc w:val="both"/>
              <w:rPr>
                <w:rFonts w:asciiTheme="minorHAnsi" w:eastAsia="Calibri" w:hAnsiTheme="minorHAnsi" w:cs="Times"/>
                <w:szCs w:val="22"/>
                <w:lang w:val="en-IE"/>
              </w:rPr>
            </w:pPr>
          </w:p>
        </w:tc>
      </w:tr>
    </w:tbl>
    <w:p w14:paraId="2F43A122" w14:textId="77777777" w:rsidR="00F83C92" w:rsidRPr="00F83C92" w:rsidRDefault="00F83C92" w:rsidP="00F83C92">
      <w:pPr>
        <w:pStyle w:val="ListParagraph"/>
        <w:spacing w:line="360" w:lineRule="auto"/>
        <w:jc w:val="both"/>
        <w:rPr>
          <w:rFonts w:asciiTheme="minorHAnsi" w:eastAsia="Calibri" w:hAnsiTheme="minorHAnsi" w:cs="Times"/>
          <w:szCs w:val="22"/>
          <w:lang w:val="en-IE"/>
        </w:rPr>
      </w:pPr>
    </w:p>
    <w:p w14:paraId="50896227" w14:textId="77777777" w:rsidR="00F83C92" w:rsidRPr="00F83C92" w:rsidRDefault="00F83C92" w:rsidP="00F83C92">
      <w:pPr>
        <w:pStyle w:val="ListParagraph"/>
        <w:spacing w:line="360" w:lineRule="auto"/>
        <w:jc w:val="both"/>
        <w:rPr>
          <w:rFonts w:asciiTheme="minorHAnsi" w:eastAsia="Calibri" w:hAnsiTheme="minorHAnsi" w:cs="Times"/>
          <w:b/>
          <w:szCs w:val="22"/>
        </w:rPr>
      </w:pPr>
    </w:p>
    <w:p w14:paraId="418752FA" w14:textId="77777777" w:rsidR="000F206C" w:rsidRPr="00E60958" w:rsidRDefault="000F206C" w:rsidP="009749D4">
      <w:pPr>
        <w:spacing w:line="276" w:lineRule="auto"/>
      </w:pPr>
      <w:r w:rsidRPr="00E60958">
        <w:br w:type="page"/>
      </w:r>
    </w:p>
    <w:p w14:paraId="7F870E5E" w14:textId="77777777" w:rsidR="000F206C" w:rsidRDefault="0095445A" w:rsidP="009749D4">
      <w:r>
        <w:lastRenderedPageBreak/>
        <w:t>Scoring Matrix</w:t>
      </w:r>
    </w:p>
    <w:p w14:paraId="7B3F2C46" w14:textId="77777777" w:rsidR="003E2EF8" w:rsidRDefault="003E2EF8" w:rsidP="009749D4"/>
    <w:tbl>
      <w:tblPr>
        <w:tblpPr w:leftFromText="180" w:rightFromText="180" w:tblpY="555"/>
        <w:tblW w:w="95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1E0" w:firstRow="1" w:lastRow="1" w:firstColumn="1" w:lastColumn="1" w:noHBand="0" w:noVBand="0"/>
      </w:tblPr>
      <w:tblGrid>
        <w:gridCol w:w="1270"/>
        <w:gridCol w:w="8284"/>
      </w:tblGrid>
      <w:tr w:rsidR="001F5974" w:rsidRPr="000C18DF" w14:paraId="3880CCCF" w14:textId="77777777" w:rsidTr="002035DF">
        <w:trPr>
          <w:trHeight w:val="340"/>
        </w:trPr>
        <w:tc>
          <w:tcPr>
            <w:tcW w:w="127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41926AA6" w14:textId="77777777" w:rsidR="001F5974" w:rsidRPr="000C18DF" w:rsidRDefault="001F5974" w:rsidP="002035DF">
            <w:pPr>
              <w:jc w:val="center"/>
              <w:rPr>
                <w:rFonts w:cs="Arial"/>
                <w:b/>
                <w:sz w:val="20"/>
              </w:rPr>
            </w:pPr>
            <w:r w:rsidRPr="000C18DF">
              <w:rPr>
                <w:rFonts w:cs="Arial"/>
                <w:b/>
                <w:sz w:val="20"/>
              </w:rPr>
              <w:t>0</w:t>
            </w:r>
          </w:p>
        </w:tc>
        <w:tc>
          <w:tcPr>
            <w:tcW w:w="8284"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29122777" w14:textId="77777777" w:rsidR="001F5974" w:rsidRPr="000C18DF" w:rsidRDefault="001F5974" w:rsidP="002035DF">
            <w:pPr>
              <w:rPr>
                <w:rFonts w:cs="Arial"/>
                <w:b/>
                <w:sz w:val="20"/>
              </w:rPr>
            </w:pPr>
            <w:r w:rsidRPr="000C18DF">
              <w:rPr>
                <w:rFonts w:cs="Arial"/>
                <w:b/>
                <w:sz w:val="20"/>
              </w:rPr>
              <w:t>No response or response not deemed adequate to score.</w:t>
            </w:r>
          </w:p>
        </w:tc>
      </w:tr>
      <w:tr w:rsidR="001F5974" w:rsidRPr="000C18DF" w14:paraId="68221A0F" w14:textId="77777777" w:rsidTr="002035DF">
        <w:trPr>
          <w:trHeight w:val="340"/>
        </w:trPr>
        <w:tc>
          <w:tcPr>
            <w:tcW w:w="127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403DED1A" w14:textId="77777777" w:rsidR="001F5974" w:rsidRPr="000C18DF" w:rsidRDefault="001F5974" w:rsidP="002035DF">
            <w:pPr>
              <w:jc w:val="center"/>
              <w:rPr>
                <w:rFonts w:cs="Arial"/>
                <w:b/>
                <w:sz w:val="20"/>
              </w:rPr>
            </w:pPr>
            <w:r w:rsidRPr="000C18DF">
              <w:rPr>
                <w:rFonts w:cs="Arial"/>
                <w:b/>
                <w:sz w:val="20"/>
              </w:rPr>
              <w:t>1</w:t>
            </w:r>
          </w:p>
        </w:tc>
        <w:tc>
          <w:tcPr>
            <w:tcW w:w="8284"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22BDD85D" w14:textId="77777777" w:rsidR="001F5974" w:rsidRPr="000C18DF" w:rsidRDefault="001F5974" w:rsidP="002035DF">
            <w:pPr>
              <w:rPr>
                <w:rFonts w:cs="Arial"/>
                <w:b/>
                <w:sz w:val="20"/>
              </w:rPr>
            </w:pPr>
            <w:r w:rsidRPr="000C18DF">
              <w:rPr>
                <w:rFonts w:cs="Arial"/>
                <w:b/>
                <w:sz w:val="20"/>
              </w:rPr>
              <w:t>Poor - Very limited response provided. Deficiencies in the response leading to significant cause for concern.</w:t>
            </w:r>
          </w:p>
        </w:tc>
      </w:tr>
      <w:tr w:rsidR="001F5974" w:rsidRPr="000C18DF" w14:paraId="6B9818BD" w14:textId="77777777" w:rsidTr="002035DF">
        <w:trPr>
          <w:trHeight w:val="340"/>
        </w:trPr>
        <w:tc>
          <w:tcPr>
            <w:tcW w:w="127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7F4EAD14" w14:textId="77777777" w:rsidR="001F5974" w:rsidRPr="000C18DF" w:rsidRDefault="001F5974" w:rsidP="002035DF">
            <w:pPr>
              <w:jc w:val="center"/>
              <w:rPr>
                <w:rFonts w:cs="Arial"/>
                <w:b/>
                <w:sz w:val="20"/>
              </w:rPr>
            </w:pPr>
            <w:r w:rsidRPr="000C18DF">
              <w:rPr>
                <w:rFonts w:cs="Arial"/>
                <w:b/>
                <w:sz w:val="20"/>
              </w:rPr>
              <w:t>2</w:t>
            </w:r>
          </w:p>
        </w:tc>
        <w:tc>
          <w:tcPr>
            <w:tcW w:w="8284"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0852CD3B" w14:textId="77777777" w:rsidR="001F5974" w:rsidRPr="000C18DF" w:rsidRDefault="001F5974" w:rsidP="002035DF">
            <w:pPr>
              <w:rPr>
                <w:rFonts w:cs="Arial"/>
                <w:b/>
                <w:sz w:val="20"/>
              </w:rPr>
            </w:pPr>
            <w:r w:rsidRPr="000C18DF">
              <w:rPr>
                <w:rFonts w:cs="Arial"/>
                <w:b/>
                <w:sz w:val="20"/>
              </w:rPr>
              <w:t>Fair - Some detail provided, but only a high level response, not detailed enough to demonstrate a workable solution. Deficiencies in the response lead to some cause for concern.</w:t>
            </w:r>
          </w:p>
        </w:tc>
      </w:tr>
      <w:tr w:rsidR="001F5974" w:rsidRPr="000C18DF" w14:paraId="6D1D6F84" w14:textId="77777777" w:rsidTr="002035DF">
        <w:trPr>
          <w:trHeight w:val="340"/>
        </w:trPr>
        <w:tc>
          <w:tcPr>
            <w:tcW w:w="127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44F9EF5D" w14:textId="77777777" w:rsidR="001F5974" w:rsidRPr="000C18DF" w:rsidRDefault="001F5974" w:rsidP="002035DF">
            <w:pPr>
              <w:jc w:val="center"/>
              <w:rPr>
                <w:rFonts w:cs="Arial"/>
                <w:b/>
                <w:sz w:val="20"/>
              </w:rPr>
            </w:pPr>
            <w:r w:rsidRPr="000C18DF">
              <w:rPr>
                <w:rFonts w:cs="Arial"/>
                <w:b/>
                <w:sz w:val="20"/>
              </w:rPr>
              <w:t>3</w:t>
            </w:r>
          </w:p>
        </w:tc>
        <w:tc>
          <w:tcPr>
            <w:tcW w:w="8284"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4360A16B" w14:textId="77777777" w:rsidR="001F5974" w:rsidRPr="000C18DF" w:rsidRDefault="001F5974" w:rsidP="002035DF">
            <w:pPr>
              <w:rPr>
                <w:rFonts w:cs="Arial"/>
                <w:b/>
                <w:sz w:val="20"/>
              </w:rPr>
            </w:pPr>
            <w:r w:rsidRPr="000C18DF">
              <w:rPr>
                <w:rFonts w:cs="Arial"/>
                <w:b/>
                <w:sz w:val="20"/>
              </w:rPr>
              <w:t>Average - Average detail provided, demonstrating some requirements will be met, however not all requirements addressed.</w:t>
            </w:r>
          </w:p>
        </w:tc>
      </w:tr>
      <w:tr w:rsidR="001F5974" w:rsidRPr="000C18DF" w14:paraId="0D7144D0" w14:textId="77777777" w:rsidTr="002035DF">
        <w:trPr>
          <w:trHeight w:val="340"/>
        </w:trPr>
        <w:tc>
          <w:tcPr>
            <w:tcW w:w="127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1D4C1F81" w14:textId="77777777" w:rsidR="001F5974" w:rsidRPr="000C18DF" w:rsidRDefault="001F5974" w:rsidP="002035DF">
            <w:pPr>
              <w:jc w:val="center"/>
              <w:rPr>
                <w:rFonts w:cs="Arial"/>
                <w:b/>
                <w:sz w:val="20"/>
              </w:rPr>
            </w:pPr>
            <w:r w:rsidRPr="000C18DF">
              <w:rPr>
                <w:rFonts w:cs="Arial"/>
                <w:b/>
                <w:sz w:val="20"/>
              </w:rPr>
              <w:t>4</w:t>
            </w:r>
          </w:p>
        </w:tc>
        <w:tc>
          <w:tcPr>
            <w:tcW w:w="8284"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0C6157C8" w14:textId="77777777" w:rsidR="001F5974" w:rsidRPr="000C18DF" w:rsidRDefault="001F5974" w:rsidP="002035DF">
            <w:pPr>
              <w:rPr>
                <w:rFonts w:cs="Arial"/>
                <w:b/>
                <w:sz w:val="20"/>
              </w:rPr>
            </w:pPr>
            <w:r w:rsidRPr="000C18DF">
              <w:rPr>
                <w:rFonts w:cs="Arial"/>
                <w:b/>
                <w:sz w:val="20"/>
              </w:rPr>
              <w:t>Good - Good response, clearly demonstrating most requirements will be met.</w:t>
            </w:r>
          </w:p>
        </w:tc>
      </w:tr>
      <w:tr w:rsidR="001F5974" w:rsidRPr="000C18DF" w14:paraId="6BBE78FA" w14:textId="77777777" w:rsidTr="002035DF">
        <w:trPr>
          <w:trHeight w:val="340"/>
        </w:trPr>
        <w:tc>
          <w:tcPr>
            <w:tcW w:w="1270"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4D699908" w14:textId="77777777" w:rsidR="001F5974" w:rsidRPr="000C18DF" w:rsidRDefault="001F5974" w:rsidP="002035DF">
            <w:pPr>
              <w:jc w:val="center"/>
              <w:rPr>
                <w:rFonts w:cs="Arial"/>
                <w:b/>
                <w:sz w:val="20"/>
              </w:rPr>
            </w:pPr>
            <w:r w:rsidRPr="000C18DF">
              <w:rPr>
                <w:rFonts w:cs="Arial"/>
                <w:b/>
                <w:sz w:val="20"/>
              </w:rPr>
              <w:t>5</w:t>
            </w:r>
          </w:p>
        </w:tc>
        <w:tc>
          <w:tcPr>
            <w:tcW w:w="8284"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6720ADF5" w14:textId="77777777" w:rsidR="001F5974" w:rsidRPr="000C18DF" w:rsidRDefault="001F5974" w:rsidP="002035DF">
            <w:pPr>
              <w:rPr>
                <w:rFonts w:cs="Arial"/>
                <w:b/>
                <w:sz w:val="20"/>
              </w:rPr>
            </w:pPr>
            <w:r w:rsidRPr="000C18DF">
              <w:rPr>
                <w:rFonts w:cs="Arial"/>
                <w:b/>
                <w:sz w:val="20"/>
              </w:rPr>
              <w:t>Excellent – Excellent response, providing a comprehensive, detailed and convincing assurance that the Tenderer will be able to deliver on all of the Contracting Authorities requirements.</w:t>
            </w:r>
          </w:p>
        </w:tc>
      </w:tr>
    </w:tbl>
    <w:p w14:paraId="0533FB05" w14:textId="77777777" w:rsidR="003E2EF8" w:rsidRDefault="003E2EF8" w:rsidP="009749D4"/>
    <w:p w14:paraId="3631AD62" w14:textId="77777777" w:rsidR="003E2EF8" w:rsidRDefault="003E2EF8" w:rsidP="009749D4"/>
    <w:p w14:paraId="3196F698" w14:textId="525FDC52" w:rsidR="00331A6B" w:rsidRPr="00946DF5" w:rsidRDefault="00331A6B" w:rsidP="00946DF5">
      <w:pPr>
        <w:autoSpaceDE w:val="0"/>
        <w:autoSpaceDN w:val="0"/>
        <w:adjustRightInd w:val="0"/>
        <w:spacing w:before="100" w:beforeAutospacing="1" w:after="100" w:afterAutospacing="1" w:line="360" w:lineRule="auto"/>
        <w:rPr>
          <w:rFonts w:cs="Arial"/>
          <w:color w:val="000000"/>
        </w:rPr>
      </w:pPr>
      <w:r w:rsidRPr="00946DF5">
        <w:rPr>
          <w:rFonts w:cs="Arial"/>
          <w:color w:val="000000"/>
        </w:rPr>
        <w:t xml:space="preserve">   </w:t>
      </w:r>
    </w:p>
    <w:p w14:paraId="077EE86F" w14:textId="77777777" w:rsidR="003E2EF8" w:rsidRDefault="0076701F" w:rsidP="00331A6B">
      <w:pPr>
        <w:spacing w:line="276" w:lineRule="auto"/>
      </w:pPr>
      <w:r>
        <w:br w:type="page"/>
      </w:r>
    </w:p>
    <w:p w14:paraId="2AA79B2E" w14:textId="77777777" w:rsidR="00331A6B" w:rsidRDefault="00331A6B" w:rsidP="00F83C92">
      <w:pPr>
        <w:spacing w:line="276" w:lineRule="auto"/>
      </w:pPr>
    </w:p>
    <w:p w14:paraId="7AF8F7AB" w14:textId="77777777" w:rsidR="003E2EF8" w:rsidRDefault="003E2EF8" w:rsidP="009749D4"/>
    <w:p w14:paraId="3C4251A9" w14:textId="77777777" w:rsidR="003E2EF8" w:rsidRDefault="003E2EF8" w:rsidP="009749D4"/>
    <w:p w14:paraId="574381A8" w14:textId="77777777" w:rsidR="003E2EF8" w:rsidRDefault="003E2EF8" w:rsidP="009749D4"/>
    <w:sectPr w:rsidR="003E2EF8" w:rsidSect="00D757EC">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Times">
    <w:panose1 w:val="02020603050405020304"/>
    <w:charset w:val="00"/>
    <w:family w:val="roman"/>
    <w:pitch w:val="variable"/>
    <w:sig w:usb0="E0002AFF" w:usb1="C0007841"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46049"/>
    <w:multiLevelType w:val="hybridMultilevel"/>
    <w:tmpl w:val="D1A2B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41668D"/>
    <w:multiLevelType w:val="singleLevel"/>
    <w:tmpl w:val="F3E4292A"/>
    <w:lvl w:ilvl="0">
      <w:start w:val="1"/>
      <w:numFmt w:val="decimal"/>
      <w:lvlText w:val="%1."/>
      <w:lvlJc w:val="left"/>
      <w:pPr>
        <w:tabs>
          <w:tab w:val="num" w:pos="720"/>
        </w:tabs>
        <w:ind w:left="720" w:hanging="720"/>
      </w:pPr>
      <w:rPr>
        <w:rFonts w:cs="Times New Roman" w:hint="default"/>
        <w:b w:val="0"/>
      </w:rPr>
    </w:lvl>
  </w:abstractNum>
  <w:abstractNum w:abstractNumId="2" w15:restartNumberingAfterBreak="0">
    <w:nsid w:val="212E1036"/>
    <w:multiLevelType w:val="multilevel"/>
    <w:tmpl w:val="1D42E3D2"/>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25D465F7"/>
    <w:multiLevelType w:val="multilevel"/>
    <w:tmpl w:val="670C9308"/>
    <w:lvl w:ilvl="0">
      <w:start w:val="1"/>
      <w:numFmt w:val="decimal"/>
      <w:lvlRestart w:val="0"/>
      <w:lvlText w:val="%1."/>
      <w:lvlJc w:val="left"/>
      <w:pPr>
        <w:tabs>
          <w:tab w:val="num" w:pos="709"/>
        </w:tabs>
        <w:ind w:left="709" w:hanging="709"/>
      </w:pPr>
      <w:rPr>
        <w:rFonts w:cs="Times New Roman"/>
      </w:rPr>
    </w:lvl>
    <w:lvl w:ilvl="1">
      <w:start w:val="1"/>
      <w:numFmt w:val="decimal"/>
      <w:lvlText w:val="%1.%2"/>
      <w:lvlJc w:val="left"/>
      <w:pPr>
        <w:tabs>
          <w:tab w:val="num" w:pos="1417"/>
        </w:tabs>
        <w:ind w:left="1417" w:hanging="708"/>
      </w:pPr>
      <w:rPr>
        <w:rFonts w:cs="Times New Roman"/>
      </w:rPr>
    </w:lvl>
    <w:lvl w:ilvl="2">
      <w:start w:val="1"/>
      <w:numFmt w:val="lowerLetter"/>
      <w:lvlText w:val="(%3)"/>
      <w:lvlJc w:val="left"/>
      <w:pPr>
        <w:tabs>
          <w:tab w:val="num" w:pos="2126"/>
        </w:tabs>
        <w:ind w:left="2126" w:hanging="709"/>
      </w:pPr>
      <w:rPr>
        <w:rFonts w:cs="Times New Roman"/>
      </w:rPr>
    </w:lvl>
    <w:lvl w:ilvl="3">
      <w:start w:val="1"/>
      <w:numFmt w:val="lowerRoman"/>
      <w:lvlText w:val="(%4)"/>
      <w:lvlJc w:val="left"/>
      <w:pPr>
        <w:tabs>
          <w:tab w:val="num" w:pos="0"/>
        </w:tabs>
        <w:ind w:left="2835" w:hanging="709"/>
      </w:pPr>
      <w:rPr>
        <w:rFonts w:cs="Times New Roman"/>
      </w:rPr>
    </w:lvl>
    <w:lvl w:ilvl="4">
      <w:start w:val="1"/>
      <w:numFmt w:val="decimal"/>
      <w:lvlText w:val="(%5)"/>
      <w:lvlJc w:val="left"/>
      <w:pPr>
        <w:tabs>
          <w:tab w:val="num" w:pos="3543"/>
        </w:tabs>
        <w:ind w:left="3543" w:hanging="708"/>
      </w:pPr>
      <w:rPr>
        <w:rFonts w:cs="Times New Roman"/>
      </w:rPr>
    </w:lvl>
    <w:lvl w:ilvl="5">
      <w:start w:val="1"/>
      <w:numFmt w:val="decimal"/>
      <w:lvlText w:val="(%4)%5.%6."/>
      <w:lvlJc w:val="left"/>
      <w:pPr>
        <w:tabs>
          <w:tab w:val="num" w:pos="0"/>
        </w:tabs>
        <w:ind w:left="4252" w:hanging="709"/>
      </w:pPr>
      <w:rPr>
        <w:rFonts w:cs="Times New Roman"/>
      </w:rPr>
    </w:lvl>
    <w:lvl w:ilvl="6">
      <w:start w:val="1"/>
      <w:numFmt w:val="decimal"/>
      <w:lvlText w:val="(%4)%5.%6.%7."/>
      <w:lvlJc w:val="left"/>
      <w:pPr>
        <w:tabs>
          <w:tab w:val="num" w:pos="0"/>
        </w:tabs>
        <w:ind w:left="4961" w:hanging="709"/>
      </w:pPr>
      <w:rPr>
        <w:rFonts w:cs="Times New Roman"/>
      </w:rPr>
    </w:lvl>
    <w:lvl w:ilvl="7">
      <w:start w:val="1"/>
      <w:numFmt w:val="decimal"/>
      <w:lvlText w:val="(%4)%5.%6.%7.%8."/>
      <w:lvlJc w:val="left"/>
      <w:pPr>
        <w:tabs>
          <w:tab w:val="num" w:pos="0"/>
        </w:tabs>
        <w:ind w:left="5669" w:hanging="708"/>
      </w:pPr>
      <w:rPr>
        <w:rFonts w:cs="Times New Roman"/>
      </w:rPr>
    </w:lvl>
    <w:lvl w:ilvl="8">
      <w:start w:val="1"/>
      <w:numFmt w:val="decimal"/>
      <w:lvlText w:val="(%4)%5.%6.%7.%8.%9."/>
      <w:lvlJc w:val="left"/>
      <w:pPr>
        <w:tabs>
          <w:tab w:val="num" w:pos="0"/>
        </w:tabs>
        <w:ind w:left="6378" w:hanging="709"/>
      </w:pPr>
      <w:rPr>
        <w:rFonts w:cs="Times New Roman"/>
      </w:rPr>
    </w:lvl>
  </w:abstractNum>
  <w:abstractNum w:abstractNumId="4" w15:restartNumberingAfterBreak="0">
    <w:nsid w:val="3A1E63A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61000188"/>
    <w:multiLevelType w:val="multilevel"/>
    <w:tmpl w:val="1350389E"/>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61217E75"/>
    <w:multiLevelType w:val="hybridMultilevel"/>
    <w:tmpl w:val="B7ACEAA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61902C09"/>
    <w:multiLevelType w:val="hybridMultilevel"/>
    <w:tmpl w:val="8FBEE51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78AC31FF"/>
    <w:multiLevelType w:val="hybridMultilevel"/>
    <w:tmpl w:val="6D40BCA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7D18457F"/>
    <w:multiLevelType w:val="hybridMultilevel"/>
    <w:tmpl w:val="AD3A305C"/>
    <w:lvl w:ilvl="0" w:tplc="4286A406">
      <w:start w:val="1"/>
      <w:numFmt w:val="bullet"/>
      <w:lvlText w:val=""/>
      <w:lvlJc w:val="left"/>
      <w:pPr>
        <w:tabs>
          <w:tab w:val="num" w:pos="1080"/>
        </w:tabs>
        <w:ind w:left="1080" w:hanging="360"/>
      </w:pPr>
      <w:rPr>
        <w:rFonts w:ascii="Symbol" w:hAnsi="Symbol" w:hint="default"/>
        <w:sz w:val="16"/>
      </w:rPr>
    </w:lvl>
    <w:lvl w:ilvl="1" w:tplc="E1841C96" w:tentative="1">
      <w:start w:val="1"/>
      <w:numFmt w:val="bullet"/>
      <w:lvlText w:val="o"/>
      <w:lvlJc w:val="left"/>
      <w:pPr>
        <w:tabs>
          <w:tab w:val="num" w:pos="1440"/>
        </w:tabs>
        <w:ind w:left="1440" w:hanging="360"/>
      </w:pPr>
      <w:rPr>
        <w:rFonts w:ascii="Courier New" w:hAnsi="Courier New" w:hint="default"/>
      </w:rPr>
    </w:lvl>
    <w:lvl w:ilvl="2" w:tplc="120469C0" w:tentative="1">
      <w:start w:val="1"/>
      <w:numFmt w:val="bullet"/>
      <w:lvlText w:val=""/>
      <w:lvlJc w:val="left"/>
      <w:pPr>
        <w:tabs>
          <w:tab w:val="num" w:pos="2160"/>
        </w:tabs>
        <w:ind w:left="2160" w:hanging="360"/>
      </w:pPr>
      <w:rPr>
        <w:rFonts w:ascii="Wingdings" w:hAnsi="Wingdings" w:hint="default"/>
      </w:rPr>
    </w:lvl>
    <w:lvl w:ilvl="3" w:tplc="6552674E" w:tentative="1">
      <w:start w:val="1"/>
      <w:numFmt w:val="bullet"/>
      <w:lvlText w:val=""/>
      <w:lvlJc w:val="left"/>
      <w:pPr>
        <w:tabs>
          <w:tab w:val="num" w:pos="2880"/>
        </w:tabs>
        <w:ind w:left="2880" w:hanging="360"/>
      </w:pPr>
      <w:rPr>
        <w:rFonts w:ascii="Symbol" w:hAnsi="Symbol" w:hint="default"/>
      </w:rPr>
    </w:lvl>
    <w:lvl w:ilvl="4" w:tplc="7902A146" w:tentative="1">
      <w:start w:val="1"/>
      <w:numFmt w:val="bullet"/>
      <w:lvlText w:val="o"/>
      <w:lvlJc w:val="left"/>
      <w:pPr>
        <w:tabs>
          <w:tab w:val="num" w:pos="3600"/>
        </w:tabs>
        <w:ind w:left="3600" w:hanging="360"/>
      </w:pPr>
      <w:rPr>
        <w:rFonts w:ascii="Courier New" w:hAnsi="Courier New" w:hint="default"/>
      </w:rPr>
    </w:lvl>
    <w:lvl w:ilvl="5" w:tplc="7E560C06" w:tentative="1">
      <w:start w:val="1"/>
      <w:numFmt w:val="bullet"/>
      <w:lvlText w:val=""/>
      <w:lvlJc w:val="left"/>
      <w:pPr>
        <w:tabs>
          <w:tab w:val="num" w:pos="4320"/>
        </w:tabs>
        <w:ind w:left="4320" w:hanging="360"/>
      </w:pPr>
      <w:rPr>
        <w:rFonts w:ascii="Wingdings" w:hAnsi="Wingdings" w:hint="default"/>
      </w:rPr>
    </w:lvl>
    <w:lvl w:ilvl="6" w:tplc="ABB4B71E" w:tentative="1">
      <w:start w:val="1"/>
      <w:numFmt w:val="bullet"/>
      <w:lvlText w:val=""/>
      <w:lvlJc w:val="left"/>
      <w:pPr>
        <w:tabs>
          <w:tab w:val="num" w:pos="5040"/>
        </w:tabs>
        <w:ind w:left="5040" w:hanging="360"/>
      </w:pPr>
      <w:rPr>
        <w:rFonts w:ascii="Symbol" w:hAnsi="Symbol" w:hint="default"/>
      </w:rPr>
    </w:lvl>
    <w:lvl w:ilvl="7" w:tplc="6A26D556" w:tentative="1">
      <w:start w:val="1"/>
      <w:numFmt w:val="bullet"/>
      <w:lvlText w:val="o"/>
      <w:lvlJc w:val="left"/>
      <w:pPr>
        <w:tabs>
          <w:tab w:val="num" w:pos="5760"/>
        </w:tabs>
        <w:ind w:left="5760" w:hanging="360"/>
      </w:pPr>
      <w:rPr>
        <w:rFonts w:ascii="Courier New" w:hAnsi="Courier New" w:hint="default"/>
      </w:rPr>
    </w:lvl>
    <w:lvl w:ilvl="8" w:tplc="E2E638C0"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F9E1B94"/>
    <w:multiLevelType w:val="hybridMultilevel"/>
    <w:tmpl w:val="1100B3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9730306">
    <w:abstractNumId w:val="1"/>
  </w:num>
  <w:num w:numId="2" w16cid:durableId="1448162185">
    <w:abstractNumId w:val="3"/>
  </w:num>
  <w:num w:numId="3" w16cid:durableId="1226335022">
    <w:abstractNumId w:val="9"/>
  </w:num>
  <w:num w:numId="4" w16cid:durableId="1608850755">
    <w:abstractNumId w:val="0"/>
  </w:num>
  <w:num w:numId="5" w16cid:durableId="1281109847">
    <w:abstractNumId w:val="10"/>
  </w:num>
  <w:num w:numId="6" w16cid:durableId="958950605">
    <w:abstractNumId w:val="4"/>
  </w:num>
  <w:num w:numId="7" w16cid:durableId="1615552242">
    <w:abstractNumId w:val="5"/>
  </w:num>
  <w:num w:numId="8" w16cid:durableId="2109618015">
    <w:abstractNumId w:val="7"/>
  </w:num>
  <w:num w:numId="9" w16cid:durableId="1508520318">
    <w:abstractNumId w:val="6"/>
  </w:num>
  <w:num w:numId="10" w16cid:durableId="374742182">
    <w:abstractNumId w:val="8"/>
  </w:num>
  <w:num w:numId="11" w16cid:durableId="7893203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633"/>
    <w:rsid w:val="00006007"/>
    <w:rsid w:val="000536B8"/>
    <w:rsid w:val="000727D3"/>
    <w:rsid w:val="000E4A55"/>
    <w:rsid w:val="000E5896"/>
    <w:rsid w:val="000F206C"/>
    <w:rsid w:val="00195A49"/>
    <w:rsid w:val="001A2A33"/>
    <w:rsid w:val="001A7734"/>
    <w:rsid w:val="001D3892"/>
    <w:rsid w:val="001F5974"/>
    <w:rsid w:val="002076B4"/>
    <w:rsid w:val="00214E69"/>
    <w:rsid w:val="002151D8"/>
    <w:rsid w:val="00225504"/>
    <w:rsid w:val="002774B9"/>
    <w:rsid w:val="00280F22"/>
    <w:rsid w:val="002C6E8D"/>
    <w:rsid w:val="002C75E6"/>
    <w:rsid w:val="002D7833"/>
    <w:rsid w:val="002F2BEC"/>
    <w:rsid w:val="00320016"/>
    <w:rsid w:val="00331A6B"/>
    <w:rsid w:val="00332957"/>
    <w:rsid w:val="00341FA7"/>
    <w:rsid w:val="0039605B"/>
    <w:rsid w:val="00397633"/>
    <w:rsid w:val="003E2EF8"/>
    <w:rsid w:val="00431F5D"/>
    <w:rsid w:val="00433E5A"/>
    <w:rsid w:val="00435B0A"/>
    <w:rsid w:val="00441516"/>
    <w:rsid w:val="0046023D"/>
    <w:rsid w:val="00480912"/>
    <w:rsid w:val="004C116E"/>
    <w:rsid w:val="004C3A8B"/>
    <w:rsid w:val="004D06BC"/>
    <w:rsid w:val="00515C88"/>
    <w:rsid w:val="005217A1"/>
    <w:rsid w:val="0059436F"/>
    <w:rsid w:val="005A126D"/>
    <w:rsid w:val="005A7361"/>
    <w:rsid w:val="005C733B"/>
    <w:rsid w:val="005D3F71"/>
    <w:rsid w:val="005F743B"/>
    <w:rsid w:val="00605E2F"/>
    <w:rsid w:val="00635730"/>
    <w:rsid w:val="00642B7E"/>
    <w:rsid w:val="00653712"/>
    <w:rsid w:val="0065509B"/>
    <w:rsid w:val="00661199"/>
    <w:rsid w:val="00675575"/>
    <w:rsid w:val="00681410"/>
    <w:rsid w:val="00682358"/>
    <w:rsid w:val="006D0795"/>
    <w:rsid w:val="00714397"/>
    <w:rsid w:val="007532A9"/>
    <w:rsid w:val="0076701F"/>
    <w:rsid w:val="00776A3A"/>
    <w:rsid w:val="00792C27"/>
    <w:rsid w:val="007948CC"/>
    <w:rsid w:val="007A5AB9"/>
    <w:rsid w:val="007E3555"/>
    <w:rsid w:val="007F1AC1"/>
    <w:rsid w:val="00837C18"/>
    <w:rsid w:val="008C53EE"/>
    <w:rsid w:val="008E0097"/>
    <w:rsid w:val="008F1CF6"/>
    <w:rsid w:val="008F6DFB"/>
    <w:rsid w:val="009015D2"/>
    <w:rsid w:val="00902CF9"/>
    <w:rsid w:val="00946DF5"/>
    <w:rsid w:val="0095445A"/>
    <w:rsid w:val="009742B3"/>
    <w:rsid w:val="009749D4"/>
    <w:rsid w:val="009947FB"/>
    <w:rsid w:val="009A6C17"/>
    <w:rsid w:val="009B5DAB"/>
    <w:rsid w:val="00A346FD"/>
    <w:rsid w:val="00A4783D"/>
    <w:rsid w:val="00A517EC"/>
    <w:rsid w:val="00A82709"/>
    <w:rsid w:val="00A82EF0"/>
    <w:rsid w:val="00A84F40"/>
    <w:rsid w:val="00A9109D"/>
    <w:rsid w:val="00A92CC5"/>
    <w:rsid w:val="00AC2C06"/>
    <w:rsid w:val="00AD412C"/>
    <w:rsid w:val="00B25217"/>
    <w:rsid w:val="00B91CF2"/>
    <w:rsid w:val="00B95AEB"/>
    <w:rsid w:val="00BA3E19"/>
    <w:rsid w:val="00BC54E2"/>
    <w:rsid w:val="00BC55FD"/>
    <w:rsid w:val="00BF0A63"/>
    <w:rsid w:val="00BF43A5"/>
    <w:rsid w:val="00C26FA9"/>
    <w:rsid w:val="00C42F66"/>
    <w:rsid w:val="00C819D1"/>
    <w:rsid w:val="00CA041B"/>
    <w:rsid w:val="00CD3D25"/>
    <w:rsid w:val="00CE4E90"/>
    <w:rsid w:val="00CF12FB"/>
    <w:rsid w:val="00D2566F"/>
    <w:rsid w:val="00D44682"/>
    <w:rsid w:val="00D47344"/>
    <w:rsid w:val="00D752DB"/>
    <w:rsid w:val="00D757EC"/>
    <w:rsid w:val="00DC44C1"/>
    <w:rsid w:val="00DE47BD"/>
    <w:rsid w:val="00DE6D7A"/>
    <w:rsid w:val="00E06DD9"/>
    <w:rsid w:val="00E06E23"/>
    <w:rsid w:val="00E12A8A"/>
    <w:rsid w:val="00E60958"/>
    <w:rsid w:val="00E77601"/>
    <w:rsid w:val="00E94BB2"/>
    <w:rsid w:val="00F00A83"/>
    <w:rsid w:val="00F32A8D"/>
    <w:rsid w:val="00F45656"/>
    <w:rsid w:val="00F83C92"/>
    <w:rsid w:val="00F91005"/>
    <w:rsid w:val="00FA2D26"/>
    <w:rsid w:val="00FA449F"/>
    <w:rsid w:val="00FB45CD"/>
    <w:rsid w:val="00FC74C0"/>
    <w:rsid w:val="00FD221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F6CA8"/>
  <w15:docId w15:val="{49290FC2-2571-4647-937A-1E7438A90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633"/>
    <w:pPr>
      <w:spacing w:after="0" w:line="240" w:lineRule="auto"/>
    </w:pPr>
    <w:rPr>
      <w:rFonts w:ascii="Arial" w:eastAsia="Times New Roman" w:hAnsi="Arial" w:cs="Times New Roman"/>
      <w:szCs w:val="20"/>
      <w:lang w:val="en-GB"/>
    </w:rPr>
  </w:style>
  <w:style w:type="paragraph" w:styleId="Heading1">
    <w:name w:val="heading 1"/>
    <w:basedOn w:val="Normal"/>
    <w:next w:val="Normal"/>
    <w:link w:val="Heading1Char"/>
    <w:uiPriority w:val="9"/>
    <w:qFormat/>
    <w:rsid w:val="00331A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31A6B"/>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chedule3">
    <w:name w:val="Schedule3"/>
    <w:basedOn w:val="Normal"/>
    <w:uiPriority w:val="99"/>
    <w:rsid w:val="00397633"/>
    <w:pPr>
      <w:spacing w:before="120" w:after="120" w:line="480" w:lineRule="auto"/>
      <w:jc w:val="both"/>
    </w:pPr>
  </w:style>
  <w:style w:type="paragraph" w:styleId="ListParagraph">
    <w:name w:val="List Paragraph"/>
    <w:basedOn w:val="Normal"/>
    <w:link w:val="ListParagraphChar"/>
    <w:uiPriority w:val="34"/>
    <w:qFormat/>
    <w:rsid w:val="00F91005"/>
    <w:pPr>
      <w:ind w:left="720"/>
      <w:contextualSpacing/>
    </w:pPr>
  </w:style>
  <w:style w:type="paragraph" w:styleId="NormalWeb">
    <w:name w:val="Normal (Web)"/>
    <w:basedOn w:val="Normal"/>
    <w:uiPriority w:val="99"/>
    <w:semiHidden/>
    <w:unhideWhenUsed/>
    <w:rsid w:val="0046023D"/>
    <w:pPr>
      <w:spacing w:before="100" w:beforeAutospacing="1" w:after="100" w:afterAutospacing="1"/>
    </w:pPr>
    <w:rPr>
      <w:rFonts w:ascii="Times New Roman" w:eastAsiaTheme="minorEastAsia" w:hAnsi="Times New Roman"/>
      <w:sz w:val="24"/>
      <w:szCs w:val="24"/>
      <w:lang w:val="en-IE" w:eastAsia="en-IE"/>
    </w:rPr>
  </w:style>
  <w:style w:type="paragraph" w:styleId="BalloonText">
    <w:name w:val="Balloon Text"/>
    <w:basedOn w:val="Normal"/>
    <w:link w:val="BalloonTextChar"/>
    <w:uiPriority w:val="99"/>
    <w:semiHidden/>
    <w:unhideWhenUsed/>
    <w:rsid w:val="000536B8"/>
    <w:rPr>
      <w:rFonts w:ascii="Tahoma" w:hAnsi="Tahoma" w:cs="Tahoma"/>
      <w:sz w:val="16"/>
      <w:szCs w:val="16"/>
    </w:rPr>
  </w:style>
  <w:style w:type="character" w:customStyle="1" w:styleId="BalloonTextChar">
    <w:name w:val="Balloon Text Char"/>
    <w:basedOn w:val="DefaultParagraphFont"/>
    <w:link w:val="BalloonText"/>
    <w:uiPriority w:val="99"/>
    <w:semiHidden/>
    <w:rsid w:val="000536B8"/>
    <w:rPr>
      <w:rFonts w:ascii="Tahoma" w:eastAsia="Times New Roman" w:hAnsi="Tahoma" w:cs="Tahoma"/>
      <w:sz w:val="16"/>
      <w:szCs w:val="16"/>
      <w:lang w:val="en-GB"/>
    </w:rPr>
  </w:style>
  <w:style w:type="table" w:styleId="TableGrid">
    <w:name w:val="Table Grid"/>
    <w:basedOn w:val="TableNormal"/>
    <w:uiPriority w:val="59"/>
    <w:rsid w:val="008E00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82358"/>
    <w:pPr>
      <w:spacing w:after="0" w:line="240" w:lineRule="auto"/>
    </w:pPr>
    <w:rPr>
      <w:rFonts w:ascii="Arial" w:eastAsia="Times New Roman" w:hAnsi="Arial" w:cs="Times New Roman"/>
      <w:szCs w:val="20"/>
      <w:lang w:val="en-GB"/>
    </w:rPr>
  </w:style>
  <w:style w:type="character" w:customStyle="1" w:styleId="ListParagraphChar">
    <w:name w:val="List Paragraph Char"/>
    <w:link w:val="ListParagraph"/>
    <w:uiPriority w:val="34"/>
    <w:locked/>
    <w:rsid w:val="00714397"/>
    <w:rPr>
      <w:rFonts w:ascii="Arial" w:eastAsia="Times New Roman" w:hAnsi="Arial" w:cs="Times New Roman"/>
      <w:szCs w:val="20"/>
      <w:lang w:val="en-GB"/>
    </w:rPr>
  </w:style>
  <w:style w:type="character" w:customStyle="1" w:styleId="Heading1Char">
    <w:name w:val="Heading 1 Char"/>
    <w:basedOn w:val="DefaultParagraphFont"/>
    <w:link w:val="Heading1"/>
    <w:uiPriority w:val="9"/>
    <w:rsid w:val="00331A6B"/>
    <w:rPr>
      <w:rFonts w:asciiTheme="majorHAnsi" w:eastAsiaTheme="majorEastAsia" w:hAnsiTheme="majorHAnsi" w:cstheme="majorBidi"/>
      <w:b/>
      <w:bCs/>
      <w:color w:val="365F91" w:themeColor="accent1" w:themeShade="BF"/>
      <w:sz w:val="28"/>
      <w:szCs w:val="28"/>
      <w:lang w:val="en-GB"/>
    </w:rPr>
  </w:style>
  <w:style w:type="character" w:customStyle="1" w:styleId="Heading2Char">
    <w:name w:val="Heading 2 Char"/>
    <w:basedOn w:val="DefaultParagraphFont"/>
    <w:link w:val="Heading2"/>
    <w:uiPriority w:val="9"/>
    <w:rsid w:val="00331A6B"/>
    <w:rPr>
      <w:rFonts w:asciiTheme="majorHAnsi" w:eastAsiaTheme="majorEastAsia" w:hAnsiTheme="majorHAnsi" w:cstheme="majorBidi"/>
      <w:b/>
      <w:bCs/>
      <w:color w:val="4F81BD" w:themeColor="accent1"/>
      <w:sz w:val="26"/>
      <w:szCs w:val="26"/>
      <w:lang w:val="en-GB"/>
    </w:rPr>
  </w:style>
  <w:style w:type="paragraph" w:styleId="Footer">
    <w:name w:val="footer"/>
    <w:basedOn w:val="Normal"/>
    <w:link w:val="FooterChar"/>
    <w:rsid w:val="00CA041B"/>
    <w:pPr>
      <w:tabs>
        <w:tab w:val="center" w:pos="4153"/>
        <w:tab w:val="right" w:pos="8306"/>
      </w:tabs>
    </w:pPr>
    <w:rPr>
      <w:b/>
      <w:sz w:val="24"/>
      <w:lang w:eastAsia="ja-JP"/>
    </w:rPr>
  </w:style>
  <w:style w:type="character" w:customStyle="1" w:styleId="FooterChar">
    <w:name w:val="Footer Char"/>
    <w:basedOn w:val="DefaultParagraphFont"/>
    <w:link w:val="Footer"/>
    <w:rsid w:val="00CA041B"/>
    <w:rPr>
      <w:rFonts w:ascii="Arial" w:eastAsia="Times New Roman" w:hAnsi="Arial" w:cs="Times New Roman"/>
      <w:b/>
      <w:sz w:val="24"/>
      <w:szCs w:val="20"/>
      <w:lang w:val="en-GB"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18837">
      <w:bodyDiv w:val="1"/>
      <w:marLeft w:val="0"/>
      <w:marRight w:val="0"/>
      <w:marTop w:val="0"/>
      <w:marBottom w:val="0"/>
      <w:divBdr>
        <w:top w:val="none" w:sz="0" w:space="0" w:color="auto"/>
        <w:left w:val="none" w:sz="0" w:space="0" w:color="auto"/>
        <w:bottom w:val="none" w:sz="0" w:space="0" w:color="auto"/>
        <w:right w:val="none" w:sz="0" w:space="0" w:color="auto"/>
      </w:divBdr>
    </w:div>
    <w:div w:id="193930924">
      <w:bodyDiv w:val="1"/>
      <w:marLeft w:val="0"/>
      <w:marRight w:val="0"/>
      <w:marTop w:val="0"/>
      <w:marBottom w:val="0"/>
      <w:divBdr>
        <w:top w:val="none" w:sz="0" w:space="0" w:color="auto"/>
        <w:left w:val="none" w:sz="0" w:space="0" w:color="auto"/>
        <w:bottom w:val="none" w:sz="0" w:space="0" w:color="auto"/>
        <w:right w:val="none" w:sz="0" w:space="0" w:color="auto"/>
      </w:divBdr>
    </w:div>
    <w:div w:id="691764626">
      <w:bodyDiv w:val="1"/>
      <w:marLeft w:val="0"/>
      <w:marRight w:val="0"/>
      <w:marTop w:val="0"/>
      <w:marBottom w:val="0"/>
      <w:divBdr>
        <w:top w:val="none" w:sz="0" w:space="0" w:color="auto"/>
        <w:left w:val="none" w:sz="0" w:space="0" w:color="auto"/>
        <w:bottom w:val="none" w:sz="0" w:space="0" w:color="auto"/>
        <w:right w:val="none" w:sz="0" w:space="0" w:color="auto"/>
      </w:divBdr>
    </w:div>
    <w:div w:id="1016612619">
      <w:bodyDiv w:val="1"/>
      <w:marLeft w:val="0"/>
      <w:marRight w:val="0"/>
      <w:marTop w:val="0"/>
      <w:marBottom w:val="0"/>
      <w:divBdr>
        <w:top w:val="none" w:sz="0" w:space="0" w:color="auto"/>
        <w:left w:val="none" w:sz="0" w:space="0" w:color="auto"/>
        <w:bottom w:val="none" w:sz="0" w:space="0" w:color="auto"/>
        <w:right w:val="none" w:sz="0" w:space="0" w:color="auto"/>
      </w:divBdr>
    </w:div>
    <w:div w:id="1296837114">
      <w:bodyDiv w:val="1"/>
      <w:marLeft w:val="0"/>
      <w:marRight w:val="0"/>
      <w:marTop w:val="0"/>
      <w:marBottom w:val="0"/>
      <w:divBdr>
        <w:top w:val="none" w:sz="0" w:space="0" w:color="auto"/>
        <w:left w:val="none" w:sz="0" w:space="0" w:color="auto"/>
        <w:bottom w:val="none" w:sz="0" w:space="0" w:color="auto"/>
        <w:right w:val="none" w:sz="0" w:space="0" w:color="auto"/>
      </w:divBdr>
    </w:div>
    <w:div w:id="1341085796">
      <w:bodyDiv w:val="1"/>
      <w:marLeft w:val="0"/>
      <w:marRight w:val="0"/>
      <w:marTop w:val="0"/>
      <w:marBottom w:val="0"/>
      <w:divBdr>
        <w:top w:val="none" w:sz="0" w:space="0" w:color="auto"/>
        <w:left w:val="none" w:sz="0" w:space="0" w:color="auto"/>
        <w:bottom w:val="none" w:sz="0" w:space="0" w:color="auto"/>
        <w:right w:val="none" w:sz="0" w:space="0" w:color="auto"/>
      </w:divBdr>
    </w:div>
    <w:div w:id="1844472911">
      <w:bodyDiv w:val="1"/>
      <w:marLeft w:val="0"/>
      <w:marRight w:val="0"/>
      <w:marTop w:val="0"/>
      <w:marBottom w:val="0"/>
      <w:divBdr>
        <w:top w:val="none" w:sz="0" w:space="0" w:color="auto"/>
        <w:left w:val="none" w:sz="0" w:space="0" w:color="auto"/>
        <w:bottom w:val="none" w:sz="0" w:space="0" w:color="auto"/>
        <w:right w:val="none" w:sz="0" w:space="0" w:color="auto"/>
      </w:divBdr>
    </w:div>
    <w:div w:id="1875342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20C805-2110-41FB-AF1D-FF3E4B2D23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480</Words>
  <Characters>2736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Irish Blood Transfusion Service</Company>
  <LinksUpToDate>false</LinksUpToDate>
  <CharactersWithSpaces>3210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Behan, Paul</dc:creator>
  <cp:lastModifiedBy>Boland, Brian</cp:lastModifiedBy>
  <cp:revision>4</cp:revision>
  <cp:lastPrinted>2022-05-31T14:53:00Z</cp:lastPrinted>
  <dcterms:created xsi:type="dcterms:W3CDTF">2026-11-02T13:13:00Z</dcterms:created>
  <dcterms:modified xsi:type="dcterms:W3CDTF">2026-11-03T09:07:00Z</dcterms:modified>
</cp:coreProperties>
</file>