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C2A6" w14:textId="77777777" w:rsidR="005C3596" w:rsidRDefault="00000000">
      <w:pPr>
        <w:rPr>
          <w:sz w:val="32"/>
          <w:szCs w:val="32"/>
        </w:rPr>
      </w:pPr>
      <w:r>
        <w:rPr>
          <w:b/>
          <w:bCs/>
          <w:sz w:val="32"/>
          <w:szCs w:val="32"/>
        </w:rPr>
        <w:t>Technical Specifications &amp; Requirements</w:t>
      </w:r>
    </w:p>
    <w:p w14:paraId="109B1D4B" w14:textId="77777777" w:rsidR="005C3596" w:rsidRDefault="00000000">
      <w:r>
        <w:rPr>
          <w:b/>
          <w:bCs/>
        </w:rPr>
        <w:t>Contract Title:</w:t>
      </w:r>
      <w:r>
        <w:t xml:space="preserve"> Procurement of a High-Precision Optical Ground Station (OGS) Telescope Unit for Uplink &amp; Satellite Tracking</w:t>
      </w:r>
    </w:p>
    <w:p w14:paraId="29BF888F" w14:textId="77777777" w:rsidR="005C3596" w:rsidRDefault="005C3596"/>
    <w:p w14:paraId="33E6A646" w14:textId="77777777" w:rsidR="005C3596" w:rsidRDefault="00000000">
      <w:r>
        <w:rPr>
          <w:b/>
          <w:bCs/>
        </w:rPr>
        <w:t>1. Optical &amp; Physical Requirements</w:t>
      </w:r>
    </w:p>
    <w:p w14:paraId="32859A7B" w14:textId="77777777" w:rsidR="005C3596" w:rsidRDefault="00000000">
      <w:pPr>
        <w:numPr>
          <w:ilvl w:val="0"/>
          <w:numId w:val="1"/>
        </w:numPr>
      </w:pPr>
      <w:r>
        <w:rPr>
          <w:b/>
          <w:bCs/>
        </w:rPr>
        <w:t>Optical Configuration:</w:t>
      </w:r>
      <w:r>
        <w:t xml:space="preserve"> Ritchey-Chrétien (RC) optical design, f/10 to f/12 system, with a clear aperture of </w:t>
      </w:r>
      <m:oMath>
        <m:r>
          <w:rPr>
            <w:rFonts w:ascii="Cambria Math" w:eastAsia="Cambria Math" w:hAnsi="Cambria Math" w:cs="Cambria Math"/>
          </w:rPr>
          <m:t>≥700</m:t>
        </m:r>
        <m:r>
          <w:rPr>
            <w:rFonts w:ascii="Cambria Math" w:hAnsi="Cambria Math"/>
          </w:rPr>
          <m:t> mm</m:t>
        </m:r>
      </m:oMath>
      <w:r>
        <w:t xml:space="preserve">. </w:t>
      </w:r>
    </w:p>
    <w:p w14:paraId="4A842C5C" w14:textId="77777777" w:rsidR="005C3596" w:rsidRDefault="00000000">
      <w:pPr>
        <w:numPr>
          <w:ilvl w:val="0"/>
          <w:numId w:val="1"/>
        </w:numPr>
      </w:pPr>
      <w:r>
        <w:rPr>
          <w:b/>
          <w:bCs/>
        </w:rPr>
        <w:t>Central Obstruction:</w:t>
      </w:r>
      <w:r>
        <w:t xml:space="preserve"> Low central obstruction (</w:t>
      </w:r>
      <m:oMath>
        <m:r>
          <w:rPr>
            <w:rFonts w:ascii="Cambria Math" w:eastAsia="Cambria Math" w:hAnsi="Cambria Math" w:cs="Cambria Math"/>
          </w:rPr>
          <m:t>≤30%</m:t>
        </m:r>
      </m:oMath>
      <w:r>
        <w:t xml:space="preserve"> diameter linear obstruction preferred, maximum allowable </w:t>
      </w:r>
      <m:oMath>
        <m:r>
          <w:rPr>
            <w:rFonts w:ascii="Cambria Math" w:eastAsia="Cambria Math" w:hAnsi="Cambria Math" w:cs="Cambria Math"/>
          </w:rPr>
          <m:t>≤34%</m:t>
        </m:r>
      </m:oMath>
      <w:r>
        <w:t xml:space="preserve">). </w:t>
      </w:r>
    </w:p>
    <w:p w14:paraId="4BA6B0CB" w14:textId="77777777" w:rsidR="005C3596" w:rsidRDefault="00000000">
      <w:pPr>
        <w:numPr>
          <w:ilvl w:val="0"/>
          <w:numId w:val="1"/>
        </w:numPr>
      </w:pPr>
      <w:r>
        <w:rPr>
          <w:b/>
          <w:bCs/>
        </w:rPr>
        <w:t>Optical Coatings &amp; Wavelengths:</w:t>
      </w:r>
    </w:p>
    <w:p w14:paraId="54D940C0" w14:textId="77777777" w:rsidR="005C3596" w:rsidRDefault="00000000">
      <w:pPr>
        <w:numPr>
          <w:ilvl w:val="1"/>
          <w:numId w:val="1"/>
        </w:numPr>
      </w:pPr>
      <w:r>
        <w:t xml:space="preserve">Primary and secondary mirror coatings must support broad-spectrum reflectivity, covering both visible wavelengths and the </w:t>
      </w:r>
      <w:r>
        <w:rPr>
          <w:b/>
          <w:bCs/>
        </w:rPr>
        <w:t>1550 nm C-Band</w:t>
      </w:r>
      <w:r>
        <w:t xml:space="preserve"> NIR telecommunication spectrum. Coating biased to best performance at 1550nm is preferred.</w:t>
      </w:r>
    </w:p>
    <w:p w14:paraId="2D95D9E5" w14:textId="77777777" w:rsidR="005C3596" w:rsidRDefault="00000000">
      <w:pPr>
        <w:numPr>
          <w:ilvl w:val="1"/>
          <w:numId w:val="1"/>
        </w:numPr>
      </w:pPr>
      <w:r>
        <w:t xml:space="preserve">Reflectance at 1550 nm must be </w:t>
      </w:r>
      <m:oMath>
        <m:r>
          <w:rPr>
            <w:rFonts w:ascii="Cambria Math" w:eastAsia="Cambria Math" w:hAnsi="Cambria Math" w:cs="Cambria Math"/>
          </w:rPr>
          <m:t>≥95%</m:t>
        </m:r>
      </m:oMath>
      <w:r>
        <w:t xml:space="preserve"> (protected gold or equivalent high-efficiency NIR coating acceptable). Polarisation performance of the coating must be provided at contract award. Preliminary polarisation estimates appreciated at tender.</w:t>
      </w:r>
    </w:p>
    <w:p w14:paraId="68D4FF5B" w14:textId="77777777" w:rsidR="005C3596" w:rsidRDefault="00000000">
      <w:pPr>
        <w:numPr>
          <w:ilvl w:val="0"/>
          <w:numId w:val="1"/>
        </w:numPr>
      </w:pPr>
      <w:r>
        <w:rPr>
          <w:b/>
          <w:bCs/>
        </w:rPr>
        <w:t>Power Density Handling:</w:t>
      </w:r>
    </w:p>
    <w:p w14:paraId="4E5525BE" w14:textId="77777777" w:rsidR="005C3596" w:rsidRDefault="00000000">
      <w:pPr>
        <w:numPr>
          <w:ilvl w:val="1"/>
          <w:numId w:val="1"/>
        </w:numPr>
      </w:pPr>
      <w:r>
        <w:t xml:space="preserve">The secondary mirror (M2) and main aperture should handle a high-power launch beam (maximum </w:t>
      </w:r>
      <w:r>
        <w:rPr>
          <w:b/>
          <w:bCs/>
        </w:rPr>
        <w:t>40W continuous wave</w:t>
      </w:r>
      <w:r>
        <w:t xml:space="preserve"> at 1550 nm across the aperture/annulus, high power density is &lt; 3300W/m^2 on primary mirror, and beam size proportionally higher on other surfaces). </w:t>
      </w:r>
    </w:p>
    <w:p w14:paraId="3395C224" w14:textId="77777777" w:rsidR="005C3596" w:rsidRDefault="00000000">
      <w:pPr>
        <w:numPr>
          <w:ilvl w:val="0"/>
          <w:numId w:val="1"/>
        </w:numPr>
      </w:pPr>
      <w:r>
        <w:rPr>
          <w:b/>
          <w:bCs/>
        </w:rPr>
        <w:t>Focusing Path &amp; Clear Aperture:</w:t>
      </w:r>
    </w:p>
    <w:p w14:paraId="1345A9EF" w14:textId="77777777" w:rsidR="005C3596" w:rsidRDefault="00000000">
      <w:pPr>
        <w:numPr>
          <w:ilvl w:val="1"/>
          <w:numId w:val="1"/>
        </w:numPr>
      </w:pPr>
      <w:r>
        <w:t xml:space="preserve">Must feature at least one </w:t>
      </w:r>
      <w:r>
        <w:rPr>
          <w:b/>
          <w:bCs/>
        </w:rPr>
        <w:t>Nasmyth focus port</w:t>
      </w:r>
      <w:r>
        <w:t>. More preferred.</w:t>
      </w:r>
    </w:p>
    <w:p w14:paraId="7294FAE8" w14:textId="77777777" w:rsidR="005C3596" w:rsidRDefault="00000000">
      <w:pPr>
        <w:numPr>
          <w:ilvl w:val="1"/>
          <w:numId w:val="1"/>
        </w:numPr>
      </w:pPr>
      <w:r>
        <w:t xml:space="preserve">The Nasmyth focus path must be completely free of refracting optical elements (100% reflective optics only). Removable optics are an allowable deviation in the design. </w:t>
      </w:r>
    </w:p>
    <w:p w14:paraId="586A8240" w14:textId="77777777" w:rsidR="005C3596" w:rsidRDefault="00000000">
      <w:pPr>
        <w:numPr>
          <w:ilvl w:val="1"/>
          <w:numId w:val="1"/>
        </w:numPr>
      </w:pPr>
      <w:r>
        <w:t xml:space="preserve">Clear aperture path through the Nasmyth axis be </w:t>
      </w:r>
      <m:oMath>
        <m:r>
          <w:rPr>
            <w:rFonts w:ascii="Cambria Math" w:eastAsia="Cambria Math" w:hAnsi="Cambria Math" w:cs="Cambria Math"/>
          </w:rPr>
          <m:t>≥</m:t>
        </m:r>
        <m:r>
          <w:rPr>
            <w:rFonts w:ascii="Cambria Math" w:eastAsia="Cambria Math" w:hAnsi="Cambria Math" w:cs="Cambria Math"/>
            <w:color w:val="FFFF00"/>
          </w:rPr>
          <m:t>60</m:t>
        </m:r>
        <m:r>
          <w:rPr>
            <w:rFonts w:ascii="Cambria Math" w:hAnsi="Cambria Math"/>
            <w:color w:val="FFFF00"/>
          </w:rPr>
          <m:t> mm diameter</m:t>
        </m:r>
      </m:oMath>
      <w:r>
        <w:t xml:space="preserve"> (to support downstream Adaptive Optics relay systems). </w:t>
      </w:r>
    </w:p>
    <w:p w14:paraId="0913C7B7" w14:textId="77777777" w:rsidR="005C3596" w:rsidRDefault="00000000">
      <w:r>
        <w:rPr>
          <w:b/>
          <w:bCs/>
        </w:rPr>
        <w:t>2. Mechanical, Mount &amp; Dynamic Tracking Specifications</w:t>
      </w:r>
    </w:p>
    <w:p w14:paraId="56E171A0" w14:textId="77777777" w:rsidR="005C3596" w:rsidRDefault="00000000">
      <w:pPr>
        <w:numPr>
          <w:ilvl w:val="0"/>
          <w:numId w:val="2"/>
        </w:numPr>
      </w:pPr>
      <w:r>
        <w:rPr>
          <w:b/>
          <w:bCs/>
        </w:rPr>
        <w:t>Mount Type:</w:t>
      </w:r>
      <w:r>
        <w:t xml:space="preserve"> Alt-Azimuth Direct-Drive or Equivalent performance mount with low latency tracking dynamics.</w:t>
      </w:r>
    </w:p>
    <w:p w14:paraId="21D0DF2B" w14:textId="77777777" w:rsidR="005C3596" w:rsidRDefault="005C3596">
      <w:pPr>
        <w:ind w:left="720"/>
      </w:pPr>
    </w:p>
    <w:p w14:paraId="650E3881" w14:textId="77777777" w:rsidR="005C3596" w:rsidRDefault="00000000">
      <w:pPr>
        <w:numPr>
          <w:ilvl w:val="0"/>
          <w:numId w:val="2"/>
        </w:numPr>
      </w:pPr>
      <w:r>
        <w:rPr>
          <w:b/>
          <w:bCs/>
        </w:rPr>
        <w:t>Tracking Performance &amp; Slew Rates:</w:t>
      </w:r>
    </w:p>
    <w:p w14:paraId="6D9A9C6E" w14:textId="77777777" w:rsidR="005C3596" w:rsidRDefault="00000000">
      <w:pPr>
        <w:numPr>
          <w:ilvl w:val="1"/>
          <w:numId w:val="2"/>
        </w:numPr>
      </w:pPr>
      <w:r>
        <w:t>Must support Low Earth Orbit (LEO) satellite tracking, including high-elevation passes (passing over Zenith).</w:t>
      </w:r>
    </w:p>
    <w:p w14:paraId="5F70138E" w14:textId="77777777" w:rsidR="005C3596" w:rsidRDefault="00000000">
      <w:pPr>
        <w:numPr>
          <w:ilvl w:val="1"/>
          <w:numId w:val="2"/>
        </w:numPr>
      </w:pPr>
      <w:r>
        <w:t xml:space="preserve">Minimum Azimuth Slew Rate: </w:t>
      </w:r>
      <m:oMath>
        <m:r>
          <w:rPr>
            <w:rFonts w:ascii="Cambria Math" w:hAnsi="Cambria Math"/>
          </w:rPr>
          <m:t>≥</m:t>
        </m:r>
        <m:sSup>
          <m:sSupPr>
            <m:ctrlPr>
              <w:rPr>
                <w:rFonts w:ascii="Cambria Math" w:eastAsia="Cambria Math" w:hAnsi="Cambria Math" w:cs="Cambria Math"/>
              </w:rPr>
            </m:ctrlPr>
          </m:sSupPr>
          <m:e>
            <m:r>
              <w:rPr>
                <w:rFonts w:ascii="Cambria Math" w:eastAsia="Cambria Math" w:hAnsi="Cambria Math" w:cs="Cambria Math"/>
              </w:rPr>
              <m:t>5</m:t>
            </m:r>
          </m:e>
          <m:sup>
            <m:r>
              <w:rPr>
                <w:rFonts w:ascii="Cambria Math" w:eastAsia="Cambria Math" w:hAnsi="Cambria Math" w:cs="Cambria Math"/>
              </w:rPr>
              <m:t>∘</m:t>
            </m:r>
          </m:sup>
        </m:sSup>
        <m:r>
          <w:rPr>
            <w:rFonts w:ascii="Cambria Math" w:eastAsia="Cambria Math" w:hAnsi="Cambria Math" w:cs="Cambria Math"/>
          </w:rPr>
          <m:t>/</m:t>
        </m:r>
        <m:r>
          <w:rPr>
            <w:rFonts w:ascii="Cambria Math" w:hAnsi="Cambria Math"/>
          </w:rPr>
          <m:t>s</m:t>
        </m:r>
      </m:oMath>
      <w:r>
        <w:t xml:space="preserve"> . (Faster preferred)</w:t>
      </w:r>
    </w:p>
    <w:p w14:paraId="69AB287E" w14:textId="77777777" w:rsidR="005C3596" w:rsidRDefault="00000000">
      <w:pPr>
        <w:numPr>
          <w:ilvl w:val="1"/>
          <w:numId w:val="2"/>
        </w:numPr>
      </w:pPr>
      <w:r>
        <w:t xml:space="preserve">Sat-tracking Pointing/Tracking Accuracy: </w:t>
      </w:r>
      <m:oMath>
        <m:r>
          <w:rPr>
            <w:rFonts w:ascii="Cambria Math" w:eastAsia="Cambria Math" w:hAnsi="Cambria Math" w:cs="Cambria Math"/>
          </w:rPr>
          <m:t>&lt;8</m:t>
        </m:r>
        <m:r>
          <w:rPr>
            <w:rFonts w:ascii="Cambria Math" w:hAnsi="Cambria Math"/>
          </w:rPr>
          <m:t> to </m:t>
        </m:r>
        <m:r>
          <w:rPr>
            <w:rFonts w:ascii="Cambria Math" w:eastAsia="Cambria Math" w:hAnsi="Cambria Math" w:cs="Cambria Math"/>
          </w:rPr>
          <m:t>10</m:t>
        </m:r>
        <m:r>
          <w:rPr>
            <w:rFonts w:ascii="Cambria Math" w:hAnsi="Cambria Math"/>
          </w:rPr>
          <m:t> arcsec RMS</m:t>
        </m:r>
      </m:oMath>
      <w:r>
        <w:t xml:space="preserve"> during dynamic LEO passes. </w:t>
      </w:r>
    </w:p>
    <w:p w14:paraId="663D57EB" w14:textId="77777777" w:rsidR="005C3596" w:rsidRDefault="00000000">
      <w:pPr>
        <w:numPr>
          <w:ilvl w:val="1"/>
          <w:numId w:val="2"/>
        </w:numPr>
      </w:pPr>
      <w:r>
        <w:t>Fastest Tracking Rate exceeding 1°/s; Fine range of tracking speeds below this speed required. Please specify precision of these in tender response, and whether continuous speed control is possible.</w:t>
      </w:r>
    </w:p>
    <w:p w14:paraId="5A62ACA9" w14:textId="77777777" w:rsidR="005C3596" w:rsidRDefault="00000000">
      <w:pPr>
        <w:numPr>
          <w:ilvl w:val="0"/>
          <w:numId w:val="2"/>
        </w:numPr>
      </w:pPr>
      <w:r>
        <w:rPr>
          <w:b/>
          <w:bCs/>
        </w:rPr>
        <w:t>Envelope &amp; Enclosure Compatibility (Using Diagram Below as Reference):</w:t>
      </w:r>
    </w:p>
    <w:p w14:paraId="1686A484" w14:textId="77777777" w:rsidR="005C3596" w:rsidRDefault="00000000">
      <w:pPr>
        <w:numPr>
          <w:ilvl w:val="1"/>
          <w:numId w:val="2"/>
        </w:numPr>
      </w:pPr>
      <w:r>
        <w:t xml:space="preserve">Total vertical height must not exceed </w:t>
      </w:r>
      <w:r>
        <w:rPr>
          <w:b/>
          <w:bCs/>
        </w:rPr>
        <w:t>3000 mm</w:t>
      </w:r>
      <w:r>
        <w:t xml:space="preserve"> from the base to ensure dome clearance. </w:t>
      </w:r>
    </w:p>
    <w:p w14:paraId="46621C9E" w14:textId="77777777" w:rsidR="005C3596" w:rsidRDefault="00000000">
      <w:pPr>
        <w:numPr>
          <w:ilvl w:val="1"/>
          <w:numId w:val="2"/>
        </w:numPr>
      </w:pPr>
      <w:r>
        <w:t>Axis of elevation pivot height must ensure telescope will stay within the clearance envelope at all pointing directions. Note the telescope need not be centred in the clearance envelope (e.g. can be mounted higher to allow more base clearance)</w:t>
      </w:r>
    </w:p>
    <w:p w14:paraId="3CF0A9DF" w14:textId="77777777" w:rsidR="005C3596" w:rsidRDefault="00000000">
      <w:pPr>
        <w:numPr>
          <w:ilvl w:val="1"/>
          <w:numId w:val="2"/>
        </w:numPr>
      </w:pPr>
      <w:r>
        <w:t>The position of the pivot axis should no more than 155 mm below the centre of the clearance envelope. It can be positioned at the centre or higher, provided the clearance above is maintained. This would allow a higher mount pier for example.</w:t>
      </w:r>
    </w:p>
    <w:p w14:paraId="77B1ACFF" w14:textId="77777777" w:rsidR="005C3596" w:rsidRDefault="00000000">
      <w:pPr>
        <w:numPr>
          <w:ilvl w:val="1"/>
          <w:numId w:val="2"/>
        </w:numPr>
      </w:pPr>
      <w:r>
        <w:t xml:space="preserve">Maximum radial swing clearance envelope: </w:t>
      </w:r>
      <m:oMath>
        <m:r>
          <w:rPr>
            <w:rFonts w:ascii="Cambria Math" w:eastAsia="Cambria Math" w:hAnsi="Cambria Math" w:cs="Cambria Math"/>
          </w:rPr>
          <m:t>≤1470</m:t>
        </m:r>
        <m:r>
          <w:rPr>
            <w:rFonts w:ascii="Cambria Math" w:hAnsi="Cambria Math"/>
          </w:rPr>
          <m:t> mm</m:t>
        </m:r>
      </m:oMath>
      <w:r>
        <w:t xml:space="preserve">. </w:t>
      </w:r>
    </w:p>
    <w:p w14:paraId="76469C6F" w14:textId="77777777" w:rsidR="005C3596" w:rsidRDefault="00000000">
      <w:pPr>
        <w:numPr>
          <w:ilvl w:val="1"/>
          <w:numId w:val="2"/>
        </w:numPr>
      </w:pPr>
      <w:r>
        <w:t>Suggested mounting solutions to raise the mount base would be appreciated.</w:t>
      </w:r>
    </w:p>
    <w:p w14:paraId="0DEC3A73" w14:textId="77777777" w:rsidR="005C3596" w:rsidRDefault="00000000">
      <w:pPr>
        <w:numPr>
          <w:ilvl w:val="1"/>
          <w:numId w:val="2"/>
        </w:numPr>
      </w:pPr>
      <w:r>
        <w:t>Supply of full CAD models and opto-mechanical layout files (including mounting plates, interface bolt patterns, and focal plane positioning) is mandatory upon contract award.</w:t>
      </w:r>
    </w:p>
    <w:p w14:paraId="3A8B0573" w14:textId="77777777" w:rsidR="005C3596" w:rsidRDefault="005C3596"/>
    <w:p w14:paraId="025CE50C" w14:textId="77777777" w:rsidR="005C3596" w:rsidRDefault="00000000">
      <w:r>
        <w:rPr>
          <w:b/>
          <w:bCs/>
        </w:rPr>
        <w:t>3. Software, Control Interface &amp; API</w:t>
      </w:r>
    </w:p>
    <w:p w14:paraId="40CBAFC9" w14:textId="77777777" w:rsidR="005C3596" w:rsidRDefault="00000000">
      <w:pPr>
        <w:numPr>
          <w:ilvl w:val="0"/>
          <w:numId w:val="3"/>
        </w:numPr>
      </w:pPr>
      <w:r>
        <w:rPr>
          <w:b/>
          <w:bCs/>
        </w:rPr>
        <w:t>Driver Architecture:</w:t>
      </w:r>
      <w:r>
        <w:t xml:space="preserve"> Native integration with standard open-source astronomical communication protocols (</w:t>
      </w:r>
      <w:r>
        <w:rPr>
          <w:b/>
          <w:bCs/>
        </w:rPr>
        <w:t>INDI / INDIGO</w:t>
      </w:r>
      <w:r>
        <w:t xml:space="preserve">) and/or </w:t>
      </w:r>
      <w:r>
        <w:rPr>
          <w:b/>
          <w:bCs/>
        </w:rPr>
        <w:t>ASCOM / ALPACA</w:t>
      </w:r>
      <w:r>
        <w:t xml:space="preserve"> frameworks.</w:t>
      </w:r>
    </w:p>
    <w:p w14:paraId="6123953A" w14:textId="77777777" w:rsidR="005C3596" w:rsidRDefault="00000000">
      <w:pPr>
        <w:numPr>
          <w:ilvl w:val="0"/>
          <w:numId w:val="3"/>
        </w:numPr>
      </w:pPr>
      <w:r>
        <w:rPr>
          <w:b/>
          <w:bCs/>
        </w:rPr>
        <w:lastRenderedPageBreak/>
        <w:t>API Access:</w:t>
      </w:r>
      <w:r>
        <w:t xml:space="preserve"> An open, fully documented network API that is or can be adapted by the customer to HTTP/REST or WebSocket interfaces for automated robotic telescope control, sensors, telemetry, and scriptable trajectory loading. A vendor preferred software control solution is optional in addition to this primitive and should be clearly cost as an add-on not a base requirement, if provided. </w:t>
      </w:r>
    </w:p>
    <w:p w14:paraId="2D20AF6F" w14:textId="77777777" w:rsidR="005C3596" w:rsidRDefault="00000000">
      <w:pPr>
        <w:numPr>
          <w:ilvl w:val="0"/>
          <w:numId w:val="3"/>
        </w:numPr>
      </w:pPr>
      <w:r>
        <w:rPr>
          <w:b/>
          <w:bCs/>
        </w:rPr>
        <w:t>Electrical Data Interface :</w:t>
      </w:r>
      <w:r>
        <w:t xml:space="preserve"> Ethernet preferred. Details to be provided as part of tender.</w:t>
      </w:r>
    </w:p>
    <w:p w14:paraId="59F6F53D" w14:textId="77777777" w:rsidR="005C3596" w:rsidRDefault="00000000">
      <w:pPr>
        <w:numPr>
          <w:ilvl w:val="0"/>
          <w:numId w:val="3"/>
        </w:numPr>
      </w:pPr>
      <w:r>
        <w:rPr>
          <w:b/>
          <w:bCs/>
        </w:rPr>
        <w:t>Electrical Power Interface:</w:t>
      </w:r>
      <w:r>
        <w:t xml:space="preserve"> DC supply preferred. Details to be provided as part of tender.</w:t>
      </w:r>
    </w:p>
    <w:p w14:paraId="722AFCAC" w14:textId="77777777" w:rsidR="005C3596" w:rsidRDefault="00000000">
      <w:r>
        <w:rPr>
          <w:b/>
          <w:bCs/>
        </w:rPr>
        <w:t>4. Supply Chain, Delivery &amp; Lead Time</w:t>
      </w:r>
    </w:p>
    <w:p w14:paraId="762C58AE" w14:textId="77777777" w:rsidR="005C3596" w:rsidRDefault="00000000">
      <w:pPr>
        <w:numPr>
          <w:ilvl w:val="0"/>
          <w:numId w:val="4"/>
        </w:numPr>
      </w:pPr>
      <w:r>
        <w:rPr>
          <w:b/>
          <w:bCs/>
        </w:rPr>
        <w:t>Unit Lead Time:</w:t>
      </w:r>
      <w:r>
        <w:t xml:space="preserve"> Delivery within </w:t>
      </w:r>
      <w:r>
        <w:rPr>
          <w:b/>
          <w:bCs/>
        </w:rPr>
        <w:t>3 to 4 months</w:t>
      </w:r>
      <w:r>
        <w:t xml:space="preserve"> maximum from contract signature.</w:t>
      </w:r>
    </w:p>
    <w:p w14:paraId="6236CFA3" w14:textId="277B94BF" w:rsidR="00282B52" w:rsidRDefault="00282B52">
      <w:pPr>
        <w:numPr>
          <w:ilvl w:val="0"/>
          <w:numId w:val="4"/>
        </w:numPr>
      </w:pPr>
      <w:r>
        <w:rPr>
          <w:b/>
          <w:bCs/>
        </w:rPr>
        <w:t>Delivery Terms:</w:t>
      </w:r>
      <w:r>
        <w:t xml:space="preserve"> All prices quoted should be at DDP terms, delivered to Galway, Ireland. </w:t>
      </w:r>
    </w:p>
    <w:p w14:paraId="1E52F157" w14:textId="77777777" w:rsidR="005C3596" w:rsidRDefault="005C3596">
      <w:pPr>
        <w:ind w:left="720"/>
        <w:rPr>
          <w:b/>
          <w:bCs/>
        </w:rPr>
      </w:pPr>
    </w:p>
    <w:p w14:paraId="6F016042" w14:textId="77777777" w:rsidR="005C3596" w:rsidRDefault="005C3596"/>
    <w:p w14:paraId="22D6B306" w14:textId="77777777" w:rsidR="005C3596" w:rsidRDefault="005C3596"/>
    <w:p w14:paraId="219EA827" w14:textId="77777777" w:rsidR="005C3596" w:rsidRDefault="00000000">
      <w:pPr>
        <w:jc w:val="center"/>
      </w:pPr>
      <w:r>
        <w:rPr>
          <w:noProof/>
        </w:rPr>
        <w:drawing>
          <wp:inline distT="114300" distB="114300" distL="114300" distR="114300" wp14:anchorId="254D30C1" wp14:editId="1D54332F">
            <wp:extent cx="5731200" cy="3213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200" cy="3213100"/>
                    </a:xfrm>
                    <a:prstGeom prst="rect">
                      <a:avLst/>
                    </a:prstGeom>
                    <a:ln/>
                  </pic:spPr>
                </pic:pic>
              </a:graphicData>
            </a:graphic>
          </wp:inline>
        </w:drawing>
      </w:r>
    </w:p>
    <w:p w14:paraId="5EA591C5" w14:textId="77777777" w:rsidR="005C3596" w:rsidRDefault="005C3596"/>
    <w:p w14:paraId="10D615D9" w14:textId="77777777" w:rsidR="005C3596" w:rsidRDefault="005C3596"/>
    <w:p w14:paraId="0010F32A" w14:textId="77777777" w:rsidR="005C3596" w:rsidRDefault="005C3596">
      <w:pPr>
        <w:ind w:firstLine="720"/>
      </w:pPr>
    </w:p>
    <w:sectPr w:rsidR="005C3596">
      <w:head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54E8D" w14:textId="77777777" w:rsidR="00D92425" w:rsidRDefault="00D92425">
      <w:pPr>
        <w:spacing w:after="0" w:line="240" w:lineRule="auto"/>
      </w:pPr>
      <w:r>
        <w:separator/>
      </w:r>
    </w:p>
  </w:endnote>
  <w:endnote w:type="continuationSeparator" w:id="0">
    <w:p w14:paraId="22B73257" w14:textId="77777777" w:rsidR="00D92425" w:rsidRDefault="00D9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7ECAA87-9C43-40FF-92C3-D2DECA5F6DFE}"/>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74A905AF-6BB4-4C2F-9E19-564BBE35EC5F}"/>
    <w:embedBold r:id="rId3" w:fontKey="{ED5AAA96-2840-4039-B743-A6377D9B81C2}"/>
    <w:embedItalic r:id="rId4" w:fontKey="{6CAB19B6-D870-4C8D-B824-B867DB67C006}"/>
  </w:font>
  <w:font w:name="Play">
    <w:charset w:val="00"/>
    <w:family w:val="auto"/>
    <w:pitch w:val="default"/>
    <w:embedRegular r:id="rId5" w:fontKey="{F46869E0-FCDD-4939-86F9-C1D19E26B1D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25548F54-026B-4302-8449-789415171386}"/>
  </w:font>
  <w:font w:name="Cambria Math">
    <w:panose1 w:val="02040503050406030204"/>
    <w:charset w:val="00"/>
    <w:family w:val="roman"/>
    <w:pitch w:val="variable"/>
    <w:sig w:usb0="E00006FF" w:usb1="420024FF" w:usb2="02000000" w:usb3="00000000" w:csb0="0000019F" w:csb1="00000000"/>
    <w:embedRegular r:id="rId7" w:fontKey="{CD86A118-FF99-4067-951B-20CB645A6488}"/>
    <w:embedItalic r:id="rId8" w:fontKey="{DF4F5621-324E-4FF6-99E9-362D1366DCA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FBF19" w14:textId="77777777" w:rsidR="00D92425" w:rsidRDefault="00D92425">
      <w:pPr>
        <w:spacing w:after="0" w:line="240" w:lineRule="auto"/>
      </w:pPr>
      <w:r>
        <w:separator/>
      </w:r>
    </w:p>
  </w:footnote>
  <w:footnote w:type="continuationSeparator" w:id="0">
    <w:p w14:paraId="5E650551" w14:textId="77777777" w:rsidR="00D92425" w:rsidRDefault="00D92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4074" w14:textId="77777777" w:rsidR="005C3596" w:rsidRDefault="005C359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E44"/>
    <w:multiLevelType w:val="multilevel"/>
    <w:tmpl w:val="D486BC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D59629E"/>
    <w:multiLevelType w:val="multilevel"/>
    <w:tmpl w:val="4BEE4F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CC2316C"/>
    <w:multiLevelType w:val="multilevel"/>
    <w:tmpl w:val="9E1E6F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D6D1D8A"/>
    <w:multiLevelType w:val="multilevel"/>
    <w:tmpl w:val="CB5051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07424660">
    <w:abstractNumId w:val="2"/>
  </w:num>
  <w:num w:numId="2" w16cid:durableId="1548447741">
    <w:abstractNumId w:val="3"/>
  </w:num>
  <w:num w:numId="3" w16cid:durableId="759564657">
    <w:abstractNumId w:val="0"/>
  </w:num>
  <w:num w:numId="4" w16cid:durableId="1797407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6"/>
    <w:rsid w:val="00282B52"/>
    <w:rsid w:val="002903D9"/>
    <w:rsid w:val="003568A4"/>
    <w:rsid w:val="005C3596"/>
    <w:rsid w:val="00D54AFF"/>
    <w:rsid w:val="00D924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D0D87"/>
  <w15:docId w15:val="{B00FD42F-A485-47D5-9783-49FF66894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E" w:eastAsia="en-I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50A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A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A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B50A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A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0A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A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A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A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A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A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A9E"/>
    <w:rPr>
      <w:rFonts w:eastAsiaTheme="majorEastAsia" w:cstheme="majorBidi"/>
      <w:color w:val="272727" w:themeColor="text1" w:themeTint="D8"/>
    </w:rPr>
  </w:style>
  <w:style w:type="character" w:customStyle="1" w:styleId="TitleChar">
    <w:name w:val="Title Char"/>
    <w:basedOn w:val="DefaultParagraphFont"/>
    <w:link w:val="Title"/>
    <w:uiPriority w:val="10"/>
    <w:rsid w:val="00B50A9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50A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A9E"/>
    <w:pPr>
      <w:spacing w:before="160"/>
      <w:jc w:val="center"/>
    </w:pPr>
    <w:rPr>
      <w:i/>
      <w:iCs/>
      <w:color w:val="404040" w:themeColor="text1" w:themeTint="BF"/>
    </w:rPr>
  </w:style>
  <w:style w:type="character" w:customStyle="1" w:styleId="QuoteChar">
    <w:name w:val="Quote Char"/>
    <w:basedOn w:val="DefaultParagraphFont"/>
    <w:link w:val="Quote"/>
    <w:uiPriority w:val="29"/>
    <w:rsid w:val="00B50A9E"/>
    <w:rPr>
      <w:i/>
      <w:iCs/>
      <w:color w:val="404040" w:themeColor="text1" w:themeTint="BF"/>
    </w:rPr>
  </w:style>
  <w:style w:type="paragraph" w:styleId="ListParagraph">
    <w:name w:val="List Paragraph"/>
    <w:basedOn w:val="Normal"/>
    <w:uiPriority w:val="34"/>
    <w:qFormat/>
    <w:rsid w:val="00B50A9E"/>
    <w:pPr>
      <w:ind w:left="720"/>
      <w:contextualSpacing/>
    </w:pPr>
  </w:style>
  <w:style w:type="character" w:styleId="IntenseEmphasis">
    <w:name w:val="Intense Emphasis"/>
    <w:basedOn w:val="DefaultParagraphFont"/>
    <w:uiPriority w:val="21"/>
    <w:qFormat/>
    <w:rsid w:val="00B50A9E"/>
    <w:rPr>
      <w:i/>
      <w:iCs/>
      <w:color w:val="0F4761" w:themeColor="accent1" w:themeShade="BF"/>
    </w:rPr>
  </w:style>
  <w:style w:type="paragraph" w:styleId="IntenseQuote">
    <w:name w:val="Intense Quote"/>
    <w:basedOn w:val="Normal"/>
    <w:next w:val="Normal"/>
    <w:link w:val="IntenseQuoteChar"/>
    <w:uiPriority w:val="30"/>
    <w:qFormat/>
    <w:rsid w:val="00B50A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A9E"/>
    <w:rPr>
      <w:i/>
      <w:iCs/>
      <w:color w:val="0F4761" w:themeColor="accent1" w:themeShade="BF"/>
    </w:rPr>
  </w:style>
  <w:style w:type="character" w:styleId="IntenseReference">
    <w:name w:val="Intense Reference"/>
    <w:basedOn w:val="DefaultParagraphFont"/>
    <w:uiPriority w:val="32"/>
    <w:qFormat/>
    <w:rsid w:val="00B50A9E"/>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WFnua2ewWbcvWoaMfVdyOtxyA==">CgMxLjA4AHIhMU5uLVNCcXhnV0xoT3hiNHRfMTdCQUkwcDJkSkZnUmZf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Konstantinos Kokosis</dc:creator>
  <cp:lastModifiedBy>Ashley Browne</cp:lastModifiedBy>
  <cp:revision>3</cp:revision>
  <dcterms:created xsi:type="dcterms:W3CDTF">2026-11-02T09:47:00Z</dcterms:created>
  <dcterms:modified xsi:type="dcterms:W3CDTF">2026-11-02T10:19:00Z</dcterms:modified>
</cp:coreProperties>
</file>