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2F05A" w14:textId="77777777" w:rsidR="00CE4DFD" w:rsidRPr="008B3AFF" w:rsidRDefault="00CE4DFD" w:rsidP="00CE4DFD">
      <w:pPr>
        <w:keepNext/>
        <w:spacing w:after="0"/>
        <w:jc w:val="center"/>
        <w:outlineLvl w:val="0"/>
        <w:rPr>
          <w:b/>
          <w:bCs/>
          <w:color w:val="2F5496"/>
          <w:kern w:val="36"/>
          <w:sz w:val="20"/>
          <w:szCs w:val="20"/>
          <w:lang w:val="en-US"/>
        </w:rPr>
      </w:pPr>
      <w:bookmarkStart w:id="0" w:name="_Toc118459136"/>
      <w:bookmarkStart w:id="1" w:name="_Ref118795151"/>
      <w:r w:rsidRPr="008B3AFF">
        <w:rPr>
          <w:rFonts w:eastAsia="Arial"/>
          <w:b/>
          <w:bCs/>
          <w:caps/>
          <w:kern w:val="36"/>
          <w:sz w:val="20"/>
          <w:szCs w:val="20"/>
          <w:lang w:val="en-US"/>
        </w:rPr>
        <w:t xml:space="preserve">ANNEX 2 - </w:t>
      </w:r>
      <w:bookmarkEnd w:id="0"/>
      <w:r w:rsidRPr="008B3AFF">
        <w:rPr>
          <w:rFonts w:eastAsia="Arial"/>
          <w:b/>
          <w:bCs/>
          <w:caps/>
          <w:kern w:val="36"/>
          <w:sz w:val="20"/>
          <w:szCs w:val="20"/>
          <w:lang w:val="en-US"/>
        </w:rPr>
        <w:t xml:space="preserve">INFORMATION SECURITY </w:t>
      </w:r>
      <w:bookmarkEnd w:id="1"/>
      <w:r w:rsidRPr="008B3AFF">
        <w:rPr>
          <w:rFonts w:eastAsia="Arial"/>
          <w:b/>
          <w:bCs/>
          <w:caps/>
          <w:kern w:val="36"/>
          <w:sz w:val="20"/>
          <w:szCs w:val="20"/>
          <w:lang w:val="en-US"/>
        </w:rPr>
        <w:t>ANNEX</w:t>
      </w:r>
    </w:p>
    <w:p w14:paraId="26FBB37E" w14:textId="77777777" w:rsidR="00CE4DFD" w:rsidRDefault="00CE4DFD" w:rsidP="00CE4DFD">
      <w:pPr>
        <w:keepNext/>
        <w:spacing w:after="0"/>
        <w:textAlignment w:val="baseline"/>
        <w:rPr>
          <w:b/>
          <w:color w:val="000000"/>
          <w:spacing w:val="-2"/>
          <w:sz w:val="20"/>
          <w:szCs w:val="20"/>
          <w:lang w:eastAsia="en-IE"/>
        </w:rPr>
      </w:pPr>
    </w:p>
    <w:p w14:paraId="2121B9EC" w14:textId="77777777" w:rsidR="00CE4DFD" w:rsidRDefault="00CE4DFD" w:rsidP="00CE4DFD">
      <w:pPr>
        <w:keepNext/>
        <w:spacing w:after="0"/>
        <w:jc w:val="center"/>
        <w:textAlignment w:val="baseline"/>
        <w:rPr>
          <w:b/>
          <w:color w:val="000000"/>
          <w:spacing w:val="-2"/>
          <w:sz w:val="20"/>
          <w:szCs w:val="20"/>
          <w:lang w:eastAsia="en-IE"/>
        </w:rPr>
      </w:pPr>
      <w:r w:rsidRPr="008B3AFF">
        <w:rPr>
          <w:b/>
          <w:color w:val="000000"/>
          <w:spacing w:val="-2"/>
          <w:sz w:val="20"/>
          <w:szCs w:val="20"/>
          <w:lang w:eastAsia="en-IE"/>
        </w:rPr>
        <w:t>Technical and organisational security measures</w:t>
      </w:r>
    </w:p>
    <w:p w14:paraId="25E661B6" w14:textId="77777777" w:rsidR="00CE4DFD" w:rsidRPr="008B3AFF" w:rsidRDefault="00CE4DFD" w:rsidP="00CE4DFD">
      <w:pPr>
        <w:keepNext/>
        <w:spacing w:after="0"/>
        <w:jc w:val="center"/>
        <w:textAlignment w:val="baseline"/>
        <w:rPr>
          <w:b/>
          <w:color w:val="000000"/>
          <w:spacing w:val="-2"/>
          <w:sz w:val="20"/>
          <w:szCs w:val="20"/>
          <w:lang w:eastAsia="en-IE"/>
        </w:rPr>
      </w:pPr>
    </w:p>
    <w:p w14:paraId="123F47D4" w14:textId="77777777" w:rsidR="00CE4DFD" w:rsidRPr="00B37584" w:rsidRDefault="00CE4DFD" w:rsidP="00CE4DFD">
      <w:pPr>
        <w:rPr>
          <w:sz w:val="20"/>
          <w:szCs w:val="20"/>
          <w:lang w:eastAsia="en-IE"/>
        </w:rPr>
      </w:pPr>
      <w:r w:rsidRPr="00B37584">
        <w:rPr>
          <w:sz w:val="20"/>
          <w:szCs w:val="20"/>
        </w:rPr>
        <w:t>The following describes the minimum core technical and organisational security measures that the Supplier shall implement and maintain throughout the term of the agreement. The measures shall be appropriate to the nature, scope, context and purposes of the services and processing, and to the risks presented to the confidentiality, integrity and availability of information and personal data. Where a measure is not applicable, the Supplier shall document the reason and identify any equivalent or compensating control. On request, the Supplier shall provide reasonable evidence of implementation and operating effectiveness.</w:t>
      </w:r>
    </w:p>
    <w:p w14:paraId="20B35926" w14:textId="77777777" w:rsidR="00CE4DFD" w:rsidRPr="00B37584" w:rsidRDefault="00CE4DFD" w:rsidP="00CE4DFD">
      <w:pPr>
        <w:pStyle w:val="Heading1"/>
        <w:ind w:left="964" w:hanging="964"/>
        <w:rPr>
          <w:sz w:val="20"/>
          <w:szCs w:val="20"/>
          <w:lang w:eastAsia="en-IE"/>
        </w:rPr>
      </w:pPr>
      <w:r w:rsidRPr="00B37584">
        <w:rPr>
          <w:sz w:val="20"/>
          <w:szCs w:val="20"/>
        </w:rPr>
        <w:t>1. Information Security Policies and Standards</w:t>
      </w:r>
    </w:p>
    <w:p w14:paraId="1B6FC513" w14:textId="77777777" w:rsidR="00CE4DFD" w:rsidRPr="00B37584" w:rsidRDefault="00CE4DFD" w:rsidP="00CE4DFD">
      <w:pPr>
        <w:rPr>
          <w:sz w:val="20"/>
          <w:szCs w:val="20"/>
          <w:lang w:eastAsia="en-IE"/>
        </w:rPr>
      </w:pPr>
      <w:r w:rsidRPr="00B37584">
        <w:rPr>
          <w:sz w:val="20"/>
          <w:szCs w:val="20"/>
        </w:rPr>
        <w:t>The Supplier shall maintain a documented information security programme supported by approved policies and standards covering, as applicable, acceptable use, asset management, access control, cryptography, physical security, operations security, supplier management and incident response. Policies shall be reviewed at least annually and following material changes. Relevant personnel shall acknowledge and comply with them.</w:t>
      </w:r>
    </w:p>
    <w:p w14:paraId="29E81B35" w14:textId="77777777" w:rsidR="00CE4DFD" w:rsidRPr="00B37584" w:rsidRDefault="00CE4DFD" w:rsidP="00CE4DFD">
      <w:pPr>
        <w:pStyle w:val="Heading1"/>
        <w:ind w:left="964" w:hanging="964"/>
        <w:rPr>
          <w:sz w:val="20"/>
          <w:szCs w:val="20"/>
          <w:lang w:eastAsia="en-IE"/>
        </w:rPr>
      </w:pPr>
      <w:r w:rsidRPr="00B37584">
        <w:rPr>
          <w:sz w:val="20"/>
          <w:szCs w:val="20"/>
        </w:rPr>
        <w:t>2. Confidentiality</w:t>
      </w:r>
    </w:p>
    <w:p w14:paraId="486887A9" w14:textId="77777777" w:rsidR="00CE4DFD" w:rsidRPr="00B37584" w:rsidRDefault="00CE4DFD" w:rsidP="00CE4DFD">
      <w:pPr>
        <w:rPr>
          <w:sz w:val="20"/>
          <w:szCs w:val="20"/>
          <w:lang w:eastAsia="en-IE"/>
        </w:rPr>
      </w:pPr>
      <w:r w:rsidRPr="00B37584">
        <w:rPr>
          <w:sz w:val="20"/>
          <w:szCs w:val="20"/>
        </w:rPr>
        <w:t>The Supplier shall protect confidential information against unauthorised access, use, alteration, disclosure, loss or destruction throughout its lifecycle. Employees, contractors and relevant third parties shall be bound by appropriate confidentiality obligations before access is granted. The Supplier shall apply controls for</w:t>
      </w:r>
      <w:r>
        <w:rPr>
          <w:sz w:val="20"/>
          <w:szCs w:val="20"/>
        </w:rPr>
        <w:t xml:space="preserve"> staff working on CRU systems, to include</w:t>
      </w:r>
      <w:r w:rsidRPr="00B37584">
        <w:rPr>
          <w:sz w:val="20"/>
          <w:szCs w:val="20"/>
        </w:rPr>
        <w:t xml:space="preserve"> secure workspaces, clear desks and screens, and the authorised use, transport and disposal of removable media and records.</w:t>
      </w:r>
    </w:p>
    <w:p w14:paraId="6D293C34" w14:textId="77777777" w:rsidR="00CE4DFD" w:rsidRPr="00B37584" w:rsidRDefault="00CE4DFD" w:rsidP="00CE4DFD">
      <w:pPr>
        <w:pStyle w:val="Heading1"/>
        <w:ind w:left="964" w:hanging="964"/>
        <w:rPr>
          <w:sz w:val="20"/>
          <w:szCs w:val="20"/>
          <w:lang w:eastAsia="en-IE"/>
        </w:rPr>
      </w:pPr>
      <w:r w:rsidRPr="00B37584">
        <w:rPr>
          <w:sz w:val="20"/>
          <w:szCs w:val="20"/>
        </w:rPr>
        <w:t>3. Compliance and Certification</w:t>
      </w:r>
    </w:p>
    <w:p w14:paraId="61F7809D" w14:textId="77777777" w:rsidR="00CE4DFD" w:rsidRPr="00B37584" w:rsidRDefault="00CE4DFD" w:rsidP="00CE4DFD">
      <w:pPr>
        <w:rPr>
          <w:sz w:val="20"/>
          <w:szCs w:val="20"/>
        </w:rPr>
      </w:pPr>
      <w:r w:rsidRPr="00B37584">
        <w:rPr>
          <w:sz w:val="20"/>
          <w:szCs w:val="20"/>
        </w:rPr>
        <w:t>The Supplier shall comply with applicable data protection, cybersecurity, records management and sector-specific legal and regulatory requirements, including, where applicable, Directive (EU) 2022/2555 on measures for a high common level of cybersecurity across the Union (NIS2), as transposed into Irish law, and any related binding guidance or regulatory requirements. The Supplier shall maintain an appropriate information security management framework and, where represented or contractually required, current independent certification or assurance. Evidence may include certificates, audit reports, statements of applicability, compliance mappings, NIS2-related risk-management and incident-reporting procedures, and remediation plans. Data hosting, processing locations and international transfers shall comply with contractual and legal requirements.</w:t>
      </w:r>
    </w:p>
    <w:p w14:paraId="6F0DEC43" w14:textId="77777777" w:rsidR="00CE4DFD" w:rsidRPr="00B37584" w:rsidRDefault="00CE4DFD" w:rsidP="00CE4DFD">
      <w:pPr>
        <w:pStyle w:val="Heading1"/>
        <w:ind w:left="964" w:hanging="964"/>
        <w:rPr>
          <w:sz w:val="20"/>
          <w:szCs w:val="20"/>
          <w:lang w:eastAsia="en-IE"/>
        </w:rPr>
      </w:pPr>
      <w:r w:rsidRPr="00B37584">
        <w:rPr>
          <w:sz w:val="20"/>
          <w:szCs w:val="20"/>
        </w:rPr>
        <w:t>4. Physical Security</w:t>
      </w:r>
    </w:p>
    <w:p w14:paraId="042DAF65" w14:textId="77777777" w:rsidR="00CE4DFD" w:rsidRPr="00B37584" w:rsidRDefault="00CE4DFD" w:rsidP="00CE4DFD">
      <w:pPr>
        <w:rPr>
          <w:sz w:val="20"/>
          <w:szCs w:val="20"/>
          <w:lang w:eastAsia="en-IE"/>
        </w:rPr>
      </w:pPr>
      <w:r w:rsidRPr="00B37584">
        <w:rPr>
          <w:sz w:val="20"/>
          <w:szCs w:val="20"/>
        </w:rPr>
        <w:t>The Supplier shall secure offices, facilities and information-processing locations against unauthorised physical access, interference, damage and environmental threats. Controls shall include, as appropriate, defined security perimeters, controlled entry, visitor management, monitoring, protection of equipment and secure disposal. Where hosting or facilities are provided by a third party, the Supplier shall obtain assurance that equivalent physical controls are maintained.</w:t>
      </w:r>
    </w:p>
    <w:p w14:paraId="67AE5C47" w14:textId="77777777" w:rsidR="00CE4DFD" w:rsidRPr="00B37584" w:rsidRDefault="00CE4DFD" w:rsidP="00CE4DFD">
      <w:pPr>
        <w:pStyle w:val="Heading1"/>
        <w:ind w:left="964" w:hanging="964"/>
        <w:rPr>
          <w:sz w:val="20"/>
          <w:szCs w:val="20"/>
          <w:lang w:eastAsia="en-IE"/>
        </w:rPr>
      </w:pPr>
      <w:r w:rsidRPr="00B37584">
        <w:rPr>
          <w:sz w:val="20"/>
          <w:szCs w:val="20"/>
        </w:rPr>
        <w:t>5. Organisational Security</w:t>
      </w:r>
    </w:p>
    <w:p w14:paraId="2716FE8A" w14:textId="77777777" w:rsidR="00CE4DFD" w:rsidRDefault="00CE4DFD" w:rsidP="00CE4DFD">
      <w:pPr>
        <w:rPr>
          <w:sz w:val="20"/>
          <w:szCs w:val="20"/>
        </w:rPr>
      </w:pPr>
      <w:r w:rsidRPr="00B37584">
        <w:rPr>
          <w:sz w:val="20"/>
          <w:szCs w:val="20"/>
        </w:rPr>
        <w:t>The Supplier shall define and assign information security roles, responsibilities and decision-making authority. Appropriate segregation of duties shall be applied to reduce the risk of error, fraud or misuse. Management oversight, risk ownership, escalation paths and competent security, operations, continuity and incident response resources shall be maintained.</w:t>
      </w:r>
    </w:p>
    <w:p w14:paraId="0D93E025" w14:textId="77777777" w:rsidR="000A21F2" w:rsidRPr="00B37584" w:rsidRDefault="000A21F2" w:rsidP="00CE4DFD">
      <w:pPr>
        <w:rPr>
          <w:sz w:val="20"/>
          <w:szCs w:val="20"/>
          <w:lang w:eastAsia="en-IE"/>
        </w:rPr>
      </w:pPr>
    </w:p>
    <w:p w14:paraId="382FB971" w14:textId="77777777" w:rsidR="00CE4DFD" w:rsidRPr="00B37584" w:rsidRDefault="00CE4DFD" w:rsidP="00CE4DFD">
      <w:pPr>
        <w:pStyle w:val="Heading1"/>
        <w:ind w:left="964" w:hanging="964"/>
        <w:rPr>
          <w:sz w:val="20"/>
          <w:szCs w:val="20"/>
          <w:lang w:eastAsia="en-IE"/>
        </w:rPr>
      </w:pPr>
      <w:r w:rsidRPr="00B37584">
        <w:rPr>
          <w:sz w:val="20"/>
          <w:szCs w:val="20"/>
        </w:rPr>
        <w:lastRenderedPageBreak/>
        <w:t>6. Network Security</w:t>
      </w:r>
    </w:p>
    <w:p w14:paraId="19E9FE91" w14:textId="77777777" w:rsidR="00CE4DFD" w:rsidRPr="00B37584" w:rsidRDefault="00CE4DFD" w:rsidP="00CE4DFD">
      <w:pPr>
        <w:rPr>
          <w:sz w:val="20"/>
          <w:szCs w:val="20"/>
          <w:lang w:eastAsia="en-IE"/>
        </w:rPr>
      </w:pPr>
      <w:r w:rsidRPr="00B37584">
        <w:rPr>
          <w:sz w:val="20"/>
          <w:szCs w:val="20"/>
        </w:rPr>
        <w:t>The Supplier shall design, configure and monitor networks to restrict traffic to authorised services and destinations. Controls shall include, as appropriate, network segmentation, firewalls or equivalent controls, secure gateways, web application protection, denial-of-service mitigation, hardened configurations, restricted administrative interfaces and controlled remote access. Systems containing customer data shall not be directly exposed to public networks unless expressly required and appropriately protected.</w:t>
      </w:r>
    </w:p>
    <w:p w14:paraId="40D7C456" w14:textId="77777777" w:rsidR="00CE4DFD" w:rsidRPr="00B37584" w:rsidRDefault="00CE4DFD" w:rsidP="00CE4DFD">
      <w:pPr>
        <w:pStyle w:val="Heading1"/>
        <w:ind w:left="964" w:hanging="964"/>
        <w:rPr>
          <w:sz w:val="20"/>
          <w:szCs w:val="20"/>
          <w:lang w:eastAsia="en-IE"/>
        </w:rPr>
      </w:pPr>
      <w:r w:rsidRPr="00B37584">
        <w:rPr>
          <w:sz w:val="20"/>
          <w:szCs w:val="20"/>
        </w:rPr>
        <w:t>7. Logical Separation</w:t>
      </w:r>
    </w:p>
    <w:p w14:paraId="3093F1E8" w14:textId="77777777" w:rsidR="00CE4DFD" w:rsidRPr="00B37584" w:rsidRDefault="00CE4DFD" w:rsidP="00CE4DFD">
      <w:pPr>
        <w:rPr>
          <w:sz w:val="20"/>
          <w:szCs w:val="20"/>
        </w:rPr>
      </w:pPr>
      <w:r w:rsidRPr="00B37584">
        <w:rPr>
          <w:sz w:val="20"/>
          <w:szCs w:val="20"/>
        </w:rPr>
        <w:t>The Supplier shall logically separate customer data and services from those of other customers and from the Supplier’s internal environments. Access controls, tenant identifiers, roles, encryption boundaries, storage permissions or equivalent mechanisms shall prevent unauthorised cross-customer access. Production environments shall be separated from development and test environments, and production data shall not be used in non-production environments unless authorised and appropriately masked, anonymised or otherwise protected.</w:t>
      </w:r>
    </w:p>
    <w:p w14:paraId="36B422E1" w14:textId="77777777" w:rsidR="00CE4DFD" w:rsidRPr="00B37584" w:rsidRDefault="00CE4DFD" w:rsidP="00CE4DFD">
      <w:pPr>
        <w:pStyle w:val="Heading1"/>
        <w:ind w:left="964" w:hanging="964"/>
        <w:rPr>
          <w:sz w:val="20"/>
          <w:szCs w:val="20"/>
          <w:lang w:eastAsia="en-IE"/>
        </w:rPr>
      </w:pPr>
      <w:r w:rsidRPr="00B37584">
        <w:rPr>
          <w:sz w:val="20"/>
          <w:szCs w:val="20"/>
        </w:rPr>
        <w:t>8. Host and Configuration Management</w:t>
      </w:r>
    </w:p>
    <w:p w14:paraId="37AAE429" w14:textId="77777777" w:rsidR="00CE4DFD" w:rsidRPr="00E50F39" w:rsidRDefault="00CE4DFD" w:rsidP="00CE4DFD">
      <w:pPr>
        <w:rPr>
          <w:sz w:val="20"/>
          <w:szCs w:val="20"/>
        </w:rPr>
      </w:pPr>
      <w:r>
        <w:rPr>
          <w:sz w:val="20"/>
          <w:szCs w:val="20"/>
        </w:rPr>
        <w:t>Where t</w:t>
      </w:r>
      <w:r w:rsidRPr="00B37584">
        <w:rPr>
          <w:sz w:val="20"/>
          <w:szCs w:val="20"/>
        </w:rPr>
        <w:t xml:space="preserve">he Supplier </w:t>
      </w:r>
      <w:r>
        <w:rPr>
          <w:sz w:val="20"/>
          <w:szCs w:val="20"/>
        </w:rPr>
        <w:t xml:space="preserve">hosts CRU Data, all </w:t>
      </w:r>
      <w:r w:rsidRPr="00B37584">
        <w:rPr>
          <w:sz w:val="20"/>
          <w:szCs w:val="20"/>
        </w:rPr>
        <w:t>servers, endpoints, virtual machines, containers and other computing hosts</w:t>
      </w:r>
      <w:r>
        <w:rPr>
          <w:sz w:val="20"/>
          <w:szCs w:val="20"/>
        </w:rPr>
        <w:t xml:space="preserve"> used to host or process that data shall be centrally managed and maintained. Such systems</w:t>
      </w:r>
      <w:r w:rsidRPr="00B37584">
        <w:rPr>
          <w:sz w:val="20"/>
          <w:szCs w:val="20"/>
        </w:rPr>
        <w:t xml:space="preserve"> shall use supported software, secure baseline configurations and hardened images or builds. Unnecessary accounts, ports, services and software shall be removed or disabled. Security patches and configuration changes shall be risk-assessed, tested, approved, deployed within defined timescales and recorded.</w:t>
      </w:r>
    </w:p>
    <w:p w14:paraId="31FFCB3E" w14:textId="77777777" w:rsidR="00CE4DFD" w:rsidRPr="00B37584" w:rsidRDefault="00CE4DFD" w:rsidP="00CE4DFD">
      <w:pPr>
        <w:pStyle w:val="Heading1"/>
        <w:ind w:left="964" w:hanging="964"/>
        <w:rPr>
          <w:sz w:val="20"/>
          <w:szCs w:val="20"/>
          <w:lang w:eastAsia="en-IE"/>
        </w:rPr>
      </w:pPr>
      <w:r w:rsidRPr="00B37584">
        <w:rPr>
          <w:sz w:val="20"/>
          <w:szCs w:val="20"/>
        </w:rPr>
        <w:t>9. Access Control and System Logging</w:t>
      </w:r>
    </w:p>
    <w:p w14:paraId="3D24D4E7" w14:textId="77777777" w:rsidR="00CE4DFD" w:rsidRPr="00B37584" w:rsidRDefault="00CE4DFD" w:rsidP="00CE4DFD">
      <w:pPr>
        <w:rPr>
          <w:sz w:val="20"/>
          <w:szCs w:val="20"/>
        </w:rPr>
      </w:pPr>
      <w:r w:rsidRPr="00B37584">
        <w:rPr>
          <w:sz w:val="20"/>
          <w:szCs w:val="20"/>
        </w:rPr>
        <w:t>The Supplier shall apply least privilege, need-to-know access and role-based or attribute-based access controls. User and privileged access shall be authorised, provisioned, periodically reviewed and promptly revoked when no longer required. Shared accounts shall be prohibited or strictly controlled. Security-relevant system, application, database and administrative activity shall be logged, protected against alteration and reviewed in accordance with documented procedures.</w:t>
      </w:r>
    </w:p>
    <w:p w14:paraId="4908716B" w14:textId="77777777" w:rsidR="00CE4DFD" w:rsidRPr="00B37584" w:rsidRDefault="00CE4DFD" w:rsidP="00CE4DFD">
      <w:pPr>
        <w:pStyle w:val="Heading1"/>
        <w:ind w:left="964" w:hanging="964"/>
        <w:rPr>
          <w:sz w:val="20"/>
          <w:szCs w:val="20"/>
          <w:lang w:eastAsia="en-IE"/>
        </w:rPr>
      </w:pPr>
      <w:r w:rsidRPr="00B37584">
        <w:rPr>
          <w:sz w:val="20"/>
          <w:szCs w:val="20"/>
        </w:rPr>
        <w:t>10. Multi-Factor Authentication</w:t>
      </w:r>
    </w:p>
    <w:p w14:paraId="63F3E4FE" w14:textId="77777777" w:rsidR="00CE4DFD" w:rsidRPr="00B37584" w:rsidRDefault="00CE4DFD" w:rsidP="00CE4DFD">
      <w:pPr>
        <w:rPr>
          <w:sz w:val="20"/>
          <w:szCs w:val="20"/>
        </w:rPr>
      </w:pPr>
      <w:r w:rsidRPr="00B37584">
        <w:rPr>
          <w:sz w:val="20"/>
          <w:szCs w:val="20"/>
        </w:rPr>
        <w:t xml:space="preserve">The Supplier shall require multi-factor authentication for </w:t>
      </w:r>
      <w:r>
        <w:rPr>
          <w:sz w:val="20"/>
          <w:szCs w:val="20"/>
        </w:rPr>
        <w:t xml:space="preserve">all </w:t>
      </w:r>
      <w:r w:rsidRPr="00B37584">
        <w:rPr>
          <w:sz w:val="20"/>
          <w:szCs w:val="20"/>
        </w:rPr>
        <w:t>privileged access, remote access, administrative tools and other high-risk access paths. Authentication factors and recovery processes shall be securely managed, and controls shall protect against credential theft, replay and unauthorised enrolment or reset.</w:t>
      </w:r>
    </w:p>
    <w:p w14:paraId="1EA4DD49" w14:textId="77777777" w:rsidR="00CE4DFD" w:rsidRPr="00B37584" w:rsidRDefault="00CE4DFD" w:rsidP="00CE4DFD">
      <w:pPr>
        <w:pStyle w:val="Heading1"/>
        <w:ind w:left="964" w:hanging="964"/>
        <w:rPr>
          <w:sz w:val="20"/>
          <w:szCs w:val="20"/>
          <w:lang w:eastAsia="en-IE"/>
        </w:rPr>
      </w:pPr>
      <w:r w:rsidRPr="00B37584">
        <w:rPr>
          <w:sz w:val="20"/>
          <w:szCs w:val="20"/>
        </w:rPr>
        <w:t>11. Single Sign-On and Identity Federation</w:t>
      </w:r>
    </w:p>
    <w:p w14:paraId="35C9FA69" w14:textId="77777777" w:rsidR="00CE4DFD" w:rsidRPr="00B37584" w:rsidRDefault="00CE4DFD" w:rsidP="00CE4DFD">
      <w:pPr>
        <w:rPr>
          <w:sz w:val="20"/>
          <w:szCs w:val="20"/>
        </w:rPr>
      </w:pPr>
      <w:r w:rsidRPr="00B37584">
        <w:rPr>
          <w:sz w:val="20"/>
          <w:szCs w:val="20"/>
        </w:rPr>
        <w:t>Where supported or required, the Supplier shall provide secure single sign-on and identity federation using recognised standards. Integration shall enable centralised authentication, user lifecycle management and enforcement of the customer’s access policies. Federation configurations, tokens, certificates and secrets shall be securely managed and periodically reviewed.</w:t>
      </w:r>
    </w:p>
    <w:p w14:paraId="20984D29" w14:textId="77777777" w:rsidR="00CE4DFD" w:rsidRPr="00B37584" w:rsidRDefault="00CE4DFD" w:rsidP="00CE4DFD">
      <w:pPr>
        <w:pStyle w:val="Heading1"/>
        <w:ind w:left="964" w:hanging="964"/>
        <w:rPr>
          <w:sz w:val="20"/>
          <w:szCs w:val="20"/>
          <w:lang w:eastAsia="en-IE"/>
        </w:rPr>
      </w:pPr>
      <w:r w:rsidRPr="00B37584">
        <w:rPr>
          <w:sz w:val="20"/>
          <w:szCs w:val="20"/>
        </w:rPr>
        <w:t>12. Data Encryption in Transit and at Rest</w:t>
      </w:r>
    </w:p>
    <w:p w14:paraId="0DD4EE85" w14:textId="77777777" w:rsidR="00CE4DFD" w:rsidRPr="00B37584" w:rsidRDefault="00CE4DFD" w:rsidP="00CE4DFD">
      <w:pPr>
        <w:rPr>
          <w:sz w:val="20"/>
          <w:szCs w:val="20"/>
        </w:rPr>
      </w:pPr>
      <w:r w:rsidRPr="00B37584">
        <w:rPr>
          <w:sz w:val="20"/>
          <w:szCs w:val="20"/>
        </w:rPr>
        <w:t>The Supplier shall use current, industry-accepted cryptographic protocols and algorithms to protect sensitive data in transit and at rest. Weak or deprecated protocols and ciphers shall be disabled. Encryption keys, certificates and secrets shall be generated, stored, accessed, rotated, backed up and retired through controlled key-management processes, with access limited to authorised personnel and services.</w:t>
      </w:r>
    </w:p>
    <w:p w14:paraId="3CCF28E0" w14:textId="77777777" w:rsidR="00CE4DFD" w:rsidRPr="00B37584" w:rsidRDefault="00CE4DFD" w:rsidP="00CE4DFD">
      <w:pPr>
        <w:pStyle w:val="Heading1"/>
        <w:ind w:left="964" w:hanging="964"/>
        <w:rPr>
          <w:sz w:val="20"/>
          <w:szCs w:val="20"/>
          <w:lang w:eastAsia="en-IE"/>
        </w:rPr>
      </w:pPr>
      <w:r w:rsidRPr="00B37584">
        <w:rPr>
          <w:sz w:val="20"/>
          <w:szCs w:val="20"/>
        </w:rPr>
        <w:lastRenderedPageBreak/>
        <w:t>13. Virus and Malware Controls</w:t>
      </w:r>
    </w:p>
    <w:p w14:paraId="725FFAEE" w14:textId="77777777" w:rsidR="00CE4DFD" w:rsidRPr="00B37584" w:rsidRDefault="00CE4DFD" w:rsidP="00CE4DFD">
      <w:pPr>
        <w:rPr>
          <w:sz w:val="20"/>
          <w:szCs w:val="20"/>
        </w:rPr>
      </w:pPr>
      <w:r w:rsidRPr="00B37584">
        <w:rPr>
          <w:sz w:val="20"/>
          <w:szCs w:val="20"/>
        </w:rPr>
        <w:t xml:space="preserve">The Supplier shall implement layered controls to prevent, detect, quarantine and remediate </w:t>
      </w:r>
      <w:r>
        <w:rPr>
          <w:sz w:val="20"/>
          <w:szCs w:val="20"/>
        </w:rPr>
        <w:t xml:space="preserve">viruses and </w:t>
      </w:r>
      <w:r w:rsidRPr="00B37584">
        <w:rPr>
          <w:sz w:val="20"/>
          <w:szCs w:val="20"/>
        </w:rPr>
        <w:t xml:space="preserve">malware on relevant endpoints, servers, workloads, email, uploads and network traffic. </w:t>
      </w:r>
      <w:r>
        <w:rPr>
          <w:sz w:val="20"/>
          <w:szCs w:val="20"/>
        </w:rPr>
        <w:t>Virus and m</w:t>
      </w:r>
      <w:r w:rsidRPr="00B37584">
        <w:rPr>
          <w:sz w:val="20"/>
          <w:szCs w:val="20"/>
        </w:rPr>
        <w:t>alware protection shall be kept current and centrally monitored. Application allow-listing, restricted installation privileges and user awareness controls shall be applied based on risk.</w:t>
      </w:r>
    </w:p>
    <w:p w14:paraId="672A6954" w14:textId="77777777" w:rsidR="00CE4DFD" w:rsidRPr="00B37584" w:rsidRDefault="00CE4DFD" w:rsidP="00CE4DFD">
      <w:pPr>
        <w:pStyle w:val="Heading1"/>
        <w:ind w:left="964" w:hanging="964"/>
        <w:rPr>
          <w:sz w:val="20"/>
          <w:szCs w:val="20"/>
          <w:lang w:eastAsia="en-IE"/>
        </w:rPr>
      </w:pPr>
      <w:r w:rsidRPr="00B37584">
        <w:rPr>
          <w:sz w:val="20"/>
          <w:szCs w:val="20"/>
        </w:rPr>
        <w:t>14. Logging, Monitoring and Intrusion Detection</w:t>
      </w:r>
    </w:p>
    <w:p w14:paraId="6117B8DE" w14:textId="77777777" w:rsidR="00CE4DFD" w:rsidRPr="00B37584" w:rsidRDefault="00CE4DFD" w:rsidP="00CE4DFD">
      <w:pPr>
        <w:rPr>
          <w:sz w:val="20"/>
          <w:szCs w:val="20"/>
        </w:rPr>
      </w:pPr>
      <w:r w:rsidRPr="00B37584">
        <w:rPr>
          <w:sz w:val="20"/>
          <w:szCs w:val="20"/>
        </w:rPr>
        <w:t>The Supplier shall continuously monitor relevant systems and networks for anomalous or malicious activity. Logs shall capture sufficient detail to support detection, investigation, audit and forensic analysis; be time-synchronised; have defined retention periods; and be protected from unauthorised access, alteration and deletion. Alerts shall be triaged and escalated to authorised personnel within documented response times.</w:t>
      </w:r>
    </w:p>
    <w:p w14:paraId="661C186E" w14:textId="77777777" w:rsidR="00CE4DFD" w:rsidRPr="00B37584" w:rsidRDefault="00CE4DFD" w:rsidP="00CE4DFD">
      <w:pPr>
        <w:pStyle w:val="Heading1"/>
        <w:ind w:left="964" w:hanging="964"/>
        <w:rPr>
          <w:sz w:val="20"/>
          <w:szCs w:val="20"/>
          <w:lang w:eastAsia="en-IE"/>
        </w:rPr>
      </w:pPr>
      <w:r w:rsidRPr="00B37584">
        <w:rPr>
          <w:sz w:val="20"/>
          <w:szCs w:val="20"/>
        </w:rPr>
        <w:t>15. Secure Product and Service Development</w:t>
      </w:r>
    </w:p>
    <w:p w14:paraId="5EE2107F" w14:textId="77777777" w:rsidR="00CE4DFD" w:rsidRPr="00B37584" w:rsidRDefault="00CE4DFD" w:rsidP="00CE4DFD">
      <w:pPr>
        <w:rPr>
          <w:sz w:val="20"/>
          <w:szCs w:val="20"/>
        </w:rPr>
      </w:pPr>
      <w:r w:rsidRPr="00B37584">
        <w:rPr>
          <w:sz w:val="20"/>
          <w:szCs w:val="20"/>
        </w:rPr>
        <w:t xml:space="preserve">The Supplier shall integrate security into </w:t>
      </w:r>
      <w:r>
        <w:rPr>
          <w:sz w:val="20"/>
          <w:szCs w:val="20"/>
        </w:rPr>
        <w:t>all</w:t>
      </w:r>
      <w:r w:rsidRPr="00B37584">
        <w:rPr>
          <w:sz w:val="20"/>
          <w:szCs w:val="20"/>
        </w:rPr>
        <w:t xml:space="preserve"> development and change lifecycle, including requirements, architecture, design, coding, testing, approval, release and maintenance. Controls shall include secure coding standards, peer review, automated or manual security testing, dependency and component management, vulnerability remediation, change control and separation of development responsibilities and environments.</w:t>
      </w:r>
    </w:p>
    <w:p w14:paraId="219FBE7E" w14:textId="77777777" w:rsidR="00CE4DFD" w:rsidRPr="00B37584" w:rsidRDefault="00CE4DFD" w:rsidP="00CE4DFD">
      <w:pPr>
        <w:pStyle w:val="Heading1"/>
        <w:ind w:left="964" w:hanging="964"/>
        <w:rPr>
          <w:sz w:val="20"/>
          <w:szCs w:val="20"/>
          <w:lang w:eastAsia="en-IE"/>
        </w:rPr>
      </w:pPr>
      <w:r w:rsidRPr="00B37584">
        <w:rPr>
          <w:sz w:val="20"/>
          <w:szCs w:val="20"/>
        </w:rPr>
        <w:t>16. Personnel Security and Awareness</w:t>
      </w:r>
    </w:p>
    <w:p w14:paraId="085B9FE6" w14:textId="77777777" w:rsidR="00CE4DFD" w:rsidRPr="00B37584" w:rsidRDefault="00CE4DFD" w:rsidP="00CE4DFD">
      <w:pPr>
        <w:rPr>
          <w:sz w:val="20"/>
          <w:szCs w:val="20"/>
        </w:rPr>
      </w:pPr>
      <w:r w:rsidRPr="00B37584">
        <w:rPr>
          <w:sz w:val="20"/>
          <w:szCs w:val="20"/>
        </w:rPr>
        <w:t>The Supplier shall conduct lawful and proportionate pre-employment or pre-engagement screening for personnel in sensitive roles. Personnel shall receive information security and data protection training during onboarding and at least annually thereafter, with role-specific training where appropriate. Security responsibilities shall be reflected in employment or engagement terms, and a documented disciplinary process shall address policy or security violations.</w:t>
      </w:r>
    </w:p>
    <w:p w14:paraId="3E11EFE7" w14:textId="77777777" w:rsidR="00CE4DFD" w:rsidRPr="00B37584" w:rsidRDefault="00CE4DFD" w:rsidP="00CE4DFD">
      <w:pPr>
        <w:pStyle w:val="Heading1"/>
        <w:ind w:left="964" w:hanging="964"/>
        <w:rPr>
          <w:sz w:val="20"/>
          <w:szCs w:val="20"/>
          <w:lang w:eastAsia="en-IE"/>
        </w:rPr>
      </w:pPr>
      <w:r w:rsidRPr="00B37584">
        <w:rPr>
          <w:sz w:val="20"/>
          <w:szCs w:val="20"/>
        </w:rPr>
        <w:t>17. Availability and Resilience</w:t>
      </w:r>
    </w:p>
    <w:p w14:paraId="512D5758" w14:textId="77777777" w:rsidR="00CE4DFD" w:rsidRPr="00B37584" w:rsidRDefault="00CE4DFD" w:rsidP="00CE4DFD">
      <w:pPr>
        <w:rPr>
          <w:sz w:val="20"/>
          <w:szCs w:val="20"/>
        </w:rPr>
      </w:pPr>
      <w:r w:rsidRPr="00B37584">
        <w:rPr>
          <w:sz w:val="20"/>
          <w:szCs w:val="20"/>
        </w:rPr>
        <w:t>The Supplier shall design and operate services to meet agreed availability, capacity and performance requirements. The architecture shall minimise or appropriately mitigate single points of failure through redundancy, fault tolerance, automated recovery, spare capacity or documented rapid-recovery procedures. Health monitoring, alerting, maintenance and recovery arrangements shall support the service levels and recovery objectives agreed with the customer.</w:t>
      </w:r>
    </w:p>
    <w:p w14:paraId="537CB06C" w14:textId="77777777" w:rsidR="00CE4DFD" w:rsidRPr="00B37584" w:rsidRDefault="00CE4DFD" w:rsidP="00CE4DFD">
      <w:pPr>
        <w:pStyle w:val="Heading1"/>
        <w:ind w:left="964" w:hanging="964"/>
        <w:rPr>
          <w:sz w:val="20"/>
          <w:szCs w:val="20"/>
          <w:lang w:eastAsia="en-IE"/>
        </w:rPr>
      </w:pPr>
      <w:r w:rsidRPr="00B37584">
        <w:rPr>
          <w:sz w:val="20"/>
          <w:szCs w:val="20"/>
        </w:rPr>
        <w:t>18. Disaster Recovery, Backup and Business Continuity</w:t>
      </w:r>
    </w:p>
    <w:p w14:paraId="7188F6D3" w14:textId="77777777" w:rsidR="00CE4DFD" w:rsidRPr="00B37584" w:rsidRDefault="00CE4DFD" w:rsidP="00CE4DFD">
      <w:pPr>
        <w:rPr>
          <w:sz w:val="20"/>
          <w:szCs w:val="20"/>
        </w:rPr>
      </w:pPr>
      <w:r w:rsidRPr="00B37584">
        <w:rPr>
          <w:sz w:val="20"/>
          <w:szCs w:val="20"/>
        </w:rPr>
        <w:t>The Supplier shall maintain documented, approved and tested business continuity and disaster recovery arrangements. Recovery Point Objectives and Recovery Time Objectives shall be defined for critical services and aligned with contractual requirements. Backups shall be encrypted where appropriate, access-controlled, monitored, retained in accordance with policy, protected from common-mode failure and periodically restored to verify integrity and recoverability. Plans shall be exercised at least annually and after material changes.</w:t>
      </w:r>
    </w:p>
    <w:p w14:paraId="2E71E375" w14:textId="77777777" w:rsidR="00CE4DFD" w:rsidRPr="00B37584" w:rsidRDefault="00CE4DFD" w:rsidP="00CE4DFD">
      <w:pPr>
        <w:pStyle w:val="Heading1"/>
        <w:ind w:left="964" w:hanging="964"/>
        <w:rPr>
          <w:sz w:val="20"/>
          <w:szCs w:val="20"/>
          <w:lang w:eastAsia="en-IE"/>
        </w:rPr>
      </w:pPr>
      <w:r w:rsidRPr="00B37584">
        <w:rPr>
          <w:sz w:val="20"/>
          <w:szCs w:val="20"/>
        </w:rPr>
        <w:t>19. Incident Management and Response</w:t>
      </w:r>
    </w:p>
    <w:p w14:paraId="622FBB12" w14:textId="77777777" w:rsidR="00CE4DFD" w:rsidRPr="00B37584" w:rsidRDefault="00CE4DFD" w:rsidP="00CE4DFD">
      <w:pPr>
        <w:rPr>
          <w:sz w:val="20"/>
          <w:szCs w:val="20"/>
        </w:rPr>
      </w:pPr>
      <w:r w:rsidRPr="00B37584">
        <w:rPr>
          <w:sz w:val="20"/>
          <w:szCs w:val="20"/>
        </w:rPr>
        <w:t>The Supplier shall maintain a formal security incident response process covering preparation, detection, reporting, assessment, containment, eradication, recovery, evidence preservation, communication and post-incident review. Personnel shall know how and when to report suspected incidents. The Supplier shall notify the customer of incidents affecting the services or customer data without undue delay and within any contractual or legal timeframe, provide timely updates, cooperate with investigations and implement corrective actions.</w:t>
      </w:r>
    </w:p>
    <w:p w14:paraId="5C288AE3" w14:textId="77777777" w:rsidR="00CE4DFD" w:rsidRPr="00B37584" w:rsidRDefault="00CE4DFD" w:rsidP="00CE4DFD">
      <w:pPr>
        <w:pStyle w:val="Heading1"/>
        <w:ind w:left="964" w:hanging="964"/>
        <w:rPr>
          <w:sz w:val="20"/>
          <w:szCs w:val="20"/>
          <w:lang w:eastAsia="en-IE"/>
        </w:rPr>
      </w:pPr>
      <w:r w:rsidRPr="00B37584">
        <w:rPr>
          <w:sz w:val="20"/>
          <w:szCs w:val="20"/>
        </w:rPr>
        <w:lastRenderedPageBreak/>
        <w:t>20. Vulnerability Management and Independent Assurance</w:t>
      </w:r>
    </w:p>
    <w:p w14:paraId="1A650F24" w14:textId="77777777" w:rsidR="00CE4DFD" w:rsidRPr="00B37584" w:rsidRDefault="00CE4DFD" w:rsidP="00CE4DFD">
      <w:pPr>
        <w:rPr>
          <w:sz w:val="20"/>
          <w:szCs w:val="20"/>
        </w:rPr>
      </w:pPr>
      <w:r w:rsidRPr="00B37584">
        <w:rPr>
          <w:sz w:val="20"/>
          <w:szCs w:val="20"/>
        </w:rPr>
        <w:t>The Supplier shall maintain a risk-based vulnerability management programme covering identification, assessment, prioritisation, remediation and verification. Relevant systems and public-facing services shall undergo periodic vulnerability scanning and independent security testing, including penetration testing where appropriate and after significant changes. Findings shall be tracked to closure within defined timescales, and material unresolved risks shall be communicated to the customer. The Supplier shall provide appropriate summaries or assurance evidence on request, subject to reasonable confidentiality and security restrictions.</w:t>
      </w:r>
    </w:p>
    <w:p w14:paraId="3202A867" w14:textId="77777777" w:rsidR="00CE4DFD" w:rsidRDefault="00CE4DFD" w:rsidP="00CE4DFD">
      <w:pPr>
        <w:pStyle w:val="Heading1"/>
        <w:spacing w:before="0" w:after="240" w:line="240" w:lineRule="auto"/>
        <w:ind w:left="964" w:hanging="964"/>
        <w:rPr>
          <w:kern w:val="36"/>
          <w:lang w:eastAsia="en-IE"/>
        </w:rPr>
      </w:pPr>
      <w:r>
        <w:rPr>
          <w:sz w:val="20"/>
          <w:szCs w:val="20"/>
        </w:rPr>
        <w:t>21. Right to Audit — Contractual and NIS2 Compliance</w:t>
      </w:r>
    </w:p>
    <w:p w14:paraId="2B034678" w14:textId="77777777" w:rsidR="00CE4DFD" w:rsidRDefault="00CE4DFD" w:rsidP="00CE4DFD">
      <w:pPr>
        <w:rPr>
          <w:sz w:val="20"/>
          <w:szCs w:val="20"/>
        </w:rPr>
      </w:pPr>
      <w:r>
        <w:rPr>
          <w:sz w:val="20"/>
          <w:szCs w:val="20"/>
        </w:rPr>
        <w:t xml:space="preserve">Without prejudice to any other audit, inspection, access or assurance right under the Agreement, the CRU, its auditors and any competent authority shall have the right, on reasonable notice or immediately where required by law, regulation, an Incident or a material security concern, to audit, inspect and assess the Supplier’s and its Subcontractors’ compliance with this Annex, the Agreement, Applicable Laws and, where applicable, Directive (EU) 2022/2555 (NIS2) as transposed into Irish law. The Supplier shall provide full and timely access to relevant premises, personnel, systems, networks, applications, configurations, policies, procedures, risk assessments, security records, logs, testing results, certifications, incident records, supply-chain assurance and other evidence reasonably required for that purpose. </w:t>
      </w:r>
    </w:p>
    <w:p w14:paraId="710F8370" w14:textId="77777777" w:rsidR="00CE4DFD" w:rsidRDefault="00CE4DFD" w:rsidP="00CE4DFD">
      <w:pPr>
        <w:rPr>
          <w:kern w:val="2"/>
          <w:lang w:eastAsia="en-IE"/>
          <w14:ligatures w14:val="standardContextual"/>
        </w:rPr>
      </w:pPr>
      <w:r>
        <w:rPr>
          <w:sz w:val="20"/>
          <w:szCs w:val="20"/>
        </w:rPr>
        <w:t>The Supplier shall cooperate fully, at no additional cost to the CRU, shall not unreasonably restrict the scope or method of an audit, and shall ensure that equivalent rights are enforceable against all relevant Subcontractors and service providers. The CRU may require the Supplier to complete remediation actions arising from an audit within timescales specified by the CRU, taking account of the severity of the finding and any applicable legal or regulatory deadline. The Supplier shall promptly provide evidence of completion. Nothing in this Section limits the powers or access rights of any competent authority or regulator or prevents the CRU from exercising any other contractual or legal remedy.</w:t>
      </w:r>
    </w:p>
    <w:p w14:paraId="2754D33C" w14:textId="77777777" w:rsidR="007C6CF0" w:rsidRDefault="007C6CF0"/>
    <w:sectPr w:rsidR="007C6C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66B"/>
    <w:rsid w:val="000137E1"/>
    <w:rsid w:val="000A21F2"/>
    <w:rsid w:val="002B6880"/>
    <w:rsid w:val="00410859"/>
    <w:rsid w:val="004C166B"/>
    <w:rsid w:val="004D5065"/>
    <w:rsid w:val="00606A3F"/>
    <w:rsid w:val="007C6CF0"/>
    <w:rsid w:val="00B56661"/>
    <w:rsid w:val="00B861EF"/>
    <w:rsid w:val="00CE173A"/>
    <w:rsid w:val="00CE4DFD"/>
    <w:rsid w:val="00F05A8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74106"/>
  <w15:chartTrackingRefBased/>
  <w15:docId w15:val="{6DD9106B-FA11-4A1C-9AE9-FFD0DB00B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DFD"/>
    <w:pPr>
      <w:spacing w:after="240" w:line="240" w:lineRule="auto"/>
      <w:jc w:val="both"/>
    </w:pPr>
    <w:rPr>
      <w:rFonts w:ascii="Arial" w:eastAsia="Times New Roman" w:hAnsi="Arial" w:cs="Arial"/>
      <w:kern w:val="0"/>
      <w:sz w:val="22"/>
      <w:szCs w:val="22"/>
      <w14:ligatures w14:val="none"/>
    </w:rPr>
  </w:style>
  <w:style w:type="paragraph" w:styleId="Heading1">
    <w:name w:val="heading 1"/>
    <w:basedOn w:val="Normal"/>
    <w:next w:val="Normal"/>
    <w:link w:val="Heading1Char"/>
    <w:uiPriority w:val="9"/>
    <w:qFormat/>
    <w:rsid w:val="004C166B"/>
    <w:pPr>
      <w:keepNext/>
      <w:keepLines/>
      <w:spacing w:before="360" w:after="80" w:line="278" w:lineRule="atLeast"/>
      <w:jc w:val="left"/>
      <w:outlineLvl w:val="0"/>
    </w:pPr>
    <w:rPr>
      <w:rFonts w:eastAsiaTheme="majorEastAsia"/>
      <w:b/>
      <w:color w:val="000000"/>
      <w:kern w:val="2"/>
      <w:szCs w:val="40"/>
      <w14:ligatures w14:val="standardContextual"/>
    </w:rPr>
  </w:style>
  <w:style w:type="paragraph" w:styleId="Heading2">
    <w:name w:val="heading 2"/>
    <w:basedOn w:val="Normal"/>
    <w:next w:val="Normal"/>
    <w:link w:val="Heading2Char"/>
    <w:uiPriority w:val="9"/>
    <w:semiHidden/>
    <w:unhideWhenUsed/>
    <w:qFormat/>
    <w:rsid w:val="004C166B"/>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C1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1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1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1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66B"/>
    <w:rPr>
      <w:rFonts w:ascii="Arial" w:eastAsiaTheme="majorEastAsia" w:hAnsi="Arial" w:cs="Arial"/>
      <w:b/>
      <w:color w:val="000000"/>
      <w:sz w:val="22"/>
      <w:szCs w:val="40"/>
    </w:rPr>
  </w:style>
  <w:style w:type="character" w:customStyle="1" w:styleId="Heading2Char">
    <w:name w:val="Heading 2 Char"/>
    <w:basedOn w:val="DefaultParagraphFont"/>
    <w:link w:val="Heading2"/>
    <w:uiPriority w:val="9"/>
    <w:semiHidden/>
    <w:rsid w:val="004C1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1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1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1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1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66B"/>
    <w:rPr>
      <w:rFonts w:eastAsiaTheme="majorEastAsia" w:cstheme="majorBidi"/>
      <w:color w:val="272727" w:themeColor="text1" w:themeTint="D8"/>
    </w:rPr>
  </w:style>
  <w:style w:type="paragraph" w:styleId="Title">
    <w:name w:val="Title"/>
    <w:basedOn w:val="Normal"/>
    <w:next w:val="Normal"/>
    <w:link w:val="TitleChar"/>
    <w:uiPriority w:val="10"/>
    <w:qFormat/>
    <w:rsid w:val="004C166B"/>
    <w:pPr>
      <w:spacing w:after="80" w:line="240" w:lineRule="atLeast"/>
      <w:contextualSpacing/>
      <w:jc w:val="left"/>
    </w:pPr>
    <w:rPr>
      <w:rFonts w:eastAsiaTheme="majorEastAsia"/>
      <w:spacing w:val="-10"/>
      <w:kern w:val="28"/>
      <w:szCs w:val="56"/>
      <w14:ligatures w14:val="standardContextual"/>
    </w:rPr>
  </w:style>
  <w:style w:type="character" w:customStyle="1" w:styleId="TitleChar">
    <w:name w:val="Title Char"/>
    <w:basedOn w:val="DefaultParagraphFont"/>
    <w:link w:val="Title"/>
    <w:uiPriority w:val="10"/>
    <w:rsid w:val="004C166B"/>
    <w:rPr>
      <w:rFonts w:ascii="Arial" w:eastAsiaTheme="majorEastAsia" w:hAnsi="Arial" w:cs="Arial"/>
      <w:spacing w:val="-10"/>
      <w:kern w:val="28"/>
      <w:sz w:val="22"/>
      <w:szCs w:val="56"/>
    </w:rPr>
  </w:style>
  <w:style w:type="paragraph" w:styleId="Subtitle">
    <w:name w:val="Subtitle"/>
    <w:basedOn w:val="Normal"/>
    <w:next w:val="Normal"/>
    <w:link w:val="SubtitleChar"/>
    <w:uiPriority w:val="11"/>
    <w:qFormat/>
    <w:rsid w:val="004C166B"/>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C1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66B"/>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C166B"/>
    <w:rPr>
      <w:i/>
      <w:iCs/>
      <w:color w:val="404040" w:themeColor="text1" w:themeTint="BF"/>
    </w:rPr>
  </w:style>
  <w:style w:type="paragraph" w:styleId="ListParagraph">
    <w:name w:val="List Paragraph"/>
    <w:basedOn w:val="Normal"/>
    <w:uiPriority w:val="34"/>
    <w:qFormat/>
    <w:rsid w:val="004C166B"/>
    <w:pPr>
      <w:spacing w:after="160" w:line="278" w:lineRule="auto"/>
      <w:ind w:left="720"/>
      <w:contextualSpacing/>
      <w:jc w:val="left"/>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4C166B"/>
    <w:rPr>
      <w:i/>
      <w:iCs/>
      <w:color w:val="0F4761" w:themeColor="accent1" w:themeShade="BF"/>
    </w:rPr>
  </w:style>
  <w:style w:type="paragraph" w:styleId="IntenseQuote">
    <w:name w:val="Intense Quote"/>
    <w:basedOn w:val="Normal"/>
    <w:next w:val="Normal"/>
    <w:link w:val="IntenseQuoteChar"/>
    <w:uiPriority w:val="30"/>
    <w:qFormat/>
    <w:rsid w:val="004C166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C166B"/>
    <w:rPr>
      <w:i/>
      <w:iCs/>
      <w:color w:val="0F4761" w:themeColor="accent1" w:themeShade="BF"/>
    </w:rPr>
  </w:style>
  <w:style w:type="character" w:styleId="IntenseReference">
    <w:name w:val="Intense Reference"/>
    <w:basedOn w:val="DefaultParagraphFont"/>
    <w:uiPriority w:val="32"/>
    <w:qFormat/>
    <w:rsid w:val="004C166B"/>
    <w:rPr>
      <w:b/>
      <w:bCs/>
      <w:smallCaps/>
      <w:color w:val="0F4761" w:themeColor="accent1" w:themeShade="BF"/>
      <w:spacing w:val="5"/>
    </w:rPr>
  </w:style>
  <w:style w:type="character" w:styleId="BookTitle">
    <w:name w:val="Book Title"/>
    <w:basedOn w:val="DefaultParagraphFont"/>
    <w:uiPriority w:val="33"/>
    <w:qFormat/>
    <w:rsid w:val="004C166B"/>
    <w:rPr>
      <w:b/>
      <w:bCs/>
      <w:i/>
      <w:iCs/>
      <w:spacing w:val="5"/>
    </w:rPr>
  </w:style>
  <w:style w:type="paragraph" w:styleId="Caption">
    <w:name w:val="caption"/>
    <w:basedOn w:val="Normal"/>
    <w:next w:val="Normal"/>
    <w:uiPriority w:val="35"/>
    <w:semiHidden/>
    <w:unhideWhenUsed/>
    <w:qFormat/>
    <w:rsid w:val="004C166B"/>
    <w:pPr>
      <w:spacing w:after="200"/>
      <w:jc w:val="left"/>
    </w:pPr>
    <w:rPr>
      <w:rFonts w:asciiTheme="minorHAnsi" w:eastAsiaTheme="minorHAnsi" w:hAnsiTheme="minorHAnsi" w:cstheme="minorBidi"/>
      <w:i/>
      <w:iCs/>
      <w:color w:val="0E2841" w:themeColor="text2"/>
      <w:kern w:val="2"/>
      <w:sz w:val="18"/>
      <w:szCs w:val="18"/>
      <w14:ligatures w14:val="standardContextual"/>
    </w:rPr>
  </w:style>
  <w:style w:type="character" w:styleId="Emphasis">
    <w:name w:val="Emphasis"/>
    <w:basedOn w:val="DefaultParagraphFont"/>
    <w:uiPriority w:val="20"/>
    <w:qFormat/>
    <w:rsid w:val="004C166B"/>
    <w:rPr>
      <w:i/>
      <w:iCs/>
    </w:rPr>
  </w:style>
  <w:style w:type="paragraph" w:styleId="NoSpacing">
    <w:name w:val="No Spacing"/>
    <w:uiPriority w:val="1"/>
    <w:qFormat/>
    <w:rsid w:val="004C166B"/>
    <w:pPr>
      <w:spacing w:after="0" w:line="240" w:lineRule="auto"/>
    </w:pPr>
  </w:style>
  <w:style w:type="character" w:styleId="Strong">
    <w:name w:val="Strong"/>
    <w:basedOn w:val="DefaultParagraphFont"/>
    <w:uiPriority w:val="22"/>
    <w:qFormat/>
    <w:rsid w:val="004C166B"/>
    <w:rPr>
      <w:b/>
      <w:bCs/>
    </w:rPr>
  </w:style>
  <w:style w:type="character" w:styleId="SubtleEmphasis">
    <w:name w:val="Subtle Emphasis"/>
    <w:basedOn w:val="DefaultParagraphFont"/>
    <w:uiPriority w:val="19"/>
    <w:qFormat/>
    <w:rsid w:val="004C166B"/>
    <w:rPr>
      <w:i/>
      <w:iCs/>
      <w:color w:val="404040" w:themeColor="text1" w:themeTint="BF"/>
    </w:rPr>
  </w:style>
  <w:style w:type="character" w:styleId="SubtleReference">
    <w:name w:val="Subtle Reference"/>
    <w:basedOn w:val="DefaultParagraphFont"/>
    <w:uiPriority w:val="31"/>
    <w:qFormat/>
    <w:rsid w:val="004C166B"/>
    <w:rPr>
      <w:smallCaps/>
      <w:color w:val="5A5A5A" w:themeColor="text1" w:themeTint="A5"/>
    </w:rPr>
  </w:style>
  <w:style w:type="paragraph" w:styleId="TOCHeading">
    <w:name w:val="TOC Heading"/>
    <w:basedOn w:val="Heading1"/>
    <w:next w:val="Normal"/>
    <w:uiPriority w:val="39"/>
    <w:semiHidden/>
    <w:unhideWhenUsed/>
    <w:qFormat/>
    <w:rsid w:val="004C166B"/>
    <w:pPr>
      <w:spacing w:before="240" w:after="0"/>
      <w:outlineLvl w:val="9"/>
    </w:pPr>
    <w:rPr>
      <w:sz w:val="32"/>
      <w:szCs w:val="32"/>
    </w:rPr>
  </w:style>
  <w:style w:type="paragraph" w:styleId="NormalWeb">
    <w:name w:val="Normal (Web)"/>
    <w:basedOn w:val="Normal"/>
    <w:uiPriority w:val="99"/>
    <w:semiHidden/>
    <w:unhideWhenUsed/>
    <w:rsid w:val="004C166B"/>
    <w:pPr>
      <w:spacing w:before="100" w:beforeAutospacing="1" w:after="100" w:afterAutospacing="1"/>
    </w:pPr>
    <w:rPr>
      <w:rFonts w:ascii="Times New Roman" w:hAnsi="Times New Roman" w:cs="Times New Roman"/>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5710">
      <w:marLeft w:val="0"/>
      <w:marRight w:val="0"/>
      <w:marTop w:val="0"/>
      <w:marBottom w:val="0"/>
      <w:divBdr>
        <w:top w:val="none" w:sz="0" w:space="0" w:color="auto"/>
        <w:left w:val="none" w:sz="0" w:space="0" w:color="auto"/>
        <w:bottom w:val="none" w:sz="0" w:space="0" w:color="auto"/>
        <w:right w:val="none" w:sz="0" w:space="0" w:color="auto"/>
      </w:divBdr>
    </w:div>
    <w:div w:id="93016507">
      <w:marLeft w:val="0"/>
      <w:marRight w:val="0"/>
      <w:marTop w:val="0"/>
      <w:marBottom w:val="0"/>
      <w:divBdr>
        <w:top w:val="none" w:sz="0" w:space="0" w:color="auto"/>
        <w:left w:val="none" w:sz="0" w:space="0" w:color="auto"/>
        <w:bottom w:val="none" w:sz="0" w:space="0" w:color="auto"/>
        <w:right w:val="none" w:sz="0" w:space="0" w:color="auto"/>
      </w:divBdr>
    </w:div>
    <w:div w:id="347635485">
      <w:marLeft w:val="0"/>
      <w:marRight w:val="0"/>
      <w:marTop w:val="0"/>
      <w:marBottom w:val="0"/>
      <w:divBdr>
        <w:top w:val="none" w:sz="0" w:space="0" w:color="auto"/>
        <w:left w:val="none" w:sz="0" w:space="0" w:color="auto"/>
        <w:bottom w:val="none" w:sz="0" w:space="0" w:color="auto"/>
        <w:right w:val="none" w:sz="0" w:space="0" w:color="auto"/>
      </w:divBdr>
    </w:div>
    <w:div w:id="530924007">
      <w:marLeft w:val="0"/>
      <w:marRight w:val="0"/>
      <w:marTop w:val="0"/>
      <w:marBottom w:val="0"/>
      <w:divBdr>
        <w:top w:val="none" w:sz="0" w:space="0" w:color="auto"/>
        <w:left w:val="none" w:sz="0" w:space="0" w:color="auto"/>
        <w:bottom w:val="none" w:sz="0" w:space="0" w:color="auto"/>
        <w:right w:val="none" w:sz="0" w:space="0" w:color="auto"/>
      </w:divBdr>
    </w:div>
    <w:div w:id="757213899">
      <w:marLeft w:val="0"/>
      <w:marRight w:val="0"/>
      <w:marTop w:val="0"/>
      <w:marBottom w:val="0"/>
      <w:divBdr>
        <w:top w:val="none" w:sz="0" w:space="0" w:color="auto"/>
        <w:left w:val="none" w:sz="0" w:space="0" w:color="auto"/>
        <w:bottom w:val="none" w:sz="0" w:space="0" w:color="auto"/>
        <w:right w:val="none" w:sz="0" w:space="0" w:color="auto"/>
      </w:divBdr>
    </w:div>
    <w:div w:id="840852230">
      <w:marLeft w:val="0"/>
      <w:marRight w:val="0"/>
      <w:marTop w:val="0"/>
      <w:marBottom w:val="0"/>
      <w:divBdr>
        <w:top w:val="none" w:sz="0" w:space="0" w:color="auto"/>
        <w:left w:val="none" w:sz="0" w:space="0" w:color="auto"/>
        <w:bottom w:val="none" w:sz="0" w:space="0" w:color="auto"/>
        <w:right w:val="none" w:sz="0" w:space="0" w:color="auto"/>
      </w:divBdr>
    </w:div>
    <w:div w:id="1231960732">
      <w:marLeft w:val="0"/>
      <w:marRight w:val="0"/>
      <w:marTop w:val="0"/>
      <w:marBottom w:val="0"/>
      <w:divBdr>
        <w:top w:val="none" w:sz="0" w:space="0" w:color="auto"/>
        <w:left w:val="none" w:sz="0" w:space="0" w:color="auto"/>
        <w:bottom w:val="none" w:sz="0" w:space="0" w:color="auto"/>
        <w:right w:val="none" w:sz="0" w:space="0" w:color="auto"/>
      </w:divBdr>
    </w:div>
    <w:div w:id="1246762764">
      <w:marLeft w:val="0"/>
      <w:marRight w:val="0"/>
      <w:marTop w:val="0"/>
      <w:marBottom w:val="0"/>
      <w:divBdr>
        <w:top w:val="none" w:sz="0" w:space="0" w:color="auto"/>
        <w:left w:val="none" w:sz="0" w:space="0" w:color="auto"/>
        <w:bottom w:val="none" w:sz="0" w:space="0" w:color="auto"/>
        <w:right w:val="none" w:sz="0" w:space="0" w:color="auto"/>
      </w:divBdr>
    </w:div>
    <w:div w:id="1430273678">
      <w:marLeft w:val="0"/>
      <w:marRight w:val="0"/>
      <w:marTop w:val="0"/>
      <w:marBottom w:val="0"/>
      <w:divBdr>
        <w:top w:val="none" w:sz="0" w:space="0" w:color="auto"/>
        <w:left w:val="none" w:sz="0" w:space="0" w:color="auto"/>
        <w:bottom w:val="none" w:sz="0" w:space="0" w:color="auto"/>
        <w:right w:val="none" w:sz="0" w:space="0" w:color="auto"/>
      </w:divBdr>
    </w:div>
    <w:div w:id="1553030601">
      <w:marLeft w:val="0"/>
      <w:marRight w:val="0"/>
      <w:marTop w:val="0"/>
      <w:marBottom w:val="0"/>
      <w:divBdr>
        <w:top w:val="none" w:sz="0" w:space="0" w:color="auto"/>
        <w:left w:val="none" w:sz="0" w:space="0" w:color="auto"/>
        <w:bottom w:val="none" w:sz="0" w:space="0" w:color="auto"/>
        <w:right w:val="none" w:sz="0" w:space="0" w:color="auto"/>
      </w:divBdr>
    </w:div>
    <w:div w:id="1739669760">
      <w:marLeft w:val="0"/>
      <w:marRight w:val="0"/>
      <w:marTop w:val="0"/>
      <w:marBottom w:val="0"/>
      <w:divBdr>
        <w:top w:val="none" w:sz="0" w:space="0" w:color="auto"/>
        <w:left w:val="none" w:sz="0" w:space="0" w:color="auto"/>
        <w:bottom w:val="none" w:sz="0" w:space="0" w:color="auto"/>
        <w:right w:val="none" w:sz="0" w:space="0" w:color="auto"/>
      </w:divBdr>
    </w:div>
    <w:div w:id="1867865105">
      <w:marLeft w:val="0"/>
      <w:marRight w:val="0"/>
      <w:marTop w:val="0"/>
      <w:marBottom w:val="0"/>
      <w:divBdr>
        <w:top w:val="none" w:sz="0" w:space="0" w:color="auto"/>
        <w:left w:val="none" w:sz="0" w:space="0" w:color="auto"/>
        <w:bottom w:val="none" w:sz="0" w:space="0" w:color="auto"/>
        <w:right w:val="none" w:sz="0" w:space="0" w:color="auto"/>
      </w:divBdr>
    </w:div>
    <w:div w:id="1964531580">
      <w:marLeft w:val="0"/>
      <w:marRight w:val="0"/>
      <w:marTop w:val="0"/>
      <w:marBottom w:val="0"/>
      <w:divBdr>
        <w:top w:val="none" w:sz="0" w:space="0" w:color="auto"/>
        <w:left w:val="none" w:sz="0" w:space="0" w:color="auto"/>
        <w:bottom w:val="none" w:sz="0" w:space="0" w:color="auto"/>
        <w:right w:val="none" w:sz="0" w:space="0" w:color="auto"/>
      </w:divBdr>
    </w:div>
    <w:div w:id="21218718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ffa8d94-880c-4422-a10c-ff208b9387f4}" enabled="1" method="Standard" siteId="{77ba6881-f875-41a2-bfb3-2279adc45936}"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1890</Words>
  <Characters>10778</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Lynn</dc:creator>
  <cp:keywords/>
  <dc:description/>
  <cp:lastModifiedBy>Margaret Zdun</cp:lastModifiedBy>
  <cp:revision>2</cp:revision>
  <dcterms:created xsi:type="dcterms:W3CDTF">2026-11-02T08:08:00Z</dcterms:created>
  <dcterms:modified xsi:type="dcterms:W3CDTF">2026-11-02T08:08:00Z</dcterms:modified>
</cp:coreProperties>
</file>