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TENDER RESPONSE DOCUMENT</w:t>
      </w:r>
    </w:p>
    <w:p>
      <w:r>
        <w:t>Legionella and Water Safety Testing, Monitoring and Compliance Services</w:t>
      </w:r>
    </w:p>
    <w:p>
      <w:r>
        <w:t>Irish Blood Transfusion Service (IBTS)  |  Eight locations  |  Quality 70 / Cost 30</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D9EAF7"/>
          </w:tcPr>
          <w:p>
            <w:pPr>
              <w:spacing w:after="20"/>
            </w:pPr>
            <w:r>
              <w:rPr>
                <w:b/>
                <w:sz w:val="16"/>
              </w:rPr>
              <w:t>Tenderer</w:t>
            </w:r>
          </w:p>
        </w:tc>
        <w:tc>
          <w:tcPr>
            <w:tcW w:type="dxa" w:w="5083"/>
            <w:vAlign w:val="center"/>
            <w:shd w:fill="D9EAF7"/>
          </w:tcPr>
          <w:p>
            <w:pPr>
              <w:spacing w:after="20"/>
            </w:pPr>
            <w:r>
              <w:rPr>
                <w:b/>
                <w:sz w:val="16"/>
              </w:rPr>
              <w:t>Response</w:t>
            </w:r>
          </w:p>
        </w:tc>
      </w:tr>
      <w:tr>
        <w:tc>
          <w:tcPr>
            <w:tcW w:type="dxa" w:w="5083"/>
            <w:vAlign w:val="center"/>
          </w:tcPr>
          <w:p>
            <w:pPr>
              <w:spacing w:after="20"/>
            </w:pPr>
            <w:r>
              <w:rPr>
                <w:sz w:val="16"/>
              </w:rPr>
              <w:t>Registered legal name</w:t>
            </w:r>
          </w:p>
        </w:tc>
        <w:tc>
          <w:tcPr>
            <w:tcW w:type="dxa" w:w="5083"/>
            <w:vAlign w:val="center"/>
          </w:tcPr>
          <w:p>
            <w:pPr>
              <w:spacing w:after="20"/>
            </w:pPr>
            <w:r>
              <w:rPr>
                <w:sz w:val="16"/>
              </w:rPr>
            </w:r>
          </w:p>
        </w:tc>
      </w:tr>
      <w:tr>
        <w:tc>
          <w:tcPr>
            <w:tcW w:type="dxa" w:w="5083"/>
            <w:vAlign w:val="center"/>
          </w:tcPr>
          <w:p>
            <w:pPr>
              <w:spacing w:after="20"/>
            </w:pPr>
            <w:r>
              <w:rPr>
                <w:sz w:val="16"/>
              </w:rPr>
              <w:t>Company registration / VAT</w:t>
            </w:r>
          </w:p>
        </w:tc>
        <w:tc>
          <w:tcPr>
            <w:tcW w:type="dxa" w:w="5083"/>
            <w:vAlign w:val="center"/>
          </w:tcPr>
          <w:p>
            <w:pPr>
              <w:spacing w:after="20"/>
            </w:pPr>
            <w:r>
              <w:rPr>
                <w:sz w:val="16"/>
              </w:rPr>
            </w:r>
          </w:p>
        </w:tc>
      </w:tr>
      <w:tr>
        <w:tc>
          <w:tcPr>
            <w:tcW w:type="dxa" w:w="5083"/>
            <w:vAlign w:val="center"/>
          </w:tcPr>
          <w:p>
            <w:pPr>
              <w:spacing w:after="20"/>
            </w:pPr>
            <w:r>
              <w:rPr>
                <w:sz w:val="16"/>
              </w:rPr>
              <w:t>Primary contact details</w:t>
            </w:r>
          </w:p>
        </w:tc>
        <w:tc>
          <w:tcPr>
            <w:tcW w:type="dxa" w:w="5083"/>
            <w:vAlign w:val="center"/>
          </w:tcPr>
          <w:p>
            <w:pPr>
              <w:spacing w:after="20"/>
            </w:pPr>
            <w:r>
              <w:rPr>
                <w:sz w:val="16"/>
              </w:rPr>
            </w:r>
          </w:p>
        </w:tc>
      </w:tr>
      <w:tr>
        <w:tc>
          <w:tcPr>
            <w:tcW w:type="dxa" w:w="5083"/>
            <w:vAlign w:val="center"/>
          </w:tcPr>
          <w:p>
            <w:pPr>
              <w:spacing w:after="20"/>
            </w:pPr>
            <w:r>
              <w:rPr>
                <w:sz w:val="16"/>
              </w:rPr>
              <w:t>Tender reference</w:t>
            </w:r>
          </w:p>
        </w:tc>
        <w:tc>
          <w:tcPr>
            <w:tcW w:type="dxa" w:w="5083"/>
            <w:vAlign w:val="center"/>
          </w:tcPr>
          <w:p>
            <w:pPr>
              <w:spacing w:after="20"/>
            </w:pPr>
            <w:r>
              <w:rPr>
                <w:sz w:val="16"/>
              </w:rPr>
            </w:r>
          </w:p>
        </w:tc>
      </w:tr>
      <w:tr>
        <w:tc>
          <w:tcPr>
            <w:tcW w:type="dxa" w:w="5083"/>
            <w:vAlign w:val="center"/>
          </w:tcPr>
          <w:p>
            <w:pPr>
              <w:spacing w:after="20"/>
            </w:pPr>
            <w:r>
              <w:rPr>
                <w:sz w:val="16"/>
              </w:rPr>
              <w:t>Tender submission date</w:t>
            </w:r>
          </w:p>
        </w:tc>
        <w:tc>
          <w:tcPr>
            <w:tcW w:type="dxa" w:w="5083"/>
            <w:vAlign w:val="center"/>
          </w:tcPr>
          <w:p>
            <w:pPr>
              <w:spacing w:after="20"/>
            </w:pPr>
            <w:r>
              <w:rPr>
                <w:sz w:val="16"/>
              </w:rPr>
            </w:r>
          </w:p>
        </w:tc>
      </w:tr>
    </w:tbl>
    <w:p>
      <w:pPr>
        <w:pStyle w:val="Heading1"/>
      </w:pPr>
      <w:r>
        <w:t>1. Instructions to Tenderers</w:t>
      </w:r>
    </w:p>
    <w:p>
      <w:r>
        <w:t>Complete the form and the separate prescribed pricing schedule. All eight sites and the required service areas must be addressed. The initial contract is three years plus up to two one-year extensions. Tenderers must price annual documented LRA reviews and two full LRA reassessment occasions (Year 2 and conditional Year 4), separately for each centre. Give service-specific, verifiable evidence. Do not include prices in technical responses. The RFT and Services Contract prevail if inconsistent. The Procurement Authority must confirm the final procedural route and dates before publication.</w:t>
      </w:r>
    </w:p>
    <w:p>
      <w:pPr>
        <w:pStyle w:val="Heading1"/>
      </w:pPr>
      <w:r>
        <w:t>2. Included Sites and Scope</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D9EAF7"/>
          </w:tcPr>
          <w:p>
            <w:pPr>
              <w:spacing w:after="20"/>
            </w:pPr>
            <w:r>
              <w:rPr>
                <w:b/>
                <w:sz w:val="16"/>
              </w:rPr>
              <w:t>Site</w:t>
            </w:r>
          </w:p>
        </w:tc>
        <w:tc>
          <w:tcPr>
            <w:tcW w:type="dxa" w:w="5083"/>
            <w:vAlign w:val="center"/>
            <w:shd w:fill="D9EAF7"/>
          </w:tcPr>
          <w:p>
            <w:pPr>
              <w:spacing w:after="20"/>
            </w:pPr>
            <w:r>
              <w:rPr>
                <w:b/>
                <w:sz w:val="16"/>
              </w:rPr>
              <w:t>Location</w:t>
            </w:r>
          </w:p>
        </w:tc>
      </w:tr>
      <w:tr>
        <w:tc>
          <w:tcPr>
            <w:tcW w:type="dxa" w:w="5083"/>
            <w:vAlign w:val="center"/>
          </w:tcPr>
          <w:p>
            <w:pPr>
              <w:spacing w:after="20"/>
            </w:pPr>
            <w:r>
              <w:rPr>
                <w:sz w:val="16"/>
              </w:rPr>
              <w:t>National Blood Centre</w:t>
            </w:r>
          </w:p>
        </w:tc>
        <w:tc>
          <w:tcPr>
            <w:tcW w:type="dxa" w:w="5083"/>
            <w:vAlign w:val="center"/>
          </w:tcPr>
          <w:p>
            <w:pPr>
              <w:spacing w:after="20"/>
            </w:pPr>
            <w:r>
              <w:rPr>
                <w:sz w:val="16"/>
              </w:rPr>
              <w:t>James’s Street, Dublin 8</w:t>
            </w:r>
          </w:p>
        </w:tc>
      </w:tr>
      <w:tr>
        <w:tc>
          <w:tcPr>
            <w:tcW w:type="dxa" w:w="5083"/>
            <w:vAlign w:val="center"/>
          </w:tcPr>
          <w:p>
            <w:pPr>
              <w:spacing w:after="20"/>
            </w:pPr>
            <w:r>
              <w:rPr>
                <w:sz w:val="16"/>
              </w:rPr>
              <w:t>Stillorgan Donor Clinic</w:t>
            </w:r>
          </w:p>
        </w:tc>
        <w:tc>
          <w:tcPr>
            <w:tcW w:type="dxa" w:w="5083"/>
            <w:vAlign w:val="center"/>
          </w:tcPr>
          <w:p>
            <w:pPr>
              <w:spacing w:after="20"/>
            </w:pPr>
            <w:r>
              <w:rPr>
                <w:sz w:val="16"/>
              </w:rPr>
              <w:t>6 Old Dublin Road, Stillorgan, Dublin</w:t>
            </w:r>
          </w:p>
        </w:tc>
      </w:tr>
      <w:tr>
        <w:tc>
          <w:tcPr>
            <w:tcW w:type="dxa" w:w="5083"/>
            <w:vAlign w:val="center"/>
          </w:tcPr>
          <w:p>
            <w:pPr>
              <w:spacing w:after="20"/>
            </w:pPr>
            <w:r>
              <w:rPr>
                <w:sz w:val="16"/>
              </w:rPr>
              <w:t>Cork Centre</w:t>
            </w:r>
          </w:p>
        </w:tc>
        <w:tc>
          <w:tcPr>
            <w:tcW w:type="dxa" w:w="5083"/>
            <w:vAlign w:val="center"/>
          </w:tcPr>
          <w:p>
            <w:pPr>
              <w:spacing w:after="20"/>
            </w:pPr>
            <w:r>
              <w:rPr>
                <w:sz w:val="16"/>
              </w:rPr>
              <w:t>St Finbarr’s Hospital, Block C, Douglas Road, Cork</w:t>
            </w:r>
          </w:p>
        </w:tc>
      </w:tr>
      <w:tr>
        <w:tc>
          <w:tcPr>
            <w:tcW w:type="dxa" w:w="5083"/>
            <w:vAlign w:val="center"/>
          </w:tcPr>
          <w:p>
            <w:pPr>
              <w:spacing w:after="20"/>
            </w:pPr>
            <w:r>
              <w:rPr>
                <w:sz w:val="16"/>
              </w:rPr>
              <w:t>Limerick Centre</w:t>
            </w:r>
          </w:p>
        </w:tc>
        <w:tc>
          <w:tcPr>
            <w:tcW w:type="dxa" w:w="5083"/>
            <w:vAlign w:val="center"/>
          </w:tcPr>
          <w:p>
            <w:pPr>
              <w:spacing w:after="20"/>
            </w:pPr>
            <w:r>
              <w:rPr>
                <w:sz w:val="16"/>
              </w:rPr>
              <w:t>Carrig House, Raheen Business Park, Limerick</w:t>
            </w:r>
          </w:p>
        </w:tc>
      </w:tr>
      <w:tr>
        <w:tc>
          <w:tcPr>
            <w:tcW w:type="dxa" w:w="5083"/>
            <w:vAlign w:val="center"/>
          </w:tcPr>
          <w:p>
            <w:pPr>
              <w:spacing w:after="20"/>
            </w:pPr>
            <w:r>
              <w:rPr>
                <w:sz w:val="16"/>
              </w:rPr>
              <w:t>D’Olier Street Donor Clinic</w:t>
            </w:r>
          </w:p>
        </w:tc>
        <w:tc>
          <w:tcPr>
            <w:tcW w:type="dxa" w:w="5083"/>
            <w:vAlign w:val="center"/>
          </w:tcPr>
          <w:p>
            <w:pPr>
              <w:spacing w:after="20"/>
            </w:pPr>
            <w:r>
              <w:rPr>
                <w:sz w:val="16"/>
              </w:rPr>
              <w:t>Lafayette House, 2–5 D’Olier Street, Dublin 2</w:t>
            </w:r>
          </w:p>
        </w:tc>
      </w:tr>
      <w:tr>
        <w:tc>
          <w:tcPr>
            <w:tcW w:type="dxa" w:w="5083"/>
            <w:vAlign w:val="center"/>
          </w:tcPr>
          <w:p>
            <w:pPr>
              <w:spacing w:after="20"/>
            </w:pPr>
            <w:r>
              <w:rPr>
                <w:sz w:val="16"/>
              </w:rPr>
              <w:t>Carlow Centre</w:t>
            </w:r>
          </w:p>
        </w:tc>
        <w:tc>
          <w:tcPr>
            <w:tcW w:type="dxa" w:w="5083"/>
            <w:vAlign w:val="center"/>
          </w:tcPr>
          <w:p>
            <w:pPr>
              <w:spacing w:after="20"/>
            </w:pPr>
            <w:r>
              <w:rPr>
                <w:sz w:val="16"/>
              </w:rPr>
              <w:t>Pollerton Road, Kernanstown, Carlow</w:t>
            </w:r>
          </w:p>
        </w:tc>
      </w:tr>
      <w:tr>
        <w:tc>
          <w:tcPr>
            <w:tcW w:type="dxa" w:w="5083"/>
            <w:vAlign w:val="center"/>
          </w:tcPr>
          <w:p>
            <w:pPr>
              <w:spacing w:after="20"/>
            </w:pPr>
            <w:r>
              <w:rPr>
                <w:sz w:val="16"/>
              </w:rPr>
              <w:t>Ardee Centre</w:t>
            </w:r>
          </w:p>
        </w:tc>
        <w:tc>
          <w:tcPr>
            <w:tcW w:type="dxa" w:w="5083"/>
            <w:vAlign w:val="center"/>
          </w:tcPr>
          <w:p>
            <w:pPr>
              <w:spacing w:after="20"/>
            </w:pPr>
            <w:r>
              <w:rPr>
                <w:sz w:val="16"/>
              </w:rPr>
              <w:t>John Street Business Park, Ardee, Co. Louth</w:t>
            </w:r>
          </w:p>
        </w:tc>
      </w:tr>
      <w:tr>
        <w:tc>
          <w:tcPr>
            <w:tcW w:type="dxa" w:w="5083"/>
            <w:vAlign w:val="center"/>
          </w:tcPr>
          <w:p>
            <w:pPr>
              <w:spacing w:after="20"/>
            </w:pPr>
            <w:r>
              <w:rPr>
                <w:sz w:val="16"/>
              </w:rPr>
              <w:t>Tuam Centre</w:t>
            </w:r>
          </w:p>
        </w:tc>
        <w:tc>
          <w:tcPr>
            <w:tcW w:type="dxa" w:w="5083"/>
            <w:vAlign w:val="center"/>
          </w:tcPr>
          <w:p>
            <w:pPr>
              <w:spacing w:after="20"/>
            </w:pPr>
            <w:r>
              <w:rPr>
                <w:sz w:val="16"/>
              </w:rPr>
              <w:t>2 Beechtree Business Park, Tuam, Co. Galway</w:t>
            </w:r>
          </w:p>
        </w:tc>
      </w:tr>
    </w:tbl>
    <w:p>
      <w:pPr>
        <w:pStyle w:val="Heading1"/>
      </w:pPr>
      <w:r>
        <w:t>3. Submission Checklist</w:t>
      </w:r>
    </w:p>
    <w:tbl>
      <w:tblPr>
        <w:tblStyle w:val="TableGrid"/>
        <w:tblW w:type="auto" w:w="0"/>
        <w:jc w:val="center"/>
        <w:tblLook w:firstColumn="1" w:firstRow="1" w:lastColumn="0" w:lastRow="0" w:noHBand="0" w:noVBand="1" w:val="04A0"/>
      </w:tblPr>
      <w:tblGrid>
        <w:gridCol w:w="3389"/>
        <w:gridCol w:w="3389"/>
        <w:gridCol w:w="3389"/>
      </w:tblGrid>
      <w:tr>
        <w:tc>
          <w:tcPr>
            <w:tcW w:type="dxa" w:w="3389"/>
            <w:vAlign w:val="center"/>
            <w:shd w:fill="D9EAF7"/>
          </w:tcPr>
          <w:p>
            <w:pPr>
              <w:spacing w:after="20"/>
            </w:pPr>
            <w:r>
              <w:rPr>
                <w:b/>
                <w:sz w:val="16"/>
              </w:rPr>
              <w:t>Ref</w:t>
            </w:r>
          </w:p>
        </w:tc>
        <w:tc>
          <w:tcPr>
            <w:tcW w:type="dxa" w:w="3389"/>
            <w:vAlign w:val="center"/>
            <w:shd w:fill="D9EAF7"/>
          </w:tcPr>
          <w:p>
            <w:pPr>
              <w:spacing w:after="20"/>
            </w:pPr>
            <w:r>
              <w:rPr>
                <w:b/>
                <w:sz w:val="16"/>
              </w:rPr>
              <w:t>Required tender return</w:t>
            </w:r>
          </w:p>
        </w:tc>
        <w:tc>
          <w:tcPr>
            <w:tcW w:type="dxa" w:w="3389"/>
            <w:vAlign w:val="center"/>
            <w:shd w:fill="D9EAF7"/>
          </w:tcPr>
          <w:p>
            <w:pPr>
              <w:spacing w:after="20"/>
            </w:pPr>
            <w:r>
              <w:rPr>
                <w:b/>
                <w:sz w:val="16"/>
              </w:rPr>
              <w:t>Included / location</w:t>
            </w:r>
          </w:p>
        </w:tc>
      </w:tr>
      <w:tr>
        <w:tc>
          <w:tcPr>
            <w:tcW w:type="dxa" w:w="3389"/>
            <w:vAlign w:val="center"/>
          </w:tcPr>
          <w:p>
            <w:pPr>
              <w:spacing w:after="20"/>
            </w:pPr>
            <w:r>
              <w:rPr>
                <w:sz w:val="16"/>
              </w:rPr>
              <w:t>SC1</w:t>
            </w:r>
          </w:p>
        </w:tc>
        <w:tc>
          <w:tcPr>
            <w:tcW w:type="dxa" w:w="3389"/>
            <w:vAlign w:val="center"/>
          </w:tcPr>
          <w:p>
            <w:pPr>
              <w:spacing w:after="20"/>
            </w:pPr>
            <w:r>
              <w:rPr>
                <w:sz w:val="16"/>
              </w:rPr>
              <w:t>Signed Tenderer’s Statement / Form of Tender and required declarations</w:t>
            </w:r>
          </w:p>
        </w:tc>
        <w:tc>
          <w:tcPr>
            <w:tcW w:type="dxa" w:w="3389"/>
            <w:vAlign w:val="center"/>
          </w:tcPr>
          <w:p>
            <w:pPr>
              <w:spacing w:after="20"/>
            </w:pPr>
            <w:r>
              <w:rPr>
                <w:sz w:val="16"/>
              </w:rPr>
            </w:r>
          </w:p>
        </w:tc>
      </w:tr>
      <w:tr>
        <w:tc>
          <w:tcPr>
            <w:tcW w:type="dxa" w:w="3389"/>
            <w:vAlign w:val="center"/>
          </w:tcPr>
          <w:p>
            <w:pPr>
              <w:spacing w:after="20"/>
            </w:pPr>
            <w:r>
              <w:rPr>
                <w:sz w:val="16"/>
              </w:rPr>
              <w:t>SC2</w:t>
            </w:r>
          </w:p>
        </w:tc>
        <w:tc>
          <w:tcPr>
            <w:tcW w:type="dxa" w:w="3389"/>
            <w:vAlign w:val="center"/>
          </w:tcPr>
          <w:p>
            <w:r>
              <w:t>Completed prescribed Pricing Schedule including eight separately priced Year 2 LRA reassessments and eight separately priced Year 4 LRA reassessments, plus annual reviews.</w:t>
            </w:r>
          </w:p>
        </w:tc>
        <w:tc>
          <w:tcPr>
            <w:tcW w:type="dxa" w:w="3389"/>
            <w:vAlign w:val="center"/>
          </w:tcPr>
          <w:p>
            <w:pPr>
              <w:spacing w:after="20"/>
            </w:pPr>
            <w:r>
              <w:rPr>
                <w:sz w:val="16"/>
              </w:rPr>
            </w:r>
          </w:p>
        </w:tc>
      </w:tr>
      <w:tr>
        <w:tc>
          <w:tcPr>
            <w:tcW w:type="dxa" w:w="3389"/>
            <w:vAlign w:val="center"/>
          </w:tcPr>
          <w:p>
            <w:pPr>
              <w:spacing w:after="20"/>
            </w:pPr>
            <w:r>
              <w:rPr>
                <w:sz w:val="16"/>
              </w:rPr>
              <w:t>SC3</w:t>
            </w:r>
          </w:p>
        </w:tc>
        <w:tc>
          <w:tcPr>
            <w:tcW w:type="dxa" w:w="3389"/>
            <w:vAlign w:val="center"/>
          </w:tcPr>
          <w:p>
            <w:pPr>
              <w:spacing w:after="20"/>
            </w:pPr>
            <w:r>
              <w:rPr>
                <w:sz w:val="16"/>
              </w:rPr>
              <w:t>Company details, contract team and responsible water safety lead</w:t>
            </w:r>
          </w:p>
        </w:tc>
        <w:tc>
          <w:tcPr>
            <w:tcW w:type="dxa" w:w="3389"/>
            <w:vAlign w:val="center"/>
          </w:tcPr>
          <w:p>
            <w:pPr>
              <w:spacing w:after="20"/>
            </w:pPr>
            <w:r>
              <w:rPr>
                <w:sz w:val="16"/>
              </w:rPr>
            </w:r>
          </w:p>
        </w:tc>
      </w:tr>
      <w:tr>
        <w:tc>
          <w:tcPr>
            <w:tcW w:type="dxa" w:w="3389"/>
            <w:vAlign w:val="center"/>
          </w:tcPr>
          <w:p>
            <w:pPr>
              <w:spacing w:after="20"/>
            </w:pPr>
            <w:r>
              <w:rPr>
                <w:sz w:val="16"/>
              </w:rPr>
              <w:t>SC4</w:t>
            </w:r>
          </w:p>
        </w:tc>
        <w:tc>
          <w:tcPr>
            <w:tcW w:type="dxa" w:w="3389"/>
            <w:vAlign w:val="center"/>
          </w:tcPr>
          <w:p>
            <w:pPr>
              <w:spacing w:after="20"/>
            </w:pPr>
            <w:r>
              <w:rPr>
                <w:sz w:val="16"/>
              </w:rPr>
              <w:t>Site-by-site risk-based programme, including methodology and frequencies</w:t>
            </w:r>
          </w:p>
        </w:tc>
        <w:tc>
          <w:tcPr>
            <w:tcW w:type="dxa" w:w="3389"/>
            <w:vAlign w:val="center"/>
          </w:tcPr>
          <w:p>
            <w:pPr>
              <w:spacing w:after="20"/>
            </w:pPr>
            <w:r>
              <w:rPr>
                <w:sz w:val="16"/>
              </w:rPr>
            </w:r>
          </w:p>
        </w:tc>
      </w:tr>
      <w:tr>
        <w:tc>
          <w:tcPr>
            <w:tcW w:type="dxa" w:w="3389"/>
            <w:vAlign w:val="center"/>
          </w:tcPr>
          <w:p>
            <w:pPr>
              <w:spacing w:after="20"/>
            </w:pPr>
            <w:r>
              <w:rPr>
                <w:sz w:val="16"/>
              </w:rPr>
              <w:t>SC5</w:t>
            </w:r>
          </w:p>
        </w:tc>
        <w:tc>
          <w:tcPr>
            <w:tcW w:type="dxa" w:w="3389"/>
            <w:vAlign w:val="center"/>
          </w:tcPr>
          <w:p>
            <w:pPr>
              <w:spacing w:after="20"/>
            </w:pPr>
            <w:r>
              <w:rPr>
                <w:sz w:val="16"/>
              </w:rPr>
              <w:t>Accreditation/scope for laboratory testing and sample chain-of-custody plan</w:t>
            </w:r>
          </w:p>
        </w:tc>
        <w:tc>
          <w:tcPr>
            <w:tcW w:type="dxa" w:w="3389"/>
            <w:vAlign w:val="center"/>
          </w:tcPr>
          <w:p>
            <w:pPr>
              <w:spacing w:after="20"/>
            </w:pPr>
            <w:r>
              <w:rPr>
                <w:sz w:val="16"/>
              </w:rPr>
            </w:r>
          </w:p>
        </w:tc>
      </w:tr>
      <w:tr>
        <w:tc>
          <w:tcPr>
            <w:tcW w:type="dxa" w:w="3389"/>
            <w:vAlign w:val="center"/>
          </w:tcPr>
          <w:p>
            <w:pPr>
              <w:spacing w:after="20"/>
            </w:pPr>
            <w:r>
              <w:rPr>
                <w:sz w:val="16"/>
              </w:rPr>
              <w:t>SC6</w:t>
            </w:r>
          </w:p>
        </w:tc>
        <w:tc>
          <w:tcPr>
            <w:tcW w:type="dxa" w:w="3389"/>
            <w:vAlign w:val="center"/>
          </w:tcPr>
          <w:p>
            <w:pPr>
              <w:spacing w:after="20"/>
            </w:pPr>
            <w:r>
              <w:rPr>
                <w:sz w:val="16"/>
              </w:rPr>
              <w:t>Personnel competence, training, certifications, substitutions and subcontractors</w:t>
            </w:r>
          </w:p>
        </w:tc>
        <w:tc>
          <w:tcPr>
            <w:tcW w:type="dxa" w:w="3389"/>
            <w:vAlign w:val="center"/>
          </w:tcPr>
          <w:p>
            <w:pPr>
              <w:spacing w:after="20"/>
            </w:pPr>
            <w:r>
              <w:rPr>
                <w:sz w:val="16"/>
              </w:rPr>
            </w:r>
          </w:p>
        </w:tc>
      </w:tr>
      <w:tr>
        <w:tc>
          <w:tcPr>
            <w:tcW w:type="dxa" w:w="3389"/>
            <w:vAlign w:val="center"/>
          </w:tcPr>
          <w:p>
            <w:pPr>
              <w:spacing w:after="20"/>
            </w:pPr>
            <w:r>
              <w:rPr>
                <w:sz w:val="16"/>
              </w:rPr>
              <w:t>SC7</w:t>
            </w:r>
          </w:p>
        </w:tc>
        <w:tc>
          <w:tcPr>
            <w:tcW w:type="dxa" w:w="3389"/>
            <w:vAlign w:val="center"/>
          </w:tcPr>
          <w:p>
            <w:pPr>
              <w:spacing w:after="20"/>
            </w:pPr>
            <w:r>
              <w:rPr>
                <w:sz w:val="16"/>
              </w:rPr>
              <w:t>RAMS, sampling/chemical safety, emergency escalation and controlled-area measures</w:t>
            </w:r>
          </w:p>
        </w:tc>
        <w:tc>
          <w:tcPr>
            <w:tcW w:type="dxa" w:w="3389"/>
            <w:vAlign w:val="center"/>
          </w:tcPr>
          <w:p>
            <w:pPr>
              <w:spacing w:after="20"/>
            </w:pPr>
            <w:r>
              <w:rPr>
                <w:sz w:val="16"/>
              </w:rPr>
            </w:r>
          </w:p>
        </w:tc>
      </w:tr>
      <w:tr>
        <w:tc>
          <w:tcPr>
            <w:tcW w:type="dxa" w:w="3389"/>
            <w:vAlign w:val="center"/>
          </w:tcPr>
          <w:p>
            <w:pPr>
              <w:spacing w:after="20"/>
            </w:pPr>
            <w:r>
              <w:rPr>
                <w:sz w:val="16"/>
              </w:rPr>
              <w:t>SC8</w:t>
            </w:r>
          </w:p>
        </w:tc>
        <w:tc>
          <w:tcPr>
            <w:tcW w:type="dxa" w:w="3389"/>
            <w:vAlign w:val="center"/>
          </w:tcPr>
          <w:p>
            <w:pPr>
              <w:spacing w:after="20"/>
            </w:pPr>
            <w:r>
              <w:rPr>
                <w:sz w:val="16"/>
              </w:rPr>
              <w:t>Example reports, data security, trends, audit support and KPI reporting</w:t>
            </w:r>
          </w:p>
        </w:tc>
        <w:tc>
          <w:tcPr>
            <w:tcW w:type="dxa" w:w="3389"/>
            <w:vAlign w:val="center"/>
          </w:tcPr>
          <w:p>
            <w:pPr>
              <w:spacing w:after="20"/>
            </w:pPr>
            <w:r>
              <w:rPr>
                <w:sz w:val="16"/>
              </w:rPr>
            </w:r>
          </w:p>
        </w:tc>
      </w:tr>
      <w:tr>
        <w:tc>
          <w:tcPr>
            <w:tcW w:type="dxa" w:w="3389"/>
            <w:vAlign w:val="center"/>
          </w:tcPr>
          <w:p>
            <w:pPr>
              <w:spacing w:after="20"/>
            </w:pPr>
            <w:r>
              <w:rPr>
                <w:sz w:val="16"/>
              </w:rPr>
              <w:t>SC9</w:t>
            </w:r>
          </w:p>
        </w:tc>
        <w:tc>
          <w:tcPr>
            <w:tcW w:type="dxa" w:w="3389"/>
            <w:vAlign w:val="center"/>
          </w:tcPr>
          <w:p>
            <w:pPr>
              <w:spacing w:after="20"/>
            </w:pPr>
            <w:r>
              <w:rPr>
                <w:sz w:val="16"/>
              </w:rPr>
              <w:t>Business continuity arrangements and service mobilisation schedule</w:t>
            </w:r>
          </w:p>
        </w:tc>
        <w:tc>
          <w:tcPr>
            <w:tcW w:type="dxa" w:w="3389"/>
            <w:vAlign w:val="center"/>
          </w:tcPr>
          <w:p>
            <w:pPr>
              <w:spacing w:after="20"/>
            </w:pPr>
            <w:r>
              <w:rPr>
                <w:sz w:val="16"/>
              </w:rPr>
            </w:r>
          </w:p>
        </w:tc>
      </w:tr>
      <w:tr>
        <w:tc>
          <w:tcPr>
            <w:tcW w:type="dxa" w:w="3389"/>
            <w:vAlign w:val="center"/>
          </w:tcPr>
          <w:p>
            <w:pPr>
              <w:spacing w:after="20"/>
            </w:pPr>
            <w:r>
              <w:rPr>
                <w:sz w:val="16"/>
              </w:rPr>
              <w:t>SC10</w:t>
            </w:r>
          </w:p>
        </w:tc>
        <w:tc>
          <w:tcPr>
            <w:tcW w:type="dxa" w:w="3389"/>
            <w:vAlign w:val="center"/>
          </w:tcPr>
          <w:p>
            <w:pPr>
              <w:spacing w:after="20"/>
            </w:pPr>
            <w:r>
              <w:rPr>
                <w:sz w:val="16"/>
              </w:rPr>
              <w:t>Sustainability / water stewardship and environmental evidence</w:t>
            </w:r>
          </w:p>
        </w:tc>
        <w:tc>
          <w:tcPr>
            <w:tcW w:type="dxa" w:w="3389"/>
            <w:vAlign w:val="center"/>
          </w:tcPr>
          <w:p>
            <w:pPr>
              <w:spacing w:after="20"/>
            </w:pPr>
            <w:r>
              <w:rPr>
                <w:sz w:val="16"/>
              </w:rPr>
            </w:r>
          </w:p>
        </w:tc>
      </w:tr>
      <w:tr>
        <w:tc>
          <w:tcPr>
            <w:tcW w:type="dxa" w:w="3389"/>
            <w:vAlign w:val="center"/>
          </w:tcPr>
          <w:p>
            <w:pPr>
              <w:spacing w:after="20"/>
            </w:pPr>
            <w:r>
              <w:rPr>
                <w:sz w:val="16"/>
              </w:rPr>
              <w:t>SC11</w:t>
            </w:r>
          </w:p>
        </w:tc>
        <w:tc>
          <w:tcPr>
            <w:tcW w:type="dxa" w:w="3389"/>
            <w:vAlign w:val="center"/>
          </w:tcPr>
          <w:p>
            <w:pPr>
              <w:spacing w:after="20"/>
            </w:pPr>
            <w:r>
              <w:rPr>
                <w:sz w:val="16"/>
              </w:rPr>
              <w:t>Insurance confirmation and relevant comparable contract evidence</w:t>
            </w:r>
          </w:p>
        </w:tc>
        <w:tc>
          <w:tcPr>
            <w:tcW w:type="dxa" w:w="3389"/>
            <w:vAlign w:val="center"/>
          </w:tcPr>
          <w:p>
            <w:pPr>
              <w:spacing w:after="20"/>
            </w:pPr>
            <w:r>
              <w:rPr>
                <w:sz w:val="16"/>
              </w:rPr>
            </w:r>
          </w:p>
        </w:tc>
      </w:tr>
    </w:tbl>
    <w:p>
      <w:pPr>
        <w:pStyle w:val="Heading1"/>
      </w:pPr>
      <w:r>
        <w:t>4. Mandatory Compliance Declarations</w:t>
      </w: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vAlign w:val="center"/>
            <w:shd w:fill="D9EAF7"/>
          </w:tcPr>
          <w:p>
            <w:pPr>
              <w:spacing w:after="20"/>
            </w:pPr>
            <w:r>
              <w:rPr>
                <w:b/>
                <w:sz w:val="16"/>
              </w:rPr>
              <w:t>Ref</w:t>
            </w:r>
          </w:p>
        </w:tc>
        <w:tc>
          <w:tcPr>
            <w:tcW w:type="dxa" w:w="2541"/>
            <w:vAlign w:val="center"/>
            <w:shd w:fill="D9EAF7"/>
          </w:tcPr>
          <w:p>
            <w:pPr>
              <w:spacing w:after="20"/>
            </w:pPr>
            <w:r>
              <w:rPr>
                <w:b/>
                <w:sz w:val="16"/>
              </w:rPr>
              <w:t>Mandatory confirmation</w:t>
            </w:r>
          </w:p>
        </w:tc>
        <w:tc>
          <w:tcPr>
            <w:tcW w:type="dxa" w:w="2541"/>
            <w:vAlign w:val="center"/>
            <w:shd w:fill="D9EAF7"/>
          </w:tcPr>
          <w:p>
            <w:pPr>
              <w:spacing w:after="20"/>
            </w:pPr>
            <w:r>
              <w:rPr>
                <w:b/>
                <w:sz w:val="16"/>
              </w:rPr>
              <w:t>Yes / No</w:t>
            </w:r>
          </w:p>
        </w:tc>
        <w:tc>
          <w:tcPr>
            <w:tcW w:type="dxa" w:w="2541"/>
            <w:vAlign w:val="center"/>
            <w:shd w:fill="D9EAF7"/>
          </w:tcPr>
          <w:p>
            <w:pPr>
              <w:spacing w:after="20"/>
            </w:pPr>
            <w:r>
              <w:rPr>
                <w:b/>
                <w:sz w:val="16"/>
              </w:rPr>
              <w:t>Evidence / comment</w:t>
            </w:r>
          </w:p>
        </w:tc>
      </w:tr>
      <w:tr>
        <w:tc>
          <w:tcPr>
            <w:tcW w:type="dxa" w:w="2541"/>
            <w:vAlign w:val="center"/>
          </w:tcPr>
          <w:p>
            <w:pPr>
              <w:spacing w:after="20"/>
            </w:pPr>
            <w:r>
              <w:rPr>
                <w:sz w:val="16"/>
              </w:rPr>
              <w:t>MC1</w:t>
            </w:r>
          </w:p>
        </w:tc>
        <w:tc>
          <w:tcPr>
            <w:tcW w:type="dxa" w:w="2541"/>
            <w:vAlign w:val="center"/>
          </w:tcPr>
          <w:p>
            <w:r>
              <w:t>Includes complete eight-site scope, annual documented LRA reviews and full comprehensive site reassessments in Years 2 and 4 (Year 4 conditional upon first extension).</w:t>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vAlign w:val="center"/>
          </w:tcPr>
          <w:p>
            <w:pPr>
              <w:spacing w:after="20"/>
            </w:pPr>
            <w:r>
              <w:rPr>
                <w:sz w:val="16"/>
              </w:rPr>
              <w:t>MC2</w:t>
            </w:r>
          </w:p>
        </w:tc>
        <w:tc>
          <w:tcPr>
            <w:tcW w:type="dxa" w:w="2541"/>
            <w:vAlign w:val="center"/>
          </w:tcPr>
          <w:p>
            <w:pPr>
              <w:spacing w:after="20"/>
            </w:pPr>
            <w:r>
              <w:rPr>
                <w:sz w:val="16"/>
              </w:rPr>
              <w:t>Accepts the Services RFT and all its applicable terms without unapproved qualifications.</w:t>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vAlign w:val="center"/>
          </w:tcPr>
          <w:p>
            <w:pPr>
              <w:spacing w:after="20"/>
            </w:pPr>
            <w:r>
              <w:rPr>
                <w:sz w:val="16"/>
              </w:rPr>
              <w:t>MC3</w:t>
            </w:r>
          </w:p>
        </w:tc>
        <w:tc>
          <w:tcPr>
            <w:tcW w:type="dxa" w:w="2541"/>
            <w:vAlign w:val="center"/>
          </w:tcPr>
          <w:p>
            <w:pPr>
              <w:spacing w:after="20"/>
            </w:pPr>
            <w:r>
              <w:rPr>
                <w:sz w:val="16"/>
              </w:rPr>
              <w:t>Provides competent personnel, safe sampling methods, appropriate laboratory accreditation and traceable chain of custody.</w:t>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vAlign w:val="center"/>
          </w:tcPr>
          <w:p>
            <w:pPr>
              <w:spacing w:after="20"/>
            </w:pPr>
            <w:r>
              <w:rPr>
                <w:sz w:val="16"/>
              </w:rPr>
              <w:t>MC4</w:t>
            </w:r>
          </w:p>
        </w:tc>
        <w:tc>
          <w:tcPr>
            <w:tcW w:type="dxa" w:w="2541"/>
            <w:vAlign w:val="center"/>
          </w:tcPr>
          <w:p>
            <w:pPr>
              <w:spacing w:after="20"/>
            </w:pPr>
            <w:r>
              <w:rPr>
                <w:sz w:val="16"/>
              </w:rPr>
              <w:t>Delivers documented escalation and technical advice on positive Legionella findings and serious temperature failures.</w:t>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vAlign w:val="center"/>
          </w:tcPr>
          <w:p>
            <w:pPr>
              <w:spacing w:after="20"/>
            </w:pPr>
            <w:r>
              <w:rPr>
                <w:sz w:val="16"/>
              </w:rPr>
              <w:t>MC5</w:t>
            </w:r>
          </w:p>
        </w:tc>
        <w:tc>
          <w:tcPr>
            <w:tcW w:type="dxa" w:w="2541"/>
            <w:vAlign w:val="center"/>
          </w:tcPr>
          <w:p>
            <w:pPr>
              <w:spacing w:after="20"/>
            </w:pPr>
            <w:r>
              <w:rPr>
                <w:sz w:val="16"/>
              </w:rPr>
              <w:t>Supports the IBTS Responsible Person (Water), reporting, record retention, trend analysis and audit readiness.</w:t>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vAlign w:val="center"/>
          </w:tcPr>
          <w:p>
            <w:pPr>
              <w:spacing w:after="20"/>
            </w:pPr>
            <w:r>
              <w:rPr>
                <w:sz w:val="16"/>
              </w:rPr>
              <w:t>MC6</w:t>
            </w:r>
          </w:p>
        </w:tc>
        <w:tc>
          <w:tcPr>
            <w:tcW w:type="dxa" w:w="2541"/>
            <w:vAlign w:val="center"/>
          </w:tcPr>
          <w:p>
            <w:pPr>
              <w:spacing w:after="20"/>
            </w:pPr>
            <w:r>
              <w:rPr>
                <w:sz w:val="16"/>
              </w:rPr>
              <w:t>Can provide a risk-based service schedule incorporating sentinel and representative outlets, TMVs and storage tanks where applicable.</w:t>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vAlign w:val="center"/>
          </w:tcPr>
          <w:p>
            <w:pPr>
              <w:spacing w:after="20"/>
            </w:pPr>
            <w:r>
              <w:rPr>
                <w:sz w:val="16"/>
              </w:rPr>
              <w:t>MC7</w:t>
            </w:r>
          </w:p>
        </w:tc>
        <w:tc>
          <w:tcPr>
            <w:tcW w:type="dxa" w:w="2541"/>
            <w:vAlign w:val="center"/>
          </w:tcPr>
          <w:p>
            <w:pPr>
              <w:spacing w:after="20"/>
            </w:pPr>
            <w:r>
              <w:rPr>
                <w:sz w:val="16"/>
              </w:rPr>
              <w:t>Maintains confidentiality, security, safe access and appropriate operational controls in healthcare/GMP-adjacent premises.</w:t>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vAlign w:val="center"/>
          </w:tcPr>
          <w:p>
            <w:pPr>
              <w:spacing w:after="20"/>
            </w:pPr>
            <w:r>
              <w:rPr>
                <w:sz w:val="16"/>
              </w:rPr>
              <w:t>MC8</w:t>
            </w:r>
          </w:p>
        </w:tc>
        <w:tc>
          <w:tcPr>
            <w:tcW w:type="dxa" w:w="2541"/>
            <w:vAlign w:val="center"/>
          </w:tcPr>
          <w:p>
            <w:pPr>
              <w:spacing w:after="20"/>
            </w:pPr>
            <w:r>
              <w:rPr>
                <w:sz w:val="16"/>
              </w:rPr>
              <w:t>Identifies any subcontractors and accepts prime-contractor accountability.</w:t>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vAlign w:val="center"/>
          </w:tcPr>
          <w:p>
            <w:pPr>
              <w:spacing w:after="20"/>
            </w:pPr>
            <w:r>
              <w:rPr>
                <w:sz w:val="16"/>
              </w:rPr>
              <w:t>MC9</w:t>
            </w:r>
          </w:p>
        </w:tc>
        <w:tc>
          <w:tcPr>
            <w:tcW w:type="dxa" w:w="2541"/>
            <w:vAlign w:val="center"/>
          </w:tcPr>
          <w:p>
            <w:r>
              <w:t>Confirms all routine costs and annual LRA review charges are included in the relevant annual site rates, and all 16 planned reassessments (eight centres x Years 2 and 4) are separately and completely priced; no double-charging.</w:t>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vAlign w:val="center"/>
          </w:tcPr>
          <w:p>
            <w:pPr>
              <w:spacing w:after="20"/>
            </w:pPr>
            <w:r>
              <w:rPr>
                <w:sz w:val="16"/>
              </w:rPr>
              <w:t>MC10</w:t>
            </w:r>
          </w:p>
        </w:tc>
        <w:tc>
          <w:tcPr>
            <w:tcW w:type="dxa" w:w="2541"/>
            <w:vAlign w:val="center"/>
          </w:tcPr>
          <w:p>
            <w:pPr>
              <w:spacing w:after="20"/>
            </w:pPr>
            <w:r>
              <w:rPr>
                <w:sz w:val="16"/>
              </w:rPr>
              <w:t>Complies with applicable legislation, guidance, environmental controls and contractual governance requirements.</w:t>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tcPr>
          <w:p>
            <w:r>
              <w:t>MC11</w:t>
            </w:r>
          </w:p>
        </w:tc>
        <w:tc>
          <w:tcPr>
            <w:tcW w:type="dxa" w:w="2541"/>
          </w:tcPr>
          <w:p>
            <w:r>
              <w:t>Tenderer accepts a three-year initial term and up to two optional one-year extensions, with separate per-centre reassessment prices fixed for each scheduled Year 2 and Year 4 occasion (subject to the contract and stated price-review mechanism).</w:t>
            </w:r>
          </w:p>
        </w:tc>
        <w:tc>
          <w:tcPr>
            <w:tcW w:type="dxa" w:w="2541"/>
          </w:tcPr>
          <w:p>
            <w:r/>
          </w:p>
        </w:tc>
        <w:tc>
          <w:tcPr>
            <w:tcW w:type="dxa" w:w="2541"/>
          </w:tcPr>
          <w:p>
            <w:r/>
          </w:p>
        </w:tc>
      </w:tr>
    </w:tbl>
    <w:p>
      <w:pPr>
        <w:pStyle w:val="Heading1"/>
      </w:pPr>
      <w:r>
        <w:t>5. Insurances and Subcontractors</w:t>
      </w:r>
    </w:p>
    <w:p>
      <w:r>
        <w:t>Confirm the insurances specified in clause 2.21.1 of the Services RFT and identify any subcontracted laboratory or fieldwork elements. The amounts within the RFT require Procurement approval.</w:t>
      </w:r>
    </w:p>
    <w:tbl>
      <w:tblPr>
        <w:tblStyle w:val="TableGrid"/>
        <w:tblW w:type="auto" w:w="0"/>
        <w:jc w:val="center"/>
        <w:tblLook w:firstColumn="1" w:firstRow="1" w:lastColumn="0" w:lastRow="0" w:noHBand="0" w:noVBand="1" w:val="04A0"/>
      </w:tblPr>
      <w:tblGrid>
        <w:gridCol w:w="3389"/>
        <w:gridCol w:w="3389"/>
        <w:gridCol w:w="3389"/>
      </w:tblGrid>
      <w:tr>
        <w:tc>
          <w:tcPr>
            <w:tcW w:type="dxa" w:w="3389"/>
            <w:vAlign w:val="center"/>
            <w:shd w:fill="D9EAF7"/>
          </w:tcPr>
          <w:p>
            <w:pPr>
              <w:spacing w:after="20"/>
            </w:pPr>
            <w:r>
              <w:rPr>
                <w:b/>
                <w:sz w:val="16"/>
              </w:rPr>
              <w:t>Type</w:t>
            </w:r>
          </w:p>
        </w:tc>
        <w:tc>
          <w:tcPr>
            <w:tcW w:type="dxa" w:w="3389"/>
            <w:vAlign w:val="center"/>
            <w:shd w:fill="D9EAF7"/>
          </w:tcPr>
          <w:p>
            <w:pPr>
              <w:spacing w:after="20"/>
            </w:pPr>
            <w:r>
              <w:rPr>
                <w:b/>
                <w:sz w:val="16"/>
              </w:rPr>
              <w:t>Evidence/reference</w:t>
            </w:r>
          </w:p>
        </w:tc>
        <w:tc>
          <w:tcPr>
            <w:tcW w:type="dxa" w:w="3389"/>
            <w:vAlign w:val="center"/>
            <w:shd w:fill="D9EAF7"/>
          </w:tcPr>
          <w:p>
            <w:pPr>
              <w:spacing w:after="20"/>
            </w:pPr>
            <w:r>
              <w:rPr>
                <w:b/>
                <w:sz w:val="16"/>
              </w:rPr>
              <w:t>Tenderer comment</w:t>
            </w:r>
          </w:p>
        </w:tc>
      </w:tr>
      <w:tr>
        <w:tc>
          <w:tcPr>
            <w:tcW w:type="dxa" w:w="3389"/>
            <w:vAlign w:val="center"/>
          </w:tcPr>
          <w:p>
            <w:pPr>
              <w:spacing w:after="20"/>
            </w:pPr>
            <w:r>
              <w:rPr>
                <w:sz w:val="16"/>
              </w:rPr>
              <w:t>Employers Liability</w:t>
            </w:r>
          </w:p>
        </w:tc>
        <w:tc>
          <w:tcPr>
            <w:tcW w:type="dxa" w:w="3389"/>
            <w:vAlign w:val="center"/>
          </w:tcPr>
          <w:p>
            <w:pPr>
              <w:spacing w:after="20"/>
            </w:pPr>
            <w:r>
              <w:rPr>
                <w:sz w:val="16"/>
              </w:rPr>
            </w:r>
          </w:p>
        </w:tc>
        <w:tc>
          <w:tcPr>
            <w:tcW w:type="dxa" w:w="3389"/>
            <w:vAlign w:val="center"/>
          </w:tcPr>
          <w:p>
            <w:pPr>
              <w:spacing w:after="20"/>
            </w:pPr>
            <w:r>
              <w:rPr>
                <w:sz w:val="16"/>
              </w:rPr>
            </w:r>
          </w:p>
        </w:tc>
      </w:tr>
      <w:tr>
        <w:tc>
          <w:tcPr>
            <w:tcW w:type="dxa" w:w="3389"/>
            <w:vAlign w:val="center"/>
          </w:tcPr>
          <w:p>
            <w:pPr>
              <w:spacing w:after="20"/>
            </w:pPr>
            <w:r>
              <w:rPr>
                <w:sz w:val="16"/>
              </w:rPr>
              <w:t>Public Liability</w:t>
            </w:r>
          </w:p>
        </w:tc>
        <w:tc>
          <w:tcPr>
            <w:tcW w:type="dxa" w:w="3389"/>
            <w:vAlign w:val="center"/>
          </w:tcPr>
          <w:p>
            <w:pPr>
              <w:spacing w:after="20"/>
            </w:pPr>
            <w:r>
              <w:rPr>
                <w:sz w:val="16"/>
              </w:rPr>
            </w:r>
          </w:p>
        </w:tc>
        <w:tc>
          <w:tcPr>
            <w:tcW w:type="dxa" w:w="3389"/>
            <w:vAlign w:val="center"/>
          </w:tcPr>
          <w:p>
            <w:pPr>
              <w:spacing w:after="20"/>
            </w:pPr>
            <w:r>
              <w:rPr>
                <w:sz w:val="16"/>
              </w:rPr>
            </w:r>
          </w:p>
        </w:tc>
      </w:tr>
      <w:tr>
        <w:tc>
          <w:tcPr>
            <w:tcW w:type="dxa" w:w="3389"/>
            <w:vAlign w:val="center"/>
          </w:tcPr>
          <w:p>
            <w:pPr>
              <w:spacing w:after="20"/>
            </w:pPr>
            <w:r>
              <w:rPr>
                <w:sz w:val="16"/>
              </w:rPr>
              <w:t>Product Liability (where applicable)</w:t>
            </w:r>
          </w:p>
        </w:tc>
        <w:tc>
          <w:tcPr>
            <w:tcW w:type="dxa" w:w="3389"/>
            <w:vAlign w:val="center"/>
          </w:tcPr>
          <w:p>
            <w:pPr>
              <w:spacing w:after="20"/>
            </w:pPr>
            <w:r>
              <w:rPr>
                <w:sz w:val="16"/>
              </w:rPr>
            </w:r>
          </w:p>
        </w:tc>
        <w:tc>
          <w:tcPr>
            <w:tcW w:type="dxa" w:w="3389"/>
            <w:vAlign w:val="center"/>
          </w:tcPr>
          <w:p>
            <w:pPr>
              <w:spacing w:after="20"/>
            </w:pPr>
            <w:r>
              <w:rPr>
                <w:sz w:val="16"/>
              </w:rPr>
            </w:r>
          </w:p>
        </w:tc>
      </w:tr>
      <w:tr>
        <w:tc>
          <w:tcPr>
            <w:tcW w:type="dxa" w:w="3389"/>
            <w:vAlign w:val="center"/>
          </w:tcPr>
          <w:p>
            <w:pPr>
              <w:spacing w:after="20"/>
            </w:pPr>
            <w:r>
              <w:rPr>
                <w:sz w:val="16"/>
              </w:rPr>
              <w:t>Professional Indemnity</w:t>
            </w:r>
          </w:p>
        </w:tc>
        <w:tc>
          <w:tcPr>
            <w:tcW w:type="dxa" w:w="3389"/>
            <w:vAlign w:val="center"/>
          </w:tcPr>
          <w:p>
            <w:pPr>
              <w:spacing w:after="20"/>
            </w:pPr>
            <w:r>
              <w:rPr>
                <w:sz w:val="16"/>
              </w:rPr>
            </w:r>
          </w:p>
        </w:tc>
        <w:tc>
          <w:tcPr>
            <w:tcW w:type="dxa" w:w="3389"/>
            <w:vAlign w:val="center"/>
          </w:tcPr>
          <w:p>
            <w:pPr>
              <w:spacing w:after="20"/>
            </w:pPr>
            <w:r>
              <w:rPr>
                <w:sz w:val="16"/>
              </w:rPr>
            </w:r>
          </w:p>
        </w:tc>
      </w:tr>
      <w:tr>
        <w:tc>
          <w:tcPr>
            <w:tcW w:type="dxa" w:w="3389"/>
            <w:vAlign w:val="center"/>
          </w:tcPr>
          <w:p>
            <w:pPr>
              <w:spacing w:after="20"/>
            </w:pPr>
            <w:r>
              <w:rPr>
                <w:sz w:val="16"/>
              </w:rPr>
              <w:t>Laboratory accreditation (relevant schedule)</w:t>
            </w:r>
          </w:p>
        </w:tc>
        <w:tc>
          <w:tcPr>
            <w:tcW w:type="dxa" w:w="3389"/>
            <w:vAlign w:val="center"/>
          </w:tcPr>
          <w:p>
            <w:pPr>
              <w:spacing w:after="20"/>
            </w:pPr>
            <w:r>
              <w:rPr>
                <w:sz w:val="16"/>
              </w:rPr>
            </w:r>
          </w:p>
        </w:tc>
        <w:tc>
          <w:tcPr>
            <w:tcW w:type="dxa" w:w="3389"/>
            <w:vAlign w:val="center"/>
          </w:tcPr>
          <w:p>
            <w:pPr>
              <w:spacing w:after="20"/>
            </w:pPr>
            <w:r>
              <w:rPr>
                <w:sz w:val="16"/>
              </w:rPr>
            </w:r>
          </w:p>
        </w:tc>
      </w:tr>
    </w:tbl>
    <w:p>
      <w:pPr>
        <w:pStyle w:val="Heading1"/>
      </w:pPr>
      <w:r>
        <w:t>6. Technical Responses — 70 marks total</w:t>
      </w:r>
    </w:p>
    <w:p>
      <w:r>
        <w:t>Each criterion must be addressed with project-specific evidence. Scores are applied in accordance with the RFT. Sustainability is worth 10 marks of the total 100.</w:t>
      </w:r>
    </w:p>
    <w:p>
      <w:pPr>
        <w:pStyle w:val="Heading2"/>
      </w:pPr>
      <w:r>
        <w:t>Q1. Understanding of IBTS Water Systems and Risk-Based Service Plan (10 marks)</w:t>
      </w:r>
    </w:p>
    <w:p>
      <w:r>
        <w:t>Evidence expected: Site familiarity, LRA-based priorities, asset/outlet schedules, safe service boundaries, annual documented LRA review methodology and comprehensive on-site reassessment methodology for all eight sites in Years 2 and 4 (second occasion conditional on extension); operational resilience.</w:t>
      </w:r>
    </w:p>
    <w:p>
      <w:r>
        <w:t>Tenderer response: __________________________________________________________________________</w:t>
      </w:r>
    </w:p>
    <w:p>
      <w:r>
        <w:t>______________________________________________________________________________________</w:t>
      </w:r>
    </w:p>
    <w:p>
      <w:pPr>
        <w:pStyle w:val="Heading2"/>
      </w:pPr>
      <w:r>
        <w:t>Q2. Legionella Sampling, Laboratory Testing and Chain of Custody (15 marks)</w:t>
      </w:r>
    </w:p>
    <w:p>
      <w:r>
        <w:t>Evidence expected: Recognised sampling and accredited testing methods, sample integrity, analysis, laboratory arrangements, interpretation.</w:t>
      </w:r>
    </w:p>
    <w:p>
      <w:r>
        <w:t>Tenderer response: __________________________________________________________________________</w:t>
      </w:r>
    </w:p>
    <w:p>
      <w:r>
        <w:t>______________________________________________________________________________________</w:t>
      </w:r>
    </w:p>
    <w:p>
      <w:pPr>
        <w:pStyle w:val="Heading2"/>
      </w:pPr>
      <w:r>
        <w:t>Q3. Water Temperature, Sentinel Outlet, TMV and Tank Monitoring (10 marks)</w:t>
      </w:r>
    </w:p>
    <w:p>
      <w:r>
        <w:t>Evidence expected: Hot/cold temperature controls, sentinel and representative outlet plans, TMVs and tank inspections, non-compliance handling.</w:t>
      </w:r>
    </w:p>
    <w:p>
      <w:r>
        <w:t>Tenderer response: __________________________________________________________________________</w:t>
      </w:r>
    </w:p>
    <w:p>
      <w:r>
        <w:t>______________________________________________________________________________________</w:t>
      </w:r>
    </w:p>
    <w:p>
      <w:pPr>
        <w:pStyle w:val="Heading2"/>
      </w:pPr>
      <w:r>
        <w:t>Q4. Incident Response, Escalation and Technical Advisory Support (8 marks)</w:t>
      </w:r>
    </w:p>
    <w:p>
      <w:r>
        <w:t>Evidence expected: Positive results, temperature deviations, incident advice, escalation and recovery, service continuity.</w:t>
      </w:r>
    </w:p>
    <w:p>
      <w:r>
        <w:t>Tenderer response: __________________________________________________________________________</w:t>
      </w:r>
    </w:p>
    <w:p>
      <w:r>
        <w:t>______________________________________________________________________________________</w:t>
      </w:r>
    </w:p>
    <w:p>
      <w:pPr>
        <w:pStyle w:val="Heading2"/>
      </w:pPr>
      <w:r>
        <w:t>Q5. Competence, Accreditation, Supervision and Mobilisation (9 marks)</w:t>
      </w:r>
    </w:p>
    <w:p>
      <w:r>
        <w:t>Evidence expected: Technical team, laboratory scope of accreditation, mobilisation, comparable work, cover and subcontract management.</w:t>
      </w:r>
    </w:p>
    <w:p>
      <w:r>
        <w:t>Tenderer response: __________________________________________________________________________</w:t>
      </w:r>
    </w:p>
    <w:p>
      <w:r>
        <w:t>______________________________________________________________________________________</w:t>
      </w:r>
    </w:p>
    <w:p>
      <w:pPr>
        <w:pStyle w:val="Heading2"/>
      </w:pPr>
      <w:r>
        <w:t>Q6. Reporting, Data Integrity, Audit Readiness and Quality Management (8 marks)</w:t>
      </w:r>
    </w:p>
    <w:p>
      <w:r>
        <w:t>Evidence expected: Auditable reports, annual site-specific documented LRA review records, signed full LRA reassessment reports in Years 2 and 4, traceability, trends, review meetings, CAPA and data governance.</w:t>
      </w:r>
    </w:p>
    <w:p>
      <w:r>
        <w:t>Tenderer response: __________________________________________________________________________</w:t>
      </w:r>
    </w:p>
    <w:p>
      <w:r>
        <w:t>______________________________________________________________________________________</w:t>
      </w:r>
    </w:p>
    <w:p>
      <w:pPr>
        <w:pStyle w:val="Heading2"/>
      </w:pPr>
      <w:r>
        <w:t>Q7. Sustainability, Water Stewardship and Environmental Performance (10 marks)</w:t>
      </w:r>
    </w:p>
    <w:p>
      <w:r>
        <w:t>Evidence expected: Water conservation without compromising microbiological safety, efficient logistics, low-waste sampling and measurable reporting.</w:t>
      </w:r>
    </w:p>
    <w:p>
      <w:r>
        <w:t>Tenderer response: __________________________________________________________________________</w:t>
      </w:r>
    </w:p>
    <w:p>
      <w:r>
        <w:t>______________________________________________________________________________________</w:t>
      </w:r>
    </w:p>
    <w:p>
      <w:pPr>
        <w:pStyle w:val="Heading1"/>
      </w:pPr>
      <w:r>
        <w:t>7. Clarifications, Assumptions and Exclusions</w:t>
      </w: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vAlign w:val="center"/>
            <w:shd w:fill="D9EAF7"/>
          </w:tcPr>
          <w:p>
            <w:pPr>
              <w:spacing w:after="20"/>
            </w:pPr>
            <w:r>
              <w:rPr>
                <w:b/>
                <w:sz w:val="16"/>
              </w:rPr>
              <w:t>Ref</w:t>
            </w:r>
          </w:p>
        </w:tc>
        <w:tc>
          <w:tcPr>
            <w:tcW w:type="dxa" w:w="2541"/>
            <w:vAlign w:val="center"/>
            <w:shd w:fill="D9EAF7"/>
          </w:tcPr>
          <w:p>
            <w:pPr>
              <w:spacing w:after="20"/>
            </w:pPr>
            <w:r>
              <w:rPr>
                <w:b/>
                <w:sz w:val="16"/>
              </w:rPr>
              <w:t>Clarification / assumption</w:t>
            </w:r>
          </w:p>
        </w:tc>
        <w:tc>
          <w:tcPr>
            <w:tcW w:type="dxa" w:w="2541"/>
            <w:vAlign w:val="center"/>
            <w:shd w:fill="D9EAF7"/>
          </w:tcPr>
          <w:p>
            <w:pPr>
              <w:spacing w:after="20"/>
            </w:pPr>
            <w:r>
              <w:rPr>
                <w:b/>
                <w:sz w:val="16"/>
              </w:rPr>
              <w:t>Pricing impact</w:t>
            </w:r>
          </w:p>
        </w:tc>
        <w:tc>
          <w:tcPr>
            <w:tcW w:type="dxa" w:w="2541"/>
            <w:vAlign w:val="center"/>
            <w:shd w:fill="D9EAF7"/>
          </w:tcPr>
          <w:p>
            <w:pPr>
              <w:spacing w:after="20"/>
            </w:pPr>
            <w:r>
              <w:rPr>
                <w:b/>
                <w:sz w:val="16"/>
              </w:rPr>
              <w:t>IBTS acceptance?</w:t>
            </w:r>
          </w:p>
        </w:tc>
      </w:tr>
      <w:tr>
        <w:tc>
          <w:tcPr>
            <w:tcW w:type="dxa" w:w="2541"/>
            <w:vAlign w:val="center"/>
          </w:tcPr>
          <w:p>
            <w:pPr>
              <w:spacing w:after="20"/>
            </w:pPr>
            <w:r>
              <w:rPr>
                <w:sz w:val="16"/>
              </w:rPr>
              <w:t>C1</w:t>
            </w:r>
          </w:p>
        </w:tc>
        <w:tc>
          <w:tcPr>
            <w:tcW w:type="dxa" w:w="2541"/>
            <w:vAlign w:val="center"/>
          </w:tcPr>
          <w:p>
            <w:pPr>
              <w:spacing w:after="20"/>
            </w:pPr>
            <w:r>
              <w:rPr>
                <w:sz w:val="16"/>
              </w:rPr>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vAlign w:val="center"/>
          </w:tcPr>
          <w:p>
            <w:pPr>
              <w:spacing w:after="20"/>
            </w:pPr>
            <w:r>
              <w:rPr>
                <w:sz w:val="16"/>
              </w:rPr>
              <w:t>C2</w:t>
            </w:r>
          </w:p>
        </w:tc>
        <w:tc>
          <w:tcPr>
            <w:tcW w:type="dxa" w:w="2541"/>
            <w:vAlign w:val="center"/>
          </w:tcPr>
          <w:p>
            <w:pPr>
              <w:spacing w:after="20"/>
            </w:pPr>
            <w:r>
              <w:rPr>
                <w:sz w:val="16"/>
              </w:rPr>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vAlign w:val="center"/>
          </w:tcPr>
          <w:p>
            <w:pPr>
              <w:spacing w:after="20"/>
            </w:pPr>
            <w:r>
              <w:rPr>
                <w:sz w:val="16"/>
              </w:rPr>
              <w:t>C3</w:t>
            </w:r>
          </w:p>
        </w:tc>
        <w:tc>
          <w:tcPr>
            <w:tcW w:type="dxa" w:w="2541"/>
            <w:vAlign w:val="center"/>
          </w:tcPr>
          <w:p>
            <w:pPr>
              <w:spacing w:after="20"/>
            </w:pPr>
            <w:r>
              <w:rPr>
                <w:sz w:val="16"/>
              </w:rPr>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vAlign w:val="center"/>
          </w:tcPr>
          <w:p>
            <w:pPr>
              <w:spacing w:after="20"/>
            </w:pPr>
            <w:r>
              <w:rPr>
                <w:sz w:val="16"/>
              </w:rPr>
              <w:t>C4</w:t>
            </w:r>
          </w:p>
        </w:tc>
        <w:tc>
          <w:tcPr>
            <w:tcW w:type="dxa" w:w="2541"/>
            <w:vAlign w:val="center"/>
          </w:tcPr>
          <w:p>
            <w:pPr>
              <w:spacing w:after="20"/>
            </w:pPr>
            <w:r>
              <w:rPr>
                <w:sz w:val="16"/>
              </w:rPr>
            </w:r>
          </w:p>
        </w:tc>
        <w:tc>
          <w:tcPr>
            <w:tcW w:type="dxa" w:w="2541"/>
            <w:vAlign w:val="center"/>
          </w:tcPr>
          <w:p>
            <w:pPr>
              <w:spacing w:after="20"/>
            </w:pPr>
            <w:r>
              <w:rPr>
                <w:sz w:val="16"/>
              </w:rPr>
            </w:r>
          </w:p>
        </w:tc>
        <w:tc>
          <w:tcPr>
            <w:tcW w:type="dxa" w:w="2541"/>
            <w:vAlign w:val="center"/>
          </w:tcPr>
          <w:p>
            <w:pPr>
              <w:spacing w:after="20"/>
            </w:pPr>
            <w:r>
              <w:rPr>
                <w:sz w:val="16"/>
              </w:rPr>
            </w:r>
          </w:p>
        </w:tc>
      </w:tr>
      <w:tr>
        <w:tc>
          <w:tcPr>
            <w:tcW w:type="dxa" w:w="2541"/>
            <w:vAlign w:val="center"/>
          </w:tcPr>
          <w:p>
            <w:pPr>
              <w:spacing w:after="20"/>
            </w:pPr>
            <w:r>
              <w:rPr>
                <w:sz w:val="16"/>
              </w:rPr>
              <w:t>C5</w:t>
            </w:r>
          </w:p>
        </w:tc>
        <w:tc>
          <w:tcPr>
            <w:tcW w:type="dxa" w:w="2541"/>
            <w:vAlign w:val="center"/>
          </w:tcPr>
          <w:p>
            <w:pPr>
              <w:spacing w:after="20"/>
            </w:pPr>
            <w:r>
              <w:rPr>
                <w:sz w:val="16"/>
              </w:rPr>
            </w:r>
          </w:p>
        </w:tc>
        <w:tc>
          <w:tcPr>
            <w:tcW w:type="dxa" w:w="2541"/>
            <w:vAlign w:val="center"/>
          </w:tcPr>
          <w:p>
            <w:pPr>
              <w:spacing w:after="20"/>
            </w:pPr>
            <w:r>
              <w:rPr>
                <w:sz w:val="16"/>
              </w:rPr>
            </w:r>
          </w:p>
        </w:tc>
        <w:tc>
          <w:tcPr>
            <w:tcW w:type="dxa" w:w="2541"/>
            <w:vAlign w:val="center"/>
          </w:tcPr>
          <w:p>
            <w:pPr>
              <w:spacing w:after="20"/>
            </w:pPr>
            <w:r>
              <w:rPr>
                <w:sz w:val="16"/>
              </w:rPr>
            </w:r>
          </w:p>
        </w:tc>
      </w:tr>
    </w:tbl>
    <w:p>
      <w:pPr>
        <w:pStyle w:val="Heading2"/>
      </w:pPr>
      <w:r>
        <w:t>Appendix A — Confirmation of 2027 Incumbent Service Programme</w:t>
      </w:r>
    </w:p>
    <w:p>
      <w:r>
        <w:t>Tenderers must confirm ability to provide the existing-site activities listed in the accompanying revised URS and Pricing Schedule, including: monthly sentinel and calorifier/return monitoring, quarterly showerhead disinfection and local water-heater checks, risk-based Legionella laboratory testing, semiannual tank/plant checks, NBC closed-loop analysis, annual representative outlet monitoring, annual calorifier inspection and full TMV servicing where applicable, as well as the agreed LRA review and reassessment programme. Frequencies identified solely by the incumbent worksheet section headings are provisional pending IBTS publication sign-off.</w:t>
      </w:r>
    </w:p>
    <w:p>
      <w:r>
        <w:t>Tenderers must price each site and work activity consistently using the prescribed cost workbook, identify any overlap between outlet or plant readings, include sample chain of custody and full reporting, and disclose optional disinfection and reactive prices without counting them as recurring services unless explicitly included in the published basket.</w:t>
      </w:r>
    </w:p>
    <w:p>
      <w:r>
        <w:t>IBTS confirms the incumbent 2027 workbook column labelled “MRTC” refers to Cork Centre. Its stated service quantities are therefore attributed to Cork, one of the eight included sites; any blank entries remain unconfirmed and must not be treated as zero. Values not stated in the incumbent source will be finalised and published by IBTS Procurement prior to the competition.</w:t>
      </w:r>
    </w:p>
    <w:sectPr w:rsidR="00FC693F" w:rsidRPr="0006063C" w:rsidSect="00034616">
      <w:headerReference w:type="default" r:id="rId9"/>
      <w:footerReference w:type="default" r:id="rId10"/>
      <w:pgSz w:w="12240" w:h="15840"/>
      <w:pgMar w:top="1008"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IBTS  •  Legionella &amp; Water Safety Services  •  Procurement Draft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17365D"/>
      </w:rPr>
      <w:t>IRISH BLOOD TRANSFUSION SERVICE  |  TENDER RESPONSE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365D"/>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365D"/>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