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A24AE" w14:textId="6D00601D" w:rsidR="00DF2183" w:rsidRPr="00DF2183" w:rsidRDefault="00DF2183" w:rsidP="00DF2183">
      <w:pPr>
        <w:jc w:val="center"/>
        <w:rPr>
          <w:b/>
          <w:bCs/>
          <w:sz w:val="28"/>
          <w:szCs w:val="28"/>
          <w:u w:val="single"/>
        </w:rPr>
      </w:pPr>
      <w:bookmarkStart w:id="0" w:name="a801687"/>
      <w:r w:rsidRPr="00DF2183">
        <w:rPr>
          <w:b/>
          <w:bCs/>
          <w:sz w:val="28"/>
          <w:szCs w:val="28"/>
          <w:u w:val="single"/>
        </w:rPr>
        <w:t xml:space="preserve">SCHEDULE– </w:t>
      </w:r>
      <w:r w:rsidR="006B79AA">
        <w:rPr>
          <w:b/>
          <w:bCs/>
          <w:sz w:val="28"/>
          <w:szCs w:val="28"/>
          <w:u w:val="single"/>
        </w:rPr>
        <w:t>CYBERSECURITY</w:t>
      </w:r>
    </w:p>
    <w:p w14:paraId="26D25F30" w14:textId="42741F90" w:rsidR="00457DE8" w:rsidRDefault="00BB065D" w:rsidP="00457DE8">
      <w:pPr>
        <w:rPr>
          <w:iCs/>
          <w:lang w:val="en-GB"/>
        </w:rPr>
      </w:pPr>
      <w:r>
        <w:rPr>
          <w:iCs/>
          <w:lang w:val="en-GB"/>
        </w:rPr>
        <w:t xml:space="preserve">This schedule will be amended to reflect the requirements of the </w:t>
      </w:r>
      <w:r w:rsidR="00B86682" w:rsidRPr="00457DE8">
        <w:rPr>
          <w:iCs/>
          <w:lang w:val="en-GB"/>
        </w:rPr>
        <w:t xml:space="preserve">National Cyber Security Act </w:t>
      </w:r>
      <w:r>
        <w:rPr>
          <w:iCs/>
          <w:lang w:val="en-GB"/>
        </w:rPr>
        <w:t>as soon as reasonably practicable.</w:t>
      </w:r>
      <w:r w:rsidRPr="00BB065D" w:rsidDel="00BB065D">
        <w:rPr>
          <w:iCs/>
          <w:lang w:val="en-GB"/>
        </w:rPr>
        <w:t xml:space="preserve"> </w:t>
      </w:r>
    </w:p>
    <w:p w14:paraId="29DA2ECA" w14:textId="6F9A6942" w:rsidR="00DF2183" w:rsidRPr="00457DE8" w:rsidRDefault="00DF2183" w:rsidP="00457DE8">
      <w:pPr>
        <w:rPr>
          <w:b/>
        </w:rPr>
      </w:pPr>
      <w:r w:rsidRPr="00457DE8">
        <w:rPr>
          <w:b/>
        </w:rPr>
        <w:t xml:space="preserve">Definitions: </w:t>
      </w:r>
    </w:p>
    <w:p w14:paraId="3241C976" w14:textId="77777777" w:rsidR="00DF2183" w:rsidRPr="00CF4D48" w:rsidRDefault="00DF2183" w:rsidP="00CF4D48">
      <w:pPr>
        <w:jc w:val="both"/>
        <w:rPr>
          <w:rFonts w:ascii="Arial" w:hAnsi="Arial" w:cs="Arial"/>
        </w:rPr>
      </w:pPr>
      <w:r w:rsidRPr="00CF4D48">
        <w:rPr>
          <w:rFonts w:ascii="Arial" w:hAnsi="Arial" w:cs="Arial"/>
        </w:rPr>
        <w:t>Capitalised terms used but not defined herein have the meanings assigned to them in this Schedule, unless the context otherwise requires:</w:t>
      </w:r>
    </w:p>
    <w:p w14:paraId="20DA71AF" w14:textId="77777777" w:rsidR="00E71924" w:rsidRPr="00CF4D48" w:rsidRDefault="009F555F" w:rsidP="00CF4D48">
      <w:pPr>
        <w:jc w:val="both"/>
        <w:rPr>
          <w:rFonts w:ascii="Arial" w:hAnsi="Arial" w:cs="Arial"/>
        </w:rPr>
      </w:pPr>
      <w:r w:rsidRPr="00CF4D48">
        <w:rPr>
          <w:rStyle w:val="DefTerm"/>
          <w:rFonts w:ascii="Arial" w:hAnsi="Arial" w:cs="Arial"/>
        </w:rPr>
        <w:t>Cybersecurity Requirements</w:t>
      </w:r>
      <w:r w:rsidRPr="00CF4D48">
        <w:rPr>
          <w:rFonts w:ascii="Arial" w:hAnsi="Arial" w:cs="Arial"/>
        </w:rPr>
        <w:t xml:space="preserve">: all laws, regulations, codes, guidance (from regulatory and advisory bodies, whether mandatory or not), international and national standards, and sanctions, applicable to either party and relating to security of network and information systems and security breach and incident reporting requirements, including </w:t>
      </w:r>
      <w:r w:rsidR="00D01E66" w:rsidRPr="00CF4D48">
        <w:rPr>
          <w:rFonts w:ascii="Arial" w:hAnsi="Arial" w:cs="Arial"/>
        </w:rPr>
        <w:t xml:space="preserve">Directive (EU) 2022/2555 and the </w:t>
      </w:r>
      <w:r w:rsidRPr="00CF4D48">
        <w:rPr>
          <w:rFonts w:ascii="Arial" w:hAnsi="Arial" w:cs="Arial"/>
        </w:rPr>
        <w:t>General Data Protection Regulation ((EU) 2016/679)</w:t>
      </w:r>
      <w:r w:rsidR="00D01E66" w:rsidRPr="00CF4D48">
        <w:rPr>
          <w:rFonts w:ascii="Arial" w:hAnsi="Arial" w:cs="Arial"/>
        </w:rPr>
        <w:t xml:space="preserve"> and national implementing legislation in respect of the same, </w:t>
      </w:r>
      <w:r w:rsidRPr="00CF4D48">
        <w:rPr>
          <w:rFonts w:ascii="Arial" w:hAnsi="Arial" w:cs="Arial"/>
        </w:rPr>
        <w:t>all as amended or updated from time to time.</w:t>
      </w:r>
      <w:r w:rsidRPr="00CF4D48">
        <w:rPr>
          <w:rFonts w:ascii="Arial" w:hAnsi="Arial" w:cs="Arial"/>
        </w:rPr>
        <w:fldChar w:fldCharType="begin"/>
      </w:r>
      <w:r w:rsidRPr="00CF4D48">
        <w:rPr>
          <w:rFonts w:ascii="Arial" w:hAnsi="Arial" w:cs="Arial"/>
        </w:rPr>
        <w:fldChar w:fldCharType="end"/>
      </w:r>
      <w:bookmarkEnd w:id="0"/>
    </w:p>
    <w:p w14:paraId="77481ACA" w14:textId="77777777" w:rsidR="00151090" w:rsidRPr="00CF4D48" w:rsidRDefault="00151090" w:rsidP="00CF4D48">
      <w:pPr>
        <w:jc w:val="both"/>
        <w:rPr>
          <w:rFonts w:ascii="Arial" w:hAnsi="Arial" w:cs="Arial"/>
        </w:rPr>
      </w:pPr>
      <w:bookmarkStart w:id="1" w:name="a682012"/>
      <w:r w:rsidRPr="00CF4D48">
        <w:rPr>
          <w:rStyle w:val="DefTerm"/>
          <w:rFonts w:ascii="Arial" w:hAnsi="Arial" w:cs="Arial"/>
        </w:rPr>
        <w:t>Good Industry Practice</w:t>
      </w:r>
      <w:r w:rsidRPr="00CF4D48">
        <w:rPr>
          <w:rFonts w:ascii="Arial" w:hAnsi="Arial" w:cs="Arial"/>
        </w:rPr>
        <w:t>: the exercise of that degree of skill, care, prudence, efficiency, foresight and timeliness as would be expected from a leading company within the relevant industry or business sector.</w:t>
      </w:r>
      <w:bookmarkEnd w:id="1"/>
    </w:p>
    <w:p w14:paraId="2438BDE2" w14:textId="77777777" w:rsidR="00E71924" w:rsidRPr="00CF4D48" w:rsidRDefault="009F555F" w:rsidP="00CF4D48">
      <w:pPr>
        <w:jc w:val="both"/>
        <w:rPr>
          <w:rFonts w:ascii="Arial" w:hAnsi="Arial" w:cs="Arial"/>
        </w:rPr>
      </w:pPr>
      <w:r w:rsidRPr="00CF4D48">
        <w:rPr>
          <w:rFonts w:ascii="Arial" w:hAnsi="Arial" w:cs="Arial"/>
          <w:b/>
        </w:rPr>
        <w:t xml:space="preserve">Incident: </w:t>
      </w:r>
      <w:r w:rsidRPr="00CF4D48">
        <w:rPr>
          <w:rFonts w:ascii="Arial" w:hAnsi="Arial" w:cs="Arial"/>
        </w:rPr>
        <w:t>any Vulnerability, Virus or security incident which:</w:t>
      </w:r>
    </w:p>
    <w:p w14:paraId="2FD93C60" w14:textId="47A58207" w:rsidR="00E71924" w:rsidRPr="00CF4D48" w:rsidRDefault="009F555F" w:rsidP="00980A19">
      <w:pPr>
        <w:pStyle w:val="ListParagraph"/>
        <w:numPr>
          <w:ilvl w:val="0"/>
          <w:numId w:val="31"/>
        </w:numPr>
        <w:jc w:val="both"/>
        <w:rPr>
          <w:rFonts w:ascii="Arial" w:hAnsi="Arial" w:cs="Arial"/>
        </w:rPr>
      </w:pPr>
      <w:r w:rsidRPr="00CF4D48">
        <w:rPr>
          <w:rFonts w:ascii="Arial" w:hAnsi="Arial" w:cs="Arial"/>
        </w:rPr>
        <w:t xml:space="preserve">may affect the </w:t>
      </w:r>
      <w:r w:rsidR="007A6FB4">
        <w:rPr>
          <w:rFonts w:ascii="Arial" w:hAnsi="Arial" w:cs="Arial"/>
        </w:rPr>
        <w:t>[</w:t>
      </w:r>
      <w:r w:rsidR="00B072FE">
        <w:rPr>
          <w:rFonts w:ascii="Arial" w:hAnsi="Arial" w:cs="Arial"/>
        </w:rPr>
        <w:t>Services/Goods</w:t>
      </w:r>
      <w:proofErr w:type="gramStart"/>
      <w:r w:rsidR="007A6FB4">
        <w:rPr>
          <w:rFonts w:ascii="Arial" w:hAnsi="Arial" w:cs="Arial"/>
        </w:rPr>
        <w:t>]</w:t>
      </w:r>
      <w:r w:rsidRPr="00CF4D48">
        <w:rPr>
          <w:rFonts w:ascii="Arial" w:hAnsi="Arial" w:cs="Arial"/>
        </w:rPr>
        <w:t>;</w:t>
      </w:r>
      <w:proofErr w:type="gramEnd"/>
      <w:r w:rsidRPr="00CF4D48">
        <w:rPr>
          <w:rFonts w:ascii="Arial" w:hAnsi="Arial" w:cs="Arial"/>
        </w:rPr>
        <w:t xml:space="preserve"> </w:t>
      </w:r>
    </w:p>
    <w:p w14:paraId="3BEE0E56" w14:textId="337A2734" w:rsidR="00E71924" w:rsidRPr="00CF4D48" w:rsidRDefault="009F555F" w:rsidP="00980A19">
      <w:pPr>
        <w:pStyle w:val="ListParagraph"/>
        <w:numPr>
          <w:ilvl w:val="0"/>
          <w:numId w:val="31"/>
        </w:numPr>
        <w:jc w:val="both"/>
        <w:rPr>
          <w:rFonts w:ascii="Arial" w:hAnsi="Arial" w:cs="Arial"/>
        </w:rPr>
      </w:pPr>
      <w:r w:rsidRPr="00CF4D48">
        <w:rPr>
          <w:rFonts w:ascii="Arial" w:hAnsi="Arial" w:cs="Arial"/>
        </w:rPr>
        <w:t xml:space="preserve">may affect the </w:t>
      </w:r>
      <w:r w:rsidR="004A19F0" w:rsidRPr="00CF4D48">
        <w:rPr>
          <w:rFonts w:ascii="Arial" w:hAnsi="Arial" w:cs="Arial"/>
        </w:rPr>
        <w:t>Contractor</w:t>
      </w:r>
      <w:r w:rsidRPr="00CF4D48">
        <w:rPr>
          <w:rFonts w:ascii="Arial" w:hAnsi="Arial" w:cs="Arial"/>
        </w:rPr>
        <w:t xml:space="preserve">'s network and information systems such that it could potentially affect the </w:t>
      </w:r>
      <w:r w:rsidR="004A19F0" w:rsidRPr="00CF4D48">
        <w:rPr>
          <w:rFonts w:ascii="Arial" w:hAnsi="Arial" w:cs="Arial"/>
        </w:rPr>
        <w:t>Client</w:t>
      </w:r>
      <w:r w:rsidRPr="00CF4D48">
        <w:rPr>
          <w:rFonts w:ascii="Arial" w:hAnsi="Arial" w:cs="Arial"/>
        </w:rPr>
        <w:t xml:space="preserve"> or the </w:t>
      </w:r>
      <w:r w:rsidR="005E0AEE" w:rsidRPr="00CF4D48">
        <w:rPr>
          <w:rFonts w:ascii="Arial" w:hAnsi="Arial" w:cs="Arial"/>
        </w:rPr>
        <w:t>[</w:t>
      </w:r>
      <w:r w:rsidR="00B072FE">
        <w:rPr>
          <w:rFonts w:ascii="Arial" w:hAnsi="Arial" w:cs="Arial"/>
        </w:rPr>
        <w:t>Services/Goods</w:t>
      </w:r>
      <w:r w:rsidR="005E0AEE" w:rsidRPr="00CF4D48">
        <w:rPr>
          <w:rFonts w:ascii="Arial" w:hAnsi="Arial" w:cs="Arial"/>
        </w:rPr>
        <w:t>]</w:t>
      </w:r>
      <w:r w:rsidRPr="00CF4D48">
        <w:rPr>
          <w:rFonts w:ascii="Arial" w:hAnsi="Arial" w:cs="Arial"/>
        </w:rPr>
        <w:t>; or</w:t>
      </w:r>
    </w:p>
    <w:p w14:paraId="36A8BC74" w14:textId="77777777" w:rsidR="00E71924" w:rsidRPr="00CF4D48" w:rsidRDefault="009F555F" w:rsidP="00980A19">
      <w:pPr>
        <w:pStyle w:val="ListParagraph"/>
        <w:numPr>
          <w:ilvl w:val="0"/>
          <w:numId w:val="31"/>
        </w:numPr>
        <w:jc w:val="both"/>
        <w:rPr>
          <w:rFonts w:ascii="Arial" w:hAnsi="Arial" w:cs="Arial"/>
        </w:rPr>
      </w:pPr>
      <w:r w:rsidRPr="00CF4D48">
        <w:rPr>
          <w:rFonts w:ascii="Arial" w:hAnsi="Arial" w:cs="Arial"/>
        </w:rPr>
        <w:t xml:space="preserve">is reported to the </w:t>
      </w:r>
      <w:r w:rsidR="004A19F0" w:rsidRPr="00CF4D48">
        <w:rPr>
          <w:rFonts w:ascii="Arial" w:hAnsi="Arial" w:cs="Arial"/>
        </w:rPr>
        <w:t>Contractor</w:t>
      </w:r>
      <w:r w:rsidRPr="00CF4D48">
        <w:rPr>
          <w:rFonts w:ascii="Arial" w:hAnsi="Arial" w:cs="Arial"/>
        </w:rPr>
        <w:t xml:space="preserve"> by the </w:t>
      </w:r>
      <w:r w:rsidR="004A19F0" w:rsidRPr="00CF4D48">
        <w:rPr>
          <w:rFonts w:ascii="Arial" w:hAnsi="Arial" w:cs="Arial"/>
        </w:rPr>
        <w:t>Client</w:t>
      </w:r>
      <w:r w:rsidRPr="00CF4D48">
        <w:rPr>
          <w:rFonts w:ascii="Arial" w:hAnsi="Arial" w:cs="Arial"/>
        </w:rPr>
        <w:t>.</w:t>
      </w:r>
    </w:p>
    <w:p w14:paraId="0252855C" w14:textId="77777777" w:rsidR="00E71924" w:rsidRPr="00CF4D48" w:rsidRDefault="009F555F" w:rsidP="00CF4D48">
      <w:pPr>
        <w:jc w:val="both"/>
        <w:rPr>
          <w:rFonts w:ascii="Arial" w:hAnsi="Arial" w:cs="Arial"/>
        </w:rPr>
      </w:pPr>
      <w:bookmarkStart w:id="2" w:name="a321245"/>
      <w:r w:rsidRPr="00CF4D48">
        <w:rPr>
          <w:rStyle w:val="DefTerm"/>
          <w:rFonts w:ascii="Arial" w:hAnsi="Arial" w:cs="Arial"/>
        </w:rPr>
        <w:t>Virus</w:t>
      </w:r>
      <w:r w:rsidRPr="00CF4D48">
        <w:rPr>
          <w:rFonts w:ascii="Arial" w:hAnsi="Arial" w:cs="Arial"/>
        </w:rPr>
        <w:t>: any program which contains malicious code or infiltrates or damages a computer system without the owner's informed consent or is designed to do so or which is hostile, intrusive or annoying to the owner or user and has no legitimate purpose.</w:t>
      </w:r>
      <w:bookmarkEnd w:id="2"/>
    </w:p>
    <w:p w14:paraId="32D2DE62" w14:textId="77777777" w:rsidR="00E71924" w:rsidRPr="00CF4D48" w:rsidRDefault="009F555F" w:rsidP="00CF4D48">
      <w:pPr>
        <w:jc w:val="both"/>
        <w:rPr>
          <w:rFonts w:ascii="Arial" w:hAnsi="Arial" w:cs="Arial"/>
        </w:rPr>
      </w:pPr>
      <w:r w:rsidRPr="00CF4D48">
        <w:rPr>
          <w:rFonts w:ascii="Arial" w:hAnsi="Arial" w:cs="Arial"/>
          <w:b/>
        </w:rPr>
        <w:t xml:space="preserve">Vulnerability: </w:t>
      </w:r>
      <w:r w:rsidRPr="00CF4D48">
        <w:rPr>
          <w:rFonts w:ascii="Arial" w:hAnsi="Arial" w:cs="Arial"/>
        </w:rPr>
        <w:t xml:space="preserve">a weakness in the computational logic (for example, code) found in software and hardware components that, when exploited, results in a negative impact to confidentiality, integrity, or availability, and the term </w:t>
      </w:r>
      <w:r w:rsidRPr="00CF4D48">
        <w:rPr>
          <w:rFonts w:ascii="Arial" w:hAnsi="Arial" w:cs="Arial"/>
          <w:b/>
        </w:rPr>
        <w:t xml:space="preserve">Vulnerabilities </w:t>
      </w:r>
      <w:r w:rsidRPr="00CF4D48">
        <w:rPr>
          <w:rFonts w:ascii="Arial" w:hAnsi="Arial" w:cs="Arial"/>
        </w:rPr>
        <w:t>shall be interpreted accordingly.</w:t>
      </w:r>
    </w:p>
    <w:p w14:paraId="5EAA25C7" w14:textId="77777777" w:rsidR="00E71924" w:rsidRPr="001562EC" w:rsidRDefault="009F555F" w:rsidP="004F0D6B">
      <w:pPr>
        <w:pStyle w:val="TitleClause"/>
      </w:pPr>
      <w:r w:rsidRPr="001562EC">
        <w:fldChar w:fldCharType="begin"/>
      </w:r>
      <w:r w:rsidRPr="001562EC">
        <w:instrText>TC "29. Security of network and information systems" \l 1</w:instrText>
      </w:r>
      <w:r w:rsidRPr="001562EC">
        <w:fldChar w:fldCharType="end"/>
      </w:r>
      <w:bookmarkStart w:id="3" w:name="_Toc256000028"/>
      <w:bookmarkStart w:id="4" w:name="a446471"/>
      <w:r w:rsidRPr="001562EC">
        <w:t>Security of network and information systems</w:t>
      </w:r>
      <w:bookmarkEnd w:id="3"/>
      <w:r w:rsidRPr="001562EC">
        <w:fldChar w:fldCharType="begin"/>
      </w:r>
      <w:r w:rsidRPr="001562EC">
        <w:instrText>MACROBUTTON optional</w:instrText>
      </w:r>
      <w:r w:rsidRPr="001562EC">
        <w:fldChar w:fldCharType="end"/>
      </w:r>
      <w:bookmarkEnd w:id="4"/>
    </w:p>
    <w:p w14:paraId="40781B69" w14:textId="77777777" w:rsidR="00E66EE5" w:rsidRPr="001562EC" w:rsidRDefault="00E66EE5" w:rsidP="00E66EE5">
      <w:pPr>
        <w:pStyle w:val="Untitledsubclause1"/>
        <w:rPr>
          <w:rFonts w:eastAsiaTheme="minorHAnsi"/>
        </w:rPr>
      </w:pPr>
      <w:bookmarkStart w:id="5" w:name="a968088"/>
      <w:r w:rsidRPr="001562EC">
        <w:rPr>
          <w:rFonts w:eastAsiaTheme="minorHAnsi"/>
        </w:rPr>
        <w:t>The Contractor shall at all times implement appropriate and proportionate technical, operational and organisational measures to:</w:t>
      </w:r>
    </w:p>
    <w:p w14:paraId="5AC055FF" w14:textId="77777777" w:rsidR="00E66EE5" w:rsidRPr="001562EC" w:rsidRDefault="00E66EE5" w:rsidP="00E66EE5">
      <w:pPr>
        <w:pStyle w:val="Untitledsubclause2"/>
        <w:rPr>
          <w:rFonts w:eastAsiaTheme="minorHAnsi"/>
        </w:rPr>
      </w:pPr>
      <w:r w:rsidRPr="001562EC">
        <w:rPr>
          <w:rFonts w:eastAsiaTheme="minorHAnsi"/>
        </w:rPr>
        <w:lastRenderedPageBreak/>
        <w:t xml:space="preserve">protect </w:t>
      </w:r>
      <w:r w:rsidR="001C6DC8" w:rsidRPr="001562EC">
        <w:rPr>
          <w:rFonts w:eastAsiaTheme="minorHAnsi"/>
        </w:rPr>
        <w:t xml:space="preserve">the Client’s </w:t>
      </w:r>
      <w:r w:rsidR="001C6DC8" w:rsidRPr="001562EC">
        <w:t>network and information systems</w:t>
      </w:r>
      <w:r w:rsidRPr="001562EC">
        <w:rPr>
          <w:rFonts w:eastAsiaTheme="minorHAnsi"/>
        </w:rPr>
        <w:t xml:space="preserve"> against unauthorised or unlawful access and against accidental or unlawful loss, destruction, damage, alteration, or disclosure;</w:t>
      </w:r>
    </w:p>
    <w:p w14:paraId="1FB00316" w14:textId="77777777" w:rsidR="00E66EE5" w:rsidRPr="001562EC" w:rsidRDefault="00E66EE5" w:rsidP="00E66EE5">
      <w:pPr>
        <w:pStyle w:val="Untitledsubclause2"/>
        <w:rPr>
          <w:rFonts w:eastAsiaTheme="minorHAnsi"/>
        </w:rPr>
      </w:pPr>
      <w:r w:rsidRPr="001562EC">
        <w:rPr>
          <w:rFonts w:eastAsiaTheme="minorHAnsi"/>
        </w:rPr>
        <w:t xml:space="preserve">comply with </w:t>
      </w:r>
      <w:r w:rsidR="0094658D" w:rsidRPr="001562EC">
        <w:rPr>
          <w:rFonts w:eastAsiaTheme="minorHAnsi"/>
        </w:rPr>
        <w:t>the Cybersecurity Requirements</w:t>
      </w:r>
      <w:r w:rsidRPr="001562EC">
        <w:rPr>
          <w:rFonts w:eastAsiaTheme="minorHAnsi"/>
        </w:rPr>
        <w:t xml:space="preserve">; </w:t>
      </w:r>
    </w:p>
    <w:p w14:paraId="3E73289A" w14:textId="77777777" w:rsidR="00E66EE5" w:rsidRPr="001562EC" w:rsidRDefault="00E66EE5" w:rsidP="00E66EE5">
      <w:pPr>
        <w:pStyle w:val="Untitledsubclause1"/>
        <w:rPr>
          <w:rFonts w:eastAsiaTheme="minorHAnsi"/>
        </w:rPr>
      </w:pPr>
      <w:r w:rsidRPr="001562EC">
        <w:rPr>
          <w:rFonts w:eastAsiaTheme="minorHAnsi"/>
        </w:rPr>
        <w:t xml:space="preserve">The Contractor </w:t>
      </w:r>
      <w:r w:rsidR="0094658D" w:rsidRPr="001562EC">
        <w:rPr>
          <w:rFonts w:eastAsiaTheme="minorHAnsi"/>
        </w:rPr>
        <w:t>shall</w:t>
      </w:r>
      <w:r w:rsidRPr="001562EC">
        <w:rPr>
          <w:rFonts w:eastAsiaTheme="minorHAnsi"/>
        </w:rPr>
        <w:t xml:space="preserve"> </w:t>
      </w:r>
      <w:r w:rsidR="0094658D" w:rsidRPr="001562EC">
        <w:rPr>
          <w:rFonts w:eastAsiaTheme="minorHAnsi"/>
        </w:rPr>
        <w:t>have in place</w:t>
      </w:r>
      <w:r w:rsidRPr="001562EC">
        <w:rPr>
          <w:rFonts w:eastAsiaTheme="minorHAnsi"/>
        </w:rPr>
        <w:t xml:space="preserve"> measures to ensure a level of security appropriate to the risk involved, including as appropriate:</w:t>
      </w:r>
    </w:p>
    <w:p w14:paraId="62E96BF8" w14:textId="2C77346B" w:rsidR="00E66EE5" w:rsidRPr="001562EC" w:rsidRDefault="00E66EE5" w:rsidP="00E66EE5">
      <w:pPr>
        <w:pStyle w:val="Untitledsubclause2"/>
        <w:rPr>
          <w:rFonts w:eastAsiaTheme="minorHAnsi"/>
        </w:rPr>
      </w:pPr>
      <w:r w:rsidRPr="001562EC">
        <w:rPr>
          <w:rFonts w:eastAsiaTheme="minorHAnsi"/>
        </w:rPr>
        <w:t>the encryption</w:t>
      </w:r>
      <w:r w:rsidR="003E2063">
        <w:rPr>
          <w:rFonts w:eastAsiaTheme="minorHAnsi"/>
        </w:rPr>
        <w:t xml:space="preserve">, and if relevant </w:t>
      </w:r>
      <w:r w:rsidR="003E2063" w:rsidRPr="001562EC">
        <w:rPr>
          <w:rFonts w:eastAsiaTheme="minorHAnsi"/>
        </w:rPr>
        <w:t>pseudonymisation</w:t>
      </w:r>
      <w:r w:rsidR="003E2063">
        <w:rPr>
          <w:rFonts w:eastAsiaTheme="minorHAnsi"/>
        </w:rPr>
        <w:t>,</w:t>
      </w:r>
      <w:r w:rsidRPr="001562EC">
        <w:rPr>
          <w:rFonts w:eastAsiaTheme="minorHAnsi"/>
        </w:rPr>
        <w:t xml:space="preserve"> of </w:t>
      </w:r>
      <w:r w:rsidR="0094658D" w:rsidRPr="001562EC">
        <w:rPr>
          <w:rFonts w:eastAsiaTheme="minorHAnsi"/>
        </w:rPr>
        <w:t>data</w:t>
      </w:r>
      <w:r w:rsidRPr="001562EC">
        <w:rPr>
          <w:rFonts w:eastAsiaTheme="minorHAnsi"/>
        </w:rPr>
        <w:t>;</w:t>
      </w:r>
    </w:p>
    <w:p w14:paraId="2FDFE2A2" w14:textId="7422B3D3" w:rsidR="001C6DC8" w:rsidRPr="001562EC" w:rsidRDefault="00E6321F" w:rsidP="00E66EE5">
      <w:pPr>
        <w:pStyle w:val="Untitledsubclause2"/>
        <w:rPr>
          <w:rFonts w:eastAsiaTheme="minorHAnsi"/>
        </w:rPr>
      </w:pPr>
      <w:r>
        <w:rPr>
          <w:rFonts w:eastAsiaTheme="minorHAnsi"/>
        </w:rPr>
        <w:t>Good Industry Practice</w:t>
      </w:r>
      <w:r w:rsidRPr="00E6321F">
        <w:rPr>
          <w:rFonts w:eastAsiaTheme="minorHAnsi"/>
        </w:rPr>
        <w:t xml:space="preserve"> controls for </w:t>
      </w:r>
      <w:r>
        <w:rPr>
          <w:rFonts w:eastAsiaTheme="minorHAnsi"/>
        </w:rPr>
        <w:t>a</w:t>
      </w:r>
      <w:r w:rsidRPr="00E6321F">
        <w:rPr>
          <w:rFonts w:eastAsiaTheme="minorHAnsi"/>
        </w:rPr>
        <w:t xml:space="preserve">uthentication and </w:t>
      </w:r>
      <w:r>
        <w:rPr>
          <w:rFonts w:eastAsiaTheme="minorHAnsi"/>
        </w:rPr>
        <w:t>a</w:t>
      </w:r>
      <w:r w:rsidRPr="00E6321F">
        <w:rPr>
          <w:rFonts w:eastAsiaTheme="minorHAnsi"/>
        </w:rPr>
        <w:t>uthorisation of access for its employees, including Multi-Factor Authentication where appropriate</w:t>
      </w:r>
      <w:r w:rsidR="001C6DC8" w:rsidRPr="001562EC">
        <w:rPr>
          <w:rFonts w:eastAsiaTheme="minorHAnsi"/>
        </w:rPr>
        <w:t>;</w:t>
      </w:r>
    </w:p>
    <w:p w14:paraId="3B063D04" w14:textId="77777777" w:rsidR="00E66EE5" w:rsidRPr="001562EC" w:rsidRDefault="00E66EE5" w:rsidP="00E66EE5">
      <w:pPr>
        <w:pStyle w:val="Untitledsubclause2"/>
        <w:rPr>
          <w:rFonts w:eastAsiaTheme="minorHAnsi"/>
        </w:rPr>
      </w:pPr>
      <w:r w:rsidRPr="001562EC">
        <w:rPr>
          <w:rFonts w:eastAsiaTheme="minorHAnsi"/>
        </w:rPr>
        <w:t>the ability to ensure the ongoing confidentiality, integrity, availability and resilience of systems and services;</w:t>
      </w:r>
    </w:p>
    <w:p w14:paraId="795F85F6" w14:textId="77777777" w:rsidR="00E66EE5" w:rsidRPr="001562EC" w:rsidRDefault="00E66EE5" w:rsidP="00E66EE5">
      <w:pPr>
        <w:pStyle w:val="Untitledsubclause2"/>
        <w:rPr>
          <w:rFonts w:eastAsiaTheme="minorHAnsi"/>
        </w:rPr>
      </w:pPr>
      <w:r w:rsidRPr="001562EC">
        <w:rPr>
          <w:rFonts w:eastAsiaTheme="minorHAnsi"/>
        </w:rPr>
        <w:t xml:space="preserve">the ability to restore the availability and access to data in a timely manner in the event of </w:t>
      </w:r>
      <w:r w:rsidR="0094658D" w:rsidRPr="001562EC">
        <w:rPr>
          <w:rFonts w:eastAsiaTheme="minorHAnsi"/>
        </w:rPr>
        <w:t>an Incident</w:t>
      </w:r>
      <w:r w:rsidRPr="001562EC">
        <w:rPr>
          <w:rFonts w:eastAsiaTheme="minorHAnsi"/>
        </w:rPr>
        <w:t xml:space="preserve">; </w:t>
      </w:r>
    </w:p>
    <w:p w14:paraId="60A32175" w14:textId="77777777" w:rsidR="00E66EE5" w:rsidRDefault="00E66EE5" w:rsidP="00E66EE5">
      <w:pPr>
        <w:pStyle w:val="Untitledsubclause2"/>
        <w:rPr>
          <w:rFonts w:eastAsiaTheme="minorHAnsi"/>
        </w:rPr>
      </w:pPr>
      <w:r w:rsidRPr="001562EC">
        <w:rPr>
          <w:rFonts w:eastAsiaTheme="minorHAnsi"/>
        </w:rPr>
        <w:t>a process for regularly testing, assessing and evaluating the effectiveness of security measures</w:t>
      </w:r>
      <w:r w:rsidR="00144CDB">
        <w:rPr>
          <w:rFonts w:eastAsiaTheme="minorHAnsi"/>
        </w:rPr>
        <w:t>; and</w:t>
      </w:r>
    </w:p>
    <w:p w14:paraId="6D475F57" w14:textId="77777777" w:rsidR="00144CDB" w:rsidRPr="00440A81" w:rsidRDefault="00440A81" w:rsidP="00440A81">
      <w:pPr>
        <w:pStyle w:val="Untitledsubclause2"/>
        <w:rPr>
          <w:rFonts w:eastAsiaTheme="minorHAnsi"/>
        </w:rPr>
      </w:pPr>
      <w:r w:rsidRPr="00440A81">
        <w:rPr>
          <w:rFonts w:eastAsiaTheme="minorHAnsi"/>
        </w:rPr>
        <w:t>impos</w:t>
      </w:r>
      <w:r>
        <w:rPr>
          <w:rFonts w:eastAsiaTheme="minorHAnsi"/>
        </w:rPr>
        <w:t>ing</w:t>
      </w:r>
      <w:r w:rsidRPr="00440A81">
        <w:rPr>
          <w:rFonts w:eastAsiaTheme="minorHAnsi"/>
        </w:rPr>
        <w:t xml:space="preserve"> obligations on </w:t>
      </w:r>
      <w:r>
        <w:rPr>
          <w:rFonts w:eastAsiaTheme="minorHAnsi"/>
        </w:rPr>
        <w:t>its Subcontractors and agents</w:t>
      </w:r>
      <w:r w:rsidRPr="00440A81">
        <w:rPr>
          <w:rFonts w:eastAsiaTheme="minorHAnsi"/>
        </w:rPr>
        <w:t>, by way of separate contract</w:t>
      </w:r>
      <w:r>
        <w:rPr>
          <w:rFonts w:eastAsiaTheme="minorHAnsi"/>
        </w:rPr>
        <w:t>s</w:t>
      </w:r>
      <w:r w:rsidRPr="00440A81">
        <w:rPr>
          <w:rFonts w:eastAsiaTheme="minorHAnsi"/>
        </w:rPr>
        <w:t>/agreement</w:t>
      </w:r>
      <w:r>
        <w:rPr>
          <w:rFonts w:eastAsiaTheme="minorHAnsi"/>
        </w:rPr>
        <w:t>s</w:t>
      </w:r>
      <w:r w:rsidRPr="00440A81">
        <w:rPr>
          <w:rFonts w:eastAsiaTheme="minorHAnsi"/>
        </w:rPr>
        <w:t xml:space="preserve"> which include terms that are the same as, or equivalent to those terms set out in this </w:t>
      </w:r>
      <w:r>
        <w:rPr>
          <w:rFonts w:eastAsiaTheme="minorHAnsi"/>
        </w:rPr>
        <w:t>Schedule in respect of the security of the Client’s network and information systems.</w:t>
      </w:r>
      <w:r w:rsidR="00144CDB" w:rsidRPr="00440A81">
        <w:rPr>
          <w:rFonts w:eastAsiaTheme="minorHAnsi"/>
        </w:rPr>
        <w:t xml:space="preserve"> </w:t>
      </w:r>
    </w:p>
    <w:p w14:paraId="662184A3" w14:textId="7259A660" w:rsidR="00E71924" w:rsidRPr="001562EC" w:rsidRDefault="009F555F" w:rsidP="004F0D6B">
      <w:pPr>
        <w:pStyle w:val="Untitledsubclause1"/>
        <w:rPr>
          <w:rFonts w:eastAsiaTheme="minorHAnsi"/>
        </w:rPr>
      </w:pPr>
      <w:bookmarkStart w:id="6" w:name="a723954"/>
      <w:bookmarkEnd w:id="5"/>
      <w:r w:rsidRPr="001562EC">
        <w:rPr>
          <w:rFonts w:eastAsiaTheme="minorHAnsi"/>
        </w:rPr>
        <w:t xml:space="preserve">The </w:t>
      </w:r>
      <w:r w:rsidR="004A19F0" w:rsidRPr="001562EC">
        <w:rPr>
          <w:rFonts w:eastAsiaTheme="minorHAnsi"/>
        </w:rPr>
        <w:t>Contractor</w:t>
      </w:r>
      <w:r w:rsidRPr="001562EC">
        <w:rPr>
          <w:rFonts w:eastAsiaTheme="minorHAnsi"/>
        </w:rPr>
        <w:t xml:space="preserve"> shall notify the </w:t>
      </w:r>
      <w:r w:rsidR="004A19F0" w:rsidRPr="001562EC">
        <w:rPr>
          <w:rFonts w:eastAsiaTheme="minorHAnsi"/>
        </w:rPr>
        <w:t>Client</w:t>
      </w:r>
      <w:r w:rsidRPr="001562EC">
        <w:rPr>
          <w:rFonts w:eastAsiaTheme="minorHAnsi"/>
        </w:rPr>
        <w:t xml:space="preserve"> </w:t>
      </w:r>
      <w:r w:rsidR="001E4387">
        <w:rPr>
          <w:rFonts w:eastAsiaTheme="minorHAnsi"/>
        </w:rPr>
        <w:t>with</w:t>
      </w:r>
      <w:r w:rsidR="00BB065D">
        <w:rPr>
          <w:rFonts w:eastAsiaTheme="minorHAnsi"/>
        </w:rPr>
        <w:t>out</w:t>
      </w:r>
      <w:r w:rsidR="001E4387">
        <w:rPr>
          <w:rFonts w:eastAsiaTheme="minorHAnsi"/>
        </w:rPr>
        <w:t xml:space="preserve"> undue delay</w:t>
      </w:r>
      <w:r w:rsidRPr="001562EC">
        <w:rPr>
          <w:rFonts w:eastAsiaTheme="minorHAnsi"/>
        </w:rPr>
        <w:t xml:space="preserve"> if it becomes aware of any Incident and </w:t>
      </w:r>
      <w:r w:rsidR="0094658D" w:rsidRPr="001562EC">
        <w:rPr>
          <w:rFonts w:eastAsiaTheme="minorHAnsi"/>
        </w:rPr>
        <w:t xml:space="preserve">shall </w:t>
      </w:r>
      <w:r w:rsidRPr="001562EC">
        <w:rPr>
          <w:rFonts w:eastAsiaTheme="minorHAnsi"/>
        </w:rPr>
        <w:t xml:space="preserve">respond </w:t>
      </w:r>
      <w:r w:rsidR="00EB433A" w:rsidRPr="001562EC">
        <w:rPr>
          <w:rFonts w:eastAsiaTheme="minorHAnsi"/>
        </w:rPr>
        <w:t>immediately</w:t>
      </w:r>
      <w:r w:rsidRPr="001562EC">
        <w:rPr>
          <w:rFonts w:eastAsiaTheme="minorHAnsi"/>
        </w:rPr>
        <w:t xml:space="preserve"> to all queries and requests for information from the </w:t>
      </w:r>
      <w:r w:rsidR="004A19F0" w:rsidRPr="001562EC">
        <w:rPr>
          <w:rFonts w:eastAsiaTheme="minorHAnsi"/>
        </w:rPr>
        <w:t>Client</w:t>
      </w:r>
      <w:r w:rsidR="005E0AEE" w:rsidRPr="001562EC">
        <w:rPr>
          <w:rFonts w:eastAsiaTheme="minorHAnsi"/>
        </w:rPr>
        <w:t xml:space="preserve">, </w:t>
      </w:r>
      <w:r w:rsidR="005E0AEE" w:rsidRPr="001562EC">
        <w:t>and any persons appointed by it,</w:t>
      </w:r>
      <w:r w:rsidRPr="001562EC">
        <w:rPr>
          <w:rFonts w:eastAsiaTheme="minorHAnsi"/>
        </w:rPr>
        <w:t xml:space="preserve"> about any Incident, whether discovered by the </w:t>
      </w:r>
      <w:r w:rsidR="004A19F0" w:rsidRPr="001562EC">
        <w:rPr>
          <w:rFonts w:eastAsiaTheme="minorHAnsi"/>
        </w:rPr>
        <w:t>Contractor</w:t>
      </w:r>
      <w:r w:rsidRPr="001562EC">
        <w:rPr>
          <w:rFonts w:eastAsiaTheme="minorHAnsi"/>
        </w:rPr>
        <w:t xml:space="preserve"> or the </w:t>
      </w:r>
      <w:r w:rsidR="004A19F0" w:rsidRPr="001562EC">
        <w:rPr>
          <w:rFonts w:eastAsiaTheme="minorHAnsi"/>
        </w:rPr>
        <w:t>Client</w:t>
      </w:r>
      <w:r w:rsidRPr="001562EC">
        <w:rPr>
          <w:rFonts w:eastAsiaTheme="minorHAnsi"/>
        </w:rPr>
        <w:t xml:space="preserve">, in particular bearing in mind the extent of any reporting obligations the </w:t>
      </w:r>
      <w:r w:rsidR="004A19F0" w:rsidRPr="001562EC">
        <w:rPr>
          <w:rFonts w:eastAsiaTheme="minorHAnsi"/>
        </w:rPr>
        <w:t>Client</w:t>
      </w:r>
      <w:r w:rsidRPr="001562EC">
        <w:rPr>
          <w:rFonts w:eastAsiaTheme="minorHAnsi"/>
        </w:rPr>
        <w:t xml:space="preserve"> may have under </w:t>
      </w:r>
      <w:r w:rsidR="004A1D16" w:rsidRPr="001562EC">
        <w:rPr>
          <w:rFonts w:eastAsiaTheme="minorHAnsi"/>
        </w:rPr>
        <w:t xml:space="preserve">the </w:t>
      </w:r>
      <w:r w:rsidRPr="001562EC">
        <w:rPr>
          <w:rFonts w:eastAsiaTheme="minorHAnsi"/>
        </w:rPr>
        <w:t xml:space="preserve">Cybersecurity Requirements and that the </w:t>
      </w:r>
      <w:r w:rsidR="004A19F0" w:rsidRPr="001562EC">
        <w:rPr>
          <w:rFonts w:eastAsiaTheme="minorHAnsi"/>
        </w:rPr>
        <w:t>Client</w:t>
      </w:r>
      <w:r w:rsidRPr="001562EC">
        <w:rPr>
          <w:rFonts w:eastAsiaTheme="minorHAnsi"/>
        </w:rPr>
        <w:t xml:space="preserve"> may be required to comply with statutory or other regulatory timescales. </w:t>
      </w:r>
      <w:bookmarkEnd w:id="6"/>
    </w:p>
    <w:p w14:paraId="2EEA611E" w14:textId="77777777" w:rsidR="00E71924" w:rsidRPr="001562EC" w:rsidRDefault="009F555F" w:rsidP="004F0D6B">
      <w:pPr>
        <w:pStyle w:val="Untitledsubclause1"/>
      </w:pPr>
      <w:bookmarkStart w:id="7" w:name="a945130"/>
      <w:r w:rsidRPr="001562EC">
        <w:t xml:space="preserve">The </w:t>
      </w:r>
      <w:r w:rsidR="004A19F0" w:rsidRPr="001562EC">
        <w:t>Contractor</w:t>
      </w:r>
      <w:r w:rsidRPr="001562EC">
        <w:t xml:space="preserve"> will ensure the business continuity of the </w:t>
      </w:r>
      <w:r w:rsidR="005E0AEE" w:rsidRPr="001562EC">
        <w:t>[Project/</w:t>
      </w:r>
      <w:r w:rsidRPr="001562EC">
        <w:t>Work</w:t>
      </w:r>
      <w:r w:rsidR="005E0AEE" w:rsidRPr="001562EC">
        <w:t>/</w:t>
      </w:r>
      <w:r w:rsidRPr="001562EC">
        <w:t>Services</w:t>
      </w:r>
      <w:r w:rsidR="005E0AEE" w:rsidRPr="001562EC">
        <w:t>]</w:t>
      </w:r>
      <w:r w:rsidRPr="001562EC">
        <w:t xml:space="preserve"> at all times in accordance with [</w:t>
      </w:r>
      <w:r w:rsidR="005E0AEE" w:rsidRPr="001562EC">
        <w:t xml:space="preserve">insert reference to </w:t>
      </w:r>
      <w:r w:rsidR="00151090" w:rsidRPr="001562EC">
        <w:t>IBTS DR plan/requirements</w:t>
      </w:r>
      <w:r w:rsidRPr="001562EC">
        <w:t xml:space="preserve">], the information on business continuity management set out in </w:t>
      </w:r>
      <w:r w:rsidRPr="001562EC">
        <w:fldChar w:fldCharType="begin"/>
      </w:r>
      <w:r w:rsidRPr="001562EC">
        <w:instrText>REF a649530 \h \w</w:instrText>
      </w:r>
      <w:r w:rsidR="001562EC">
        <w:instrText xml:space="preserve"> \* MERGEFORMAT </w:instrText>
      </w:r>
      <w:r w:rsidRPr="001562EC">
        <w:fldChar w:fldCharType="separate"/>
      </w:r>
      <w:r w:rsidR="0002188A">
        <w:t>ANNEX A</w:t>
      </w:r>
      <w:r w:rsidRPr="001562EC">
        <w:fldChar w:fldCharType="end"/>
      </w:r>
      <w:r w:rsidRPr="001562EC">
        <w:t xml:space="preserve"> and any relevant policies referred to in </w:t>
      </w:r>
      <w:r w:rsidRPr="001562EC">
        <w:fldChar w:fldCharType="begin"/>
      </w:r>
      <w:r w:rsidRPr="001562EC">
        <w:instrText>PAGEREF a666781\# "'clause '"  \h</w:instrText>
      </w:r>
      <w:r w:rsidRPr="001562EC">
        <w:fldChar w:fldCharType="separate"/>
      </w:r>
      <w:r w:rsidR="0002188A" w:rsidRPr="001562EC">
        <w:rPr>
          <w:noProof/>
        </w:rPr>
        <w:t xml:space="preserve">clause </w:t>
      </w:r>
      <w:r w:rsidRPr="001562EC">
        <w:fldChar w:fldCharType="end"/>
      </w:r>
      <w:r w:rsidRPr="001562EC">
        <w:fldChar w:fldCharType="begin"/>
      </w:r>
      <w:r w:rsidRPr="001562EC">
        <w:instrText>REF a666781 \h \w</w:instrText>
      </w:r>
      <w:r w:rsidR="001562EC">
        <w:instrText xml:space="preserve"> \* MERGEFORMAT </w:instrText>
      </w:r>
      <w:r w:rsidRPr="001562EC">
        <w:fldChar w:fldCharType="separate"/>
      </w:r>
      <w:r w:rsidR="0002188A">
        <w:t>2.6</w:t>
      </w:r>
      <w:r w:rsidRPr="001562EC">
        <w:fldChar w:fldCharType="end"/>
      </w:r>
      <w:r w:rsidRPr="001562EC">
        <w:t xml:space="preserve">, with a view to ensuring the continuity of any services to be provided by the </w:t>
      </w:r>
      <w:r w:rsidR="004A19F0" w:rsidRPr="001562EC">
        <w:t>Client</w:t>
      </w:r>
      <w:r w:rsidRPr="001562EC">
        <w:t xml:space="preserve">. </w:t>
      </w:r>
      <w:bookmarkEnd w:id="7"/>
    </w:p>
    <w:p w14:paraId="709C980F" w14:textId="77777777" w:rsidR="00E71924" w:rsidRPr="001562EC" w:rsidRDefault="009F555F" w:rsidP="004F0D6B">
      <w:pPr>
        <w:pStyle w:val="Untitledsubclause1"/>
        <w:rPr>
          <w:rFonts w:eastAsiaTheme="minorHAnsi"/>
        </w:rPr>
      </w:pPr>
      <w:bookmarkStart w:id="8" w:name="a793866"/>
      <w:r w:rsidRPr="001562EC">
        <w:rPr>
          <w:rFonts w:eastAsiaTheme="minorHAnsi"/>
        </w:rPr>
        <w:t xml:space="preserve">The </w:t>
      </w:r>
      <w:r w:rsidR="004A19F0" w:rsidRPr="001562EC">
        <w:rPr>
          <w:rFonts w:eastAsiaTheme="minorHAnsi"/>
        </w:rPr>
        <w:t>Contractor</w:t>
      </w:r>
      <w:r w:rsidRPr="001562EC">
        <w:rPr>
          <w:rFonts w:eastAsiaTheme="minorHAnsi"/>
        </w:rPr>
        <w:t xml:space="preserve"> </w:t>
      </w:r>
      <w:r w:rsidR="00923535" w:rsidRPr="001562EC">
        <w:rPr>
          <w:rFonts w:eastAsiaTheme="minorHAnsi"/>
        </w:rPr>
        <w:t>shall</w:t>
      </w:r>
      <w:r w:rsidRPr="001562EC">
        <w:rPr>
          <w:rFonts w:eastAsiaTheme="minorHAnsi"/>
        </w:rPr>
        <w:t xml:space="preserve"> co-operate with the </w:t>
      </w:r>
      <w:r w:rsidR="004A19F0" w:rsidRPr="001562EC">
        <w:rPr>
          <w:rFonts w:eastAsiaTheme="minorHAnsi"/>
        </w:rPr>
        <w:t>Client</w:t>
      </w:r>
      <w:r w:rsidR="003A538D" w:rsidRPr="001562EC">
        <w:rPr>
          <w:rFonts w:eastAsiaTheme="minorHAnsi"/>
        </w:rPr>
        <w:t xml:space="preserve">, </w:t>
      </w:r>
      <w:r w:rsidR="003A538D" w:rsidRPr="001562EC">
        <w:t>including any persons appointed by it,</w:t>
      </w:r>
      <w:r w:rsidRPr="001562EC">
        <w:rPr>
          <w:rFonts w:eastAsiaTheme="minorHAnsi"/>
        </w:rPr>
        <w:t xml:space="preserve"> </w:t>
      </w:r>
      <w:r w:rsidR="00923535" w:rsidRPr="001562EC">
        <w:rPr>
          <w:rFonts w:eastAsiaTheme="minorHAnsi"/>
        </w:rPr>
        <w:t xml:space="preserve">without delay </w:t>
      </w:r>
      <w:r w:rsidRPr="001562EC">
        <w:rPr>
          <w:rFonts w:eastAsiaTheme="minorHAnsi"/>
        </w:rPr>
        <w:t xml:space="preserve">in relation to: </w:t>
      </w:r>
      <w:bookmarkEnd w:id="8"/>
    </w:p>
    <w:p w14:paraId="42826153" w14:textId="77777777" w:rsidR="00E71924" w:rsidRPr="001562EC" w:rsidRDefault="009F555F" w:rsidP="004F0D6B">
      <w:pPr>
        <w:pStyle w:val="Untitledsubclause2"/>
      </w:pPr>
      <w:bookmarkStart w:id="9" w:name="a170022"/>
      <w:r w:rsidRPr="001562EC">
        <w:t>all aspects of its compliance with Cybersecurity Requirements;</w:t>
      </w:r>
      <w:bookmarkEnd w:id="9"/>
    </w:p>
    <w:p w14:paraId="1EDC79F5" w14:textId="77777777" w:rsidR="004A1D16" w:rsidRPr="001562EC" w:rsidRDefault="004A1D16" w:rsidP="004F0D6B">
      <w:pPr>
        <w:pStyle w:val="Untitledsubclause2"/>
      </w:pPr>
      <w:bookmarkStart w:id="10" w:name="a603815"/>
      <w:r w:rsidRPr="001562EC">
        <w:lastRenderedPageBreak/>
        <w:t xml:space="preserve">any requests for information, </w:t>
      </w:r>
      <w:r w:rsidR="00A11AF4">
        <w:t xml:space="preserve">audit </w:t>
      </w:r>
      <w:r w:rsidRPr="001562EC">
        <w:t>or inspection, made by it, including any persons appointed by it, in connection with the Cybersecurity Requirements</w:t>
      </w:r>
      <w:r w:rsidR="003C3978" w:rsidRPr="001562EC">
        <w:t>;</w:t>
      </w:r>
    </w:p>
    <w:p w14:paraId="0B3F6674" w14:textId="77777777" w:rsidR="00E71924" w:rsidRPr="001562EC" w:rsidRDefault="009F555F" w:rsidP="004F0D6B">
      <w:pPr>
        <w:pStyle w:val="Untitledsubclause2"/>
      </w:pPr>
      <w:r w:rsidRPr="001562EC">
        <w:t>any requests for information, or inspection, made by any regulator</w:t>
      </w:r>
      <w:r w:rsidR="003E5BC0" w:rsidRPr="001562EC">
        <w:t xml:space="preserve">, including any persons appointed by </w:t>
      </w:r>
      <w:r w:rsidR="00151090" w:rsidRPr="001562EC">
        <w:t>it</w:t>
      </w:r>
      <w:r w:rsidR="003E5BC0" w:rsidRPr="001562EC">
        <w:t>,</w:t>
      </w:r>
      <w:r w:rsidRPr="001562EC">
        <w:t xml:space="preserve"> in connection with </w:t>
      </w:r>
      <w:r w:rsidR="003E5BC0" w:rsidRPr="001562EC">
        <w:t xml:space="preserve">the </w:t>
      </w:r>
      <w:r w:rsidRPr="001562EC">
        <w:t>Cybersecurity Requirements;</w:t>
      </w:r>
      <w:bookmarkEnd w:id="10"/>
    </w:p>
    <w:p w14:paraId="1A4A1755" w14:textId="77777777" w:rsidR="00E71924" w:rsidRPr="001562EC" w:rsidRDefault="009F555F" w:rsidP="004F0D6B">
      <w:pPr>
        <w:pStyle w:val="Untitledsubclause2"/>
      </w:pPr>
      <w:bookmarkStart w:id="11" w:name="a966753"/>
      <w:r w:rsidRPr="001562EC">
        <w:t xml:space="preserve">any request for information made in respect of any of the information provided in </w:t>
      </w:r>
      <w:r w:rsidR="008C1967" w:rsidRPr="001562EC">
        <w:fldChar w:fldCharType="begin"/>
      </w:r>
      <w:r w:rsidR="008C1967" w:rsidRPr="001562EC">
        <w:instrText xml:space="preserve"> REF _Ref163133926 \r \h </w:instrText>
      </w:r>
      <w:r w:rsidR="001562EC">
        <w:instrText xml:space="preserve"> \* MERGEFORMAT </w:instrText>
      </w:r>
      <w:r w:rsidR="008C1967" w:rsidRPr="001562EC">
        <w:fldChar w:fldCharType="separate"/>
      </w:r>
      <w:r w:rsidR="0002188A">
        <w:t>ANNEX A</w:t>
      </w:r>
      <w:r w:rsidR="008C1967" w:rsidRPr="001562EC">
        <w:fldChar w:fldCharType="end"/>
      </w:r>
      <w:r w:rsidR="008C1967" w:rsidRPr="001562EC">
        <w:t xml:space="preserve"> </w:t>
      </w:r>
      <w:r w:rsidRPr="001562EC">
        <w:t xml:space="preserve">or any policies referred to in </w:t>
      </w:r>
      <w:r w:rsidRPr="001562EC">
        <w:fldChar w:fldCharType="begin"/>
      </w:r>
      <w:r w:rsidRPr="001562EC">
        <w:instrText>PAGEREF a666781\# "'clause '"  \h</w:instrText>
      </w:r>
      <w:r w:rsidRPr="001562EC">
        <w:fldChar w:fldCharType="separate"/>
      </w:r>
      <w:r w:rsidR="0002188A" w:rsidRPr="001562EC">
        <w:rPr>
          <w:noProof/>
        </w:rPr>
        <w:t xml:space="preserve">clause </w:t>
      </w:r>
      <w:r w:rsidRPr="001562EC">
        <w:fldChar w:fldCharType="end"/>
      </w:r>
      <w:r w:rsidRPr="001562EC">
        <w:fldChar w:fldCharType="begin"/>
      </w:r>
      <w:r w:rsidRPr="001562EC">
        <w:instrText>REF a666781 \h \w</w:instrText>
      </w:r>
      <w:r w:rsidR="001562EC">
        <w:instrText xml:space="preserve"> \* MERGEFORMAT </w:instrText>
      </w:r>
      <w:r w:rsidRPr="001562EC">
        <w:fldChar w:fldCharType="separate"/>
      </w:r>
      <w:r w:rsidR="0002188A">
        <w:t>2.6</w:t>
      </w:r>
      <w:r w:rsidRPr="001562EC">
        <w:fldChar w:fldCharType="end"/>
      </w:r>
      <w:bookmarkEnd w:id="11"/>
      <w:r w:rsidR="004A1D16" w:rsidRPr="001562EC">
        <w:t>; and</w:t>
      </w:r>
    </w:p>
    <w:p w14:paraId="276DCB48" w14:textId="77777777" w:rsidR="00E71924" w:rsidRPr="001562EC" w:rsidRDefault="009F555F" w:rsidP="004F0D6B">
      <w:pPr>
        <w:pStyle w:val="Untitledsubclause2"/>
      </w:pPr>
      <w:bookmarkStart w:id="12" w:name="a310834"/>
      <w:r w:rsidRPr="001562EC">
        <w:t>any Incident.</w:t>
      </w:r>
      <w:bookmarkEnd w:id="12"/>
    </w:p>
    <w:p w14:paraId="3A1C53DC" w14:textId="5ACF00D5" w:rsidR="00E71924" w:rsidRPr="001562EC" w:rsidRDefault="009F555F" w:rsidP="004F0D6B">
      <w:pPr>
        <w:pStyle w:val="Untitledsubclause1"/>
      </w:pPr>
      <w:bookmarkStart w:id="13" w:name="a698401"/>
      <w:r w:rsidRPr="001562EC">
        <w:t xml:space="preserve">The </w:t>
      </w:r>
      <w:r w:rsidR="004A19F0" w:rsidRPr="001562EC">
        <w:t>Contractor</w:t>
      </w:r>
      <w:r w:rsidRPr="001562EC">
        <w:t xml:space="preserve"> shall (and warrants and represents that it shall) at all times in accordance with Good Industry Practice</w:t>
      </w:r>
      <w:bookmarkEnd w:id="13"/>
      <w:r w:rsidR="00151090" w:rsidRPr="001562EC">
        <w:t xml:space="preserve"> </w:t>
      </w:r>
      <w:bookmarkStart w:id="14" w:name="a666781"/>
      <w:r w:rsidRPr="001562EC">
        <w:t xml:space="preserve">implement, operate, maintain, and adhere to, appropriate policies to cover the issues specified in </w:t>
      </w:r>
      <w:r w:rsidR="008C1967" w:rsidRPr="001562EC">
        <w:fldChar w:fldCharType="begin"/>
      </w:r>
      <w:r w:rsidR="008C1967" w:rsidRPr="001562EC">
        <w:instrText xml:space="preserve"> REF _Ref163133926 \r \h </w:instrText>
      </w:r>
      <w:r w:rsidR="001562EC">
        <w:instrText xml:space="preserve"> \* MERGEFORMAT </w:instrText>
      </w:r>
      <w:r w:rsidR="008C1967" w:rsidRPr="001562EC">
        <w:fldChar w:fldCharType="separate"/>
      </w:r>
      <w:r w:rsidR="0002188A">
        <w:t>ANNEX A</w:t>
      </w:r>
      <w:r w:rsidR="008C1967" w:rsidRPr="001562EC">
        <w:fldChar w:fldCharType="end"/>
      </w:r>
      <w:r w:rsidR="008C1967" w:rsidRPr="001562EC">
        <w:t xml:space="preserve"> </w:t>
      </w:r>
      <w:bookmarkEnd w:id="14"/>
    </w:p>
    <w:p w14:paraId="6BC9FC6E" w14:textId="77777777" w:rsidR="003A538D" w:rsidRPr="001562EC" w:rsidRDefault="003A538D" w:rsidP="003A538D">
      <w:pPr>
        <w:pStyle w:val="Untitledsubclause1"/>
      </w:pPr>
      <w:bookmarkStart w:id="15" w:name="a233971"/>
      <w:r w:rsidRPr="001562EC">
        <w:t xml:space="preserve">The Contractor shall provide copies of the policies referred to in </w:t>
      </w:r>
      <w:r w:rsidRPr="001562EC">
        <w:fldChar w:fldCharType="begin"/>
      </w:r>
      <w:r w:rsidRPr="001562EC">
        <w:instrText>PAGEREF a666781\# "'clause '"  \h</w:instrText>
      </w:r>
      <w:r w:rsidRPr="001562EC">
        <w:fldChar w:fldCharType="separate"/>
      </w:r>
      <w:r w:rsidR="0002188A" w:rsidRPr="001562EC">
        <w:rPr>
          <w:noProof/>
        </w:rPr>
        <w:t xml:space="preserve">clause </w:t>
      </w:r>
      <w:r w:rsidRPr="001562EC">
        <w:fldChar w:fldCharType="end"/>
      </w:r>
      <w:r w:rsidRPr="001562EC">
        <w:fldChar w:fldCharType="begin"/>
      </w:r>
      <w:r w:rsidRPr="001562EC">
        <w:instrText>REF a666781 \h \w</w:instrText>
      </w:r>
      <w:r w:rsidR="001562EC">
        <w:instrText xml:space="preserve"> \* MERGEFORMAT </w:instrText>
      </w:r>
      <w:r w:rsidRPr="001562EC">
        <w:fldChar w:fldCharType="separate"/>
      </w:r>
      <w:r w:rsidR="0002188A">
        <w:t>2.6</w:t>
      </w:r>
      <w:r w:rsidRPr="001562EC">
        <w:fldChar w:fldCharType="end"/>
      </w:r>
      <w:r w:rsidRPr="001562EC">
        <w:t xml:space="preserve"> promptly on request by the Client.</w:t>
      </w:r>
      <w:bookmarkEnd w:id="15"/>
    </w:p>
    <w:p w14:paraId="3EE5FC2D" w14:textId="77777777" w:rsidR="003E5BC0" w:rsidRPr="001562EC" w:rsidRDefault="003E5BC0" w:rsidP="003E5BC0">
      <w:pPr>
        <w:pStyle w:val="TitleClause"/>
      </w:pPr>
      <w:r w:rsidRPr="001562EC">
        <w:fldChar w:fldCharType="begin"/>
      </w:r>
      <w:r w:rsidRPr="001562EC">
        <w:instrText>TC "7. Hardware warranties" \l 1</w:instrText>
      </w:r>
      <w:r w:rsidRPr="001562EC">
        <w:fldChar w:fldCharType="end"/>
      </w:r>
      <w:bookmarkStart w:id="16" w:name="_Toc256000006"/>
      <w:bookmarkStart w:id="17" w:name="a338002"/>
      <w:r w:rsidRPr="001562EC">
        <w:t>Warranties</w:t>
      </w:r>
      <w:bookmarkEnd w:id="16"/>
      <w:r w:rsidRPr="001562EC">
        <w:fldChar w:fldCharType="begin"/>
      </w:r>
      <w:r w:rsidRPr="001562EC">
        <w:instrText>MACROBUTTON optional</w:instrText>
      </w:r>
      <w:r w:rsidRPr="001562EC">
        <w:fldChar w:fldCharType="end"/>
      </w:r>
      <w:bookmarkEnd w:id="17"/>
      <w:r w:rsidR="00AD7BF9">
        <w:t xml:space="preserve"> and indemnities</w:t>
      </w:r>
    </w:p>
    <w:p w14:paraId="180819B3" w14:textId="77777777" w:rsidR="003E5BC0" w:rsidRPr="001562EC" w:rsidRDefault="003E5BC0" w:rsidP="003E5BC0">
      <w:pPr>
        <w:pStyle w:val="Untitledsubclause1"/>
      </w:pPr>
      <w:bookmarkStart w:id="18" w:name="a287030"/>
      <w:r w:rsidRPr="001562EC">
        <w:t xml:space="preserve">The warranties and indemnities given in this </w:t>
      </w:r>
      <w:r w:rsidR="008C1967" w:rsidRPr="001562EC">
        <w:t>s</w:t>
      </w:r>
      <w:r w:rsidRPr="001562EC">
        <w:t>chedule are in addition to the warranties and indemnities given in other parts of this agreement.</w:t>
      </w:r>
      <w:bookmarkEnd w:id="18"/>
    </w:p>
    <w:p w14:paraId="09CEA938" w14:textId="439B9349" w:rsidR="004A1D16" w:rsidRPr="001562EC" w:rsidRDefault="004A1D16" w:rsidP="004A1D16">
      <w:pPr>
        <w:pStyle w:val="Untitledsubclause1"/>
      </w:pPr>
      <w:bookmarkStart w:id="19" w:name="a802293"/>
      <w:bookmarkStart w:id="20" w:name="a275723"/>
      <w:r w:rsidRPr="001562EC">
        <w:t xml:space="preserve">The Contractor shall indemnify the Client against any loss or damage suffered by the Client in relation to any breach by the Contractor </w:t>
      </w:r>
      <w:r w:rsidR="009369CE">
        <w:t xml:space="preserve">or its Subcontractors or agents </w:t>
      </w:r>
      <w:r w:rsidRPr="001562EC">
        <w:t>of its obligations under this agreement, which results in the Client breaching the Cybersecurity Requirements.</w:t>
      </w:r>
      <w:bookmarkEnd w:id="19"/>
    </w:p>
    <w:p w14:paraId="583E7DDE" w14:textId="426E321C" w:rsidR="003A538D" w:rsidRPr="001562EC" w:rsidRDefault="003A538D" w:rsidP="003A538D">
      <w:pPr>
        <w:pStyle w:val="Untitledsubclause1"/>
        <w:rPr>
          <w:rFonts w:eastAsiaTheme="minorHAnsi"/>
        </w:rPr>
      </w:pPr>
      <w:r w:rsidRPr="001562EC">
        <w:rPr>
          <w:rFonts w:eastAsiaTheme="minorHAnsi"/>
        </w:rPr>
        <w:t xml:space="preserve">The Contractor warrants that its technical, operational and organisational measures are appropriate to protect the Client’s </w:t>
      </w:r>
      <w:r w:rsidRPr="001562EC">
        <w:t>network and information systems</w:t>
      </w:r>
      <w:r w:rsidRPr="001562EC">
        <w:rPr>
          <w:rFonts w:eastAsiaTheme="minorHAnsi"/>
        </w:rPr>
        <w:t xml:space="preserve"> against accidental or unlawful destruction or accidental loss, alteration, unauthorised disclosure or access and against all other unlawful forms of access, and that its technical, operational and organisational measures ensure a level of security appropriate to the risks under the Agreement having regard to </w:t>
      </w:r>
      <w:r w:rsidR="00BB065D">
        <w:rPr>
          <w:rFonts w:eastAsiaTheme="minorHAnsi"/>
        </w:rPr>
        <w:t xml:space="preserve">best practice </w:t>
      </w:r>
      <w:r w:rsidR="0050261F">
        <w:rPr>
          <w:rFonts w:eastAsiaTheme="minorHAnsi"/>
        </w:rPr>
        <w:t xml:space="preserve"> and where applicable relevant European and International standards </w:t>
      </w:r>
      <w:r w:rsidRPr="001562EC">
        <w:rPr>
          <w:rFonts w:eastAsiaTheme="minorHAnsi"/>
        </w:rPr>
        <w:t>technical and organisational measures.</w:t>
      </w:r>
    </w:p>
    <w:p w14:paraId="706F9426" w14:textId="77777777" w:rsidR="003A538D" w:rsidRPr="001562EC" w:rsidRDefault="003A538D" w:rsidP="003A538D">
      <w:pPr>
        <w:pStyle w:val="Untitledsubclause1"/>
        <w:rPr>
          <w:rFonts w:eastAsiaTheme="minorHAnsi"/>
        </w:rPr>
      </w:pPr>
      <w:r w:rsidRPr="001562EC">
        <w:rPr>
          <w:rFonts w:eastAsiaTheme="minorHAnsi"/>
        </w:rPr>
        <w:t xml:space="preserve">The Contractor warrants that the information in </w:t>
      </w:r>
      <w:r w:rsidR="008C1967" w:rsidRPr="001562EC">
        <w:fldChar w:fldCharType="begin"/>
      </w:r>
      <w:r w:rsidR="008C1967" w:rsidRPr="001562EC">
        <w:instrText xml:space="preserve"> REF _Ref163133926 \r \h </w:instrText>
      </w:r>
      <w:r w:rsidR="001562EC">
        <w:instrText xml:space="preserve"> \* MERGEFORMAT </w:instrText>
      </w:r>
      <w:r w:rsidR="008C1967" w:rsidRPr="001562EC">
        <w:fldChar w:fldCharType="separate"/>
      </w:r>
      <w:r w:rsidR="0002188A">
        <w:t>ANNEX A</w:t>
      </w:r>
      <w:r w:rsidR="008C1967" w:rsidRPr="001562EC">
        <w:fldChar w:fldCharType="end"/>
      </w:r>
      <w:r w:rsidRPr="001562EC">
        <w:rPr>
          <w:rFonts w:eastAsiaTheme="minorHAnsi"/>
        </w:rPr>
        <w:t xml:space="preserve"> on the security of its network and information systems is up to date and accurate and that it will update the Client immediately in the event of any changes to such information. </w:t>
      </w:r>
    </w:p>
    <w:p w14:paraId="0393623B" w14:textId="77777777" w:rsidR="003E5BC0" w:rsidRPr="001562EC" w:rsidRDefault="003E5BC0" w:rsidP="003E5BC0">
      <w:pPr>
        <w:pStyle w:val="Untitledsubclause1"/>
      </w:pPr>
      <w:r w:rsidRPr="001562EC">
        <w:t>The Contractor warrants that:</w:t>
      </w:r>
      <w:bookmarkEnd w:id="20"/>
    </w:p>
    <w:p w14:paraId="482C1E9D" w14:textId="35C2EFF8" w:rsidR="003E5BC0" w:rsidRPr="001562EC" w:rsidRDefault="003E5BC0" w:rsidP="003E5BC0">
      <w:pPr>
        <w:pStyle w:val="Untitledsubclause2"/>
      </w:pPr>
      <w:bookmarkStart w:id="21" w:name="a425295"/>
      <w:r w:rsidRPr="001562EC">
        <w:t xml:space="preserve">the </w:t>
      </w:r>
      <w:r w:rsidR="006E7130" w:rsidRPr="001562EC">
        <w:t>[</w:t>
      </w:r>
      <w:r w:rsidR="00B072FE">
        <w:t>Goods</w:t>
      </w:r>
      <w:r w:rsidR="006E7130" w:rsidRPr="001562EC">
        <w:t>]</w:t>
      </w:r>
      <w:r w:rsidRPr="001562EC">
        <w:t xml:space="preserve"> will comply with the Cybersecurity </w:t>
      </w:r>
      <w:proofErr w:type="gramStart"/>
      <w:r w:rsidRPr="001562EC">
        <w:t>Requirements;</w:t>
      </w:r>
      <w:bookmarkEnd w:id="21"/>
      <w:proofErr w:type="gramEnd"/>
    </w:p>
    <w:p w14:paraId="5F9F5B2E" w14:textId="77777777" w:rsidR="003E5BC0" w:rsidRPr="001562EC" w:rsidRDefault="003E5BC0" w:rsidP="003E5BC0">
      <w:pPr>
        <w:pStyle w:val="Untitledsubclause2"/>
      </w:pPr>
      <w:bookmarkStart w:id="22" w:name="a950188"/>
      <w:r w:rsidRPr="001562EC">
        <w:lastRenderedPageBreak/>
        <w:t xml:space="preserve">it is in compliance with, and will </w:t>
      </w:r>
      <w:r w:rsidR="005E0AEE" w:rsidRPr="001562EC">
        <w:t>[</w:t>
      </w:r>
      <w:r w:rsidRPr="001562EC">
        <w:t>perform the Services</w:t>
      </w:r>
      <w:r w:rsidR="005E0AEE" w:rsidRPr="001562EC">
        <w:t>/deliver the Goods/System]</w:t>
      </w:r>
      <w:r w:rsidRPr="001562EC">
        <w:t xml:space="preserve"> in compliance with, all applicable law and regulations, including the Cybersecurity Requirements;</w:t>
      </w:r>
      <w:bookmarkEnd w:id="22"/>
    </w:p>
    <w:p w14:paraId="7F79CDFF" w14:textId="77777777" w:rsidR="003E5BC0" w:rsidRPr="001562EC" w:rsidRDefault="005E0AEE" w:rsidP="003E5BC0">
      <w:pPr>
        <w:pStyle w:val="Untitledsubclause2"/>
      </w:pPr>
      <w:bookmarkStart w:id="23" w:name="a108424"/>
      <w:r w:rsidRPr="001562EC">
        <w:t>[</w:t>
      </w:r>
      <w:r w:rsidR="003E5BC0" w:rsidRPr="001562EC">
        <w:t>the Hardware recommended or supplied by the Contractor on or after the date of this agreement will</w:t>
      </w:r>
      <w:bookmarkEnd w:id="23"/>
      <w:r w:rsidR="003A538D" w:rsidRPr="001562EC">
        <w:t xml:space="preserve"> </w:t>
      </w:r>
      <w:bookmarkStart w:id="24" w:name="a375269"/>
      <w:r w:rsidR="003A538D" w:rsidRPr="001562EC">
        <w:t xml:space="preserve">when assessed on its own or as part of the System </w:t>
      </w:r>
      <w:r w:rsidR="003E5BC0" w:rsidRPr="001562EC">
        <w:t>comply with the Cybersecurity Requirements</w:t>
      </w:r>
      <w:r w:rsidRPr="001562EC">
        <w:t>]</w:t>
      </w:r>
      <w:r w:rsidR="003E5BC0" w:rsidRPr="001562EC">
        <w:t xml:space="preserve">; </w:t>
      </w:r>
      <w:bookmarkEnd w:id="24"/>
    </w:p>
    <w:p w14:paraId="7EE0AB1D" w14:textId="77777777" w:rsidR="003E5BC0" w:rsidRPr="001562EC" w:rsidRDefault="003E5BC0" w:rsidP="003E5BC0">
      <w:pPr>
        <w:pStyle w:val="Untitledsubclause1"/>
      </w:pPr>
      <w:bookmarkStart w:id="25" w:name="a415450"/>
      <w:r w:rsidRPr="001562EC">
        <w:t>In performing its obligations under this agreement, the Contractor shall comply with</w:t>
      </w:r>
      <w:bookmarkEnd w:id="25"/>
      <w:r w:rsidR="005E0AEE" w:rsidRPr="001562EC">
        <w:t xml:space="preserve"> </w:t>
      </w:r>
      <w:bookmarkStart w:id="26" w:name="a764248"/>
      <w:r w:rsidRPr="001562EC">
        <w:t>all applicable laws, statutes, regulations and codes from time to time in force, including the Cybersecurity Requirements and the Contractor will inform the Client as soon as it becomes aware of any changes to the same</w:t>
      </w:r>
      <w:bookmarkEnd w:id="26"/>
      <w:r w:rsidR="00F038A0" w:rsidRPr="001562EC">
        <w:t>.</w:t>
      </w:r>
    </w:p>
    <w:p w14:paraId="0C1184EE" w14:textId="77777777" w:rsidR="003E5BC0" w:rsidRPr="001562EC" w:rsidRDefault="003E5BC0" w:rsidP="003E5BC0">
      <w:pPr>
        <w:pStyle w:val="Untitledsubclause1"/>
      </w:pPr>
      <w:bookmarkStart w:id="27" w:name="a453847"/>
      <w:r w:rsidRPr="001562EC">
        <w:t xml:space="preserve">The Contractor shall not be entitled to any increase in the </w:t>
      </w:r>
      <w:r w:rsidR="007A6FB4">
        <w:t>Charges</w:t>
      </w:r>
      <w:r w:rsidRPr="001562EC">
        <w:t xml:space="preserve"> with respect to any changes requested by the Client which are necessary to comply with changes to Cybersecurity Requirements which take effect after the Commencement Date.</w:t>
      </w:r>
      <w:r w:rsidRPr="001562EC">
        <w:fldChar w:fldCharType="begin"/>
      </w:r>
      <w:r w:rsidRPr="001562EC">
        <w:fldChar w:fldCharType="end"/>
      </w:r>
      <w:bookmarkEnd w:id="27"/>
    </w:p>
    <w:p w14:paraId="172548A6" w14:textId="472E5D04" w:rsidR="003E5BC0" w:rsidRPr="001562EC" w:rsidRDefault="003E5BC0" w:rsidP="003E5BC0">
      <w:pPr>
        <w:pStyle w:val="Untitledsubclause1"/>
      </w:pPr>
      <w:bookmarkStart w:id="28" w:name="a567474"/>
      <w:r w:rsidRPr="001562EC">
        <w:t>The Contractor shall ensure that each New Release shall comply with the Cybersecurity Requirements</w:t>
      </w:r>
      <w:bookmarkEnd w:id="28"/>
      <w:r w:rsidRPr="001562EC">
        <w:t>.</w:t>
      </w:r>
    </w:p>
    <w:p w14:paraId="0C60C5E6" w14:textId="77777777" w:rsidR="00E71924" w:rsidRPr="00DF2183" w:rsidRDefault="004A19F0" w:rsidP="008C1967">
      <w:pPr>
        <w:pStyle w:val="ScheduleUntitledClause"/>
        <w:pageBreakBefore/>
        <w:numPr>
          <w:ilvl w:val="0"/>
          <w:numId w:val="11"/>
        </w:numPr>
        <w:spacing w:before="240"/>
        <w:ind w:left="0" w:firstLine="0"/>
        <w:rPr>
          <w:b/>
          <w:bCs/>
          <w:szCs w:val="24"/>
        </w:rPr>
      </w:pPr>
      <w:bookmarkStart w:id="29" w:name="_Toc256000067"/>
      <w:bookmarkStart w:id="30" w:name="a649530"/>
      <w:bookmarkStart w:id="31" w:name="_Ref163133926"/>
      <w:r w:rsidRPr="00DF2183">
        <w:rPr>
          <w:rStyle w:val="ParagraphChar"/>
          <w:rFonts w:eastAsiaTheme="minorHAnsi"/>
          <w:b/>
          <w:bCs/>
          <w:szCs w:val="24"/>
        </w:rPr>
        <w:lastRenderedPageBreak/>
        <w:t>Contractor's</w:t>
      </w:r>
      <w:r w:rsidRPr="00DF2183">
        <w:rPr>
          <w:b/>
          <w:bCs/>
          <w:szCs w:val="24"/>
        </w:rPr>
        <w:t xml:space="preserve"> network and information systems security</w:t>
      </w:r>
      <w:bookmarkEnd w:id="29"/>
      <w:bookmarkEnd w:id="30"/>
      <w:bookmarkEnd w:id="31"/>
    </w:p>
    <w:p w14:paraId="7794C7DE" w14:textId="77777777" w:rsidR="00E71924" w:rsidRPr="001562EC" w:rsidRDefault="009F555F" w:rsidP="00980A19">
      <w:pPr>
        <w:pStyle w:val="ScheduleTitleClause"/>
        <w:numPr>
          <w:ilvl w:val="0"/>
          <w:numId w:val="30"/>
        </w:numPr>
        <w:rPr>
          <w:rFonts w:eastAsiaTheme="minorHAnsi"/>
        </w:rPr>
      </w:pPr>
      <w:r w:rsidRPr="001562EC">
        <w:rPr>
          <w:rFonts w:eastAsiaTheme="minorHAnsi"/>
        </w:rPr>
        <w:fldChar w:fldCharType="begin"/>
      </w:r>
      <w:r w:rsidRPr="001562EC">
        <w:rPr>
          <w:rFonts w:eastAsiaTheme="minorHAnsi"/>
        </w:rPr>
        <w:instrText>TC "1. Security of systems and facilities" \l 1</w:instrText>
      </w:r>
      <w:r w:rsidRPr="001562EC">
        <w:rPr>
          <w:rFonts w:eastAsiaTheme="minorHAnsi"/>
        </w:rPr>
        <w:fldChar w:fldCharType="end"/>
      </w:r>
      <w:bookmarkStart w:id="32" w:name="_Toc256000068"/>
      <w:bookmarkStart w:id="33" w:name="a380668"/>
      <w:r w:rsidRPr="001562EC">
        <w:rPr>
          <w:rFonts w:eastAsiaTheme="minorHAnsi"/>
        </w:rPr>
        <w:t>Security of systems and facilities</w:t>
      </w:r>
      <w:bookmarkEnd w:id="32"/>
      <w:bookmarkEnd w:id="33"/>
    </w:p>
    <w:p w14:paraId="21C47C26" w14:textId="77777777" w:rsidR="00E71924" w:rsidRPr="001562EC" w:rsidRDefault="009F555F" w:rsidP="004F0D6B">
      <w:pPr>
        <w:pStyle w:val="BulletList1"/>
        <w:rPr>
          <w:rFonts w:eastAsiaTheme="minorHAnsi"/>
        </w:rPr>
      </w:pPr>
      <w:r w:rsidRPr="001562EC">
        <w:rPr>
          <w:rFonts w:eastAsiaTheme="minorHAnsi"/>
        </w:rPr>
        <w:t xml:space="preserve">A description or mapping of the </w:t>
      </w:r>
      <w:r w:rsidR="004A19F0" w:rsidRPr="001562EC">
        <w:rPr>
          <w:rFonts w:eastAsiaTheme="minorHAnsi"/>
        </w:rPr>
        <w:t>Contractor</w:t>
      </w:r>
      <w:r w:rsidRPr="001562EC">
        <w:rPr>
          <w:rFonts w:eastAsiaTheme="minorHAnsi"/>
        </w:rPr>
        <w:t xml:space="preserve">'s information system insofar as it relates to the </w:t>
      </w:r>
      <w:r w:rsidR="004A19F0" w:rsidRPr="001562EC">
        <w:rPr>
          <w:rFonts w:eastAsiaTheme="minorHAnsi"/>
        </w:rPr>
        <w:t>Client</w:t>
      </w:r>
      <w:r w:rsidRPr="001562EC">
        <w:rPr>
          <w:rFonts w:eastAsiaTheme="minorHAnsi"/>
        </w:rPr>
        <w:t xml:space="preserve"> and any policies the </w:t>
      </w:r>
      <w:r w:rsidR="004A19F0" w:rsidRPr="001562EC">
        <w:rPr>
          <w:rFonts w:eastAsiaTheme="minorHAnsi"/>
        </w:rPr>
        <w:t>Contractor</w:t>
      </w:r>
      <w:r w:rsidRPr="001562EC">
        <w:rPr>
          <w:rFonts w:eastAsiaTheme="minorHAnsi"/>
        </w:rPr>
        <w:t xml:space="preserve"> has in place for managing information security, including risk analysis, human resources, security of operations, security architecture, secure data and system life cycle management</w:t>
      </w:r>
      <w:r w:rsidR="000C78E6" w:rsidRPr="001562EC">
        <w:rPr>
          <w:rFonts w:eastAsiaTheme="minorHAnsi"/>
        </w:rPr>
        <w:t xml:space="preserve"> </w:t>
      </w:r>
      <w:r w:rsidRPr="001562EC">
        <w:rPr>
          <w:rFonts w:eastAsiaTheme="minorHAnsi"/>
        </w:rPr>
        <w:t xml:space="preserve">encryption </w:t>
      </w:r>
      <w:r w:rsidR="000C78E6" w:rsidRPr="001562EC">
        <w:rPr>
          <w:rFonts w:eastAsiaTheme="minorHAnsi"/>
        </w:rPr>
        <w:t xml:space="preserve">multi factor authentication </w:t>
      </w:r>
      <w:r w:rsidRPr="001562EC">
        <w:rPr>
          <w:rFonts w:eastAsiaTheme="minorHAnsi"/>
        </w:rPr>
        <w:t>and its management.</w:t>
      </w:r>
    </w:p>
    <w:p w14:paraId="09DB71E2" w14:textId="77777777" w:rsidR="00E71924" w:rsidRPr="001562EC" w:rsidRDefault="009F555F" w:rsidP="004F0D6B">
      <w:pPr>
        <w:pStyle w:val="BulletList1"/>
        <w:rPr>
          <w:rFonts w:eastAsiaTheme="minorHAnsi"/>
        </w:rPr>
      </w:pPr>
      <w:r w:rsidRPr="001562EC">
        <w:rPr>
          <w:rFonts w:eastAsiaTheme="minorHAnsi"/>
        </w:rPr>
        <w:t xml:space="preserve">Its measures to protect the security of its network and information systems from damage using an all-hazards risk-based approach, addressing </w:t>
      </w:r>
      <w:r w:rsidR="000C78E6" w:rsidRPr="001562EC">
        <w:rPr>
          <w:rFonts w:eastAsiaTheme="minorHAnsi"/>
        </w:rPr>
        <w:t>without limitation</w:t>
      </w:r>
      <w:r w:rsidRPr="001562EC">
        <w:rPr>
          <w:rFonts w:eastAsiaTheme="minorHAnsi"/>
        </w:rPr>
        <w:t xml:space="preserve"> system failure, human error, malicious action or natural phenomena.</w:t>
      </w:r>
    </w:p>
    <w:p w14:paraId="42ACA7CB" w14:textId="77777777" w:rsidR="00E71924" w:rsidRPr="001562EC" w:rsidRDefault="009F555F" w:rsidP="004F0D6B">
      <w:pPr>
        <w:pStyle w:val="BulletList1"/>
        <w:rPr>
          <w:rFonts w:eastAsiaTheme="minorHAnsi"/>
        </w:rPr>
      </w:pPr>
      <w:r w:rsidRPr="001562EC">
        <w:rPr>
          <w:rFonts w:eastAsiaTheme="minorHAnsi"/>
        </w:rPr>
        <w:t xml:space="preserve">Its measures including policies to ensure the accessibility and traceability of critical </w:t>
      </w:r>
      <w:r w:rsidR="000C78E6" w:rsidRPr="001562EC">
        <w:rPr>
          <w:rFonts w:eastAsiaTheme="minorHAnsi"/>
        </w:rPr>
        <w:t>elements</w:t>
      </w:r>
      <w:r w:rsidRPr="001562EC">
        <w:rPr>
          <w:rFonts w:eastAsiaTheme="minorHAnsi"/>
        </w:rPr>
        <w:t xml:space="preserve"> used in the provision of the </w:t>
      </w:r>
      <w:r w:rsidR="00440A81">
        <w:rPr>
          <w:rFonts w:eastAsiaTheme="minorHAnsi"/>
        </w:rPr>
        <w:t>[</w:t>
      </w:r>
      <w:r w:rsidRPr="001562EC">
        <w:rPr>
          <w:rFonts w:eastAsiaTheme="minorHAnsi"/>
        </w:rPr>
        <w:t>Services</w:t>
      </w:r>
      <w:r w:rsidR="00440A81">
        <w:rPr>
          <w:rFonts w:eastAsiaTheme="minorHAnsi"/>
        </w:rPr>
        <w:t>/System/Goods]</w:t>
      </w:r>
      <w:r w:rsidRPr="001562EC">
        <w:rPr>
          <w:rFonts w:eastAsiaTheme="minorHAnsi"/>
        </w:rPr>
        <w:t>.</w:t>
      </w:r>
    </w:p>
    <w:p w14:paraId="74ADF587" w14:textId="77777777" w:rsidR="00E71924" w:rsidRPr="001562EC" w:rsidRDefault="009F555F" w:rsidP="004F0D6B">
      <w:pPr>
        <w:pStyle w:val="BulletList1"/>
        <w:rPr>
          <w:rFonts w:eastAsiaTheme="minorHAnsi"/>
        </w:rPr>
      </w:pPr>
      <w:r w:rsidRPr="001562EC">
        <w:rPr>
          <w:rFonts w:eastAsiaTheme="minorHAnsi"/>
        </w:rPr>
        <w:t>Any measures to ensure that the physical and logical access to network and information systems, including administrative security of network and information systems, is authorised and restricted based on business and security requirements.</w:t>
      </w:r>
    </w:p>
    <w:p w14:paraId="50B133A1" w14:textId="77777777" w:rsidR="00E71924" w:rsidRPr="001562EC" w:rsidRDefault="009F555F" w:rsidP="00980A19">
      <w:pPr>
        <w:pStyle w:val="ScheduleTitleClause"/>
        <w:numPr>
          <w:ilvl w:val="0"/>
          <w:numId w:val="30"/>
        </w:numPr>
        <w:rPr>
          <w:rFonts w:eastAsiaTheme="minorHAnsi"/>
        </w:rPr>
      </w:pPr>
      <w:r w:rsidRPr="001562EC">
        <w:rPr>
          <w:rFonts w:eastAsiaTheme="minorHAnsi"/>
        </w:rPr>
        <w:fldChar w:fldCharType="begin"/>
      </w:r>
      <w:r w:rsidRPr="001562EC">
        <w:rPr>
          <w:rFonts w:eastAsiaTheme="minorHAnsi"/>
        </w:rPr>
        <w:instrText>TC "2. Incident handling" \l 1</w:instrText>
      </w:r>
      <w:r w:rsidRPr="001562EC">
        <w:rPr>
          <w:rFonts w:eastAsiaTheme="minorHAnsi"/>
        </w:rPr>
        <w:fldChar w:fldCharType="end"/>
      </w:r>
      <w:bookmarkStart w:id="34" w:name="_Toc256000069"/>
      <w:bookmarkStart w:id="35" w:name="a339198"/>
      <w:r w:rsidRPr="001562EC">
        <w:rPr>
          <w:rFonts w:eastAsiaTheme="minorHAnsi"/>
        </w:rPr>
        <w:t>Incident handling</w:t>
      </w:r>
      <w:bookmarkEnd w:id="34"/>
      <w:bookmarkEnd w:id="35"/>
    </w:p>
    <w:p w14:paraId="39167D6F" w14:textId="77777777" w:rsidR="00E71924" w:rsidRPr="001562EC" w:rsidRDefault="009F555F" w:rsidP="004F0D6B">
      <w:pPr>
        <w:pStyle w:val="BulletList1"/>
        <w:rPr>
          <w:rFonts w:eastAsiaTheme="minorHAnsi"/>
        </w:rPr>
      </w:pPr>
      <w:r w:rsidRPr="001562EC">
        <w:rPr>
          <w:rFonts w:eastAsiaTheme="minorHAnsi"/>
        </w:rPr>
        <w:t>Its detection processes and procedures for ensuring timely and adequate awareness of anomalous events and details of the ways in which it maintains and tests these processes and procedures.</w:t>
      </w:r>
    </w:p>
    <w:p w14:paraId="2ED6CBEA" w14:textId="77777777" w:rsidR="00E71924" w:rsidRPr="001562EC" w:rsidRDefault="009F555F" w:rsidP="004F0D6B">
      <w:pPr>
        <w:pStyle w:val="BulletList1"/>
        <w:rPr>
          <w:rFonts w:eastAsiaTheme="minorHAnsi"/>
        </w:rPr>
      </w:pPr>
      <w:r w:rsidRPr="001562EC">
        <w:rPr>
          <w:rFonts w:eastAsiaTheme="minorHAnsi"/>
        </w:rPr>
        <w:t>Its processes and policies on reporting incidents and identifying weaknesses and vulnerabilities in its information systems.</w:t>
      </w:r>
    </w:p>
    <w:p w14:paraId="01599984" w14:textId="77777777" w:rsidR="00E71924" w:rsidRPr="001562EC" w:rsidRDefault="009F555F" w:rsidP="004F0D6B">
      <w:pPr>
        <w:pStyle w:val="BulletList1"/>
        <w:rPr>
          <w:rFonts w:eastAsiaTheme="minorHAnsi"/>
        </w:rPr>
      </w:pPr>
      <w:r w:rsidRPr="001562EC">
        <w:rPr>
          <w:rFonts w:eastAsiaTheme="minorHAnsi"/>
        </w:rPr>
        <w:t>Its procedures for assessing the severity of a security incident, documenting knowledge from incident analysis which may serve as evidence and support a continuous improvement process.</w:t>
      </w:r>
    </w:p>
    <w:p w14:paraId="656317B2" w14:textId="77777777" w:rsidR="00E71924" w:rsidRPr="001562EC" w:rsidRDefault="009F555F" w:rsidP="00980A19">
      <w:pPr>
        <w:pStyle w:val="ScheduleTitleClause"/>
        <w:numPr>
          <w:ilvl w:val="0"/>
          <w:numId w:val="30"/>
        </w:numPr>
        <w:rPr>
          <w:rFonts w:eastAsiaTheme="minorHAnsi"/>
        </w:rPr>
      </w:pPr>
      <w:r w:rsidRPr="001562EC">
        <w:rPr>
          <w:rFonts w:eastAsiaTheme="minorHAnsi"/>
        </w:rPr>
        <w:fldChar w:fldCharType="begin"/>
      </w:r>
      <w:r w:rsidRPr="001562EC">
        <w:rPr>
          <w:rFonts w:eastAsiaTheme="minorHAnsi"/>
        </w:rPr>
        <w:instrText>TC "3. Business continuity management" \l 1</w:instrText>
      </w:r>
      <w:r w:rsidRPr="001562EC">
        <w:rPr>
          <w:rFonts w:eastAsiaTheme="minorHAnsi"/>
        </w:rPr>
        <w:fldChar w:fldCharType="end"/>
      </w:r>
      <w:bookmarkStart w:id="36" w:name="_Toc256000070"/>
      <w:bookmarkStart w:id="37" w:name="a448412"/>
      <w:r w:rsidRPr="001562EC">
        <w:rPr>
          <w:rFonts w:eastAsiaTheme="minorHAnsi"/>
        </w:rPr>
        <w:t>Business continuity management</w:t>
      </w:r>
      <w:bookmarkEnd w:id="36"/>
      <w:bookmarkEnd w:id="37"/>
    </w:p>
    <w:p w14:paraId="2590F117" w14:textId="77777777" w:rsidR="00E71924" w:rsidRPr="001562EC" w:rsidRDefault="009F555F" w:rsidP="004F0D6B">
      <w:pPr>
        <w:pStyle w:val="BulletList1"/>
        <w:rPr>
          <w:rFonts w:eastAsiaTheme="minorHAnsi"/>
        </w:rPr>
      </w:pPr>
      <w:r w:rsidRPr="001562EC">
        <w:rPr>
          <w:rFonts w:eastAsiaTheme="minorHAnsi"/>
        </w:rPr>
        <w:t xml:space="preserve">Its contingency procedures for ensuring business continuity for the </w:t>
      </w:r>
      <w:r w:rsidR="00440A81">
        <w:rPr>
          <w:rFonts w:eastAsiaTheme="minorHAnsi"/>
        </w:rPr>
        <w:t>[</w:t>
      </w:r>
      <w:r w:rsidRPr="001562EC">
        <w:rPr>
          <w:rFonts w:eastAsiaTheme="minorHAnsi"/>
        </w:rPr>
        <w:t>Services</w:t>
      </w:r>
      <w:r w:rsidR="00440A81">
        <w:rPr>
          <w:rFonts w:eastAsiaTheme="minorHAnsi"/>
        </w:rPr>
        <w:t>/System/Goods]</w:t>
      </w:r>
      <w:r w:rsidRPr="001562EC">
        <w:rPr>
          <w:rFonts w:eastAsiaTheme="minorHAnsi"/>
        </w:rPr>
        <w:t xml:space="preserve"> and details of the ways in which it regularly assesses and tests these.</w:t>
      </w:r>
    </w:p>
    <w:p w14:paraId="447DD419" w14:textId="77777777" w:rsidR="00E71924" w:rsidRPr="001562EC" w:rsidRDefault="009F555F" w:rsidP="004F0D6B">
      <w:pPr>
        <w:pStyle w:val="BulletList1"/>
        <w:rPr>
          <w:rFonts w:eastAsiaTheme="minorHAnsi"/>
        </w:rPr>
      </w:pPr>
      <w:r w:rsidRPr="001562EC">
        <w:rPr>
          <w:rFonts w:eastAsiaTheme="minorHAnsi"/>
        </w:rPr>
        <w:t xml:space="preserve">Its disaster recovery capabilities and details of the ways in which these are regularly assessed and tested.  </w:t>
      </w:r>
    </w:p>
    <w:p w14:paraId="2A3EADA2" w14:textId="77777777" w:rsidR="00E71924" w:rsidRPr="001562EC" w:rsidRDefault="009F555F" w:rsidP="00980A19">
      <w:pPr>
        <w:pStyle w:val="ScheduleTitleClause"/>
        <w:numPr>
          <w:ilvl w:val="0"/>
          <w:numId w:val="30"/>
        </w:numPr>
        <w:rPr>
          <w:rFonts w:eastAsiaTheme="minorHAnsi"/>
        </w:rPr>
      </w:pPr>
      <w:r w:rsidRPr="001562EC">
        <w:rPr>
          <w:rFonts w:eastAsiaTheme="minorHAnsi"/>
        </w:rPr>
        <w:fldChar w:fldCharType="begin"/>
      </w:r>
      <w:r w:rsidRPr="001562EC">
        <w:rPr>
          <w:rFonts w:eastAsiaTheme="minorHAnsi"/>
        </w:rPr>
        <w:instrText>TC "4. Monitoring, auditing and testing" \l 1</w:instrText>
      </w:r>
      <w:r w:rsidRPr="001562EC">
        <w:rPr>
          <w:rFonts w:eastAsiaTheme="minorHAnsi"/>
        </w:rPr>
        <w:fldChar w:fldCharType="end"/>
      </w:r>
      <w:bookmarkStart w:id="38" w:name="_Toc256000071"/>
      <w:bookmarkStart w:id="39" w:name="a365404"/>
      <w:r w:rsidRPr="001562EC">
        <w:rPr>
          <w:rFonts w:eastAsiaTheme="minorHAnsi"/>
        </w:rPr>
        <w:t>Monitoring, auditing and testing</w:t>
      </w:r>
      <w:bookmarkEnd w:id="38"/>
      <w:bookmarkEnd w:id="39"/>
    </w:p>
    <w:p w14:paraId="4197DE91" w14:textId="77777777" w:rsidR="00E71924" w:rsidRPr="001562EC" w:rsidRDefault="009F555F" w:rsidP="004F0D6B">
      <w:pPr>
        <w:pStyle w:val="Paragraph"/>
        <w:rPr>
          <w:rFonts w:eastAsiaTheme="minorHAnsi"/>
        </w:rPr>
      </w:pPr>
      <w:r w:rsidRPr="001562EC">
        <w:rPr>
          <w:rFonts w:eastAsiaTheme="minorHAnsi"/>
        </w:rPr>
        <w:t>Its policies and the maintenance of such policies on:</w:t>
      </w:r>
    </w:p>
    <w:p w14:paraId="7A423BC9" w14:textId="77777777" w:rsidR="00E71924" w:rsidRPr="001562EC" w:rsidRDefault="009F555F" w:rsidP="004F0D6B">
      <w:pPr>
        <w:pStyle w:val="BulletList1"/>
        <w:rPr>
          <w:rFonts w:eastAsiaTheme="minorHAnsi"/>
        </w:rPr>
      </w:pPr>
      <w:r w:rsidRPr="001562EC">
        <w:rPr>
          <w:rFonts w:eastAsiaTheme="minorHAnsi"/>
        </w:rPr>
        <w:lastRenderedPageBreak/>
        <w:t>Conducting planned sequences of observations or measurements to assess whether network and information systems are operating as intended.</w:t>
      </w:r>
    </w:p>
    <w:p w14:paraId="59FC896D" w14:textId="77777777" w:rsidR="00E71924" w:rsidRPr="001562EC" w:rsidRDefault="009F555F" w:rsidP="004F0D6B">
      <w:pPr>
        <w:pStyle w:val="BulletList1"/>
        <w:rPr>
          <w:rFonts w:eastAsiaTheme="minorHAnsi"/>
        </w:rPr>
      </w:pPr>
      <w:r w:rsidRPr="001562EC">
        <w:rPr>
          <w:rFonts w:eastAsiaTheme="minorHAnsi"/>
        </w:rPr>
        <w:t>Inspection and verification to check whether a standard or set of guidelines is being followed, records are accurate, and efficiency and effectiveness targets are being met.</w:t>
      </w:r>
    </w:p>
    <w:p w14:paraId="4830FABB" w14:textId="77777777" w:rsidR="00E71924" w:rsidRPr="001562EC" w:rsidRDefault="009F555F" w:rsidP="004F0D6B">
      <w:pPr>
        <w:pStyle w:val="BulletList1"/>
        <w:rPr>
          <w:rFonts w:eastAsiaTheme="minorHAnsi"/>
        </w:rPr>
      </w:pPr>
      <w:r w:rsidRPr="001562EC">
        <w:rPr>
          <w:rFonts w:eastAsiaTheme="minorHAnsi"/>
        </w:rPr>
        <w:t xml:space="preserve">A process (including technical processes and personnel involved in the operation flow) intended to reveal flaws in the security mechanisms of a network and information system that protect data and maintain functionality as intended. </w:t>
      </w:r>
    </w:p>
    <w:p w14:paraId="6765E7A0" w14:textId="744C1BC6" w:rsidR="00327137" w:rsidRDefault="00327137" w:rsidP="00457DE8">
      <w:pPr>
        <w:pStyle w:val="BulletList1"/>
        <w:numPr>
          <w:ilvl w:val="0"/>
          <w:numId w:val="0"/>
        </w:numPr>
        <w:ind w:left="360"/>
        <w:rPr>
          <w:rStyle w:val="ParagraphChar"/>
          <w:bCs/>
        </w:rPr>
      </w:pPr>
    </w:p>
    <w:p w14:paraId="672986C9" w14:textId="4C75A85B" w:rsidR="00D36FF6" w:rsidRPr="00327137" w:rsidRDefault="00D36FF6" w:rsidP="00457DE8">
      <w:pPr>
        <w:pStyle w:val="BulletList1"/>
        <w:numPr>
          <w:ilvl w:val="0"/>
          <w:numId w:val="0"/>
        </w:numPr>
        <w:ind w:left="360"/>
        <w:rPr>
          <w:rStyle w:val="ParagraphChar"/>
          <w:bCs/>
        </w:rPr>
      </w:pPr>
      <w:r w:rsidRPr="00335B4D">
        <w:rPr>
          <w:bCs/>
          <w:noProof/>
          <w:lang w:eastAsia="en-IE"/>
        </w:rPr>
        <w:drawing>
          <wp:inline distT="0" distB="0" distL="0" distR="0" wp14:anchorId="615ADAF2" wp14:editId="54F169D3">
            <wp:extent cx="5943600" cy="1986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86915"/>
                    </a:xfrm>
                    <a:prstGeom prst="rect">
                      <a:avLst/>
                    </a:prstGeom>
                    <a:noFill/>
                    <a:ln>
                      <a:noFill/>
                    </a:ln>
                  </pic:spPr>
                </pic:pic>
              </a:graphicData>
            </a:graphic>
          </wp:inline>
        </w:drawing>
      </w:r>
    </w:p>
    <w:sectPr w:rsidR="00D36FF6" w:rsidRPr="00327137" w:rsidSect="00D506DE">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ED98" w14:textId="77777777" w:rsidR="006A636A" w:rsidRDefault="006A636A">
      <w:pPr>
        <w:spacing w:after="0" w:line="240" w:lineRule="auto"/>
      </w:pPr>
      <w:r>
        <w:separator/>
      </w:r>
    </w:p>
  </w:endnote>
  <w:endnote w:type="continuationSeparator" w:id="0">
    <w:p w14:paraId="7128A310" w14:textId="77777777" w:rsidR="006A636A" w:rsidRDefault="006A6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F6572" w14:textId="77777777" w:rsidR="00EA4BA7" w:rsidRDefault="009F555F">
    <w:pPr>
      <w:jc w:val="center"/>
    </w:pPr>
    <w:r>
      <w:fldChar w:fldCharType="begin"/>
    </w:r>
    <w:r>
      <w:instrText>PAGE</w:instrText>
    </w:r>
    <w:r>
      <w:fldChar w:fldCharType="separate"/>
    </w:r>
    <w:r w:rsidR="00D66CA1">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F571E" w14:textId="77777777" w:rsidR="006A636A" w:rsidRDefault="006A636A">
      <w:pPr>
        <w:spacing w:after="0" w:line="240" w:lineRule="auto"/>
      </w:pPr>
      <w:r>
        <w:separator/>
      </w:r>
    </w:p>
  </w:footnote>
  <w:footnote w:type="continuationSeparator" w:id="0">
    <w:p w14:paraId="71278F8A" w14:textId="77777777" w:rsidR="006A636A" w:rsidRDefault="006A6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253412"/>
    <w:multiLevelType w:val="hybridMultilevel"/>
    <w:tmpl w:val="960CC850"/>
    <w:lvl w:ilvl="0" w:tplc="166EEDF6">
      <w:start w:val="1"/>
      <w:numFmt w:val="bullet"/>
      <w:pStyle w:val="DefinedTermBullet"/>
      <w:lvlText w:val=""/>
      <w:lvlJc w:val="left"/>
      <w:pPr>
        <w:ind w:left="1440" w:hanging="360"/>
      </w:pPr>
      <w:rPr>
        <w:rFonts w:ascii="Symbol" w:hAnsi="Symbol" w:hint="default"/>
        <w:color w:val="000000"/>
      </w:rPr>
    </w:lvl>
    <w:lvl w:ilvl="1" w:tplc="AB36BC8C" w:tentative="1">
      <w:start w:val="1"/>
      <w:numFmt w:val="bullet"/>
      <w:lvlText w:val="o"/>
      <w:lvlJc w:val="left"/>
      <w:pPr>
        <w:ind w:left="2160" w:hanging="360"/>
      </w:pPr>
      <w:rPr>
        <w:rFonts w:ascii="Courier New" w:hAnsi="Courier New" w:cs="Courier New" w:hint="default"/>
      </w:rPr>
    </w:lvl>
    <w:lvl w:ilvl="2" w:tplc="D4181A5C" w:tentative="1">
      <w:start w:val="1"/>
      <w:numFmt w:val="bullet"/>
      <w:lvlText w:val=""/>
      <w:lvlJc w:val="left"/>
      <w:pPr>
        <w:ind w:left="2880" w:hanging="360"/>
      </w:pPr>
      <w:rPr>
        <w:rFonts w:ascii="Wingdings" w:hAnsi="Wingdings" w:hint="default"/>
      </w:rPr>
    </w:lvl>
    <w:lvl w:ilvl="3" w:tplc="C61EF14C" w:tentative="1">
      <w:start w:val="1"/>
      <w:numFmt w:val="bullet"/>
      <w:lvlText w:val=""/>
      <w:lvlJc w:val="left"/>
      <w:pPr>
        <w:ind w:left="3600" w:hanging="360"/>
      </w:pPr>
      <w:rPr>
        <w:rFonts w:ascii="Symbol" w:hAnsi="Symbol" w:hint="default"/>
      </w:rPr>
    </w:lvl>
    <w:lvl w:ilvl="4" w:tplc="A53A18BE" w:tentative="1">
      <w:start w:val="1"/>
      <w:numFmt w:val="bullet"/>
      <w:lvlText w:val="o"/>
      <w:lvlJc w:val="left"/>
      <w:pPr>
        <w:ind w:left="4320" w:hanging="360"/>
      </w:pPr>
      <w:rPr>
        <w:rFonts w:ascii="Courier New" w:hAnsi="Courier New" w:cs="Courier New" w:hint="default"/>
      </w:rPr>
    </w:lvl>
    <w:lvl w:ilvl="5" w:tplc="B532C262" w:tentative="1">
      <w:start w:val="1"/>
      <w:numFmt w:val="bullet"/>
      <w:lvlText w:val=""/>
      <w:lvlJc w:val="left"/>
      <w:pPr>
        <w:ind w:left="5040" w:hanging="360"/>
      </w:pPr>
      <w:rPr>
        <w:rFonts w:ascii="Wingdings" w:hAnsi="Wingdings" w:hint="default"/>
      </w:rPr>
    </w:lvl>
    <w:lvl w:ilvl="6" w:tplc="B686E448" w:tentative="1">
      <w:start w:val="1"/>
      <w:numFmt w:val="bullet"/>
      <w:lvlText w:val=""/>
      <w:lvlJc w:val="left"/>
      <w:pPr>
        <w:ind w:left="5760" w:hanging="360"/>
      </w:pPr>
      <w:rPr>
        <w:rFonts w:ascii="Symbol" w:hAnsi="Symbol" w:hint="default"/>
      </w:rPr>
    </w:lvl>
    <w:lvl w:ilvl="7" w:tplc="587C17DE" w:tentative="1">
      <w:start w:val="1"/>
      <w:numFmt w:val="bullet"/>
      <w:lvlText w:val="o"/>
      <w:lvlJc w:val="left"/>
      <w:pPr>
        <w:ind w:left="6480" w:hanging="360"/>
      </w:pPr>
      <w:rPr>
        <w:rFonts w:ascii="Courier New" w:hAnsi="Courier New" w:cs="Courier New" w:hint="default"/>
      </w:rPr>
    </w:lvl>
    <w:lvl w:ilvl="8" w:tplc="17DE1D44" w:tentative="1">
      <w:start w:val="1"/>
      <w:numFmt w:val="bullet"/>
      <w:lvlText w:val=""/>
      <w:lvlJc w:val="left"/>
      <w:pPr>
        <w:ind w:left="7200" w:hanging="360"/>
      </w:pPr>
      <w:rPr>
        <w:rFonts w:ascii="Wingdings" w:hAnsi="Wingdings" w:hint="default"/>
      </w:rPr>
    </w:lvl>
  </w:abstractNum>
  <w:abstractNum w:abstractNumId="2" w15:restartNumberingAfterBreak="0">
    <w:nsid w:val="20E82F3A"/>
    <w:multiLevelType w:val="hybridMultilevel"/>
    <w:tmpl w:val="1DF80854"/>
    <w:lvl w:ilvl="0" w:tplc="947E18B4">
      <w:start w:val="1"/>
      <w:numFmt w:val="decimal"/>
      <w:pStyle w:val="ScheduleHeading-Single"/>
      <w:lvlText w:val="Schedule"/>
      <w:lvlJc w:val="left"/>
      <w:pPr>
        <w:tabs>
          <w:tab w:val="num" w:pos="720"/>
        </w:tabs>
        <w:ind w:left="720" w:hanging="720"/>
      </w:pPr>
      <w:rPr>
        <w:color w:val="000000"/>
      </w:rPr>
    </w:lvl>
    <w:lvl w:ilvl="1" w:tplc="2204722E" w:tentative="1">
      <w:start w:val="1"/>
      <w:numFmt w:val="lowerLetter"/>
      <w:lvlText w:val="%2."/>
      <w:lvlJc w:val="left"/>
      <w:pPr>
        <w:tabs>
          <w:tab w:val="num" w:pos="1440"/>
        </w:tabs>
        <w:ind w:left="1440" w:hanging="360"/>
      </w:pPr>
    </w:lvl>
    <w:lvl w:ilvl="2" w:tplc="F1FCEAB8" w:tentative="1">
      <w:start w:val="1"/>
      <w:numFmt w:val="lowerRoman"/>
      <w:lvlText w:val="%3."/>
      <w:lvlJc w:val="right"/>
      <w:pPr>
        <w:tabs>
          <w:tab w:val="num" w:pos="2160"/>
        </w:tabs>
        <w:ind w:left="2160" w:hanging="180"/>
      </w:pPr>
    </w:lvl>
    <w:lvl w:ilvl="3" w:tplc="1226974A" w:tentative="1">
      <w:start w:val="1"/>
      <w:numFmt w:val="decimal"/>
      <w:lvlText w:val="%4."/>
      <w:lvlJc w:val="left"/>
      <w:pPr>
        <w:tabs>
          <w:tab w:val="num" w:pos="2880"/>
        </w:tabs>
        <w:ind w:left="2880" w:hanging="360"/>
      </w:pPr>
    </w:lvl>
    <w:lvl w:ilvl="4" w:tplc="8BC6BF6A" w:tentative="1">
      <w:start w:val="1"/>
      <w:numFmt w:val="lowerLetter"/>
      <w:lvlText w:val="%5."/>
      <w:lvlJc w:val="left"/>
      <w:pPr>
        <w:tabs>
          <w:tab w:val="num" w:pos="3600"/>
        </w:tabs>
        <w:ind w:left="3600" w:hanging="360"/>
      </w:pPr>
    </w:lvl>
    <w:lvl w:ilvl="5" w:tplc="000E6CA4" w:tentative="1">
      <w:start w:val="1"/>
      <w:numFmt w:val="lowerRoman"/>
      <w:lvlText w:val="%6."/>
      <w:lvlJc w:val="right"/>
      <w:pPr>
        <w:tabs>
          <w:tab w:val="num" w:pos="4320"/>
        </w:tabs>
        <w:ind w:left="4320" w:hanging="180"/>
      </w:pPr>
    </w:lvl>
    <w:lvl w:ilvl="6" w:tplc="679E80EC" w:tentative="1">
      <w:start w:val="1"/>
      <w:numFmt w:val="decimal"/>
      <w:lvlText w:val="%7."/>
      <w:lvlJc w:val="left"/>
      <w:pPr>
        <w:tabs>
          <w:tab w:val="num" w:pos="5040"/>
        </w:tabs>
        <w:ind w:left="5040" w:hanging="360"/>
      </w:pPr>
    </w:lvl>
    <w:lvl w:ilvl="7" w:tplc="79D43C6C" w:tentative="1">
      <w:start w:val="1"/>
      <w:numFmt w:val="lowerLetter"/>
      <w:lvlText w:val="%8."/>
      <w:lvlJc w:val="left"/>
      <w:pPr>
        <w:tabs>
          <w:tab w:val="num" w:pos="5760"/>
        </w:tabs>
        <w:ind w:left="5760" w:hanging="360"/>
      </w:pPr>
    </w:lvl>
    <w:lvl w:ilvl="8" w:tplc="76900904" w:tentative="1">
      <w:start w:val="1"/>
      <w:numFmt w:val="lowerRoman"/>
      <w:lvlText w:val="%9."/>
      <w:lvlJc w:val="right"/>
      <w:pPr>
        <w:tabs>
          <w:tab w:val="num" w:pos="6480"/>
        </w:tabs>
        <w:ind w:left="6480" w:hanging="180"/>
      </w:pPr>
    </w:lvl>
  </w:abstractNum>
  <w:abstractNum w:abstractNumId="3" w15:restartNumberingAfterBreak="0">
    <w:nsid w:val="25B00E4C"/>
    <w:multiLevelType w:val="hybridMultilevel"/>
    <w:tmpl w:val="97C4AA26"/>
    <w:lvl w:ilvl="0" w:tplc="F710E2FC">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99D2A15A" w:tentative="1">
      <w:start w:val="1"/>
      <w:numFmt w:val="lowerLetter"/>
      <w:lvlText w:val="%2."/>
      <w:lvlJc w:val="left"/>
      <w:pPr>
        <w:ind w:left="1440" w:hanging="360"/>
      </w:pPr>
    </w:lvl>
    <w:lvl w:ilvl="2" w:tplc="69C88E46" w:tentative="1">
      <w:start w:val="1"/>
      <w:numFmt w:val="lowerRoman"/>
      <w:lvlText w:val="%3."/>
      <w:lvlJc w:val="right"/>
      <w:pPr>
        <w:ind w:left="2160" w:hanging="180"/>
      </w:pPr>
    </w:lvl>
    <w:lvl w:ilvl="3" w:tplc="765AC2A2" w:tentative="1">
      <w:start w:val="1"/>
      <w:numFmt w:val="decimal"/>
      <w:lvlText w:val="%4."/>
      <w:lvlJc w:val="left"/>
      <w:pPr>
        <w:ind w:left="2880" w:hanging="360"/>
      </w:pPr>
    </w:lvl>
    <w:lvl w:ilvl="4" w:tplc="36C0C450" w:tentative="1">
      <w:start w:val="1"/>
      <w:numFmt w:val="lowerLetter"/>
      <w:lvlText w:val="%5."/>
      <w:lvlJc w:val="left"/>
      <w:pPr>
        <w:ind w:left="3600" w:hanging="360"/>
      </w:pPr>
    </w:lvl>
    <w:lvl w:ilvl="5" w:tplc="CB446534" w:tentative="1">
      <w:start w:val="1"/>
      <w:numFmt w:val="lowerRoman"/>
      <w:lvlText w:val="%6."/>
      <w:lvlJc w:val="right"/>
      <w:pPr>
        <w:ind w:left="4320" w:hanging="180"/>
      </w:pPr>
    </w:lvl>
    <w:lvl w:ilvl="6" w:tplc="F5C6608A" w:tentative="1">
      <w:start w:val="1"/>
      <w:numFmt w:val="decimal"/>
      <w:lvlText w:val="%7."/>
      <w:lvlJc w:val="left"/>
      <w:pPr>
        <w:ind w:left="5040" w:hanging="360"/>
      </w:pPr>
    </w:lvl>
    <w:lvl w:ilvl="7" w:tplc="F8543732" w:tentative="1">
      <w:start w:val="1"/>
      <w:numFmt w:val="lowerLetter"/>
      <w:lvlText w:val="%8."/>
      <w:lvlJc w:val="left"/>
      <w:pPr>
        <w:ind w:left="5760" w:hanging="360"/>
      </w:pPr>
    </w:lvl>
    <w:lvl w:ilvl="8" w:tplc="013A8730" w:tentative="1">
      <w:start w:val="1"/>
      <w:numFmt w:val="lowerRoman"/>
      <w:lvlText w:val="%9."/>
      <w:lvlJc w:val="right"/>
      <w:pPr>
        <w:ind w:left="6480" w:hanging="180"/>
      </w:pPr>
    </w:lvl>
  </w:abstractNum>
  <w:abstractNum w:abstractNumId="4" w15:restartNumberingAfterBreak="0">
    <w:nsid w:val="29C94F29"/>
    <w:multiLevelType w:val="hybridMultilevel"/>
    <w:tmpl w:val="4CBC2A34"/>
    <w:lvl w:ilvl="0" w:tplc="8960B7E6">
      <w:start w:val="1"/>
      <w:numFmt w:val="decimal"/>
      <w:pStyle w:val="QuestionParagraph"/>
      <w:lvlText w:val="%1."/>
      <w:lvlJc w:val="left"/>
      <w:pPr>
        <w:ind w:left="720" w:hanging="360"/>
      </w:pPr>
      <w:rPr>
        <w:color w:val="000000"/>
      </w:rPr>
    </w:lvl>
    <w:lvl w:ilvl="1" w:tplc="918ACE66" w:tentative="1">
      <w:start w:val="1"/>
      <w:numFmt w:val="lowerLetter"/>
      <w:lvlText w:val="%2."/>
      <w:lvlJc w:val="left"/>
      <w:pPr>
        <w:ind w:left="1440" w:hanging="360"/>
      </w:pPr>
    </w:lvl>
    <w:lvl w:ilvl="2" w:tplc="AB7085B2" w:tentative="1">
      <w:start w:val="1"/>
      <w:numFmt w:val="lowerRoman"/>
      <w:lvlText w:val="%3."/>
      <w:lvlJc w:val="right"/>
      <w:pPr>
        <w:ind w:left="2160" w:hanging="180"/>
      </w:pPr>
    </w:lvl>
    <w:lvl w:ilvl="3" w:tplc="A774B80C" w:tentative="1">
      <w:start w:val="1"/>
      <w:numFmt w:val="decimal"/>
      <w:lvlText w:val="%4."/>
      <w:lvlJc w:val="left"/>
      <w:pPr>
        <w:ind w:left="2880" w:hanging="360"/>
      </w:pPr>
    </w:lvl>
    <w:lvl w:ilvl="4" w:tplc="3FD8C274" w:tentative="1">
      <w:start w:val="1"/>
      <w:numFmt w:val="lowerLetter"/>
      <w:lvlText w:val="%5."/>
      <w:lvlJc w:val="left"/>
      <w:pPr>
        <w:ind w:left="3600" w:hanging="360"/>
      </w:pPr>
    </w:lvl>
    <w:lvl w:ilvl="5" w:tplc="76E4ACE6" w:tentative="1">
      <w:start w:val="1"/>
      <w:numFmt w:val="lowerRoman"/>
      <w:lvlText w:val="%6."/>
      <w:lvlJc w:val="right"/>
      <w:pPr>
        <w:ind w:left="4320" w:hanging="180"/>
      </w:pPr>
    </w:lvl>
    <w:lvl w:ilvl="6" w:tplc="9DFA2040" w:tentative="1">
      <w:start w:val="1"/>
      <w:numFmt w:val="decimal"/>
      <w:lvlText w:val="%7."/>
      <w:lvlJc w:val="left"/>
      <w:pPr>
        <w:ind w:left="5040" w:hanging="360"/>
      </w:pPr>
    </w:lvl>
    <w:lvl w:ilvl="7" w:tplc="BA306030" w:tentative="1">
      <w:start w:val="1"/>
      <w:numFmt w:val="lowerLetter"/>
      <w:lvlText w:val="%8."/>
      <w:lvlJc w:val="left"/>
      <w:pPr>
        <w:ind w:left="5760" w:hanging="360"/>
      </w:pPr>
    </w:lvl>
    <w:lvl w:ilvl="8" w:tplc="95625420" w:tentative="1">
      <w:start w:val="1"/>
      <w:numFmt w:val="lowerRoman"/>
      <w:lvlText w:val="%9."/>
      <w:lvlJc w:val="right"/>
      <w:pPr>
        <w:ind w:left="6480" w:hanging="180"/>
      </w:pPr>
    </w:lvl>
  </w:abstractNum>
  <w:abstractNum w:abstractNumId="5" w15:restartNumberingAfterBreak="0">
    <w:nsid w:val="310416CA"/>
    <w:multiLevelType w:val="hybridMultilevel"/>
    <w:tmpl w:val="072EDEC8"/>
    <w:lvl w:ilvl="0" w:tplc="3DDC7688">
      <w:start w:val="1"/>
      <w:numFmt w:val="bullet"/>
      <w:pStyle w:val="subclause2Bullet2"/>
      <w:lvlText w:val=""/>
      <w:lvlJc w:val="left"/>
      <w:pPr>
        <w:ind w:left="2279" w:hanging="360"/>
      </w:pPr>
      <w:rPr>
        <w:rFonts w:ascii="Symbol" w:hAnsi="Symbol" w:hint="default"/>
        <w:color w:val="000000"/>
      </w:rPr>
    </w:lvl>
    <w:lvl w:ilvl="1" w:tplc="A8766226" w:tentative="1">
      <w:start w:val="1"/>
      <w:numFmt w:val="bullet"/>
      <w:lvlText w:val="o"/>
      <w:lvlJc w:val="left"/>
      <w:pPr>
        <w:ind w:left="2999" w:hanging="360"/>
      </w:pPr>
      <w:rPr>
        <w:rFonts w:ascii="Courier New" w:hAnsi="Courier New" w:cs="Courier New" w:hint="default"/>
      </w:rPr>
    </w:lvl>
    <w:lvl w:ilvl="2" w:tplc="B4907CA0" w:tentative="1">
      <w:start w:val="1"/>
      <w:numFmt w:val="bullet"/>
      <w:lvlText w:val=""/>
      <w:lvlJc w:val="left"/>
      <w:pPr>
        <w:ind w:left="3719" w:hanging="360"/>
      </w:pPr>
      <w:rPr>
        <w:rFonts w:ascii="Wingdings" w:hAnsi="Wingdings" w:hint="default"/>
      </w:rPr>
    </w:lvl>
    <w:lvl w:ilvl="3" w:tplc="7F566F48" w:tentative="1">
      <w:start w:val="1"/>
      <w:numFmt w:val="bullet"/>
      <w:lvlText w:val=""/>
      <w:lvlJc w:val="left"/>
      <w:pPr>
        <w:ind w:left="4439" w:hanging="360"/>
      </w:pPr>
      <w:rPr>
        <w:rFonts w:ascii="Symbol" w:hAnsi="Symbol" w:hint="default"/>
      </w:rPr>
    </w:lvl>
    <w:lvl w:ilvl="4" w:tplc="B6625B6C" w:tentative="1">
      <w:start w:val="1"/>
      <w:numFmt w:val="bullet"/>
      <w:lvlText w:val="o"/>
      <w:lvlJc w:val="left"/>
      <w:pPr>
        <w:ind w:left="5159" w:hanging="360"/>
      </w:pPr>
      <w:rPr>
        <w:rFonts w:ascii="Courier New" w:hAnsi="Courier New" w:cs="Courier New" w:hint="default"/>
      </w:rPr>
    </w:lvl>
    <w:lvl w:ilvl="5" w:tplc="C7A4759A" w:tentative="1">
      <w:start w:val="1"/>
      <w:numFmt w:val="bullet"/>
      <w:lvlText w:val=""/>
      <w:lvlJc w:val="left"/>
      <w:pPr>
        <w:ind w:left="5879" w:hanging="360"/>
      </w:pPr>
      <w:rPr>
        <w:rFonts w:ascii="Wingdings" w:hAnsi="Wingdings" w:hint="default"/>
      </w:rPr>
    </w:lvl>
    <w:lvl w:ilvl="6" w:tplc="06147D38" w:tentative="1">
      <w:start w:val="1"/>
      <w:numFmt w:val="bullet"/>
      <w:lvlText w:val=""/>
      <w:lvlJc w:val="left"/>
      <w:pPr>
        <w:ind w:left="6599" w:hanging="360"/>
      </w:pPr>
      <w:rPr>
        <w:rFonts w:ascii="Symbol" w:hAnsi="Symbol" w:hint="default"/>
      </w:rPr>
    </w:lvl>
    <w:lvl w:ilvl="7" w:tplc="3FB8CD94" w:tentative="1">
      <w:start w:val="1"/>
      <w:numFmt w:val="bullet"/>
      <w:lvlText w:val="o"/>
      <w:lvlJc w:val="left"/>
      <w:pPr>
        <w:ind w:left="7319" w:hanging="360"/>
      </w:pPr>
      <w:rPr>
        <w:rFonts w:ascii="Courier New" w:hAnsi="Courier New" w:cs="Courier New" w:hint="default"/>
      </w:rPr>
    </w:lvl>
    <w:lvl w:ilvl="8" w:tplc="2AE8551E" w:tentative="1">
      <w:start w:val="1"/>
      <w:numFmt w:val="bullet"/>
      <w:lvlText w:val=""/>
      <w:lvlJc w:val="left"/>
      <w:pPr>
        <w:ind w:left="8039" w:hanging="360"/>
      </w:pPr>
      <w:rPr>
        <w:rFonts w:ascii="Wingdings" w:hAnsi="Wingdings" w:hint="default"/>
      </w:rPr>
    </w:lvl>
  </w:abstractNum>
  <w:abstractNum w:abstractNumId="6" w15:restartNumberingAfterBreak="0">
    <w:nsid w:val="31E9741F"/>
    <w:multiLevelType w:val="hybridMultilevel"/>
    <w:tmpl w:val="0CAC7D4E"/>
    <w:lvl w:ilvl="0" w:tplc="CBB69D70">
      <w:start w:val="1"/>
      <w:numFmt w:val="bullet"/>
      <w:pStyle w:val="BulletList2"/>
      <w:lvlText w:val=""/>
      <w:lvlJc w:val="left"/>
      <w:pPr>
        <w:tabs>
          <w:tab w:val="num" w:pos="1077"/>
        </w:tabs>
        <w:ind w:left="1077" w:hanging="357"/>
      </w:pPr>
      <w:rPr>
        <w:rFonts w:ascii="Symbol" w:hAnsi="Symbol" w:hint="default"/>
        <w:color w:val="000000"/>
      </w:rPr>
    </w:lvl>
    <w:lvl w:ilvl="1" w:tplc="62B08E62" w:tentative="1">
      <w:start w:val="1"/>
      <w:numFmt w:val="bullet"/>
      <w:lvlText w:val="o"/>
      <w:lvlJc w:val="left"/>
      <w:pPr>
        <w:tabs>
          <w:tab w:val="num" w:pos="1440"/>
        </w:tabs>
        <w:ind w:left="1440" w:hanging="360"/>
      </w:pPr>
      <w:rPr>
        <w:rFonts w:ascii="Courier New" w:hAnsi="Courier New" w:cs="Courier New" w:hint="default"/>
      </w:rPr>
    </w:lvl>
    <w:lvl w:ilvl="2" w:tplc="F17495FA" w:tentative="1">
      <w:start w:val="1"/>
      <w:numFmt w:val="bullet"/>
      <w:lvlText w:val=""/>
      <w:lvlJc w:val="left"/>
      <w:pPr>
        <w:tabs>
          <w:tab w:val="num" w:pos="2160"/>
        </w:tabs>
        <w:ind w:left="2160" w:hanging="360"/>
      </w:pPr>
      <w:rPr>
        <w:rFonts w:ascii="Wingdings" w:hAnsi="Wingdings" w:hint="default"/>
      </w:rPr>
    </w:lvl>
    <w:lvl w:ilvl="3" w:tplc="FDE4D3BA" w:tentative="1">
      <w:start w:val="1"/>
      <w:numFmt w:val="bullet"/>
      <w:lvlText w:val=""/>
      <w:lvlJc w:val="left"/>
      <w:pPr>
        <w:tabs>
          <w:tab w:val="num" w:pos="2880"/>
        </w:tabs>
        <w:ind w:left="2880" w:hanging="360"/>
      </w:pPr>
      <w:rPr>
        <w:rFonts w:ascii="Symbol" w:hAnsi="Symbol" w:hint="default"/>
      </w:rPr>
    </w:lvl>
    <w:lvl w:ilvl="4" w:tplc="2836E620" w:tentative="1">
      <w:start w:val="1"/>
      <w:numFmt w:val="bullet"/>
      <w:lvlText w:val="o"/>
      <w:lvlJc w:val="left"/>
      <w:pPr>
        <w:tabs>
          <w:tab w:val="num" w:pos="3600"/>
        </w:tabs>
        <w:ind w:left="3600" w:hanging="360"/>
      </w:pPr>
      <w:rPr>
        <w:rFonts w:ascii="Courier New" w:hAnsi="Courier New" w:cs="Courier New" w:hint="default"/>
      </w:rPr>
    </w:lvl>
    <w:lvl w:ilvl="5" w:tplc="D62A90EA" w:tentative="1">
      <w:start w:val="1"/>
      <w:numFmt w:val="bullet"/>
      <w:lvlText w:val=""/>
      <w:lvlJc w:val="left"/>
      <w:pPr>
        <w:tabs>
          <w:tab w:val="num" w:pos="4320"/>
        </w:tabs>
        <w:ind w:left="4320" w:hanging="360"/>
      </w:pPr>
      <w:rPr>
        <w:rFonts w:ascii="Wingdings" w:hAnsi="Wingdings" w:hint="default"/>
      </w:rPr>
    </w:lvl>
    <w:lvl w:ilvl="6" w:tplc="E0583D04" w:tentative="1">
      <w:start w:val="1"/>
      <w:numFmt w:val="bullet"/>
      <w:lvlText w:val=""/>
      <w:lvlJc w:val="left"/>
      <w:pPr>
        <w:tabs>
          <w:tab w:val="num" w:pos="5040"/>
        </w:tabs>
        <w:ind w:left="5040" w:hanging="360"/>
      </w:pPr>
      <w:rPr>
        <w:rFonts w:ascii="Symbol" w:hAnsi="Symbol" w:hint="default"/>
      </w:rPr>
    </w:lvl>
    <w:lvl w:ilvl="7" w:tplc="5526F8F0" w:tentative="1">
      <w:start w:val="1"/>
      <w:numFmt w:val="bullet"/>
      <w:lvlText w:val="o"/>
      <w:lvlJc w:val="left"/>
      <w:pPr>
        <w:tabs>
          <w:tab w:val="num" w:pos="5760"/>
        </w:tabs>
        <w:ind w:left="5760" w:hanging="360"/>
      </w:pPr>
      <w:rPr>
        <w:rFonts w:ascii="Courier New" w:hAnsi="Courier New" w:cs="Courier New" w:hint="default"/>
      </w:rPr>
    </w:lvl>
    <w:lvl w:ilvl="8" w:tplc="BB1A8A8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CC668D"/>
    <w:multiLevelType w:val="hybridMultilevel"/>
    <w:tmpl w:val="594C4DAE"/>
    <w:lvl w:ilvl="0" w:tplc="C98C788E">
      <w:start w:val="1"/>
      <w:numFmt w:val="bullet"/>
      <w:pStyle w:val="Bullet4"/>
      <w:lvlText w:val=""/>
      <w:lvlJc w:val="left"/>
      <w:pPr>
        <w:tabs>
          <w:tab w:val="num" w:pos="2676"/>
        </w:tabs>
        <w:ind w:left="2676" w:hanging="357"/>
      </w:pPr>
      <w:rPr>
        <w:rFonts w:ascii="Symbol" w:hAnsi="Symbol" w:hint="default"/>
        <w:color w:val="000000"/>
      </w:rPr>
    </w:lvl>
    <w:lvl w:ilvl="1" w:tplc="46661DB6" w:tentative="1">
      <w:start w:val="1"/>
      <w:numFmt w:val="bullet"/>
      <w:lvlText w:val="o"/>
      <w:lvlJc w:val="left"/>
      <w:pPr>
        <w:tabs>
          <w:tab w:val="num" w:pos="1440"/>
        </w:tabs>
        <w:ind w:left="1440" w:hanging="360"/>
      </w:pPr>
      <w:rPr>
        <w:rFonts w:ascii="Courier New" w:hAnsi="Courier New" w:cs="Courier New" w:hint="default"/>
      </w:rPr>
    </w:lvl>
    <w:lvl w:ilvl="2" w:tplc="56E635A6" w:tentative="1">
      <w:start w:val="1"/>
      <w:numFmt w:val="bullet"/>
      <w:lvlText w:val=""/>
      <w:lvlJc w:val="left"/>
      <w:pPr>
        <w:tabs>
          <w:tab w:val="num" w:pos="2160"/>
        </w:tabs>
        <w:ind w:left="2160" w:hanging="360"/>
      </w:pPr>
      <w:rPr>
        <w:rFonts w:ascii="Wingdings" w:hAnsi="Wingdings" w:hint="default"/>
      </w:rPr>
    </w:lvl>
    <w:lvl w:ilvl="3" w:tplc="81029B4E" w:tentative="1">
      <w:start w:val="1"/>
      <w:numFmt w:val="bullet"/>
      <w:lvlText w:val=""/>
      <w:lvlJc w:val="left"/>
      <w:pPr>
        <w:tabs>
          <w:tab w:val="num" w:pos="2880"/>
        </w:tabs>
        <w:ind w:left="2880" w:hanging="360"/>
      </w:pPr>
      <w:rPr>
        <w:rFonts w:ascii="Symbol" w:hAnsi="Symbol" w:hint="default"/>
      </w:rPr>
    </w:lvl>
    <w:lvl w:ilvl="4" w:tplc="80384E7A" w:tentative="1">
      <w:start w:val="1"/>
      <w:numFmt w:val="bullet"/>
      <w:lvlText w:val="o"/>
      <w:lvlJc w:val="left"/>
      <w:pPr>
        <w:tabs>
          <w:tab w:val="num" w:pos="3600"/>
        </w:tabs>
        <w:ind w:left="3600" w:hanging="360"/>
      </w:pPr>
      <w:rPr>
        <w:rFonts w:ascii="Courier New" w:hAnsi="Courier New" w:cs="Courier New" w:hint="default"/>
      </w:rPr>
    </w:lvl>
    <w:lvl w:ilvl="5" w:tplc="01B289D6" w:tentative="1">
      <w:start w:val="1"/>
      <w:numFmt w:val="bullet"/>
      <w:lvlText w:val=""/>
      <w:lvlJc w:val="left"/>
      <w:pPr>
        <w:tabs>
          <w:tab w:val="num" w:pos="4320"/>
        </w:tabs>
        <w:ind w:left="4320" w:hanging="360"/>
      </w:pPr>
      <w:rPr>
        <w:rFonts w:ascii="Wingdings" w:hAnsi="Wingdings" w:hint="default"/>
      </w:rPr>
    </w:lvl>
    <w:lvl w:ilvl="6" w:tplc="54165A5E" w:tentative="1">
      <w:start w:val="1"/>
      <w:numFmt w:val="bullet"/>
      <w:lvlText w:val=""/>
      <w:lvlJc w:val="left"/>
      <w:pPr>
        <w:tabs>
          <w:tab w:val="num" w:pos="5040"/>
        </w:tabs>
        <w:ind w:left="5040" w:hanging="360"/>
      </w:pPr>
      <w:rPr>
        <w:rFonts w:ascii="Symbol" w:hAnsi="Symbol" w:hint="default"/>
      </w:rPr>
    </w:lvl>
    <w:lvl w:ilvl="7" w:tplc="60DEA43C" w:tentative="1">
      <w:start w:val="1"/>
      <w:numFmt w:val="bullet"/>
      <w:lvlText w:val="o"/>
      <w:lvlJc w:val="left"/>
      <w:pPr>
        <w:tabs>
          <w:tab w:val="num" w:pos="5760"/>
        </w:tabs>
        <w:ind w:left="5760" w:hanging="360"/>
      </w:pPr>
      <w:rPr>
        <w:rFonts w:ascii="Courier New" w:hAnsi="Courier New" w:cs="Courier New" w:hint="default"/>
      </w:rPr>
    </w:lvl>
    <w:lvl w:ilvl="8" w:tplc="FF32B99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9" w15:restartNumberingAfterBreak="0">
    <w:nsid w:val="38130038"/>
    <w:multiLevelType w:val="hybridMultilevel"/>
    <w:tmpl w:val="FF8A0FAE"/>
    <w:lvl w:ilvl="0" w:tplc="DF94BDA4">
      <w:start w:val="1"/>
      <w:numFmt w:val="bullet"/>
      <w:pStyle w:val="ClauseBullet2"/>
      <w:lvlText w:val=""/>
      <w:lvlJc w:val="left"/>
      <w:pPr>
        <w:ind w:left="1440" w:hanging="360"/>
      </w:pPr>
      <w:rPr>
        <w:rFonts w:ascii="Symbol" w:hAnsi="Symbol" w:hint="default"/>
        <w:color w:val="000000"/>
      </w:rPr>
    </w:lvl>
    <w:lvl w:ilvl="1" w:tplc="F7506132" w:tentative="1">
      <w:start w:val="1"/>
      <w:numFmt w:val="bullet"/>
      <w:lvlText w:val="o"/>
      <w:lvlJc w:val="left"/>
      <w:pPr>
        <w:ind w:left="2160" w:hanging="360"/>
      </w:pPr>
      <w:rPr>
        <w:rFonts w:ascii="Courier New" w:hAnsi="Courier New" w:cs="Courier New" w:hint="default"/>
      </w:rPr>
    </w:lvl>
    <w:lvl w:ilvl="2" w:tplc="2ED86170" w:tentative="1">
      <w:start w:val="1"/>
      <w:numFmt w:val="bullet"/>
      <w:lvlText w:val=""/>
      <w:lvlJc w:val="left"/>
      <w:pPr>
        <w:ind w:left="2880" w:hanging="360"/>
      </w:pPr>
      <w:rPr>
        <w:rFonts w:ascii="Wingdings" w:hAnsi="Wingdings" w:hint="default"/>
      </w:rPr>
    </w:lvl>
    <w:lvl w:ilvl="3" w:tplc="9FC4CB68" w:tentative="1">
      <w:start w:val="1"/>
      <w:numFmt w:val="bullet"/>
      <w:lvlText w:val=""/>
      <w:lvlJc w:val="left"/>
      <w:pPr>
        <w:ind w:left="3600" w:hanging="360"/>
      </w:pPr>
      <w:rPr>
        <w:rFonts w:ascii="Symbol" w:hAnsi="Symbol" w:hint="default"/>
      </w:rPr>
    </w:lvl>
    <w:lvl w:ilvl="4" w:tplc="0E2E52F8" w:tentative="1">
      <w:start w:val="1"/>
      <w:numFmt w:val="bullet"/>
      <w:lvlText w:val="o"/>
      <w:lvlJc w:val="left"/>
      <w:pPr>
        <w:ind w:left="4320" w:hanging="360"/>
      </w:pPr>
      <w:rPr>
        <w:rFonts w:ascii="Courier New" w:hAnsi="Courier New" w:cs="Courier New" w:hint="default"/>
      </w:rPr>
    </w:lvl>
    <w:lvl w:ilvl="5" w:tplc="650CF59C" w:tentative="1">
      <w:start w:val="1"/>
      <w:numFmt w:val="bullet"/>
      <w:lvlText w:val=""/>
      <w:lvlJc w:val="left"/>
      <w:pPr>
        <w:ind w:left="5040" w:hanging="360"/>
      </w:pPr>
      <w:rPr>
        <w:rFonts w:ascii="Wingdings" w:hAnsi="Wingdings" w:hint="default"/>
      </w:rPr>
    </w:lvl>
    <w:lvl w:ilvl="6" w:tplc="2D86D318" w:tentative="1">
      <w:start w:val="1"/>
      <w:numFmt w:val="bullet"/>
      <w:lvlText w:val=""/>
      <w:lvlJc w:val="left"/>
      <w:pPr>
        <w:ind w:left="5760" w:hanging="360"/>
      </w:pPr>
      <w:rPr>
        <w:rFonts w:ascii="Symbol" w:hAnsi="Symbol" w:hint="default"/>
      </w:rPr>
    </w:lvl>
    <w:lvl w:ilvl="7" w:tplc="CF9E608A" w:tentative="1">
      <w:start w:val="1"/>
      <w:numFmt w:val="bullet"/>
      <w:lvlText w:val="o"/>
      <w:lvlJc w:val="left"/>
      <w:pPr>
        <w:ind w:left="6480" w:hanging="360"/>
      </w:pPr>
      <w:rPr>
        <w:rFonts w:ascii="Courier New" w:hAnsi="Courier New" w:cs="Courier New" w:hint="default"/>
      </w:rPr>
    </w:lvl>
    <w:lvl w:ilvl="8" w:tplc="0F94F656" w:tentative="1">
      <w:start w:val="1"/>
      <w:numFmt w:val="bullet"/>
      <w:lvlText w:val=""/>
      <w:lvlJc w:val="left"/>
      <w:pPr>
        <w:ind w:left="7200" w:hanging="360"/>
      </w:pPr>
      <w:rPr>
        <w:rFonts w:ascii="Wingdings" w:hAnsi="Wingdings" w:hint="default"/>
      </w:rPr>
    </w:lvl>
  </w:abstractNum>
  <w:abstractNum w:abstractNumId="10" w15:restartNumberingAfterBreak="0">
    <w:nsid w:val="44D67987"/>
    <w:multiLevelType w:val="hybridMultilevel"/>
    <w:tmpl w:val="EBD6FB80"/>
    <w:lvl w:ilvl="0" w:tplc="C4C06E0A">
      <w:start w:val="1"/>
      <w:numFmt w:val="bullet"/>
      <w:pStyle w:val="subclause1Bullet2"/>
      <w:lvlText w:val=""/>
      <w:lvlJc w:val="left"/>
      <w:pPr>
        <w:ind w:left="1440" w:hanging="360"/>
      </w:pPr>
      <w:rPr>
        <w:rFonts w:ascii="Symbol" w:hAnsi="Symbol" w:hint="default"/>
        <w:color w:val="000000"/>
      </w:rPr>
    </w:lvl>
    <w:lvl w:ilvl="1" w:tplc="FCF867E8" w:tentative="1">
      <w:start w:val="1"/>
      <w:numFmt w:val="bullet"/>
      <w:lvlText w:val="o"/>
      <w:lvlJc w:val="left"/>
      <w:pPr>
        <w:ind w:left="2160" w:hanging="360"/>
      </w:pPr>
      <w:rPr>
        <w:rFonts w:ascii="Courier New" w:hAnsi="Courier New" w:cs="Courier New" w:hint="default"/>
      </w:rPr>
    </w:lvl>
    <w:lvl w:ilvl="2" w:tplc="C98820CA" w:tentative="1">
      <w:start w:val="1"/>
      <w:numFmt w:val="bullet"/>
      <w:lvlText w:val=""/>
      <w:lvlJc w:val="left"/>
      <w:pPr>
        <w:ind w:left="2880" w:hanging="360"/>
      </w:pPr>
      <w:rPr>
        <w:rFonts w:ascii="Wingdings" w:hAnsi="Wingdings" w:hint="default"/>
      </w:rPr>
    </w:lvl>
    <w:lvl w:ilvl="3" w:tplc="701C5438" w:tentative="1">
      <w:start w:val="1"/>
      <w:numFmt w:val="bullet"/>
      <w:lvlText w:val=""/>
      <w:lvlJc w:val="left"/>
      <w:pPr>
        <w:ind w:left="3600" w:hanging="360"/>
      </w:pPr>
      <w:rPr>
        <w:rFonts w:ascii="Symbol" w:hAnsi="Symbol" w:hint="default"/>
      </w:rPr>
    </w:lvl>
    <w:lvl w:ilvl="4" w:tplc="6DB2AD16" w:tentative="1">
      <w:start w:val="1"/>
      <w:numFmt w:val="bullet"/>
      <w:lvlText w:val="o"/>
      <w:lvlJc w:val="left"/>
      <w:pPr>
        <w:ind w:left="4320" w:hanging="360"/>
      </w:pPr>
      <w:rPr>
        <w:rFonts w:ascii="Courier New" w:hAnsi="Courier New" w:cs="Courier New" w:hint="default"/>
      </w:rPr>
    </w:lvl>
    <w:lvl w:ilvl="5" w:tplc="CEB0B34E" w:tentative="1">
      <w:start w:val="1"/>
      <w:numFmt w:val="bullet"/>
      <w:lvlText w:val=""/>
      <w:lvlJc w:val="left"/>
      <w:pPr>
        <w:ind w:left="5040" w:hanging="360"/>
      </w:pPr>
      <w:rPr>
        <w:rFonts w:ascii="Wingdings" w:hAnsi="Wingdings" w:hint="default"/>
      </w:rPr>
    </w:lvl>
    <w:lvl w:ilvl="6" w:tplc="5B5E8080" w:tentative="1">
      <w:start w:val="1"/>
      <w:numFmt w:val="bullet"/>
      <w:lvlText w:val=""/>
      <w:lvlJc w:val="left"/>
      <w:pPr>
        <w:ind w:left="5760" w:hanging="360"/>
      </w:pPr>
      <w:rPr>
        <w:rFonts w:ascii="Symbol" w:hAnsi="Symbol" w:hint="default"/>
      </w:rPr>
    </w:lvl>
    <w:lvl w:ilvl="7" w:tplc="47EECEAC" w:tentative="1">
      <w:start w:val="1"/>
      <w:numFmt w:val="bullet"/>
      <w:lvlText w:val="o"/>
      <w:lvlJc w:val="left"/>
      <w:pPr>
        <w:ind w:left="6480" w:hanging="360"/>
      </w:pPr>
      <w:rPr>
        <w:rFonts w:ascii="Courier New" w:hAnsi="Courier New" w:cs="Courier New" w:hint="default"/>
      </w:rPr>
    </w:lvl>
    <w:lvl w:ilvl="8" w:tplc="33E68EDA" w:tentative="1">
      <w:start w:val="1"/>
      <w:numFmt w:val="bullet"/>
      <w:lvlText w:val=""/>
      <w:lvlJc w:val="left"/>
      <w:pPr>
        <w:ind w:left="7200" w:hanging="360"/>
      </w:pPr>
      <w:rPr>
        <w:rFonts w:ascii="Wingdings" w:hAnsi="Wingdings" w:hint="default"/>
      </w:rPr>
    </w:lvl>
  </w:abstractNum>
  <w:abstractNum w:abstractNumId="11" w15:restartNumberingAfterBreak="0">
    <w:nsid w:val="44E96665"/>
    <w:multiLevelType w:val="hybridMultilevel"/>
    <w:tmpl w:val="EF1E142A"/>
    <w:lvl w:ilvl="0" w:tplc="AEDA8B2E">
      <w:start w:val="1"/>
      <w:numFmt w:val="bullet"/>
      <w:pStyle w:val="subclause3Bullet1"/>
      <w:lvlText w:val=""/>
      <w:lvlJc w:val="left"/>
      <w:pPr>
        <w:ind w:left="2988" w:hanging="360"/>
      </w:pPr>
      <w:rPr>
        <w:rFonts w:ascii="Symbol" w:hAnsi="Symbol" w:hint="default"/>
        <w:color w:val="000000"/>
      </w:rPr>
    </w:lvl>
    <w:lvl w:ilvl="1" w:tplc="CB00509A" w:tentative="1">
      <w:start w:val="1"/>
      <w:numFmt w:val="bullet"/>
      <w:lvlText w:val="o"/>
      <w:lvlJc w:val="left"/>
      <w:pPr>
        <w:ind w:left="3708" w:hanging="360"/>
      </w:pPr>
      <w:rPr>
        <w:rFonts w:ascii="Courier New" w:hAnsi="Courier New" w:cs="Courier New" w:hint="default"/>
      </w:rPr>
    </w:lvl>
    <w:lvl w:ilvl="2" w:tplc="B52E1B88" w:tentative="1">
      <w:start w:val="1"/>
      <w:numFmt w:val="bullet"/>
      <w:lvlText w:val=""/>
      <w:lvlJc w:val="left"/>
      <w:pPr>
        <w:ind w:left="4428" w:hanging="360"/>
      </w:pPr>
      <w:rPr>
        <w:rFonts w:ascii="Wingdings" w:hAnsi="Wingdings" w:hint="default"/>
      </w:rPr>
    </w:lvl>
    <w:lvl w:ilvl="3" w:tplc="9BC09D1C" w:tentative="1">
      <w:start w:val="1"/>
      <w:numFmt w:val="bullet"/>
      <w:lvlText w:val=""/>
      <w:lvlJc w:val="left"/>
      <w:pPr>
        <w:ind w:left="5148" w:hanging="360"/>
      </w:pPr>
      <w:rPr>
        <w:rFonts w:ascii="Symbol" w:hAnsi="Symbol" w:hint="default"/>
      </w:rPr>
    </w:lvl>
    <w:lvl w:ilvl="4" w:tplc="C5FCF07C" w:tentative="1">
      <w:start w:val="1"/>
      <w:numFmt w:val="bullet"/>
      <w:lvlText w:val="o"/>
      <w:lvlJc w:val="left"/>
      <w:pPr>
        <w:ind w:left="5868" w:hanging="360"/>
      </w:pPr>
      <w:rPr>
        <w:rFonts w:ascii="Courier New" w:hAnsi="Courier New" w:cs="Courier New" w:hint="default"/>
      </w:rPr>
    </w:lvl>
    <w:lvl w:ilvl="5" w:tplc="4FE698D6" w:tentative="1">
      <w:start w:val="1"/>
      <w:numFmt w:val="bullet"/>
      <w:lvlText w:val=""/>
      <w:lvlJc w:val="left"/>
      <w:pPr>
        <w:ind w:left="6588" w:hanging="360"/>
      </w:pPr>
      <w:rPr>
        <w:rFonts w:ascii="Wingdings" w:hAnsi="Wingdings" w:hint="default"/>
      </w:rPr>
    </w:lvl>
    <w:lvl w:ilvl="6" w:tplc="DFE4EF88" w:tentative="1">
      <w:start w:val="1"/>
      <w:numFmt w:val="bullet"/>
      <w:lvlText w:val=""/>
      <w:lvlJc w:val="left"/>
      <w:pPr>
        <w:ind w:left="7308" w:hanging="360"/>
      </w:pPr>
      <w:rPr>
        <w:rFonts w:ascii="Symbol" w:hAnsi="Symbol" w:hint="default"/>
      </w:rPr>
    </w:lvl>
    <w:lvl w:ilvl="7" w:tplc="EDC2DC56" w:tentative="1">
      <w:start w:val="1"/>
      <w:numFmt w:val="bullet"/>
      <w:lvlText w:val="o"/>
      <w:lvlJc w:val="left"/>
      <w:pPr>
        <w:ind w:left="8028" w:hanging="360"/>
      </w:pPr>
      <w:rPr>
        <w:rFonts w:ascii="Courier New" w:hAnsi="Courier New" w:cs="Courier New" w:hint="default"/>
      </w:rPr>
    </w:lvl>
    <w:lvl w:ilvl="8" w:tplc="6F3AA6DC" w:tentative="1">
      <w:start w:val="1"/>
      <w:numFmt w:val="bullet"/>
      <w:lvlText w:val=""/>
      <w:lvlJc w:val="left"/>
      <w:pPr>
        <w:ind w:left="8748" w:hanging="360"/>
      </w:pPr>
      <w:rPr>
        <w:rFonts w:ascii="Wingdings" w:hAnsi="Wingdings" w:hint="default"/>
      </w:rPr>
    </w:lvl>
  </w:abstractNum>
  <w:abstractNum w:abstractNumId="12" w15:restartNumberingAfterBreak="0">
    <w:nsid w:val="46AC04C6"/>
    <w:multiLevelType w:val="hybridMultilevel"/>
    <w:tmpl w:val="E6C47700"/>
    <w:lvl w:ilvl="0" w:tplc="FB685480">
      <w:start w:val="1"/>
      <w:numFmt w:val="bullet"/>
      <w:pStyle w:val="subclause2Bullet1"/>
      <w:lvlText w:val=""/>
      <w:lvlJc w:val="left"/>
      <w:pPr>
        <w:ind w:left="2279" w:hanging="360"/>
      </w:pPr>
      <w:rPr>
        <w:rFonts w:ascii="Symbol" w:hAnsi="Symbol" w:hint="default"/>
        <w:color w:val="000000"/>
      </w:rPr>
    </w:lvl>
    <w:lvl w:ilvl="1" w:tplc="29D65D06" w:tentative="1">
      <w:start w:val="1"/>
      <w:numFmt w:val="bullet"/>
      <w:lvlText w:val="o"/>
      <w:lvlJc w:val="left"/>
      <w:pPr>
        <w:ind w:left="2999" w:hanging="360"/>
      </w:pPr>
      <w:rPr>
        <w:rFonts w:ascii="Courier New" w:hAnsi="Courier New" w:cs="Courier New" w:hint="default"/>
      </w:rPr>
    </w:lvl>
    <w:lvl w:ilvl="2" w:tplc="2F8C857A" w:tentative="1">
      <w:start w:val="1"/>
      <w:numFmt w:val="bullet"/>
      <w:lvlText w:val=""/>
      <w:lvlJc w:val="left"/>
      <w:pPr>
        <w:ind w:left="3719" w:hanging="360"/>
      </w:pPr>
      <w:rPr>
        <w:rFonts w:ascii="Wingdings" w:hAnsi="Wingdings" w:hint="default"/>
      </w:rPr>
    </w:lvl>
    <w:lvl w:ilvl="3" w:tplc="2216FD32" w:tentative="1">
      <w:start w:val="1"/>
      <w:numFmt w:val="bullet"/>
      <w:lvlText w:val=""/>
      <w:lvlJc w:val="left"/>
      <w:pPr>
        <w:ind w:left="4439" w:hanging="360"/>
      </w:pPr>
      <w:rPr>
        <w:rFonts w:ascii="Symbol" w:hAnsi="Symbol" w:hint="default"/>
      </w:rPr>
    </w:lvl>
    <w:lvl w:ilvl="4" w:tplc="F28C7CF0" w:tentative="1">
      <w:start w:val="1"/>
      <w:numFmt w:val="bullet"/>
      <w:lvlText w:val="o"/>
      <w:lvlJc w:val="left"/>
      <w:pPr>
        <w:ind w:left="5159" w:hanging="360"/>
      </w:pPr>
      <w:rPr>
        <w:rFonts w:ascii="Courier New" w:hAnsi="Courier New" w:cs="Courier New" w:hint="default"/>
      </w:rPr>
    </w:lvl>
    <w:lvl w:ilvl="5" w:tplc="94E6C5A8" w:tentative="1">
      <w:start w:val="1"/>
      <w:numFmt w:val="bullet"/>
      <w:lvlText w:val=""/>
      <w:lvlJc w:val="left"/>
      <w:pPr>
        <w:ind w:left="5879" w:hanging="360"/>
      </w:pPr>
      <w:rPr>
        <w:rFonts w:ascii="Wingdings" w:hAnsi="Wingdings" w:hint="default"/>
      </w:rPr>
    </w:lvl>
    <w:lvl w:ilvl="6" w:tplc="6388BB04" w:tentative="1">
      <w:start w:val="1"/>
      <w:numFmt w:val="bullet"/>
      <w:lvlText w:val=""/>
      <w:lvlJc w:val="left"/>
      <w:pPr>
        <w:ind w:left="6599" w:hanging="360"/>
      </w:pPr>
      <w:rPr>
        <w:rFonts w:ascii="Symbol" w:hAnsi="Symbol" w:hint="default"/>
      </w:rPr>
    </w:lvl>
    <w:lvl w:ilvl="7" w:tplc="16589EF4" w:tentative="1">
      <w:start w:val="1"/>
      <w:numFmt w:val="bullet"/>
      <w:lvlText w:val="o"/>
      <w:lvlJc w:val="left"/>
      <w:pPr>
        <w:ind w:left="7319" w:hanging="360"/>
      </w:pPr>
      <w:rPr>
        <w:rFonts w:ascii="Courier New" w:hAnsi="Courier New" w:cs="Courier New" w:hint="default"/>
      </w:rPr>
    </w:lvl>
    <w:lvl w:ilvl="8" w:tplc="A20644BE" w:tentative="1">
      <w:start w:val="1"/>
      <w:numFmt w:val="bullet"/>
      <w:lvlText w:val=""/>
      <w:lvlJc w:val="left"/>
      <w:pPr>
        <w:ind w:left="8039" w:hanging="360"/>
      </w:pPr>
      <w:rPr>
        <w:rFonts w:ascii="Wingdings" w:hAnsi="Wingdings" w:hint="default"/>
      </w:rPr>
    </w:lvl>
  </w:abstractNum>
  <w:abstractNum w:abstractNumId="13" w15:restartNumberingAfterBreak="0">
    <w:nsid w:val="47F42723"/>
    <w:multiLevelType w:val="hybridMultilevel"/>
    <w:tmpl w:val="C5A02EE6"/>
    <w:lvl w:ilvl="0" w:tplc="02EC57E4">
      <w:start w:val="1"/>
      <w:numFmt w:val="bullet"/>
      <w:pStyle w:val="subclause1Bullet1"/>
      <w:lvlText w:val=""/>
      <w:lvlJc w:val="left"/>
      <w:pPr>
        <w:ind w:left="1440" w:hanging="360"/>
      </w:pPr>
      <w:rPr>
        <w:rFonts w:ascii="Symbol" w:hAnsi="Symbol" w:hint="default"/>
        <w:color w:val="000000"/>
      </w:rPr>
    </w:lvl>
    <w:lvl w:ilvl="1" w:tplc="2F1A7D3A" w:tentative="1">
      <w:start w:val="1"/>
      <w:numFmt w:val="bullet"/>
      <w:lvlText w:val="o"/>
      <w:lvlJc w:val="left"/>
      <w:pPr>
        <w:ind w:left="2160" w:hanging="360"/>
      </w:pPr>
      <w:rPr>
        <w:rFonts w:ascii="Courier New" w:hAnsi="Courier New" w:cs="Courier New" w:hint="default"/>
      </w:rPr>
    </w:lvl>
    <w:lvl w:ilvl="2" w:tplc="8D4043EA" w:tentative="1">
      <w:start w:val="1"/>
      <w:numFmt w:val="bullet"/>
      <w:lvlText w:val=""/>
      <w:lvlJc w:val="left"/>
      <w:pPr>
        <w:ind w:left="2880" w:hanging="360"/>
      </w:pPr>
      <w:rPr>
        <w:rFonts w:ascii="Wingdings" w:hAnsi="Wingdings" w:hint="default"/>
      </w:rPr>
    </w:lvl>
    <w:lvl w:ilvl="3" w:tplc="DE1437DC" w:tentative="1">
      <w:start w:val="1"/>
      <w:numFmt w:val="bullet"/>
      <w:lvlText w:val=""/>
      <w:lvlJc w:val="left"/>
      <w:pPr>
        <w:ind w:left="3600" w:hanging="360"/>
      </w:pPr>
      <w:rPr>
        <w:rFonts w:ascii="Symbol" w:hAnsi="Symbol" w:hint="default"/>
      </w:rPr>
    </w:lvl>
    <w:lvl w:ilvl="4" w:tplc="7C100C8E" w:tentative="1">
      <w:start w:val="1"/>
      <w:numFmt w:val="bullet"/>
      <w:lvlText w:val="o"/>
      <w:lvlJc w:val="left"/>
      <w:pPr>
        <w:ind w:left="4320" w:hanging="360"/>
      </w:pPr>
      <w:rPr>
        <w:rFonts w:ascii="Courier New" w:hAnsi="Courier New" w:cs="Courier New" w:hint="default"/>
      </w:rPr>
    </w:lvl>
    <w:lvl w:ilvl="5" w:tplc="EC74A454" w:tentative="1">
      <w:start w:val="1"/>
      <w:numFmt w:val="bullet"/>
      <w:lvlText w:val=""/>
      <w:lvlJc w:val="left"/>
      <w:pPr>
        <w:ind w:left="5040" w:hanging="360"/>
      </w:pPr>
      <w:rPr>
        <w:rFonts w:ascii="Wingdings" w:hAnsi="Wingdings" w:hint="default"/>
      </w:rPr>
    </w:lvl>
    <w:lvl w:ilvl="6" w:tplc="BE3EE2F6" w:tentative="1">
      <w:start w:val="1"/>
      <w:numFmt w:val="bullet"/>
      <w:lvlText w:val=""/>
      <w:lvlJc w:val="left"/>
      <w:pPr>
        <w:ind w:left="5760" w:hanging="360"/>
      </w:pPr>
      <w:rPr>
        <w:rFonts w:ascii="Symbol" w:hAnsi="Symbol" w:hint="default"/>
      </w:rPr>
    </w:lvl>
    <w:lvl w:ilvl="7" w:tplc="8A2052E4" w:tentative="1">
      <w:start w:val="1"/>
      <w:numFmt w:val="bullet"/>
      <w:lvlText w:val="o"/>
      <w:lvlJc w:val="left"/>
      <w:pPr>
        <w:ind w:left="6480" w:hanging="360"/>
      </w:pPr>
      <w:rPr>
        <w:rFonts w:ascii="Courier New" w:hAnsi="Courier New" w:cs="Courier New" w:hint="default"/>
      </w:rPr>
    </w:lvl>
    <w:lvl w:ilvl="8" w:tplc="77768444" w:tentative="1">
      <w:start w:val="1"/>
      <w:numFmt w:val="bullet"/>
      <w:lvlText w:val=""/>
      <w:lvlJc w:val="left"/>
      <w:pPr>
        <w:ind w:left="7200" w:hanging="360"/>
      </w:pPr>
      <w:rPr>
        <w:rFonts w:ascii="Wingdings" w:hAnsi="Wingdings" w:hint="default"/>
      </w:rPr>
    </w:lvl>
  </w:abstractNum>
  <w:abstractNum w:abstractNumId="14" w15:restartNumberingAfterBreak="0">
    <w:nsid w:val="55CB0AF0"/>
    <w:multiLevelType w:val="hybridMultilevel"/>
    <w:tmpl w:val="EB98B43A"/>
    <w:lvl w:ilvl="0" w:tplc="801C4524">
      <w:start w:val="1"/>
      <w:numFmt w:val="decimal"/>
      <w:pStyle w:val="LongQuestionPara"/>
      <w:lvlText w:val="%1."/>
      <w:lvlJc w:val="left"/>
      <w:pPr>
        <w:ind w:left="360" w:hanging="360"/>
      </w:pPr>
      <w:rPr>
        <w:rFonts w:hint="default"/>
        <w:b/>
        <w:i w:val="0"/>
        <w:color w:val="000000"/>
        <w:sz w:val="24"/>
      </w:rPr>
    </w:lvl>
    <w:lvl w:ilvl="1" w:tplc="CA0CB3D4" w:tentative="1">
      <w:start w:val="1"/>
      <w:numFmt w:val="lowerLetter"/>
      <w:lvlText w:val="%2."/>
      <w:lvlJc w:val="left"/>
      <w:pPr>
        <w:ind w:left="1440" w:hanging="360"/>
      </w:pPr>
    </w:lvl>
    <w:lvl w:ilvl="2" w:tplc="4CB42F1C" w:tentative="1">
      <w:start w:val="1"/>
      <w:numFmt w:val="lowerRoman"/>
      <w:lvlText w:val="%3."/>
      <w:lvlJc w:val="right"/>
      <w:pPr>
        <w:ind w:left="2160" w:hanging="180"/>
      </w:pPr>
    </w:lvl>
    <w:lvl w:ilvl="3" w:tplc="AEA43C5C" w:tentative="1">
      <w:start w:val="1"/>
      <w:numFmt w:val="decimal"/>
      <w:lvlText w:val="%4."/>
      <w:lvlJc w:val="left"/>
      <w:pPr>
        <w:ind w:left="2880" w:hanging="360"/>
      </w:pPr>
    </w:lvl>
    <w:lvl w:ilvl="4" w:tplc="14AEACE0" w:tentative="1">
      <w:start w:val="1"/>
      <w:numFmt w:val="lowerLetter"/>
      <w:lvlText w:val="%5."/>
      <w:lvlJc w:val="left"/>
      <w:pPr>
        <w:ind w:left="3600" w:hanging="360"/>
      </w:pPr>
    </w:lvl>
    <w:lvl w:ilvl="5" w:tplc="BAF83786" w:tentative="1">
      <w:start w:val="1"/>
      <w:numFmt w:val="lowerRoman"/>
      <w:lvlText w:val="%6."/>
      <w:lvlJc w:val="right"/>
      <w:pPr>
        <w:ind w:left="4320" w:hanging="180"/>
      </w:pPr>
    </w:lvl>
    <w:lvl w:ilvl="6" w:tplc="7244144A" w:tentative="1">
      <w:start w:val="1"/>
      <w:numFmt w:val="decimal"/>
      <w:lvlText w:val="%7."/>
      <w:lvlJc w:val="left"/>
      <w:pPr>
        <w:ind w:left="5040" w:hanging="360"/>
      </w:pPr>
    </w:lvl>
    <w:lvl w:ilvl="7" w:tplc="C3088068" w:tentative="1">
      <w:start w:val="1"/>
      <w:numFmt w:val="lowerLetter"/>
      <w:lvlText w:val="%8."/>
      <w:lvlJc w:val="left"/>
      <w:pPr>
        <w:ind w:left="5760" w:hanging="360"/>
      </w:pPr>
    </w:lvl>
    <w:lvl w:ilvl="8" w:tplc="7716E454" w:tentative="1">
      <w:start w:val="1"/>
      <w:numFmt w:val="lowerRoman"/>
      <w:lvlText w:val="%9."/>
      <w:lvlJc w:val="right"/>
      <w:pPr>
        <w:ind w:left="6480" w:hanging="180"/>
      </w:pPr>
    </w:lvl>
  </w:abstractNum>
  <w:abstractNum w:abstractNumId="15"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61071422"/>
    <w:multiLevelType w:val="hybridMultilevel"/>
    <w:tmpl w:val="59B858D8"/>
    <w:lvl w:ilvl="0" w:tplc="3168C5AE">
      <w:start w:val="1"/>
      <w:numFmt w:val="bullet"/>
      <w:pStyle w:val="ClauseBullet1"/>
      <w:lvlText w:val=""/>
      <w:lvlJc w:val="left"/>
      <w:pPr>
        <w:ind w:left="1080" w:hanging="360"/>
      </w:pPr>
      <w:rPr>
        <w:rFonts w:ascii="Symbol" w:hAnsi="Symbol" w:hint="default"/>
        <w:color w:val="000000"/>
      </w:rPr>
    </w:lvl>
    <w:lvl w:ilvl="1" w:tplc="2AFA371E" w:tentative="1">
      <w:start w:val="1"/>
      <w:numFmt w:val="bullet"/>
      <w:lvlText w:val="o"/>
      <w:lvlJc w:val="left"/>
      <w:pPr>
        <w:ind w:left="1800" w:hanging="360"/>
      </w:pPr>
      <w:rPr>
        <w:rFonts w:ascii="Courier New" w:hAnsi="Courier New" w:cs="Courier New" w:hint="default"/>
      </w:rPr>
    </w:lvl>
    <w:lvl w:ilvl="2" w:tplc="E6A01B26" w:tentative="1">
      <w:start w:val="1"/>
      <w:numFmt w:val="bullet"/>
      <w:lvlText w:val=""/>
      <w:lvlJc w:val="left"/>
      <w:pPr>
        <w:ind w:left="2520" w:hanging="360"/>
      </w:pPr>
      <w:rPr>
        <w:rFonts w:ascii="Wingdings" w:hAnsi="Wingdings" w:hint="default"/>
      </w:rPr>
    </w:lvl>
    <w:lvl w:ilvl="3" w:tplc="EF88F880" w:tentative="1">
      <w:start w:val="1"/>
      <w:numFmt w:val="bullet"/>
      <w:lvlText w:val=""/>
      <w:lvlJc w:val="left"/>
      <w:pPr>
        <w:ind w:left="3240" w:hanging="360"/>
      </w:pPr>
      <w:rPr>
        <w:rFonts w:ascii="Symbol" w:hAnsi="Symbol" w:hint="default"/>
      </w:rPr>
    </w:lvl>
    <w:lvl w:ilvl="4" w:tplc="E8583BFA" w:tentative="1">
      <w:start w:val="1"/>
      <w:numFmt w:val="bullet"/>
      <w:lvlText w:val="o"/>
      <w:lvlJc w:val="left"/>
      <w:pPr>
        <w:ind w:left="3960" w:hanging="360"/>
      </w:pPr>
      <w:rPr>
        <w:rFonts w:ascii="Courier New" w:hAnsi="Courier New" w:cs="Courier New" w:hint="default"/>
      </w:rPr>
    </w:lvl>
    <w:lvl w:ilvl="5" w:tplc="531EFA1C" w:tentative="1">
      <w:start w:val="1"/>
      <w:numFmt w:val="bullet"/>
      <w:lvlText w:val=""/>
      <w:lvlJc w:val="left"/>
      <w:pPr>
        <w:ind w:left="4680" w:hanging="360"/>
      </w:pPr>
      <w:rPr>
        <w:rFonts w:ascii="Wingdings" w:hAnsi="Wingdings" w:hint="default"/>
      </w:rPr>
    </w:lvl>
    <w:lvl w:ilvl="6" w:tplc="9C5AD55C" w:tentative="1">
      <w:start w:val="1"/>
      <w:numFmt w:val="bullet"/>
      <w:lvlText w:val=""/>
      <w:lvlJc w:val="left"/>
      <w:pPr>
        <w:ind w:left="5400" w:hanging="360"/>
      </w:pPr>
      <w:rPr>
        <w:rFonts w:ascii="Symbol" w:hAnsi="Symbol" w:hint="default"/>
      </w:rPr>
    </w:lvl>
    <w:lvl w:ilvl="7" w:tplc="B122DC3C" w:tentative="1">
      <w:start w:val="1"/>
      <w:numFmt w:val="bullet"/>
      <w:lvlText w:val="o"/>
      <w:lvlJc w:val="left"/>
      <w:pPr>
        <w:ind w:left="6120" w:hanging="360"/>
      </w:pPr>
      <w:rPr>
        <w:rFonts w:ascii="Courier New" w:hAnsi="Courier New" w:cs="Courier New" w:hint="default"/>
      </w:rPr>
    </w:lvl>
    <w:lvl w:ilvl="8" w:tplc="A3242ECC" w:tentative="1">
      <w:start w:val="1"/>
      <w:numFmt w:val="bullet"/>
      <w:lvlText w:val=""/>
      <w:lvlJc w:val="left"/>
      <w:pPr>
        <w:ind w:left="6840" w:hanging="360"/>
      </w:pPr>
      <w:rPr>
        <w:rFonts w:ascii="Wingdings" w:hAnsi="Wingdings" w:hint="default"/>
      </w:rPr>
    </w:lvl>
  </w:abstractNum>
  <w:abstractNum w:abstractNumId="17" w15:restartNumberingAfterBreak="0">
    <w:nsid w:val="642371CD"/>
    <w:multiLevelType w:val="hybridMultilevel"/>
    <w:tmpl w:val="3B76A654"/>
    <w:lvl w:ilvl="0" w:tplc="C9729D92">
      <w:start w:val="1"/>
      <w:numFmt w:val="bullet"/>
      <w:pStyle w:val="subclause3Bullet2"/>
      <w:lvlText w:val=""/>
      <w:lvlJc w:val="left"/>
      <w:pPr>
        <w:ind w:left="3748" w:hanging="360"/>
      </w:pPr>
      <w:rPr>
        <w:rFonts w:ascii="Symbol" w:hAnsi="Symbol" w:hint="default"/>
        <w:color w:val="000000"/>
      </w:rPr>
    </w:lvl>
    <w:lvl w:ilvl="1" w:tplc="8D1AB7E0" w:tentative="1">
      <w:start w:val="1"/>
      <w:numFmt w:val="bullet"/>
      <w:lvlText w:val="o"/>
      <w:lvlJc w:val="left"/>
      <w:pPr>
        <w:ind w:left="4468" w:hanging="360"/>
      </w:pPr>
      <w:rPr>
        <w:rFonts w:ascii="Courier New" w:hAnsi="Courier New" w:cs="Courier New" w:hint="default"/>
      </w:rPr>
    </w:lvl>
    <w:lvl w:ilvl="2" w:tplc="C2B88034" w:tentative="1">
      <w:start w:val="1"/>
      <w:numFmt w:val="bullet"/>
      <w:lvlText w:val=""/>
      <w:lvlJc w:val="left"/>
      <w:pPr>
        <w:ind w:left="5188" w:hanging="360"/>
      </w:pPr>
      <w:rPr>
        <w:rFonts w:ascii="Wingdings" w:hAnsi="Wingdings" w:hint="default"/>
      </w:rPr>
    </w:lvl>
    <w:lvl w:ilvl="3" w:tplc="A9024C32" w:tentative="1">
      <w:start w:val="1"/>
      <w:numFmt w:val="bullet"/>
      <w:lvlText w:val=""/>
      <w:lvlJc w:val="left"/>
      <w:pPr>
        <w:ind w:left="5908" w:hanging="360"/>
      </w:pPr>
      <w:rPr>
        <w:rFonts w:ascii="Symbol" w:hAnsi="Symbol" w:hint="default"/>
      </w:rPr>
    </w:lvl>
    <w:lvl w:ilvl="4" w:tplc="A15A6D50" w:tentative="1">
      <w:start w:val="1"/>
      <w:numFmt w:val="bullet"/>
      <w:lvlText w:val="o"/>
      <w:lvlJc w:val="left"/>
      <w:pPr>
        <w:ind w:left="6628" w:hanging="360"/>
      </w:pPr>
      <w:rPr>
        <w:rFonts w:ascii="Courier New" w:hAnsi="Courier New" w:cs="Courier New" w:hint="default"/>
      </w:rPr>
    </w:lvl>
    <w:lvl w:ilvl="5" w:tplc="225C97CA" w:tentative="1">
      <w:start w:val="1"/>
      <w:numFmt w:val="bullet"/>
      <w:lvlText w:val=""/>
      <w:lvlJc w:val="left"/>
      <w:pPr>
        <w:ind w:left="7348" w:hanging="360"/>
      </w:pPr>
      <w:rPr>
        <w:rFonts w:ascii="Wingdings" w:hAnsi="Wingdings" w:hint="default"/>
      </w:rPr>
    </w:lvl>
    <w:lvl w:ilvl="6" w:tplc="A77A74D8" w:tentative="1">
      <w:start w:val="1"/>
      <w:numFmt w:val="bullet"/>
      <w:lvlText w:val=""/>
      <w:lvlJc w:val="left"/>
      <w:pPr>
        <w:ind w:left="8068" w:hanging="360"/>
      </w:pPr>
      <w:rPr>
        <w:rFonts w:ascii="Symbol" w:hAnsi="Symbol" w:hint="default"/>
      </w:rPr>
    </w:lvl>
    <w:lvl w:ilvl="7" w:tplc="0708046E" w:tentative="1">
      <w:start w:val="1"/>
      <w:numFmt w:val="bullet"/>
      <w:lvlText w:val="o"/>
      <w:lvlJc w:val="left"/>
      <w:pPr>
        <w:ind w:left="8788" w:hanging="360"/>
      </w:pPr>
      <w:rPr>
        <w:rFonts w:ascii="Courier New" w:hAnsi="Courier New" w:cs="Courier New" w:hint="default"/>
      </w:rPr>
    </w:lvl>
    <w:lvl w:ilvl="8" w:tplc="3ECC926E" w:tentative="1">
      <w:start w:val="1"/>
      <w:numFmt w:val="bullet"/>
      <w:lvlText w:val=""/>
      <w:lvlJc w:val="left"/>
      <w:pPr>
        <w:ind w:left="9508" w:hanging="360"/>
      </w:pPr>
      <w:rPr>
        <w:rFonts w:ascii="Wingdings" w:hAnsi="Wingdings" w:hint="default"/>
      </w:rPr>
    </w:lvl>
  </w:abstractNum>
  <w:abstractNum w:abstractNumId="18"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9" w15:restartNumberingAfterBreak="0">
    <w:nsid w:val="6A14466B"/>
    <w:multiLevelType w:val="hybridMultilevel"/>
    <w:tmpl w:val="2402A666"/>
    <w:lvl w:ilvl="0" w:tplc="D152DF12">
      <w:start w:val="1"/>
      <w:numFmt w:val="bullet"/>
      <w:pStyle w:val="BulletList1"/>
      <w:lvlText w:val="·"/>
      <w:lvlJc w:val="left"/>
      <w:pPr>
        <w:tabs>
          <w:tab w:val="num" w:pos="360"/>
        </w:tabs>
        <w:ind w:left="360" w:hanging="360"/>
      </w:pPr>
      <w:rPr>
        <w:rFonts w:ascii="Symbol" w:hAnsi="Symbol" w:hint="default"/>
        <w:color w:val="000000"/>
      </w:rPr>
    </w:lvl>
    <w:lvl w:ilvl="1" w:tplc="36DCE8BA">
      <w:start w:val="1"/>
      <w:numFmt w:val="bullet"/>
      <w:lvlText w:val="·"/>
      <w:lvlJc w:val="left"/>
      <w:pPr>
        <w:tabs>
          <w:tab w:val="num" w:pos="1440"/>
        </w:tabs>
        <w:ind w:left="1440" w:hanging="360"/>
      </w:pPr>
      <w:rPr>
        <w:rFonts w:ascii="Symbol" w:hAnsi="Symbol" w:hint="default"/>
      </w:rPr>
    </w:lvl>
    <w:lvl w:ilvl="2" w:tplc="B0DEB270" w:tentative="1">
      <w:start w:val="1"/>
      <w:numFmt w:val="bullet"/>
      <w:lvlText w:val="·"/>
      <w:lvlJc w:val="left"/>
      <w:pPr>
        <w:tabs>
          <w:tab w:val="num" w:pos="2160"/>
        </w:tabs>
        <w:ind w:left="2160" w:hanging="360"/>
      </w:pPr>
      <w:rPr>
        <w:rFonts w:ascii="Symbol" w:hAnsi="Symbol" w:hint="default"/>
      </w:rPr>
    </w:lvl>
    <w:lvl w:ilvl="3" w:tplc="F5A0898C" w:tentative="1">
      <w:start w:val="1"/>
      <w:numFmt w:val="bullet"/>
      <w:lvlText w:val="·"/>
      <w:lvlJc w:val="left"/>
      <w:pPr>
        <w:tabs>
          <w:tab w:val="num" w:pos="2880"/>
        </w:tabs>
        <w:ind w:left="2880" w:hanging="360"/>
      </w:pPr>
      <w:rPr>
        <w:rFonts w:ascii="Symbol" w:hAnsi="Symbol" w:hint="default"/>
      </w:rPr>
    </w:lvl>
    <w:lvl w:ilvl="4" w:tplc="495A8CF6" w:tentative="1">
      <w:start w:val="1"/>
      <w:numFmt w:val="bullet"/>
      <w:lvlText w:val="o"/>
      <w:lvlJc w:val="left"/>
      <w:pPr>
        <w:tabs>
          <w:tab w:val="num" w:pos="3600"/>
        </w:tabs>
        <w:ind w:left="3600" w:hanging="360"/>
      </w:pPr>
      <w:rPr>
        <w:rFonts w:ascii="Courier New" w:hAnsi="Courier New" w:hint="default"/>
      </w:rPr>
    </w:lvl>
    <w:lvl w:ilvl="5" w:tplc="231AE5D4" w:tentative="1">
      <w:start w:val="1"/>
      <w:numFmt w:val="bullet"/>
      <w:lvlText w:val="§"/>
      <w:lvlJc w:val="left"/>
      <w:pPr>
        <w:tabs>
          <w:tab w:val="num" w:pos="4320"/>
        </w:tabs>
        <w:ind w:left="4320" w:hanging="360"/>
      </w:pPr>
      <w:rPr>
        <w:rFonts w:ascii="Wingdings" w:hAnsi="Wingdings" w:hint="default"/>
      </w:rPr>
    </w:lvl>
    <w:lvl w:ilvl="6" w:tplc="7EAAA5C2" w:tentative="1">
      <w:start w:val="1"/>
      <w:numFmt w:val="bullet"/>
      <w:lvlText w:val="·"/>
      <w:lvlJc w:val="left"/>
      <w:pPr>
        <w:tabs>
          <w:tab w:val="num" w:pos="5040"/>
        </w:tabs>
        <w:ind w:left="5040" w:hanging="360"/>
      </w:pPr>
      <w:rPr>
        <w:rFonts w:ascii="Symbol" w:hAnsi="Symbol" w:hint="default"/>
      </w:rPr>
    </w:lvl>
    <w:lvl w:ilvl="7" w:tplc="A670B354" w:tentative="1">
      <w:start w:val="1"/>
      <w:numFmt w:val="bullet"/>
      <w:lvlText w:val="o"/>
      <w:lvlJc w:val="left"/>
      <w:pPr>
        <w:tabs>
          <w:tab w:val="num" w:pos="5760"/>
        </w:tabs>
        <w:ind w:left="5760" w:hanging="360"/>
      </w:pPr>
      <w:rPr>
        <w:rFonts w:ascii="Courier New" w:hAnsi="Courier New" w:hint="default"/>
      </w:rPr>
    </w:lvl>
    <w:lvl w:ilvl="8" w:tplc="2CCABDE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6F2F24"/>
    <w:multiLevelType w:val="hybridMultilevel"/>
    <w:tmpl w:val="450EBD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B5644F"/>
    <w:multiLevelType w:val="hybridMultilevel"/>
    <w:tmpl w:val="8BCC9C08"/>
    <w:lvl w:ilvl="0" w:tplc="35B82B0A">
      <w:start w:val="1"/>
      <w:numFmt w:val="bullet"/>
      <w:pStyle w:val="BulletList3"/>
      <w:lvlText w:val=""/>
      <w:lvlJc w:val="left"/>
      <w:pPr>
        <w:tabs>
          <w:tab w:val="num" w:pos="1945"/>
        </w:tabs>
        <w:ind w:left="1945" w:hanging="357"/>
      </w:pPr>
      <w:rPr>
        <w:rFonts w:ascii="Symbol" w:hAnsi="Symbol" w:hint="default"/>
        <w:color w:val="000000"/>
      </w:rPr>
    </w:lvl>
    <w:lvl w:ilvl="1" w:tplc="7160D804" w:tentative="1">
      <w:start w:val="1"/>
      <w:numFmt w:val="bullet"/>
      <w:lvlText w:val="o"/>
      <w:lvlJc w:val="left"/>
      <w:pPr>
        <w:tabs>
          <w:tab w:val="num" w:pos="1440"/>
        </w:tabs>
        <w:ind w:left="1440" w:hanging="360"/>
      </w:pPr>
      <w:rPr>
        <w:rFonts w:ascii="Courier New" w:hAnsi="Courier New" w:cs="Courier New" w:hint="default"/>
      </w:rPr>
    </w:lvl>
    <w:lvl w:ilvl="2" w:tplc="C3508348" w:tentative="1">
      <w:start w:val="1"/>
      <w:numFmt w:val="bullet"/>
      <w:lvlText w:val=""/>
      <w:lvlJc w:val="left"/>
      <w:pPr>
        <w:tabs>
          <w:tab w:val="num" w:pos="2160"/>
        </w:tabs>
        <w:ind w:left="2160" w:hanging="360"/>
      </w:pPr>
      <w:rPr>
        <w:rFonts w:ascii="Wingdings" w:hAnsi="Wingdings" w:hint="default"/>
      </w:rPr>
    </w:lvl>
    <w:lvl w:ilvl="3" w:tplc="D26E7CA8" w:tentative="1">
      <w:start w:val="1"/>
      <w:numFmt w:val="bullet"/>
      <w:lvlText w:val=""/>
      <w:lvlJc w:val="left"/>
      <w:pPr>
        <w:tabs>
          <w:tab w:val="num" w:pos="2880"/>
        </w:tabs>
        <w:ind w:left="2880" w:hanging="360"/>
      </w:pPr>
      <w:rPr>
        <w:rFonts w:ascii="Symbol" w:hAnsi="Symbol" w:hint="default"/>
      </w:rPr>
    </w:lvl>
    <w:lvl w:ilvl="4" w:tplc="C7DA77CA" w:tentative="1">
      <w:start w:val="1"/>
      <w:numFmt w:val="bullet"/>
      <w:lvlText w:val="o"/>
      <w:lvlJc w:val="left"/>
      <w:pPr>
        <w:tabs>
          <w:tab w:val="num" w:pos="3600"/>
        </w:tabs>
        <w:ind w:left="3600" w:hanging="360"/>
      </w:pPr>
      <w:rPr>
        <w:rFonts w:ascii="Courier New" w:hAnsi="Courier New" w:cs="Courier New" w:hint="default"/>
      </w:rPr>
    </w:lvl>
    <w:lvl w:ilvl="5" w:tplc="20DE61DC" w:tentative="1">
      <w:start w:val="1"/>
      <w:numFmt w:val="bullet"/>
      <w:lvlText w:val=""/>
      <w:lvlJc w:val="left"/>
      <w:pPr>
        <w:tabs>
          <w:tab w:val="num" w:pos="4320"/>
        </w:tabs>
        <w:ind w:left="4320" w:hanging="360"/>
      </w:pPr>
      <w:rPr>
        <w:rFonts w:ascii="Wingdings" w:hAnsi="Wingdings" w:hint="default"/>
      </w:rPr>
    </w:lvl>
    <w:lvl w:ilvl="6" w:tplc="A552C0D4" w:tentative="1">
      <w:start w:val="1"/>
      <w:numFmt w:val="bullet"/>
      <w:lvlText w:val=""/>
      <w:lvlJc w:val="left"/>
      <w:pPr>
        <w:tabs>
          <w:tab w:val="num" w:pos="5040"/>
        </w:tabs>
        <w:ind w:left="5040" w:hanging="360"/>
      </w:pPr>
      <w:rPr>
        <w:rFonts w:ascii="Symbol" w:hAnsi="Symbol" w:hint="default"/>
      </w:rPr>
    </w:lvl>
    <w:lvl w:ilvl="7" w:tplc="F972264A" w:tentative="1">
      <w:start w:val="1"/>
      <w:numFmt w:val="bullet"/>
      <w:lvlText w:val="o"/>
      <w:lvlJc w:val="left"/>
      <w:pPr>
        <w:tabs>
          <w:tab w:val="num" w:pos="5760"/>
        </w:tabs>
        <w:ind w:left="5760" w:hanging="360"/>
      </w:pPr>
      <w:rPr>
        <w:rFonts w:ascii="Courier New" w:hAnsi="Courier New" w:cs="Courier New" w:hint="default"/>
      </w:rPr>
    </w:lvl>
    <w:lvl w:ilvl="8" w:tplc="3E1ACA5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25" w15:restartNumberingAfterBreak="0">
    <w:nsid w:val="7DB56452"/>
    <w:multiLevelType w:val="multilevel"/>
    <w:tmpl w:val="7DB56451"/>
    <w:numStyleLink w:val="ScheduleListStyle"/>
  </w:abstractNum>
  <w:abstractNum w:abstractNumId="26" w15:restartNumberingAfterBreak="0">
    <w:nsid w:val="7DB56455"/>
    <w:multiLevelType w:val="multilevel"/>
    <w:tmpl w:val="7DB56455"/>
    <w:styleLink w:val="PartListStyle"/>
    <w:lvl w:ilvl="0">
      <w:start w:val="1"/>
      <w:numFmt w:val="decimal"/>
      <w:lvlText w:val="Part %1"/>
      <w:lvlJc w:val="left"/>
      <w:pPr>
        <w:tabs>
          <w:tab w:val="num" w:pos="0"/>
        </w:tabs>
        <w:ind w:left="357" w:hanging="357"/>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27" w15:restartNumberingAfterBreak="0">
    <w:nsid w:val="7DB56456"/>
    <w:multiLevelType w:val="multilevel"/>
    <w:tmpl w:val="7DB56455"/>
    <w:numStyleLink w:val="PartListStyle"/>
  </w:abstractNum>
  <w:abstractNum w:abstractNumId="28" w15:restartNumberingAfterBreak="0">
    <w:nsid w:val="7DB5645B"/>
    <w:multiLevelType w:val="multilevel"/>
    <w:tmpl w:val="7DB5645B"/>
    <w:styleLink w:val="ClauseListStyle"/>
    <w:lvl w:ilvl="0">
      <w:start w:val="1"/>
      <w:numFmt w:val="decimal"/>
      <w:pStyle w:val="ScheduleTitleClause"/>
      <w:lvlText w:val="%1."/>
      <w:lvlJc w:val="left"/>
      <w:pPr>
        <w:tabs>
          <w:tab w:val="num" w:pos="720"/>
        </w:tabs>
        <w:ind w:left="720" w:hanging="720"/>
      </w:pPr>
      <w:rPr>
        <w:rFonts w:hint="default"/>
        <w:color w:val="00000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rPr>
    </w:lvl>
    <w:lvl w:ilvl="4">
      <w:start w:val="1"/>
      <w:numFmt w:val="decimal"/>
      <w:lvlText w:val="%5."/>
      <w:lvlJc w:val="left"/>
      <w:pPr>
        <w:tabs>
          <w:tab w:val="num" w:pos="0"/>
        </w:tabs>
        <w:ind w:left="2520" w:hanging="360"/>
      </w:pPr>
      <w:rPr>
        <w:rFonts w:hint="default"/>
      </w:rPr>
    </w:lvl>
    <w:lvl w:ilvl="5">
      <w:start w:val="1"/>
      <w:numFmt w:val="lowerLetter"/>
      <w:lvlText w:val="%6."/>
      <w:lvlJc w:val="left"/>
      <w:pPr>
        <w:tabs>
          <w:tab w:val="num" w:pos="0"/>
        </w:tabs>
        <w:ind w:left="2880" w:hanging="360"/>
      </w:pPr>
      <w:rPr>
        <w:rFonts w:hint="default"/>
      </w:rPr>
    </w:lvl>
    <w:lvl w:ilvl="6">
      <w:start w:val="1"/>
      <w:numFmt w:val="lowerRoman"/>
      <w:lvlText w:val="%7."/>
      <w:lvlJc w:val="left"/>
      <w:pPr>
        <w:tabs>
          <w:tab w:val="num" w:pos="0"/>
        </w:tabs>
        <w:ind w:left="3240" w:hanging="360"/>
      </w:pPr>
      <w:rPr>
        <w:rFonts w:hint="default"/>
      </w:r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29" w15:restartNumberingAfterBreak="0">
    <w:nsid w:val="7DB5645C"/>
    <w:multiLevelType w:val="multilevel"/>
    <w:tmpl w:val="7DB5645B"/>
    <w:numStyleLink w:val="ClauseListStyle"/>
  </w:abstractNum>
  <w:abstractNum w:abstractNumId="30" w15:restartNumberingAfterBreak="0">
    <w:nsid w:val="7DB5645D"/>
    <w:multiLevelType w:val="multilevel"/>
    <w:tmpl w:val="7DB5645B"/>
    <w:numStyleLink w:val="ClauseListStyle"/>
  </w:abstractNum>
  <w:num w:numId="1" w16cid:durableId="326177117">
    <w:abstractNumId w:val="18"/>
  </w:num>
  <w:num w:numId="2" w16cid:durableId="2111316455">
    <w:abstractNumId w:val="19"/>
  </w:num>
  <w:num w:numId="3" w16cid:durableId="54663590">
    <w:abstractNumId w:val="6"/>
  </w:num>
  <w:num w:numId="4" w16cid:durableId="1763523147">
    <w:abstractNumId w:val="23"/>
  </w:num>
  <w:num w:numId="5" w16cid:durableId="694692671">
    <w:abstractNumId w:val="21"/>
  </w:num>
  <w:num w:numId="6" w16cid:durableId="1489780683">
    <w:abstractNumId w:val="2"/>
  </w:num>
  <w:num w:numId="7" w16cid:durableId="1904487224">
    <w:abstractNumId w:val="8"/>
  </w:num>
  <w:num w:numId="8" w16cid:durableId="920988152">
    <w:abstractNumId w:val="7"/>
  </w:num>
  <w:num w:numId="9" w16cid:durableId="287590680">
    <w:abstractNumId w:val="4"/>
  </w:num>
  <w:num w:numId="10" w16cid:durableId="676813425">
    <w:abstractNumId w:val="15"/>
  </w:num>
  <w:num w:numId="11" w16cid:durableId="1391153239">
    <w:abstractNumId w:val="3"/>
  </w:num>
  <w:num w:numId="12" w16cid:durableId="776801253">
    <w:abstractNumId w:val="14"/>
  </w:num>
  <w:num w:numId="13" w16cid:durableId="657851688">
    <w:abstractNumId w:val="16"/>
  </w:num>
  <w:num w:numId="14" w16cid:durableId="801968763">
    <w:abstractNumId w:val="9"/>
  </w:num>
  <w:num w:numId="15" w16cid:durableId="1858543454">
    <w:abstractNumId w:val="13"/>
  </w:num>
  <w:num w:numId="16" w16cid:durableId="1180124446">
    <w:abstractNumId w:val="11"/>
  </w:num>
  <w:num w:numId="17" w16cid:durableId="1594775807">
    <w:abstractNumId w:val="12"/>
  </w:num>
  <w:num w:numId="18" w16cid:durableId="979765854">
    <w:abstractNumId w:val="10"/>
  </w:num>
  <w:num w:numId="19" w16cid:durableId="1260411561">
    <w:abstractNumId w:val="5"/>
  </w:num>
  <w:num w:numId="20" w16cid:durableId="303707672">
    <w:abstractNumId w:val="17"/>
  </w:num>
  <w:num w:numId="21" w16cid:durableId="1478689993">
    <w:abstractNumId w:val="1"/>
  </w:num>
  <w:num w:numId="22" w16cid:durableId="1485003020">
    <w:abstractNumId w:val="20"/>
  </w:num>
  <w:num w:numId="23" w16cid:durableId="7895180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6894313">
    <w:abstractNumId w:val="24"/>
  </w:num>
  <w:num w:numId="25" w16cid:durableId="2059091449">
    <w:abstractNumId w:val="25"/>
  </w:num>
  <w:num w:numId="26" w16cid:durableId="601956365">
    <w:abstractNumId w:val="26"/>
  </w:num>
  <w:num w:numId="27" w16cid:durableId="660038980">
    <w:abstractNumId w:val="27"/>
  </w:num>
  <w:num w:numId="28" w16cid:durableId="75635565">
    <w:abstractNumId w:val="28"/>
  </w:num>
  <w:num w:numId="29" w16cid:durableId="214121524">
    <w:abstractNumId w:val="29"/>
  </w:num>
  <w:num w:numId="30" w16cid:durableId="1373573312">
    <w:abstractNumId w:val="30"/>
  </w:num>
  <w:num w:numId="31" w16cid:durableId="721562551">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424E29B9-CA9F-4DEB-B1A6-2FE9C258D5D6}"/>
  </w:docVars>
  <w:rsids>
    <w:rsidRoot w:val="00EA4BA7"/>
    <w:rsid w:val="00006D49"/>
    <w:rsid w:val="00013B5B"/>
    <w:rsid w:val="0002188A"/>
    <w:rsid w:val="000517F3"/>
    <w:rsid w:val="00074C14"/>
    <w:rsid w:val="0009501B"/>
    <w:rsid w:val="000C78E6"/>
    <w:rsid w:val="000D5E21"/>
    <w:rsid w:val="000E4A55"/>
    <w:rsid w:val="000F49F1"/>
    <w:rsid w:val="00133560"/>
    <w:rsid w:val="00144CDB"/>
    <w:rsid w:val="00151090"/>
    <w:rsid w:val="001562EC"/>
    <w:rsid w:val="00162978"/>
    <w:rsid w:val="00183F26"/>
    <w:rsid w:val="001C6DC8"/>
    <w:rsid w:val="001E19C9"/>
    <w:rsid w:val="001E4387"/>
    <w:rsid w:val="002321C2"/>
    <w:rsid w:val="00276F32"/>
    <w:rsid w:val="002B6DF7"/>
    <w:rsid w:val="002D0466"/>
    <w:rsid w:val="00307292"/>
    <w:rsid w:val="00315CAF"/>
    <w:rsid w:val="00316A18"/>
    <w:rsid w:val="00327137"/>
    <w:rsid w:val="00335B4D"/>
    <w:rsid w:val="0037385E"/>
    <w:rsid w:val="003A538D"/>
    <w:rsid w:val="003B2FFA"/>
    <w:rsid w:val="003B543B"/>
    <w:rsid w:val="003C3565"/>
    <w:rsid w:val="003C3978"/>
    <w:rsid w:val="003E2063"/>
    <w:rsid w:val="003E5BC0"/>
    <w:rsid w:val="004238CB"/>
    <w:rsid w:val="00424A71"/>
    <w:rsid w:val="0043073B"/>
    <w:rsid w:val="00440A81"/>
    <w:rsid w:val="00457DE8"/>
    <w:rsid w:val="00460DE8"/>
    <w:rsid w:val="00462343"/>
    <w:rsid w:val="004A19F0"/>
    <w:rsid w:val="004A1D16"/>
    <w:rsid w:val="004E7E0C"/>
    <w:rsid w:val="0050261F"/>
    <w:rsid w:val="005716E7"/>
    <w:rsid w:val="005A1855"/>
    <w:rsid w:val="005A4CC7"/>
    <w:rsid w:val="005A7359"/>
    <w:rsid w:val="005B32BD"/>
    <w:rsid w:val="005E0AEE"/>
    <w:rsid w:val="00692219"/>
    <w:rsid w:val="006A636A"/>
    <w:rsid w:val="006B79AA"/>
    <w:rsid w:val="006E0EA6"/>
    <w:rsid w:val="006E5760"/>
    <w:rsid w:val="006E7130"/>
    <w:rsid w:val="0071318D"/>
    <w:rsid w:val="007A6FB4"/>
    <w:rsid w:val="00817656"/>
    <w:rsid w:val="008C1967"/>
    <w:rsid w:val="00923535"/>
    <w:rsid w:val="009369CE"/>
    <w:rsid w:val="00944703"/>
    <w:rsid w:val="0094658D"/>
    <w:rsid w:val="00980A19"/>
    <w:rsid w:val="00997DFD"/>
    <w:rsid w:val="009A7132"/>
    <w:rsid w:val="009B7146"/>
    <w:rsid w:val="009C66C5"/>
    <w:rsid w:val="009E3D11"/>
    <w:rsid w:val="009F555F"/>
    <w:rsid w:val="00A11AF4"/>
    <w:rsid w:val="00A21808"/>
    <w:rsid w:val="00A326F1"/>
    <w:rsid w:val="00A74A4C"/>
    <w:rsid w:val="00AD7770"/>
    <w:rsid w:val="00AD7BF9"/>
    <w:rsid w:val="00AE4596"/>
    <w:rsid w:val="00B072FE"/>
    <w:rsid w:val="00B13C27"/>
    <w:rsid w:val="00B2131B"/>
    <w:rsid w:val="00B220FC"/>
    <w:rsid w:val="00B273E4"/>
    <w:rsid w:val="00B27B1A"/>
    <w:rsid w:val="00B86682"/>
    <w:rsid w:val="00BB065D"/>
    <w:rsid w:val="00BD6760"/>
    <w:rsid w:val="00BF1226"/>
    <w:rsid w:val="00BF758F"/>
    <w:rsid w:val="00BF7701"/>
    <w:rsid w:val="00C04341"/>
    <w:rsid w:val="00C673FC"/>
    <w:rsid w:val="00CF4D48"/>
    <w:rsid w:val="00D01E66"/>
    <w:rsid w:val="00D05150"/>
    <w:rsid w:val="00D36FF6"/>
    <w:rsid w:val="00D506DE"/>
    <w:rsid w:val="00D66CA1"/>
    <w:rsid w:val="00DF2183"/>
    <w:rsid w:val="00E01625"/>
    <w:rsid w:val="00E01C36"/>
    <w:rsid w:val="00E16B0B"/>
    <w:rsid w:val="00E2229D"/>
    <w:rsid w:val="00E6321F"/>
    <w:rsid w:val="00E66EE5"/>
    <w:rsid w:val="00E71924"/>
    <w:rsid w:val="00E95622"/>
    <w:rsid w:val="00EA333F"/>
    <w:rsid w:val="00EA4BA7"/>
    <w:rsid w:val="00EB433A"/>
    <w:rsid w:val="00F038A0"/>
    <w:rsid w:val="00F256BF"/>
    <w:rsid w:val="00F362C7"/>
    <w:rsid w:val="00FB5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0D15A"/>
  <w15:docId w15:val="{B2352DEC-F9B8-4F9A-AC58-00F62364C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A4C"/>
    <w:pPr>
      <w:spacing w:after="160" w:line="278" w:lineRule="auto"/>
    </w:pPr>
    <w:rPr>
      <w:rFonts w:eastAsiaTheme="minorHAnsi"/>
      <w:kern w:val="2"/>
      <w:sz w:val="24"/>
      <w:szCs w:val="24"/>
      <w:lang w:val="en-IE" w:eastAsia="en-US"/>
      <w14:ligatures w14:val="standardContextual"/>
    </w:rPr>
  </w:style>
  <w:style w:type="paragraph" w:styleId="Heading1">
    <w:name w:val="heading 1"/>
    <w:basedOn w:val="Normal"/>
    <w:next w:val="Normal"/>
    <w:link w:val="Heading1Char"/>
    <w:uiPriority w:val="9"/>
    <w:qFormat/>
    <w:rsid w:val="00487D75"/>
    <w:pPr>
      <w:keepNext/>
      <w:keepLines/>
      <w:numPr>
        <w:numId w:val="10"/>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487D75"/>
    <w:pPr>
      <w:keepNext/>
      <w:keepLines/>
      <w:numPr>
        <w:ilvl w:val="1"/>
        <w:numId w:val="10"/>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487D75"/>
    <w:pPr>
      <w:keepNext/>
      <w:keepLines/>
      <w:numPr>
        <w:ilvl w:val="2"/>
        <w:numId w:val="10"/>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487D75"/>
    <w:pPr>
      <w:keepNext/>
      <w:keepLines/>
      <w:numPr>
        <w:ilvl w:val="3"/>
        <w:numId w:val="10"/>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487D75"/>
    <w:pPr>
      <w:keepNext/>
      <w:keepLines/>
      <w:numPr>
        <w:ilvl w:val="4"/>
        <w:numId w:val="10"/>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487D75"/>
    <w:pPr>
      <w:keepNext/>
      <w:keepLines/>
      <w:numPr>
        <w:ilvl w:val="5"/>
        <w:numId w:val="10"/>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487D75"/>
    <w:pPr>
      <w:keepNext/>
      <w:keepLines/>
      <w:numPr>
        <w:ilvl w:val="6"/>
        <w:numId w:val="10"/>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487D75"/>
    <w:pPr>
      <w:keepNext/>
      <w:keepLines/>
      <w:numPr>
        <w:ilvl w:val="7"/>
        <w:numId w:val="10"/>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487D75"/>
    <w:pPr>
      <w:keepNext/>
      <w:keepLines/>
      <w:numPr>
        <w:ilvl w:val="8"/>
        <w:numId w:val="10"/>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A74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A4C"/>
  </w:style>
  <w:style w:type="paragraph" w:customStyle="1" w:styleId="Abstract">
    <w:name w:val="Abstract"/>
    <w:link w:val="AbstractChar"/>
    <w:rsid w:val="00487D75"/>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487D75"/>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487D75"/>
    <w:pPr>
      <w:numPr>
        <w:numId w:val="11"/>
      </w:numPr>
      <w:spacing w:before="240" w:after="240"/>
      <w:ind w:left="0" w:firstLine="0"/>
    </w:pPr>
    <w:rPr>
      <w:b/>
    </w:rPr>
  </w:style>
  <w:style w:type="paragraph" w:customStyle="1" w:styleId="AuthoringGroup">
    <w:name w:val="Authoring Group"/>
    <w:link w:val="AuthoringGroupChar"/>
    <w:rsid w:val="00487D75"/>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487D75"/>
    <w:rPr>
      <w:rFonts w:ascii="Arial" w:eastAsia="Arial Unicode MS" w:hAnsi="Arial" w:cs="Arial"/>
      <w:color w:val="000000"/>
      <w:sz w:val="24"/>
      <w:lang w:val="en-US" w:eastAsia="en-US"/>
    </w:rPr>
  </w:style>
  <w:style w:type="paragraph" w:customStyle="1" w:styleId="Background">
    <w:name w:val="Background"/>
    <w:aliases w:val="(A) Background"/>
    <w:basedOn w:val="Normal"/>
    <w:rsid w:val="00487D75"/>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487D75"/>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487D75"/>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487D75"/>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487D75"/>
    <w:pPr>
      <w:keepNext/>
      <w:numPr>
        <w:numId w:val="23"/>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487D75"/>
    <w:rPr>
      <w:b w:val="0"/>
      <w:smallCaps/>
    </w:rPr>
  </w:style>
  <w:style w:type="paragraph" w:customStyle="1" w:styleId="ClosingPara">
    <w:name w:val="Closing Para"/>
    <w:basedOn w:val="Normal"/>
    <w:rsid w:val="00487D75"/>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487D75"/>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487D75"/>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487D75"/>
  </w:style>
  <w:style w:type="paragraph" w:customStyle="1" w:styleId="CoverSheetSubjectText">
    <w:name w:val="Cover Sheet Subject Text"/>
    <w:basedOn w:val="Normal"/>
    <w:rsid w:val="00487D75"/>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487D75"/>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487D75"/>
    <w:pPr>
      <w:numPr>
        <w:numId w:val="22"/>
      </w:numPr>
    </w:pPr>
  </w:style>
  <w:style w:type="paragraph" w:customStyle="1" w:styleId="DescriptiveHeading">
    <w:name w:val="DescriptiveHeading"/>
    <w:next w:val="Paragraph"/>
    <w:link w:val="DescriptiveHeadingChar"/>
    <w:rsid w:val="00487D75"/>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487D75"/>
    <w:rPr>
      <w:rFonts w:ascii="Arial" w:eastAsia="Arial Unicode MS" w:hAnsi="Arial" w:cs="Arial"/>
      <w:b/>
      <w:color w:val="000000"/>
      <w:lang w:val="en-US" w:eastAsia="en-US"/>
    </w:rPr>
  </w:style>
  <w:style w:type="paragraph" w:customStyle="1" w:styleId="DraftingnoteSection1Para">
    <w:name w:val="Draftingnote Section1 Para"/>
    <w:basedOn w:val="Normal"/>
    <w:rsid w:val="00487D75"/>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487D75"/>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487D75"/>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487D75"/>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487D75"/>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487D75"/>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487D75"/>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487D75"/>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487D75"/>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487D75"/>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487D75"/>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487D75"/>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487D75"/>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487D75"/>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487D75"/>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487D75"/>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487D75"/>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487D75"/>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487D75"/>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487D75"/>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487D75"/>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487D75"/>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487D75"/>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487D75"/>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487D75"/>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487D75"/>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487D75"/>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487D75"/>
    <w:rPr>
      <w:rFonts w:ascii="Arial" w:eastAsia="Arial Unicode MS" w:hAnsi="Arial" w:cs="Arial"/>
      <w:color w:val="000000"/>
      <w:sz w:val="24"/>
      <w:lang w:val="en-US" w:eastAsia="en-US"/>
    </w:rPr>
  </w:style>
  <w:style w:type="paragraph" w:customStyle="1" w:styleId="MaintenanceEditor">
    <w:name w:val="Maintenance Editor"/>
    <w:link w:val="MaintenanceEditorChar"/>
    <w:rsid w:val="00487D75"/>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487D75"/>
    <w:rPr>
      <w:rFonts w:ascii="Arial" w:eastAsia="Arial Unicode MS" w:hAnsi="Arial" w:cs="Arial"/>
      <w:color w:val="000000"/>
      <w:sz w:val="24"/>
      <w:lang w:val="en-US" w:eastAsia="en-US"/>
    </w:rPr>
  </w:style>
  <w:style w:type="paragraph" w:customStyle="1" w:styleId="ParaClause">
    <w:name w:val="Para Clause"/>
    <w:basedOn w:val="Normal"/>
    <w:rsid w:val="00487D75"/>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487D75"/>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487D75"/>
    <w:pPr>
      <w:numPr>
        <w:ilvl w:val="1"/>
        <w:numId w:val="23"/>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487D75"/>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487D75"/>
    <w:pPr>
      <w:numPr>
        <w:ilvl w:val="2"/>
        <w:numId w:val="23"/>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487D75"/>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487D75"/>
    <w:pPr>
      <w:numPr>
        <w:ilvl w:val="3"/>
        <w:numId w:val="23"/>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487D75"/>
    <w:pPr>
      <w:spacing w:after="240"/>
      <w:ind w:left="3028"/>
    </w:pPr>
  </w:style>
  <w:style w:type="paragraph" w:customStyle="1" w:styleId="Untitledsubclause4">
    <w:name w:val="Untitled subclause 4"/>
    <w:basedOn w:val="Normal"/>
    <w:rsid w:val="00487D75"/>
    <w:pPr>
      <w:numPr>
        <w:ilvl w:val="4"/>
        <w:numId w:val="23"/>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487D75"/>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487D75"/>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487D75"/>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487D75"/>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487D75"/>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487D75"/>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487D75"/>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487D75"/>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487D75"/>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487D75"/>
    <w:rPr>
      <w:rFonts w:ascii="Arial" w:eastAsia="Arial Unicode MS" w:hAnsi="Arial" w:cs="Arial"/>
      <w:b/>
      <w:bCs/>
      <w:color w:val="000000"/>
      <w:sz w:val="24"/>
      <w:lang w:val="en-US" w:eastAsia="en-US"/>
    </w:rPr>
  </w:style>
  <w:style w:type="paragraph" w:customStyle="1" w:styleId="ResourceType">
    <w:name w:val="Resource Type"/>
    <w:link w:val="ResourceTypeChar"/>
    <w:rsid w:val="00487D75"/>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487D75"/>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487D75"/>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487D75"/>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487D75"/>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487D75"/>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487D75"/>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487D75"/>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487D75"/>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487D75"/>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487D75"/>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487D75"/>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487D75"/>
    <w:rPr>
      <w:rFonts w:ascii="Arial" w:eastAsia="Arial Unicode MS" w:hAnsi="Arial" w:cs="Arial"/>
      <w:color w:val="000000"/>
      <w:sz w:val="24"/>
      <w:szCs w:val="24"/>
      <w:lang w:val="en-US" w:eastAsia="en-US"/>
    </w:rPr>
  </w:style>
  <w:style w:type="paragraph" w:styleId="Title">
    <w:name w:val="Title"/>
    <w:link w:val="TitleChar"/>
    <w:rsid w:val="00487D75"/>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487D75"/>
    <w:rPr>
      <w:rFonts w:ascii="Arial" w:eastAsia="Arial Unicode MS" w:hAnsi="Arial" w:cs="Arial"/>
      <w:color w:val="000000"/>
      <w:sz w:val="24"/>
      <w:lang w:val="en-US" w:eastAsia="en-US"/>
    </w:rPr>
  </w:style>
  <w:style w:type="paragraph" w:styleId="Footer">
    <w:name w:val="footer"/>
    <w:basedOn w:val="Normal"/>
    <w:link w:val="FooterChar"/>
    <w:rsid w:val="00487D75"/>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487D75"/>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487D75"/>
    <w:rPr>
      <w:i/>
      <w:color w:val="000000"/>
      <w:u w:val="single"/>
    </w:rPr>
  </w:style>
  <w:style w:type="paragraph" w:customStyle="1" w:styleId="Bullet4">
    <w:name w:val="Bullet4"/>
    <w:basedOn w:val="Normal"/>
    <w:rsid w:val="00487D75"/>
    <w:pPr>
      <w:numPr>
        <w:numId w:val="8"/>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487D75"/>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487D75"/>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487D75"/>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487D75"/>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487D75"/>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487D75"/>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487D75"/>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487D75"/>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487D75"/>
    <w:rPr>
      <w:color w:val="000000"/>
    </w:rPr>
  </w:style>
  <w:style w:type="character" w:styleId="PlaceholderText">
    <w:name w:val="Placeholder Text"/>
    <w:basedOn w:val="DefaultParagraphFont"/>
    <w:uiPriority w:val="99"/>
    <w:rsid w:val="00487D75"/>
    <w:rPr>
      <w:color w:val="000000"/>
    </w:rPr>
  </w:style>
  <w:style w:type="paragraph" w:styleId="BalloonText">
    <w:name w:val="Balloon Text"/>
    <w:basedOn w:val="Normal"/>
    <w:link w:val="BalloonTextChar"/>
    <w:uiPriority w:val="99"/>
    <w:semiHidden/>
    <w:unhideWhenUsed/>
    <w:rsid w:val="00487D75"/>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487D75"/>
    <w:rPr>
      <w:rFonts w:ascii="Tahoma" w:hAnsi="Tahoma" w:cs="Tahoma"/>
      <w:color w:val="000000"/>
      <w:sz w:val="16"/>
      <w:szCs w:val="16"/>
    </w:rPr>
  </w:style>
  <w:style w:type="paragraph" w:customStyle="1" w:styleId="PinPointRef">
    <w:name w:val="PinPoint Ref"/>
    <w:link w:val="PinPointRefChar"/>
    <w:qFormat/>
    <w:rsid w:val="00487D75"/>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487D75"/>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487D75"/>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487D75"/>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487D75"/>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487D75"/>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487D75"/>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487D75"/>
    <w:rPr>
      <w:rFonts w:ascii="Arial" w:eastAsia="Arial Unicode MS" w:hAnsi="Arial" w:cs="Arial"/>
      <w:color w:val="000000"/>
      <w:szCs w:val="24"/>
      <w:lang w:val="en-US" w:eastAsia="en-US"/>
    </w:rPr>
  </w:style>
  <w:style w:type="paragraph" w:customStyle="1" w:styleId="IntroDefault">
    <w:name w:val="Intro Default"/>
    <w:basedOn w:val="Paragraph"/>
    <w:qFormat/>
    <w:rsid w:val="00487D75"/>
  </w:style>
  <w:style w:type="paragraph" w:customStyle="1" w:styleId="IntroCustom">
    <w:name w:val="Intro Custom"/>
    <w:basedOn w:val="Paragraph"/>
    <w:qFormat/>
    <w:rsid w:val="00487D75"/>
  </w:style>
  <w:style w:type="paragraph" w:customStyle="1" w:styleId="PrecedentType">
    <w:name w:val="Precedent Type"/>
    <w:basedOn w:val="IgnoredSpacing"/>
    <w:qFormat/>
    <w:rsid w:val="00487D75"/>
  </w:style>
  <w:style w:type="paragraph" w:customStyle="1" w:styleId="Operative">
    <w:name w:val="Operative"/>
    <w:basedOn w:val="IgnoredSpacing"/>
    <w:qFormat/>
    <w:rsid w:val="00487D75"/>
    <w:rPr>
      <w:vanish/>
    </w:rPr>
  </w:style>
  <w:style w:type="paragraph" w:customStyle="1" w:styleId="SpeedreadBulletList1">
    <w:name w:val="Speedread Bullet List 1"/>
    <w:basedOn w:val="BulletList1"/>
    <w:qFormat/>
    <w:rsid w:val="00487D75"/>
  </w:style>
  <w:style w:type="paragraph" w:customStyle="1" w:styleId="PartiesTitle">
    <w:name w:val="Parties Title"/>
    <w:basedOn w:val="Paragraph"/>
    <w:qFormat/>
    <w:rsid w:val="00487D75"/>
    <w:rPr>
      <w:b/>
    </w:rPr>
  </w:style>
  <w:style w:type="table" w:styleId="TableGrid">
    <w:name w:val="Table Grid"/>
    <w:basedOn w:val="TableNormal"/>
    <w:rsid w:val="00487D75"/>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487D75"/>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487D75"/>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487D75"/>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487D75"/>
    <w:pPr>
      <w:shd w:val="clear" w:color="auto" w:fill="D9D9D9" w:themeFill="background1" w:themeFillShade="D9"/>
      <w:ind w:left="1077"/>
    </w:pPr>
  </w:style>
  <w:style w:type="paragraph" w:customStyle="1" w:styleId="TestimoniumContract">
    <w:name w:val="Testimonium Contract"/>
    <w:basedOn w:val="Paragraph"/>
    <w:qFormat/>
    <w:rsid w:val="00487D75"/>
  </w:style>
  <w:style w:type="paragraph" w:customStyle="1" w:styleId="TestimoniumDeed">
    <w:name w:val="Testimonium Deed"/>
    <w:basedOn w:val="Paragraph"/>
    <w:qFormat/>
    <w:rsid w:val="00487D75"/>
  </w:style>
  <w:style w:type="paragraph" w:customStyle="1" w:styleId="Titlesubclause2">
    <w:name w:val="Title subclause2"/>
    <w:basedOn w:val="Untitledsubclause2"/>
    <w:qFormat/>
    <w:rsid w:val="00487D75"/>
    <w:rPr>
      <w:b/>
    </w:rPr>
  </w:style>
  <w:style w:type="paragraph" w:customStyle="1" w:styleId="Titlesubclause3">
    <w:name w:val="Title subclause3"/>
    <w:basedOn w:val="Untitledsubclause3"/>
    <w:qFormat/>
    <w:rsid w:val="00487D75"/>
    <w:rPr>
      <w:b/>
    </w:rPr>
  </w:style>
  <w:style w:type="paragraph" w:customStyle="1" w:styleId="Titlesubclause4">
    <w:name w:val="Title subclause4"/>
    <w:basedOn w:val="Untitledsubclause4"/>
    <w:qFormat/>
    <w:rsid w:val="00487D75"/>
    <w:rPr>
      <w:b/>
    </w:rPr>
  </w:style>
  <w:style w:type="paragraph" w:customStyle="1" w:styleId="UntitledClause">
    <w:name w:val="Untitled Clause"/>
    <w:basedOn w:val="TitleClause"/>
    <w:qFormat/>
    <w:rsid w:val="00487D75"/>
    <w:pPr>
      <w:spacing w:before="120"/>
    </w:pPr>
    <w:rPr>
      <w:b w:val="0"/>
    </w:rPr>
  </w:style>
  <w:style w:type="paragraph" w:customStyle="1" w:styleId="Titlesubclause1">
    <w:name w:val="Title subclause1"/>
    <w:basedOn w:val="Untitledsubclause1"/>
    <w:qFormat/>
    <w:rsid w:val="00487D75"/>
    <w:pPr>
      <w:spacing w:before="120"/>
    </w:pPr>
    <w:rPr>
      <w:b/>
    </w:rPr>
  </w:style>
  <w:style w:type="paragraph" w:customStyle="1" w:styleId="Schedule">
    <w:name w:val="Schedule"/>
    <w:qFormat/>
    <w:rsid w:val="00487D75"/>
    <w:pPr>
      <w:numPr>
        <w:numId w:val="25"/>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487D75"/>
    <w:rPr>
      <w:rFonts w:asciiTheme="majorHAnsi" w:eastAsiaTheme="majorEastAsia" w:hAnsiTheme="majorHAnsi" w:cstheme="majorBidi"/>
      <w:b/>
      <w:bCs/>
      <w:color w:val="000000"/>
      <w:kern w:val="2"/>
      <w:sz w:val="28"/>
      <w:szCs w:val="28"/>
      <w:lang w:val="en-IE" w:eastAsia="en-US"/>
      <w14:ligatures w14:val="standardContextual"/>
    </w:rPr>
  </w:style>
  <w:style w:type="character" w:customStyle="1" w:styleId="Heading2Char">
    <w:name w:val="Heading 2 Char"/>
    <w:basedOn w:val="DefaultParagraphFont"/>
    <w:link w:val="Heading2"/>
    <w:uiPriority w:val="9"/>
    <w:semiHidden/>
    <w:rsid w:val="00487D75"/>
    <w:rPr>
      <w:rFonts w:asciiTheme="majorHAnsi" w:eastAsiaTheme="majorEastAsia" w:hAnsiTheme="majorHAnsi" w:cstheme="majorBidi"/>
      <w:b/>
      <w:bCs/>
      <w:color w:val="000000"/>
      <w:kern w:val="2"/>
      <w:sz w:val="26"/>
      <w:szCs w:val="26"/>
      <w:lang w:val="en-IE" w:eastAsia="en-US"/>
      <w14:ligatures w14:val="standardContextual"/>
    </w:rPr>
  </w:style>
  <w:style w:type="character" w:customStyle="1" w:styleId="Heading3Char">
    <w:name w:val="Heading 3 Char"/>
    <w:basedOn w:val="DefaultParagraphFont"/>
    <w:link w:val="Heading3"/>
    <w:uiPriority w:val="9"/>
    <w:semiHidden/>
    <w:rsid w:val="00487D75"/>
    <w:rPr>
      <w:rFonts w:asciiTheme="majorHAnsi" w:eastAsiaTheme="majorEastAsia" w:hAnsiTheme="majorHAnsi" w:cstheme="majorBidi"/>
      <w:b/>
      <w:bCs/>
      <w:color w:val="000000"/>
      <w:kern w:val="2"/>
      <w:lang w:val="en-IE" w:eastAsia="en-US"/>
      <w14:ligatures w14:val="standardContextual"/>
    </w:rPr>
  </w:style>
  <w:style w:type="character" w:customStyle="1" w:styleId="Heading4Char">
    <w:name w:val="Heading 4 Char"/>
    <w:basedOn w:val="DefaultParagraphFont"/>
    <w:link w:val="Heading4"/>
    <w:uiPriority w:val="9"/>
    <w:semiHidden/>
    <w:rsid w:val="00487D75"/>
    <w:rPr>
      <w:rFonts w:asciiTheme="majorHAnsi" w:eastAsiaTheme="majorEastAsia" w:hAnsiTheme="majorHAnsi" w:cstheme="majorBidi"/>
      <w:b/>
      <w:bCs/>
      <w:i/>
      <w:iCs/>
      <w:color w:val="000000"/>
      <w:kern w:val="2"/>
      <w:lang w:val="en-IE" w:eastAsia="en-US"/>
      <w14:ligatures w14:val="standardContextual"/>
    </w:rPr>
  </w:style>
  <w:style w:type="character" w:customStyle="1" w:styleId="Heading5Char">
    <w:name w:val="Heading 5 Char"/>
    <w:basedOn w:val="DefaultParagraphFont"/>
    <w:link w:val="Heading5"/>
    <w:uiPriority w:val="9"/>
    <w:semiHidden/>
    <w:rsid w:val="00487D75"/>
    <w:rPr>
      <w:rFonts w:asciiTheme="majorHAnsi" w:eastAsiaTheme="majorEastAsia" w:hAnsiTheme="majorHAnsi" w:cstheme="majorBidi"/>
      <w:color w:val="000000"/>
      <w:kern w:val="2"/>
      <w:lang w:val="en-IE" w:eastAsia="en-US"/>
      <w14:ligatures w14:val="standardContextual"/>
    </w:rPr>
  </w:style>
  <w:style w:type="character" w:customStyle="1" w:styleId="Heading6Char">
    <w:name w:val="Heading 6 Char"/>
    <w:basedOn w:val="DefaultParagraphFont"/>
    <w:link w:val="Heading6"/>
    <w:uiPriority w:val="9"/>
    <w:semiHidden/>
    <w:rsid w:val="00487D75"/>
    <w:rPr>
      <w:rFonts w:asciiTheme="majorHAnsi" w:eastAsiaTheme="majorEastAsia" w:hAnsiTheme="majorHAnsi" w:cstheme="majorBidi"/>
      <w:i/>
      <w:iCs/>
      <w:color w:val="000000"/>
      <w:kern w:val="2"/>
      <w:lang w:val="en-IE" w:eastAsia="en-US"/>
      <w14:ligatures w14:val="standardContextual"/>
    </w:rPr>
  </w:style>
  <w:style w:type="character" w:customStyle="1" w:styleId="Heading7Char">
    <w:name w:val="Heading 7 Char"/>
    <w:basedOn w:val="DefaultParagraphFont"/>
    <w:link w:val="Heading7"/>
    <w:uiPriority w:val="9"/>
    <w:semiHidden/>
    <w:rsid w:val="00487D75"/>
    <w:rPr>
      <w:rFonts w:asciiTheme="majorHAnsi" w:eastAsiaTheme="majorEastAsia" w:hAnsiTheme="majorHAnsi" w:cstheme="majorBidi"/>
      <w:i/>
      <w:iCs/>
      <w:color w:val="000000"/>
      <w:kern w:val="2"/>
      <w:lang w:val="en-IE" w:eastAsia="en-US"/>
      <w14:ligatures w14:val="standardContextual"/>
    </w:rPr>
  </w:style>
  <w:style w:type="character" w:customStyle="1" w:styleId="Heading8Char">
    <w:name w:val="Heading 8 Char"/>
    <w:basedOn w:val="DefaultParagraphFont"/>
    <w:link w:val="Heading8"/>
    <w:uiPriority w:val="9"/>
    <w:semiHidden/>
    <w:rsid w:val="00487D75"/>
    <w:rPr>
      <w:rFonts w:asciiTheme="majorHAnsi" w:eastAsiaTheme="majorEastAsia" w:hAnsiTheme="majorHAnsi" w:cstheme="majorBidi"/>
      <w:color w:val="000000"/>
      <w:kern w:val="2"/>
      <w:sz w:val="20"/>
      <w:szCs w:val="20"/>
      <w:lang w:val="en-IE" w:eastAsia="en-US"/>
      <w14:ligatures w14:val="standardContextual"/>
    </w:rPr>
  </w:style>
  <w:style w:type="character" w:customStyle="1" w:styleId="Heading9Char">
    <w:name w:val="Heading 9 Char"/>
    <w:basedOn w:val="DefaultParagraphFont"/>
    <w:link w:val="Heading9"/>
    <w:uiPriority w:val="9"/>
    <w:semiHidden/>
    <w:rsid w:val="00487D75"/>
    <w:rPr>
      <w:rFonts w:asciiTheme="majorHAnsi" w:eastAsiaTheme="majorEastAsia" w:hAnsiTheme="majorHAnsi" w:cstheme="majorBidi"/>
      <w:i/>
      <w:iCs/>
      <w:color w:val="000000"/>
      <w:kern w:val="2"/>
      <w:sz w:val="20"/>
      <w:szCs w:val="20"/>
      <w:lang w:val="en-IE" w:eastAsia="en-US"/>
      <w14:ligatures w14:val="standardContextual"/>
    </w:rPr>
  </w:style>
  <w:style w:type="paragraph" w:customStyle="1" w:styleId="ScheduleTitle">
    <w:name w:val="Schedule Title"/>
    <w:basedOn w:val="Paragraph"/>
    <w:qFormat/>
    <w:rsid w:val="00487D75"/>
    <w:rPr>
      <w:b/>
    </w:rPr>
  </w:style>
  <w:style w:type="paragraph" w:customStyle="1" w:styleId="Part">
    <w:name w:val="Part"/>
    <w:basedOn w:val="Paragraph"/>
    <w:qFormat/>
    <w:rsid w:val="00487D75"/>
    <w:pPr>
      <w:numPr>
        <w:numId w:val="27"/>
      </w:numPr>
      <w:spacing w:before="240" w:after="240"/>
      <w:jc w:val="left"/>
    </w:pPr>
    <w:rPr>
      <w:b/>
    </w:rPr>
  </w:style>
  <w:style w:type="paragraph" w:customStyle="1" w:styleId="AnnexTitle">
    <w:name w:val="Annex Title"/>
    <w:basedOn w:val="Paragraph"/>
    <w:next w:val="Paragraph"/>
    <w:qFormat/>
    <w:rsid w:val="00487D75"/>
    <w:pPr>
      <w:spacing w:before="240" w:after="240"/>
    </w:pPr>
    <w:rPr>
      <w:b/>
    </w:rPr>
  </w:style>
  <w:style w:type="paragraph" w:customStyle="1" w:styleId="PartTitle">
    <w:name w:val="Part Title"/>
    <w:basedOn w:val="Paragraph"/>
    <w:qFormat/>
    <w:rsid w:val="00487D75"/>
    <w:rPr>
      <w:b/>
    </w:rPr>
  </w:style>
  <w:style w:type="paragraph" w:customStyle="1" w:styleId="Testimonium">
    <w:name w:val="Testimonium"/>
    <w:basedOn w:val="Paragraph"/>
    <w:qFormat/>
    <w:rsid w:val="00487D75"/>
  </w:style>
  <w:style w:type="character" w:customStyle="1" w:styleId="apple-converted-space">
    <w:name w:val="apple-converted-space"/>
    <w:basedOn w:val="DefaultParagraphFont"/>
    <w:rsid w:val="00487D75"/>
    <w:rPr>
      <w:color w:val="000000"/>
    </w:rPr>
  </w:style>
  <w:style w:type="character" w:styleId="Emphasis">
    <w:name w:val="Emphasis"/>
    <w:basedOn w:val="DefaultParagraphFont"/>
    <w:uiPriority w:val="20"/>
    <w:qFormat/>
    <w:rsid w:val="00487D75"/>
    <w:rPr>
      <w:i/>
      <w:iCs/>
      <w:color w:val="000000"/>
    </w:rPr>
  </w:style>
  <w:style w:type="paragraph" w:customStyle="1" w:styleId="NoNumTitle-Clause">
    <w:name w:val="No Num Title - Clause"/>
    <w:basedOn w:val="TitleClause"/>
    <w:qFormat/>
    <w:rsid w:val="00487D75"/>
    <w:pPr>
      <w:numPr>
        <w:numId w:val="0"/>
      </w:numPr>
      <w:ind w:left="720"/>
    </w:pPr>
  </w:style>
  <w:style w:type="paragraph" w:customStyle="1" w:styleId="NoNumTitlesubclause1">
    <w:name w:val="No Num Title subclause1"/>
    <w:basedOn w:val="Titlesubclause1"/>
    <w:qFormat/>
    <w:rsid w:val="00487D75"/>
    <w:pPr>
      <w:numPr>
        <w:ilvl w:val="0"/>
        <w:numId w:val="0"/>
      </w:numPr>
      <w:ind w:left="720"/>
    </w:pPr>
  </w:style>
  <w:style w:type="paragraph" w:customStyle="1" w:styleId="AddressLine">
    <w:name w:val="Address Line"/>
    <w:basedOn w:val="Paragraph"/>
    <w:qFormat/>
    <w:rsid w:val="00487D75"/>
  </w:style>
  <w:style w:type="paragraph" w:styleId="Date">
    <w:name w:val="Date"/>
    <w:basedOn w:val="Paragraph"/>
    <w:qFormat/>
    <w:rsid w:val="00487D75"/>
  </w:style>
  <w:style w:type="paragraph" w:customStyle="1" w:styleId="SalutationPara">
    <w:name w:val="Salutation Para"/>
    <w:basedOn w:val="Paragraph"/>
    <w:next w:val="Paragraph"/>
    <w:qFormat/>
    <w:rsid w:val="00487D75"/>
    <w:pPr>
      <w:spacing w:before="240"/>
    </w:pPr>
  </w:style>
  <w:style w:type="character" w:styleId="FollowedHyperlink">
    <w:name w:val="FollowedHyperlink"/>
    <w:basedOn w:val="DefaultParagraphFont"/>
    <w:uiPriority w:val="99"/>
    <w:semiHidden/>
    <w:unhideWhenUsed/>
    <w:rsid w:val="00487D75"/>
    <w:rPr>
      <w:i/>
      <w:color w:val="000000"/>
      <w:u w:val="single"/>
    </w:rPr>
  </w:style>
  <w:style w:type="character" w:customStyle="1" w:styleId="DefTerm">
    <w:name w:val="DefTerm"/>
    <w:basedOn w:val="DefaultParagraphFont"/>
    <w:uiPriority w:val="1"/>
    <w:qFormat/>
    <w:rsid w:val="00487D75"/>
    <w:rPr>
      <w:b/>
      <w:color w:val="000000"/>
    </w:rPr>
  </w:style>
  <w:style w:type="table" w:customStyle="1" w:styleId="ShadedTable">
    <w:name w:val="Shaded Table"/>
    <w:basedOn w:val="TableNormal"/>
    <w:uiPriority w:val="99"/>
    <w:rsid w:val="00487D75"/>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487D75"/>
    <w:rPr>
      <w:i/>
    </w:rPr>
  </w:style>
  <w:style w:type="paragraph" w:customStyle="1" w:styleId="LetterTitle">
    <w:name w:val="Letter Title"/>
    <w:basedOn w:val="Paragraph"/>
    <w:qFormat/>
    <w:rsid w:val="00487D75"/>
    <w:rPr>
      <w:b/>
    </w:rPr>
  </w:style>
  <w:style w:type="paragraph" w:customStyle="1" w:styleId="LongQuestionPara">
    <w:name w:val="Long Question Para"/>
    <w:basedOn w:val="Paragraph"/>
    <w:link w:val="LongQuestionParaChar"/>
    <w:rsid w:val="00487D75"/>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487D75"/>
    <w:rPr>
      <w:rFonts w:ascii="Arial" w:eastAsia="Arial Unicode MS" w:hAnsi="Arial" w:cs="Arial"/>
      <w:color w:val="000000"/>
      <w:kern w:val="2"/>
      <w:sz w:val="20"/>
      <w:szCs w:val="20"/>
      <w:lang w:val="en-US" w:eastAsia="en-US"/>
      <w14:ligatures w14:val="standardContextual"/>
    </w:rPr>
  </w:style>
  <w:style w:type="paragraph" w:customStyle="1" w:styleId="ShortQuestionPara">
    <w:name w:val="Short Question Para"/>
    <w:basedOn w:val="Paragraph"/>
    <w:link w:val="ShortQuestionParaChar"/>
    <w:rsid w:val="00487D75"/>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487D75"/>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487D75"/>
    <w:rPr>
      <w:rFonts w:ascii="Arial" w:eastAsia="Arial Unicode MS" w:hAnsi="Arial" w:cs="Arial"/>
      <w:color w:val="000000"/>
      <w:szCs w:val="20"/>
      <w:lang w:eastAsia="en-US"/>
    </w:rPr>
  </w:style>
  <w:style w:type="paragraph" w:customStyle="1" w:styleId="811D3A974D454A258B71E3C4DE24C4F210">
    <w:name w:val="811D3A974D454A258B71E3C4DE24C4F210"/>
    <w:rsid w:val="00672DC4"/>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487D75"/>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487D75"/>
    <w:pPr>
      <w:jc w:val="center"/>
    </w:pPr>
    <w:rPr>
      <w:sz w:val="28"/>
    </w:rPr>
  </w:style>
  <w:style w:type="paragraph" w:customStyle="1" w:styleId="Title-Clause">
    <w:name w:val="Title - Clause"/>
    <w:aliases w:val="BIWS Heading 1"/>
    <w:basedOn w:val="Normal"/>
    <w:rsid w:val="00487D75"/>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487D75"/>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487D75"/>
    <w:pPr>
      <w:spacing w:before="120"/>
    </w:pPr>
    <w:rPr>
      <w:b w:val="0"/>
    </w:rPr>
  </w:style>
  <w:style w:type="paragraph" w:customStyle="1" w:styleId="CoversheetParagraph">
    <w:name w:val="Coversheet Paragraph"/>
    <w:basedOn w:val="Normal"/>
    <w:autoRedefine/>
    <w:rsid w:val="00487D75"/>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487D75"/>
    <w:rPr>
      <w:smallCaps w:val="0"/>
      <w:sz w:val="22"/>
    </w:rPr>
  </w:style>
  <w:style w:type="paragraph" w:customStyle="1" w:styleId="CoversheetStaticText">
    <w:name w:val="Coversheet Static Text"/>
    <w:basedOn w:val="CoversheetIntro"/>
    <w:qFormat/>
    <w:rsid w:val="00487D75"/>
    <w:rPr>
      <w:b w:val="0"/>
    </w:rPr>
  </w:style>
  <w:style w:type="paragraph" w:customStyle="1" w:styleId="CoversheetParty">
    <w:name w:val="Coversheet Party"/>
    <w:basedOn w:val="CoversheetIntro"/>
    <w:qFormat/>
    <w:rsid w:val="00487D75"/>
  </w:style>
  <w:style w:type="paragraph" w:customStyle="1" w:styleId="NoNumUntitledClause">
    <w:name w:val="No Num Untitled Clause"/>
    <w:basedOn w:val="UntitledClause"/>
    <w:qFormat/>
    <w:rsid w:val="00487D75"/>
    <w:pPr>
      <w:numPr>
        <w:numId w:val="0"/>
      </w:numPr>
      <w:ind w:left="720"/>
    </w:pPr>
  </w:style>
  <w:style w:type="paragraph" w:customStyle="1" w:styleId="BackgroundSubclause1">
    <w:name w:val="Background Subclause1"/>
    <w:basedOn w:val="Background"/>
    <w:qFormat/>
    <w:rsid w:val="00487D75"/>
    <w:pPr>
      <w:numPr>
        <w:ilvl w:val="1"/>
      </w:numPr>
    </w:pPr>
  </w:style>
  <w:style w:type="paragraph" w:customStyle="1" w:styleId="BackgroundSubclause2">
    <w:name w:val="Background Subclause2"/>
    <w:basedOn w:val="Background"/>
    <w:qFormat/>
    <w:rsid w:val="00487D75"/>
    <w:pPr>
      <w:numPr>
        <w:ilvl w:val="3"/>
      </w:numPr>
    </w:pPr>
  </w:style>
  <w:style w:type="paragraph" w:customStyle="1" w:styleId="HeadingLevel2CQA">
    <w:name w:val="Heading Level 2 CQA"/>
    <w:basedOn w:val="HeadingLevel2"/>
    <w:qFormat/>
    <w:rsid w:val="00487D75"/>
  </w:style>
  <w:style w:type="paragraph" w:customStyle="1" w:styleId="ClauseBullet1">
    <w:name w:val="Clause Bullet 1"/>
    <w:basedOn w:val="ParaClause"/>
    <w:qFormat/>
    <w:rsid w:val="00487D75"/>
    <w:pPr>
      <w:numPr>
        <w:numId w:val="13"/>
      </w:numPr>
      <w:ind w:left="1077" w:hanging="357"/>
      <w:outlineLvl w:val="0"/>
    </w:pPr>
  </w:style>
  <w:style w:type="paragraph" w:customStyle="1" w:styleId="ClauseBullet2">
    <w:name w:val="Clause Bullet 2"/>
    <w:basedOn w:val="ParaClause"/>
    <w:qFormat/>
    <w:rsid w:val="00487D75"/>
    <w:pPr>
      <w:numPr>
        <w:numId w:val="14"/>
      </w:numPr>
      <w:ind w:left="1434" w:hanging="357"/>
      <w:outlineLvl w:val="1"/>
    </w:pPr>
  </w:style>
  <w:style w:type="paragraph" w:customStyle="1" w:styleId="subclause1Bullet1">
    <w:name w:val="subclause 1 Bullet 1"/>
    <w:basedOn w:val="Parasubclause1"/>
    <w:qFormat/>
    <w:rsid w:val="00487D75"/>
    <w:pPr>
      <w:numPr>
        <w:numId w:val="15"/>
      </w:numPr>
      <w:ind w:left="1077" w:hanging="357"/>
    </w:pPr>
  </w:style>
  <w:style w:type="paragraph" w:customStyle="1" w:styleId="subclause2Bullet1">
    <w:name w:val="subclause 2 Bullet 1"/>
    <w:basedOn w:val="Parasubclause2"/>
    <w:qFormat/>
    <w:rsid w:val="00487D75"/>
    <w:pPr>
      <w:numPr>
        <w:numId w:val="17"/>
      </w:numPr>
      <w:ind w:left="1434" w:hanging="357"/>
    </w:pPr>
  </w:style>
  <w:style w:type="paragraph" w:customStyle="1" w:styleId="subclause3Bullet1">
    <w:name w:val="subclause 3 Bullet 1"/>
    <w:basedOn w:val="Parasubclause3"/>
    <w:qFormat/>
    <w:rsid w:val="00487D75"/>
    <w:pPr>
      <w:numPr>
        <w:numId w:val="16"/>
      </w:numPr>
      <w:ind w:left="2273" w:hanging="357"/>
    </w:pPr>
  </w:style>
  <w:style w:type="paragraph" w:customStyle="1" w:styleId="subclause1Bullet2">
    <w:name w:val="subclause 1 Bullet 2"/>
    <w:basedOn w:val="Parasubclause1"/>
    <w:qFormat/>
    <w:rsid w:val="00487D75"/>
    <w:pPr>
      <w:numPr>
        <w:numId w:val="18"/>
      </w:numPr>
      <w:ind w:left="1434" w:hanging="357"/>
    </w:pPr>
  </w:style>
  <w:style w:type="paragraph" w:customStyle="1" w:styleId="subclause2Bullet2">
    <w:name w:val="subclause 2 Bullet 2"/>
    <w:basedOn w:val="Parasubclause2"/>
    <w:qFormat/>
    <w:rsid w:val="00487D75"/>
    <w:pPr>
      <w:numPr>
        <w:numId w:val="19"/>
      </w:numPr>
      <w:ind w:left="2273" w:hanging="357"/>
    </w:pPr>
  </w:style>
  <w:style w:type="paragraph" w:customStyle="1" w:styleId="subclause3Bullet2">
    <w:name w:val="subclause 3 Bullet 2"/>
    <w:basedOn w:val="Parasubclause3"/>
    <w:qFormat/>
    <w:rsid w:val="00487D75"/>
    <w:pPr>
      <w:numPr>
        <w:numId w:val="20"/>
      </w:numPr>
      <w:ind w:left="2982" w:hanging="357"/>
    </w:pPr>
  </w:style>
  <w:style w:type="paragraph" w:customStyle="1" w:styleId="DefinedTermBullet">
    <w:name w:val="Defined Term Bullet"/>
    <w:basedOn w:val="DefinedTermPara"/>
    <w:qFormat/>
    <w:rsid w:val="00487D75"/>
    <w:pPr>
      <w:numPr>
        <w:numId w:val="21"/>
      </w:numPr>
    </w:pPr>
  </w:style>
  <w:style w:type="paragraph" w:customStyle="1" w:styleId="DefinedTermNumber">
    <w:name w:val="Defined Term Number"/>
    <w:basedOn w:val="DefinedTermPara"/>
    <w:qFormat/>
    <w:rsid w:val="00487D75"/>
    <w:pPr>
      <w:numPr>
        <w:ilvl w:val="1"/>
      </w:numPr>
    </w:pPr>
  </w:style>
  <w:style w:type="paragraph" w:customStyle="1" w:styleId="AdditionalTitle">
    <w:name w:val="Additional Title"/>
    <w:basedOn w:val="Paragraph"/>
    <w:qFormat/>
    <w:rsid w:val="00487D75"/>
    <w:pPr>
      <w:jc w:val="left"/>
    </w:pPr>
    <w:rPr>
      <w:b/>
    </w:rPr>
  </w:style>
  <w:style w:type="character" w:customStyle="1" w:styleId="error">
    <w:name w:val="error"/>
    <w:basedOn w:val="DefaultParagraphFont"/>
    <w:rsid w:val="00487D75"/>
    <w:rPr>
      <w:color w:val="000000"/>
    </w:rPr>
  </w:style>
  <w:style w:type="paragraph" w:customStyle="1" w:styleId="NoNumUntitledsubclause1">
    <w:name w:val="No Num Untitled subclause 1"/>
    <w:basedOn w:val="Untitledsubclause1"/>
    <w:qFormat/>
    <w:rsid w:val="00487D75"/>
    <w:pPr>
      <w:numPr>
        <w:ilvl w:val="0"/>
        <w:numId w:val="0"/>
      </w:numPr>
      <w:ind w:left="720"/>
    </w:pPr>
  </w:style>
  <w:style w:type="paragraph" w:customStyle="1" w:styleId="BackgroundParaClause">
    <w:name w:val="Background Para Clause"/>
    <w:basedOn w:val="Background"/>
    <w:qFormat/>
    <w:rsid w:val="00487D75"/>
    <w:pPr>
      <w:numPr>
        <w:numId w:val="0"/>
      </w:numPr>
    </w:pPr>
  </w:style>
  <w:style w:type="paragraph" w:customStyle="1" w:styleId="BackgroundParaSubclause1">
    <w:name w:val="Background Para Subclause1"/>
    <w:basedOn w:val="BackgroundSubclause1"/>
    <w:qFormat/>
    <w:rsid w:val="00487D75"/>
    <w:pPr>
      <w:numPr>
        <w:ilvl w:val="0"/>
        <w:numId w:val="0"/>
      </w:numPr>
      <w:ind w:left="994"/>
    </w:pPr>
    <w:rPr>
      <w:lang w:val="en-US"/>
    </w:rPr>
  </w:style>
  <w:style w:type="paragraph" w:customStyle="1" w:styleId="BackgroundParaSubclause2">
    <w:name w:val="Background Para Subclause2"/>
    <w:basedOn w:val="BackgroundSubclause2"/>
    <w:qFormat/>
    <w:rsid w:val="00487D75"/>
    <w:pPr>
      <w:numPr>
        <w:ilvl w:val="0"/>
        <w:numId w:val="0"/>
      </w:numPr>
      <w:ind w:left="1701"/>
    </w:pPr>
    <w:rPr>
      <w:lang w:val="en-US"/>
    </w:rPr>
  </w:style>
  <w:style w:type="paragraph" w:customStyle="1" w:styleId="ClauseBulletPara">
    <w:name w:val="Clause Bullet Para"/>
    <w:basedOn w:val="ClauseBullet1"/>
    <w:qFormat/>
    <w:rsid w:val="00487D75"/>
    <w:pPr>
      <w:numPr>
        <w:numId w:val="0"/>
      </w:numPr>
      <w:ind w:left="1080"/>
    </w:pPr>
    <w:rPr>
      <w:lang w:val="en-US"/>
    </w:rPr>
  </w:style>
  <w:style w:type="paragraph" w:customStyle="1" w:styleId="ClauseBullet2Para">
    <w:name w:val="Clause Bullet 2 Para"/>
    <w:basedOn w:val="ClauseBullet2"/>
    <w:qFormat/>
    <w:rsid w:val="00487D75"/>
    <w:pPr>
      <w:numPr>
        <w:numId w:val="0"/>
      </w:numPr>
      <w:ind w:left="1440"/>
    </w:pPr>
    <w:rPr>
      <w:lang w:val="en-US"/>
    </w:rPr>
  </w:style>
  <w:style w:type="paragraph" w:customStyle="1" w:styleId="ACTJurisdictionCheckList">
    <w:name w:val="ACTJurisdictionCheckList"/>
    <w:basedOn w:val="Normal"/>
    <w:rsid w:val="00487D75"/>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487D75"/>
  </w:style>
  <w:style w:type="paragraph" w:customStyle="1" w:styleId="ScheduleTitleClause">
    <w:name w:val="Schedule Title Clause"/>
    <w:basedOn w:val="Normal"/>
    <w:rsid w:val="00487D75"/>
    <w:pPr>
      <w:keepNext/>
      <w:numPr>
        <w:numId w:val="29"/>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487D75"/>
    <w:pPr>
      <w:numPr>
        <w:ilvl w:val="1"/>
        <w:numId w:val="29"/>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487D75"/>
    <w:pPr>
      <w:numPr>
        <w:ilvl w:val="2"/>
        <w:numId w:val="29"/>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487D75"/>
    <w:pPr>
      <w:numPr>
        <w:ilvl w:val="3"/>
        <w:numId w:val="29"/>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487D75"/>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487D75"/>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487D75"/>
    <w:pPr>
      <w:shd w:val="clear" w:color="auto" w:fill="D9D9D9" w:themeFill="background1" w:themeFillShade="D9"/>
      <w:ind w:left="1077"/>
    </w:pPr>
  </w:style>
  <w:style w:type="paragraph" w:customStyle="1" w:styleId="ScheduleUntitledClause">
    <w:name w:val="Schedule Untitled Clause"/>
    <w:basedOn w:val="ScheduleTitleClause"/>
    <w:qFormat/>
    <w:rsid w:val="00487D75"/>
    <w:pPr>
      <w:spacing w:before="120"/>
    </w:pPr>
    <w:rPr>
      <w:b w:val="0"/>
    </w:rPr>
  </w:style>
  <w:style w:type="paragraph" w:customStyle="1" w:styleId="EmptyClausePara">
    <w:name w:val="Empty Clause Para"/>
    <w:basedOn w:val="IgnoredSpacing"/>
    <w:qFormat/>
    <w:rsid w:val="00487D75"/>
  </w:style>
  <w:style w:type="paragraph" w:styleId="ListParagraph">
    <w:name w:val="List Paragraph"/>
    <w:basedOn w:val="Normal"/>
    <w:uiPriority w:val="34"/>
    <w:qFormat/>
    <w:rsid w:val="00487D75"/>
    <w:pPr>
      <w:ind w:left="720"/>
      <w:contextualSpacing/>
    </w:pPr>
    <w:rPr>
      <w:color w:val="000000"/>
    </w:rPr>
  </w:style>
  <w:style w:type="paragraph" w:customStyle="1" w:styleId="ScheduleTitlesubclause1">
    <w:name w:val="Schedule Title subclause1"/>
    <w:basedOn w:val="ScheduleUntitledsubclause1"/>
    <w:qFormat/>
    <w:rsid w:val="00487D75"/>
    <w:pPr>
      <w:spacing w:before="120"/>
    </w:pPr>
    <w:rPr>
      <w:b/>
    </w:rPr>
  </w:style>
  <w:style w:type="paragraph" w:customStyle="1" w:styleId="835FF0B0D5344FE4A8EE41F54AA7E17C16">
    <w:name w:val="835FF0B0D5344FE4A8EE41F54AA7E17C16"/>
    <w:rsid w:val="0019151C"/>
    <w:pPr>
      <w:spacing w:after="120" w:line="240" w:lineRule="auto"/>
    </w:pPr>
    <w:rPr>
      <w:rFonts w:ascii="Arial" w:eastAsia="Times New Roman" w:hAnsi="Arial" w:cs="Times New Roman"/>
      <w:color w:val="000000"/>
      <w:sz w:val="24"/>
      <w:szCs w:val="24"/>
      <w:lang w:val="en-US" w:eastAsia="en-US"/>
    </w:rPr>
  </w:style>
  <w:style w:type="character" w:styleId="Strong">
    <w:name w:val="Strong"/>
    <w:basedOn w:val="DefaultParagraphFont"/>
    <w:uiPriority w:val="22"/>
    <w:qFormat/>
    <w:rsid w:val="000A026F"/>
    <w:rPr>
      <w:b/>
      <w:bCs/>
      <w:color w:val="000000"/>
    </w:rPr>
  </w:style>
  <w:style w:type="character" w:customStyle="1" w:styleId="UnresolvedMention1">
    <w:name w:val="Unresolved Mention1"/>
    <w:basedOn w:val="DefaultParagraphFont"/>
    <w:uiPriority w:val="99"/>
    <w:semiHidden/>
    <w:unhideWhenUsed/>
    <w:rsid w:val="00FA2F47"/>
    <w:rPr>
      <w:color w:val="000000"/>
      <w:shd w:val="clear" w:color="auto" w:fill="E6E6E6"/>
    </w:rPr>
  </w:style>
  <w:style w:type="paragraph" w:customStyle="1" w:styleId="SectorSpecificNoteTitle">
    <w:name w:val="Sector Specific Note Title"/>
    <w:basedOn w:val="JurisdictionDraftingnoteTitle"/>
    <w:qFormat/>
    <w:rsid w:val="00487D75"/>
  </w:style>
  <w:style w:type="character" w:customStyle="1" w:styleId="cohidesearchterm">
    <w:name w:val="co_hidesearchterm"/>
    <w:basedOn w:val="DefaultParagraphFont"/>
    <w:rsid w:val="00DE2D5A"/>
    <w:rPr>
      <w:color w:val="000000"/>
    </w:rPr>
  </w:style>
  <w:style w:type="character" w:styleId="CommentReference">
    <w:name w:val="annotation reference"/>
    <w:basedOn w:val="DefaultParagraphFont"/>
    <w:uiPriority w:val="99"/>
    <w:semiHidden/>
    <w:unhideWhenUsed/>
    <w:rsid w:val="00E24BE3"/>
    <w:rPr>
      <w:color w:val="000000"/>
      <w:sz w:val="16"/>
      <w:szCs w:val="16"/>
    </w:rPr>
  </w:style>
  <w:style w:type="paragraph" w:styleId="CommentText">
    <w:name w:val="annotation text"/>
    <w:basedOn w:val="Normal"/>
    <w:link w:val="CommentTextChar"/>
    <w:uiPriority w:val="99"/>
    <w:unhideWhenUsed/>
    <w:rsid w:val="00E24BE3"/>
    <w:pPr>
      <w:spacing w:line="240" w:lineRule="auto"/>
    </w:pPr>
    <w:rPr>
      <w:color w:val="000000"/>
      <w:sz w:val="20"/>
      <w:szCs w:val="20"/>
    </w:rPr>
  </w:style>
  <w:style w:type="character" w:customStyle="1" w:styleId="CommentTextChar">
    <w:name w:val="Comment Text Char"/>
    <w:basedOn w:val="DefaultParagraphFont"/>
    <w:link w:val="CommentText"/>
    <w:uiPriority w:val="99"/>
    <w:rsid w:val="00E24BE3"/>
    <w:rPr>
      <w:color w:val="000000"/>
      <w:sz w:val="20"/>
      <w:szCs w:val="20"/>
    </w:rPr>
  </w:style>
  <w:style w:type="paragraph" w:styleId="CommentSubject">
    <w:name w:val="annotation subject"/>
    <w:basedOn w:val="CommentText"/>
    <w:next w:val="CommentText"/>
    <w:link w:val="CommentSubjectChar"/>
    <w:uiPriority w:val="99"/>
    <w:semiHidden/>
    <w:unhideWhenUsed/>
    <w:rsid w:val="00E24BE3"/>
    <w:rPr>
      <w:b/>
      <w:bCs/>
    </w:rPr>
  </w:style>
  <w:style w:type="character" w:customStyle="1" w:styleId="CommentSubjectChar">
    <w:name w:val="Comment Subject Char"/>
    <w:basedOn w:val="CommentTextChar"/>
    <w:link w:val="CommentSubject"/>
    <w:uiPriority w:val="99"/>
    <w:semiHidden/>
    <w:rsid w:val="00E24BE3"/>
    <w:rPr>
      <w:b/>
      <w:bCs/>
      <w:color w:val="000000"/>
      <w:sz w:val="20"/>
      <w:szCs w:val="20"/>
    </w:rPr>
  </w:style>
  <w:style w:type="table" w:customStyle="1" w:styleId="ShadedTable1">
    <w:name w:val="Shaded Table1"/>
    <w:basedOn w:val="TableNormal"/>
    <w:uiPriority w:val="99"/>
    <w:rsid w:val="00487D75"/>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styleId="NormalWeb">
    <w:name w:val="Normal (Web)"/>
    <w:basedOn w:val="Normal"/>
    <w:uiPriority w:val="99"/>
    <w:semiHidden/>
    <w:unhideWhenUsed/>
    <w:rsid w:val="00650614"/>
    <w:pPr>
      <w:spacing w:before="100" w:beforeAutospacing="1" w:after="100" w:afterAutospacing="1" w:line="240" w:lineRule="auto"/>
    </w:pPr>
    <w:rPr>
      <w:rFonts w:ascii="Times New Roman" w:eastAsia="Times New Roman" w:hAnsi="Times New Roman" w:cs="Times New Roman"/>
      <w:color w:val="000000"/>
    </w:rPr>
  </w:style>
  <w:style w:type="paragraph" w:customStyle="1" w:styleId="Default">
    <w:name w:val="Default"/>
    <w:rsid w:val="00327B3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C76A05"/>
    <w:pPr>
      <w:spacing w:after="0" w:line="240" w:lineRule="auto"/>
    </w:pPr>
    <w:rPr>
      <w:color w:val="000000"/>
    </w:rPr>
  </w:style>
  <w:style w:type="paragraph" w:customStyle="1" w:styleId="IgnoredEmptysubclause">
    <w:name w:val="Ignored Empty subclause"/>
    <w:basedOn w:val="Normal"/>
    <w:link w:val="IgnoredEmptysubclauseChar"/>
    <w:qFormat/>
    <w:rsid w:val="00487D75"/>
    <w:rPr>
      <w:color w:val="000000"/>
    </w:rPr>
  </w:style>
  <w:style w:type="character" w:customStyle="1" w:styleId="IgnoredEmptysubclauseChar">
    <w:name w:val="Ignored Empty subclause Char"/>
    <w:basedOn w:val="DefaultParagraphFont"/>
    <w:link w:val="IgnoredEmptysubclause"/>
    <w:rsid w:val="00487D75"/>
    <w:rPr>
      <w:color w:val="000000"/>
    </w:rPr>
  </w:style>
  <w:style w:type="character" w:customStyle="1" w:styleId="toc-search-keyword">
    <w:name w:val="toc-search-keyword"/>
    <w:basedOn w:val="DefaultParagraphFont"/>
    <w:rsid w:val="006F7AF6"/>
    <w:rPr>
      <w:color w:val="000000"/>
    </w:rPr>
  </w:style>
  <w:style w:type="paragraph" w:customStyle="1" w:styleId="6B1115FCC3DC4C6AB2CF846F0C50B663">
    <w:name w:val="6B1115FCC3DC4C6AB2CF846F0C50B663"/>
    <w:rsid w:val="00E861FC"/>
    <w:pPr>
      <w:spacing w:line="276" w:lineRule="auto"/>
    </w:pPr>
    <w:rPr>
      <w:color w:val="000000"/>
    </w:rPr>
  </w:style>
  <w:style w:type="numbering" w:customStyle="1" w:styleId="ScheduleListStyle">
    <w:name w:val="ScheduleListStyle"/>
    <w:pPr>
      <w:numPr>
        <w:numId w:val="24"/>
      </w:numPr>
    </w:pPr>
  </w:style>
  <w:style w:type="numbering" w:customStyle="1" w:styleId="PartListStyle">
    <w:name w:val="PartListStyle"/>
    <w:pPr>
      <w:numPr>
        <w:numId w:val="26"/>
      </w:numPr>
    </w:pPr>
  </w:style>
  <w:style w:type="numbering" w:customStyle="1" w:styleId="ClauseListStyle">
    <w:name w:val="ClauseListStyle"/>
    <w:pPr>
      <w:numPr>
        <w:numId w:val="28"/>
      </w:numPr>
    </w:p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cdm:cachedDataManifest xmlns:cdm="http://schemas.microsoft.com/2004/VisualStudio/Tools/Applications/CachedDataManifest.xsd" cdm:revision="1"/>
</file>

<file path=customXml/item3.xml><?xml version="1.0" encoding="utf-8"?>
<n-document xmlns:xsd="http://www.w3.org/2001/XMLSchema" xmlns:xsi="http://www.w3.org/2001/XMLSchema-instance" guid="0" synced="true" validated="true">
  <n-docbody>
    <standard.doc precedenttype="agreement">
      <prelim>
        <product.name>product.name0</product.name>
        <title>Systems integration agreement (pro-customer)</title>
        <author>Practical Law IP&amp;IT with thanks to Richard Kemp and Deirdre Moynihan, Kemp IT Law in relation to the limitation of liability and data protection clauses.</author>
        <resource.type>Standard documents</resource.type>
        <juris>juris0</juris>
        <juris>juris1</juris>
      </prelim>
      <abstract>
        <para>
          <paratext>An agreement in which an IT purchaser agrees to buy a new IT system, including some or all of the following elements: integration services, software, hardware, licence of intellectual property rights, and ongoing support and maintenance services.</paratext>
        </para>
      </abstract>
      <toc.identifier hasToc="true"/>
      <body>
        <drafting.note id="a805772" jurisdiction="">
          <head align="left" preservecase="true">
            <headtext>About this document</headtext>
          </head>
          <division id="a000012" level="1">
            <para>
              <paratext>The term "systems integration agreement" is used to describe a contract for the acquisition, development and integration of the hardware and software which is necessary to produce, in conjunction with the customer's business data, an entire computer system.</paratext>
            </para>
            <para>
              <paratext>There are several types of systems integration agreement:</paratext>
            </para>
            <list type="bulleted">
              <list.item>
                <para>
                  <paratext>
                    <link href="3-107-7426" style="ACTLinkPLCtoPLC">
                      <ital>Turnkey</ital>
                    </link>
                     without any software development.
                  </paratext>
                </para>
              </list.item>
              <list.item>
                <para>
                  <paratext>Turnkey with some software development.</paratext>
                </para>
              </list.item>
              <list.item>
                <para>
                  <paratext>An agreement for the assembly of components that have been purchased separately by the customer.</paratext>
                </para>
              </list.item>
              <list.item>
                <para>
                  <paratext>An agreement for the integration of components that have been purchased separately by the customer, including some software modification or development.</paratext>
                </para>
              </list.item>
              <list.item>
                <para>
                  <paratext>An agreement for the integration of new components with the customer's existing system, which usually involves some software modification or development.</paratext>
                </para>
              </list.item>
            </list>
            <para>
              <paratext>Within these types, individual agreements will vary widely depending on the system, the customer's business and the use to which the system is put. An agreement for a new air traffic control system, for example, will have to deal with very different issues to an agreement for an upgraded payroll account system. Indeed, there will be significant differences between agreements to upgrade the payroll accounts system of a multinational company and that of a small, local firm.</paratext>
            </para>
            <para>
              <paratext>
                However, several features suitable for larger deals have been incorporated as options. These include provisions for country specific amendments, extension of the benefit of software and services to affiliates and various measures to increase a supplier's liability under the agreement. Some generic concepts such as "affiliates", "control" and 
                <link href="5-107-7468" style="ACTLinkPLCtoPLC">
                  <bold>
                    <ital>VAT</ital>
                  </bold>
                </link>
                 or sales tax have also been included as alternatives to the UK-centric equivalents.
              </paratext>
            </para>
            <para>
              <paratext>Various other provisions have been incorporated, particularly for use when the economic climate is less favourable. These include:</paratext>
            </para>
            <list type="bulleted">
              <list.item>
                <para>
                  <paratext>Provisions for withholding part-payment if there is some dispute over services.</paratext>
                </para>
              </list.item>
              <list.item>
                <para>
                  <paratext>Early payment discounts.</paratext>
                </para>
              </list.item>
              <list.item>
                <para>
                  <paratext>More-favoured customer provisions.</paratext>
                </para>
              </list.item>
              <list.item>
                <para>
                  <paratext>More robust insurance provisions.</paratext>
                </para>
              </list.item>
              <list.item>
                <para>
                  <paratext>An obligation on the supplier to provide financial and management information to the customer.</paratext>
                </para>
              </list.item>
              <list.item>
                <para>
                  <paratext>Provisions addressing transfers following corporate restructuring.</paratext>
                </para>
              </list.item>
            </list>
            <para>
              <paratext>
                Other features of this standard document include broad auditing language to ensure sufficient access for the purposes of compliance with the 
                <link href="3-107-7191" style="ACTLinkPLCtoPLC">
                  <ital>US Sarbanes-Oxley Act of 2002</ital>
                </link>
                 and the customer's preparation of the related SAS 70 Type II report (in each case, if applicable) as well as provisions addressing data protection, data security breach, restoration of lost or corrupted data and ownership of data. There are also provisions relating to international technology export control and the customer's IT system security access procedures when the supplier is carrying out maintenance and support services.
              </paratext>
            </para>
            <para>
              <paratext>The standard document is generally drafted from the perspective of the customer. However, both parties should regard it as being in their own interest to negotiate an agreement that is fairly balanced between the interests of the customer and the supplier, as this will make the project more likely to proceed smoothly with few disputes. A party which feels that it has been forced into a bad bargain by the negotiating strength of the other party is more likely to be looking for a way out if things go wrong. There are almost always implementation problems when software development or integration is involved.</paratext>
            </para>
            <para>
              <paratext>
                For further discussion of the issues that arise in the negotiation of systems integration agreements, see 
                <link href="2-107-4777" style="ACTLinkPLCtoPLC">
                  <ital>Practice note, Main issues in systems integration contracts</ital>
                </link>
                .
              </paratext>
            </para>
            <division id="a279378" level="2">
              <head align="left" preservecase="true">
                <headtext>Consequences for licensors and licensees in the light of UsedSoft decision</headtext>
              </head>
              <para>
                <paratext>
                  See 
                  <link href="6-587-0585" style="ACTLinkPLCtoPLC">
                    <ital>Practice note, Assignment rights in software licences after UsedSoft</ital>
                  </link>
                  .
                </paratext>
              </para>
            </division>
            <division id="a221376" level="2">
              <head align="left" preservecase="true">
                <headtext>Assumptions</headtext>
              </head>
              <para>
                <paratext>This standard document is drafted on the following assumptions:</paratext>
              </para>
              <list type="bulleted">
                <list.item>
                  <para>
                    <paratext>The supplier and the customer are private companies incorporated in England and Wales.</paratext>
                  </para>
                </list.item>
                <list.item>
                  <para>
                    <paratext>The supplier and the customer are limited companies.</paratext>
                  </para>
                </list.item>
                <list.item>
                  <para>
                    <paratext>The agreement is subject to English law.</paratext>
                  </para>
                </list.item>
                <list.item>
                  <para>
                    <paratext>
                      No employees are intended to transfer as part of the systems integration project, and the 
                      <link href="2-505-5915" style="ACTLinkPLCtoPLC">
                        <ital>Transfer of Undertakings (Protection of Employment) Regulations 2006 (SI 2006/246)</ital>
                      </link>
                       (TUPE) do not apply. If there is a risk that TUPE applies, then this should be considered carefully and the agreement amended to reflect the risk. see 
                      <link href="3-380-7946" style="ACTLinkPLCtoPLC">
                        <ital>Practice note, TUPE (1): when does TUPE apply?</ital>
                      </link>
                    </paratext>
                  </para>
                </list.item>
              </list>
              <para>
                <paratext>
                  These standards terms assume that the only services being provided by the supplier are limited to those services set out in 
                  <internal.reference refid="a537942">Schedule 3</internal.reference>
                  , namely maintenance and support, training, consultancy and disaster recovery/business continuity. In particular, it is assumed that the end system will be hosted and operated locally by the customer after being provided "Ready for Service" by the supplier. If the supplier is providing additional services, for example, software as a service, or system hosting, then further service terms should be considered. For more information, see 
                  <link href="4-566-3285" style="ACTLinkPLCtoPLC">
                    <ital>Practice note, Cloud services: overview</ital>
                  </link>
                  .
                </paratext>
              </para>
              <para>
                <paratext>
                  These standard terms do not deal with any issues arising out of the 
                  <link href="2-505-5915" style="ACTLinkPLCtoPLC">
                    <ital>Transfer of Undertakings (Protection of Employment) Regulations 2006 (SI 2006/246)</ital>
                  </link>
                   (TUPE). For more information on when TUPE may apply to service provision changes, as well as appropriate drafting to address the risks of TUPE applying on exit, see 
                  <link anchor="a269079" href="3-623-0753" style="ACTLinkPLCtoPLC">
                    <ital>Standard document, Services agreement (pro-customer): Drafting note: Transfer of employees pursuant to TUPE</ital>
                  </link>
                  .
                </paratext>
              </para>
            </division>
          </division>
          <division id="a146893" level="1">
            <head align="left" preservecase="true">
              <headtext>Legal issues</headtext>
            </head>
            <division id="a147264" level="2">
              <head align="left" preservecase="true">
                <headtext>Intellectual property rights</headtext>
              </head>
              <para>
                <paratext>
                  Software is protected by intellectual property rights (IPRs), namely, copyright and, in some cases, patents (see 
                  <link href="7-202-4703" style="ACTLinkPLCtoPLC">
                    <ital>Practice note, Legal protection of software</ital>
                  </link>
                  ). This means that IPR issues must potentially be considered for three kinds of software in a systems integration agreement:
                </paratext>
              </para>
              <list type="bulleted">
                <list.item>
                  <para>
                    <paratext>Pre-existing software used without modification.</paratext>
                  </para>
                </list.item>
                <list.item>
                  <para>
                    <paratext>Pre-existing software which is to be modified.</paratext>
                  </para>
                </list.item>
                <list.item>
                  <para>
                    <paratext>New software which is to be developed for the customer.</paratext>
                  </para>
                </list.item>
              </list>
            </division>
            <division id="a397691" level="2">
              <head align="left" preservecase="true">
                <headtext>Licence of IPRs</headtext>
              </head>
              <para>
                <paratext>Each party should carry out due diligence before entering into the agreement. The due diligence burden could fall on either the supplier or the customer, or even, in varying degrees, on both. They should find out what the IPR position is, and in particular, what licences are necessary for the project to go ahead, and the effect of the existing contractual terms under the local law applicable to where the services are to be provided. The supplier should also seek to establish what it needs to provide the services, particularly in terms of licences from the customer, third-party licences and its own software.</paratext>
              </para>
              <para>
                <paratext>
                  To use pre-existing software, the customer needs a licence from the owner of the rights in the software (or from someone who has been granted rights to sub-license the software by the owner). Copyright is infringed by a number of acts, including the unauthorised copying of the copyright work. Since the mere act of loading software into a computer involves copying it into the computer's memory, a licence is required even for the most basic use of a computer program. If there is a patent, the use of software which is covered by any valid claim of that patent would also be patent infringement unless it is made under a licence. The precise scope of the licence is, however, a matter for negotiation between the parties (see 
                  <internal.reference refid="a907840">clause 18</internal.reference>
                  ).
                </paratext>
              </para>
              <para>
                <paratext>
                  Making a derivative work can also be an infringement of copyright and, if it comes within a claim of the patent, a patent infringement. Standard software licences almost always exclude, to the extent legally possible, the right to modify the software. While UK law does give a right to decompile software in order to obtain information that is needed to make that program operate with another independent program, this only relates to copyright. In any event it would be unwise to rely on that right, as it is limited and untested in the courts (see 
                  <link href="7-107-4789#a621987" style="ACTLinkPLCtoPLC">
                    <ital>Practice note, Main issues in software licensing and maintenance contracts: Acts specifically permitted</ital>
                  </link>
                  ). To avoid liability for infringement, therefore, the supplier must get the rights-owner's permission for pre-existing software to be modified for use in the customer's system.
                </paratext>
              </para>
            </division>
            <division id="a802295" level="2">
              <head align="left" preservecase="true">
                <headtext>Ownership of IPRs</headtext>
              </head>
              <para>
                <paratext>The issue of ownership of the rights in any newly developed software is usually difficult to resolve. Unless specified to the contrary in the agreement, the default statutory position is that the supplier will own these. The customer often takes the position that, having paid for the software to be developed, it wants to own the rights. However, software is very rarely written from scratch. It is usually constructed using existing modules which the software developer has developed in previous projects and which it will want to use again for other customers. This means that the supplier will not usually agree to transfer ownership of all rights.</paratext>
              </para>
              <para>
                <paratext>There are several approaches to giving each party what it needs:</paratext>
              </para>
              <list type="bulleted">
                <list.item>
                  <para>
                    <paratext>If the customer does not want software for which it has paid to then be sold to a competitor, it could ask the supplier for an exclusive licence to use the program as a whole, but only a non-exclusive licence to use the standard modules embedded in the program. If the supplier then wanted to reuse all or a significant part of the program at a later date, it could offer the customer a reduction in the original price, or a payment for each further copy sold in return for agreement to allow the program to be resold.</paratext>
                  </para>
                </list.item>
                <list.item>
                  <para>
                    <paratext>If the customer wants to be able to maintain the software itself, it should ask to be given a copy of the source code and a licence which covers maintenance.</paratext>
                  </para>
                </list.item>
                <list.item>
                  <para>
                    <paratext>In the unusual case where the customer wants to commercially exploit the software itself, perhaps the best compromise is for the supplier to give the customer wide rights to sub-license. The customer should seek to have these rights free from restrictions, although the supplier will usually want to exert some control over such sub-licensing, which could otherwise damage its business.</paratext>
                  </para>
                </list.item>
              </list>
              <para>
                <paratext>
                  For more information, see 
                  <link anchor="a476195" href="2-107-4777" style="ACTLinkPLCtoPLC">
                    <ital>Practice note, Main issues in systems integration contracts: Ownership of intellectual property rights</ital>
                  </link>
                  .
                </paratext>
              </para>
            </division>
            <division id="a388166" level="2">
              <head align="left" preservecase="true">
                <headtext>IPR indemnity</headtext>
              </head>
              <para>
                <paratext>Performing initial due diligence is prudent. Relevant issues to raise with the supplier include:</paratext>
              </para>
              <list type="bulleted">
                <list.item>
                  <para>
                    <paratext>Its financial resources and reputation.</paratext>
                  </para>
                </list.item>
                <list.item>
                  <para>
                    <paratext>Its litigation history, particularly regarding IPR indemnity claims.</paratext>
                  </para>
                </list.item>
                <list.item>
                  <para>
                    <paratext>
                      Whether its products comprise or derive from open-source software (in particular, software licensed under restrictive open source licence terms, see 
                      <internal.reference refid="a851334">Drafting note, Restrictive open-source code</internal.reference>
                      ).
                    </paratext>
                  </para>
                </list.item>
                <list.item>
                  <para>
                    <paratext>Its track record generally, but particularly regarding the steps it takes to avoid infringement of third-party rights.</paratext>
                  </para>
                </list.item>
                <list.item>
                  <para>
                    <paratext>Its willingness and ability to provide substitute code for the licensed code found to be infringing.</paratext>
                  </para>
                </list.item>
              </list>
              <para>
                <paratext>It would, however, be impractical for the customer to go beyond this and to verify the supplier's claims of ownership of the software and of the right to license its use. Accordingly, the customer must ensure that it is contractually protected if the supplier is not, in fact, so entitled. This protection is necessary in case the IPRs in all or part of the software actually belong to someone else, and the licensor has not given the supplier the right to grant sub-licences. This may happen even where the software was written by the supplier, for example, in cases where it has transferred the IPRs in the software to a previous customer. It can also be relevant if, in writing the software, an employee of the supplier copied code from a pre-existing program belonging to a third party. In those situations, use of the software by the customer would constitute a breach of the third-party IPRs in the software and would expose the customer to the risk of an infringement action.</paratext>
              </para>
              <para>
                <paratext>
                  It is, therefore, usual for the supplier to provide some protection for the customer against claims that the software infringes any third-party IPRs, commonly in the form of a contractual indemnity (see 
                  <internal.reference refid="a192886">clause 33</internal.reference>
                  ). The customer should, if possible, resist any attempt by the supplier to limit this to a capped amount. Suppliers will usually seek to exclude infringement caused by the customer's own activities. While this is reasonable, the customer should ensure that such exclusions are carefully drafted (see 
                  <internal.reference refid="a345775">clause 33.3</internal.reference>
                  ). The supplier should remain liable for infringements arising from use of the software it supplies in conjunction with other software or hardware which it knew was required to implement and use the software, for example, the operating system or standard database software.
                </paratext>
              </para>
              <para>
                <paratext>
                  For more information, see 
                  <link anchor="a735753" href="7-107-4789" style="ACTLinkPLCtoPLC">
                    <ital>Practice note, Main issues in software licensing and maintenance contracts: Intellectual property and indemnities</ital>
                  </link>
                  .
                </paratext>
              </para>
            </division>
            <division id="a566690" level="2">
              <head align="left" preservecase="true">
                <headtext>Warranties</headtext>
              </head>
              <para>
                <paratext>There is uncertainty about whether a contract for the provision of bespoke software is legally classified as a contract for the sale of goods or a contract for the provision of services (although the tax authorities have their own tests). In the case of software development contracts, the classification may depend on the ratio of the value of goods (standard software and hardware) to services (modified and bespoke software) in the contract. The drafter needs to keep in mind the provisions of legislation and case law relating to both types of contract, particularly in the area of warranties and limitation of liability.</paratext>
              </para>
              <para>
                <paratext>
                  A warranty is a contractual assurance or promise, breach of which may give rise to a claim in damages. Software development agreements typically include warranties relating to the supplier's rights to license the software. The customer should insist on warranties as to the performance of the system, so as to ensure that there are legal remedies available to it if there are serious problems with the system's performance. The supplier may be reluctant to offer such warranties, and will generally seek to tie them strictly to demonstrable performance standards which should be contained in an agreed technical specification (see 
                  <internal.reference refid="a566690">Drafting note, Warranties</internal.reference>
                  ). This is not necessarily bad for the customer, as it results in standards of performance which can readily be measured, and failure to meet those standards will be much easier to prove in a dispute.
                </paratext>
              </para>
            </division>
            <division id="a768200" level="2">
              <head align="left" preservecase="true">
                <headtext>Limitation of liability</headtext>
              </head>
              <para>
                <paratext>
                  The supplier will almost always seek to limit (and in some cases exclude) its liability to the customer for breaches of warranties or obligations (see 
                  <internal.reference refid="a566690">Drafting note, Warranties</internal.reference>
                  ). Indeed, a customer should be suspicious if the supplier does not seek to do this, as it tends to indicate that the supplier is desperate for the work and in a financially perilous state. The difficulty is in arriving at a limitation which is reasonable. While any contractual exclusion or limitation of liability may, depending on the circumstances, be subject to the provisions of the 
                  <link href="7-505-7728" style="ACTLinkPLCtoPLC">
                    <ital>Unfair Contract Terms Act 1977</ital>
                  </link>
                   (UCTA), it is risky for the customer to gamble that a court will apply these provisions, particularly where the parties were on equal negotiating terms and the contract was not on the supplier's standard terms and conditions. Although, in most of the cases so far, the court has tended to favour the customer and to hold the supplier to high standards, recent cases show a trend away from this approach. For more information, see 
                  <link anchor="a436073" href="2-107-4777" style="ACTLinkPLCtoPLC">
                    <ital>Practice note, Main issues in systems integration contracts: Exclusions and limitation of liability</ital>
                  </link>
                  .
                </paratext>
              </para>
              <para>
                <paratext>
                  The exception to be aware of is the tort of deceit, illustrated in 
                  <link href="D-012-3452" style="ACTLinkPLCtoPLC">
                    <ital>BSkyB Ltd and another v HP Enterprise Services UK Ltd (formerly Electronic Data Systems Ltd) and another [2010] EWHC 86 (TCC)</ital>
                  </link>
                  . Suppliers should expect their sales and tendering processes to come under closer scrutiny in future, and should take steps to make sure their sales teams are fully aware that they must not make claims during contract negotiations about the supplier's ability to deliver that cannot be backed up.
                </paratext>
              </para>
              <para>
                <paratext>See Practice notes:</paratext>
              </para>
              <list type="bulleted">
                <list.item>
                  <para>
                    <paratext>
                      <link href="7-107-4789#a615351" style="ACTLinkPLCtoPLC">
                        <ital>Main issues in software licensing and maintenance contracts: Limitation of liability</ital>
                      </link>
                      .
                    </paratext>
                  </para>
                </list.item>
                <list.item>
                  <para>
                    <paratext>
                      <link href="2-501-7221#a292899" style="ACTLinkPLCtoPLC">
                        <ital>Drafting standard terms and conditions for the supply of services: Limiting or excluding liability in standard terms and conditions</ital>
                      </link>
                      .
                    </paratext>
                  </para>
                </list.item>
                <list.item>
                  <para>
                    <paratext>
                      <link href="0-107-3646" style="ACTLinkPLCtoPLC">
                        <ital>Supply contracts: overview</ital>
                      </link>
                      .
                    </paratext>
                  </para>
                </list.item>
              </list>
              <para>
                <paratext>Reference should be made to those notes before using this standard document.</paratext>
              </para>
            </division>
            <division id="a764876" level="2">
              <head align="left" preservecase="true">
                <headtext>Customer's liability cap</headtext>
              </head>
              <para>
                <paratext>
                  The Customer should normally cap its own liability at a fixed figure (that may depend on the size of the contract), but the wording in 
                  <internal.reference refid="a718392">clause 33.6</internal.reference>
                   makes it clear that liability to pay any sums due and payable under the agreement is not included in that cap. The types of liability referred to in 
                  <internal.reference refid="a612381">clause 34.1</internal.reference>
                   (liability that it would be unlawful to exclude) are also not included in the cap.
                </paratext>
              </para>
            </division>
            <division id="a634807" level="2">
              <head align="left" preservecase="true">
                <headtext>Acceptance testing</headtext>
              </head>
              <para>
                <paratext>
                  The agreement must make clear the point at which the system is accepted by the customer. This is because after acceptance the customer has no general legal right to reject the software if it is defective and get its money back, and can only sue for damages. The supplier will want to have a legally binding acceptance as early as possible, while the customer should try to delay the point in time at which it must accept the software until it has had time to fully test the software in normal use. Normally a compromise is reached through acceptance testing provisions (see 
                  <internal.reference refid="a192283">Drafting note, System acceptance tests</internal.reference>
                  ).
                </paratext>
              </para>
              <para>
                <paratext>
                  See also 
                  <link anchor="a828977" href="7-107-4789" style="ACTLinkPLCtoPLC">
                    <ital>Practice note, Main issues in software licensing and maintenance contracts: Installation and testing</ital>
                  </link>
                  .
                </paratext>
              </para>
            </division>
            <division id="a811766" level="2">
              <head align="left" preservecase="true">
                <headtext>Reliance and entire agreement clause</headtext>
              </head>
              <para>
                <paratext>The customer should always seek to emphasise in the agreement its reliance on representations made in the supplier's response to the customer's invitation to tender. Suppliers will resist a general recital of reliance and the most they will usually agree to is having the specific representations the customer says it relied on incorporated into the contract. If they are not incorporated, the aim of the entire agreement clause is to exclude representations not in the agreement, so they cannot be relied on in a later dispute.</paratext>
              </para>
              <para>
                <paratext>
                  However, the ruling in 
                  <ital>BSkyB v EDS</ital>
                   should be considered (see 
                  <link href="3-501-4095" style="ACTLinkPLCtoPLC">
                    <ital>Article, Lessons to be learned from BSkyB v EDS</ital>
                  </link>
                  ).
                </paratext>
              </para>
            </division>
            <division id="a926515" level="2">
              <head align="left" preservecase="true">
                <headtext>Payment mechanisms</headtext>
              </head>
              <para>
                <paratext>
                  The payment mechanism provisions are set out in 
                  <internal.reference refid="a841806">clause 15</internal.reference>
                   and 
                  <internal.reference refid="a469523">Schedule 4</internal.reference>
                  . For alternative payment mechanism provisions, see 
                  <link href="8-549-7977" style="ACTLinkPLCtoPLC">
                    <ital>Standard clauses, Payment mechanism: milestone and retention schedule (pro-supplier)</ital>
                  </link>
                  , 
                  <link href="8-549-7944" style="ACTLinkPLCtoPLC">
                    <ital>Payment mechanism: milestone and delay payments schedule (pro-supplier)</ital>
                  </link>
                   and 
                  <link href="0-549-7957" style="ACTLinkPLCtoPLC">
                    <ital>Payment mechanism: time-based fees schedule (pro-supplier)</ital>
                  </link>
                  . For more information on software-related agreements generally, see 
                  <link href="7-107-4789" style="ACTLinkPLCtoPLC">
                    <ital>Practice notes, Main issues in software licensing and maintenance contracts</ital>
                  </link>
                   and 
                  <link href="2-107-4777" style="ACTLinkPLCtoPLC">
                    <ital>Main issues in systems integration contracts</ital>
                  </link>
                  .
                </paratext>
              </para>
            </division>
            <division id="a724663" level="2">
              <head align="left" preservecase="true">
                <headtext>Supply chain issues: slavery and human trafficking</headtext>
              </head>
              <para>
                <paratext>
                  The 
                  <link href="2-607-4606" style="ACTLinkPLCtoPLC">
                    <ital>Modern Slavery Act 2015</ital>
                  </link>
                   (MSA) is aimed at combating crimes of slavery and human trafficking. 
                  <link href="7-608-3825" style="ACTLinkPLCtoPLC">
                    <ital>Section 54</ital>
                  </link>
                   of the MSA requires commercial organisations having a global turnover above £36 million to publish an annual slavery and human trafficking statement for each financial year that ends on or after 31 March 2016. The statement must either disclose what steps the organisation has taken to ensure that human trafficking is not taking place in any of its supply chains or its business; or state that it has taken no such steps. A customer may want to include wording in its supply agreements that have a connection with a supply chain to prohibit the use of forced or trafficked labour.
                </paratext>
              </para>
              <para>
                <paratext>
                  For further information on the MSA including links to example clauses, see 
                  <ital> </ital>
                  <link href="8-618-8657" style="ACTLinkPLCtoPLC">
                    <ital>Modern Slavery Act 2015 toolkit</ital>
                  </link>
                  . See also the integrated drafting notes at 
                  <internal.reference refid="a415450">clause 32.11</internal.reference>
                  .
                </paratext>
              </para>
            </division>
            <division id="a452645" level="2">
              <head align="left" preservecase="true">
                <headtext>Bribery Act 2010</headtext>
              </head>
              <para>
                <paratext>
                  The 
                  <link href="1-503-8422" style="ACTLinkPLCtoPLC">
                    <ital>Bribery Act 2010</ital>
                  </link>
                   (BA 2010) came into force on 1 July 2011. It replaces the existing criminal offences of bribery, and also introduces new offences. It sets out:
                </paratext>
              </para>
              <list type="bulleted">
                <list.item>
                  <para>
                    <paratext>
                      The offence of bribing another person (
                      <link href="1-505-7401" style="ACTLinkPLCtoPLC">
                        <ital>section 1</ital>
                      </link>
                      <ital>, BA 2010</ital>
                      ).
                    </paratext>
                  </para>
                </list.item>
                <list.item>
                  <para>
                    <paratext>
                      The offences relating to being bribed (
                      <link href="3-503-8464" style="ACTLinkPLCtoPLC">
                        <ital>section 2</ital>
                      </link>
                      <ital>, BA 2010</ital>
                      ).
                    </paratext>
                  </para>
                </list.item>
                <list.item>
                  <para>
                    <paratext>
                      The offence of bribing a foreign public official (
                      <link href="5-505-7404" style="ACTLinkPLCtoPLC">
                        <ital>section 6</ital>
                      </link>
                      <ital>, BA 2010</ital>
                      ).
                    </paratext>
                  </para>
                </list.item>
                <list.item>
                  <para>
                    <paratext>
                      The offence of failure of commercial organisations to prevent bribery (
                      <link href="2-505-7405" style="ACTLinkPLCtoPLC">
                        <ital>section 7</ital>
                      </link>
                      <ital>, BA 2010</ital>
                      ).
                    </paratext>
                  </para>
                </list.item>
              </list>
              <para>
                <paratext>
                  Of particular concern is the section 7 corporate offence of failure to prevent bribery by an associated person. A commercial organisation (including a company or partnership) will be guilty of an offence if a person associated with it bribes another person intending to obtain or retain business for the commercial organisation, or to obtain or retain an advantage in the conduct of business for the commercial organisation (
                  <ital>section 7, BA 2010</ital>
                  ).
                </paratext>
              </para>
              <para>
                <paratext>
                  Under the BA 2010, a person (A) is associated with a relevant commercial organisation (C) if A performs services for or on behalf of C (
                  <link href="6-505-7818" style="ACTLinkPLCtoPLC">
                    <ital>section 8</ital>
                  </link>
                  <ital>, BA 2010</ital>
                  ). Although the BA 2010 specifically states that A may be C's employee, subsidiary or agent, it does not matter in what capacity A performs services for or on behalf of C. Whether or not A is a person who performs services for or on behalf of C is to be determined by reference to all the relevant circumstances, and not merely by reference to the nature of the relationship between A and C.
                </paratext>
              </para>
              <para>
                <paratext>Under this definition, a supplier of services will be an associated person to its customer (the commercial organisation). As it is a customer who is at risk of committing the section 7 offence, a supplier should therefore be prepared for its customer raising the issue as part of its selection process and in negotiations:</paratext>
              </para>
              <list type="bulleted">
                <list.item>
                  <para>
                    <paratext>A customer may ask questions about the supplier and its own anti-bribery policies as part of a due diligence exercise.</paratext>
                  </para>
                </list.item>
                <list.item>
                  <para>
                    <paratext>
                      A customer may require comfort in the form of anti-bribery clauses in its agreement with the supplier. For an example, see 
                      <link href="0-350-9991" style="ACTLinkPLCtoPLC">
                        <ital>Standard document, Simple framework services agreement (pro-customer)</ital>
                      </link>
                      . Practitioners acting for suppliers should review these clauses, as they reflect, broadly, typical obligations required by a customer.
                    </paratext>
                  </para>
                </list.item>
                <list.item>
                  <para>
                    <paratext>
                      Suppliers should consider creating and implementing their own anti-bribery and corruption policies (for information, see 
                      <link href="9-502-3153" style="ACTLinkPLCtoPLC">
                        <ital>Practice note, Bribery Act 2010: anti-corruption policies</ital>
                      </link>
                      ). By implementing their own policies and procedures, a supplier can avoid the cost implications and practical difficulties in having to comply with numerous (and potentially significantly different) anti-bribery policies of all its customers. This approach will also provide comfort to a customer that it is dealing with a supplier that takes the BA 2010 seriously.
                    </paratext>
                  </para>
                </list.item>
                <list.item>
                  <para>
                    <paratext>The supplier's own policies and procedures should be annexed to their own standard form commercial agreements which fall into scope of the section 7 offence.</paratext>
                  </para>
                </list.item>
                <list.item>
                  <para>
                    <paratext>If amending a customer's anti-bribery clauses to reduce their strength (for example, by making them warranties), a supplier should note that a well advised customer is very likely to reject this approach in negotiations, as it will rightly point out that it is the party who risks committing the criminal offence under section 7 of the BA 2010.</paratext>
                  </para>
                </list.item>
                <list.item>
                  <para>
                    <paratext>
                      Where the arrangement includes a supply chain, so that the supplier is appointing subcontractors to perform services, a supplier will need to do appropriate anti-bribery due diligence on such subcontractors, and require the subcontractors to comply with any anti-bribery obligations imposed by a customer. For further information, see the discussion on supply chain issues in 
                      <link href="5-504-3582" style="ACTLinkPLCtoPLC">
                        <ital>Standard clause, Anti-bribery clause (long form)</ital>
                      </link>
                      .
                    </paratext>
                  </para>
                </list.item>
              </list>
              <para>
                <paratext>
                  For information and all PLC materials on bribery, see 
                  <link href="9-503-9451" style="ACTLinkPLCtoPLC">
                    <ital>Practice note, Bribery Act 2010: toolkit</ital>
                  </link>
                  .
                </paratext>
              </para>
            </division>
            <division id="a332195" level="2">
              <head align="left" preservecase="true">
                <headtext>Data protection</headtext>
              </head>
              <para>
                <paratext>
                  Where 
                  <link href="8-200-3413" style="ACTLinkPLCtoPLC">
                    <ital>personal data</ital>
                  </link>
                   will be processed under this agreement, the parties will need to consider the impact of any applicable data protection legislation and, where appropriate, suitable data protection clauses will need to be inserted at 
                  <internal.reference refid="a430071">clause 28</internal.reference>
                   or, alternatively, as part of a data protection schedule to be annexed to this agreement.
                </paratext>
              </para>
              <para>
                <paratext>The clauses which are appropriate to include, in each case, will depend upon the relationship of the parties, the context of the processing, and the capacity in which each party processes the personal data.</paratext>
              </para>
              <para>
                <paratext>For some specimen personal data processing clauses designed for use in an IT agreement, see:</paratext>
              </para>
              <list type="bulleted">
                <list.item>
                  <para>
                    <paratext>
                      <link href="w-027-4499" style="ACTLinkPLCtoPLC">
                        <ital>Standard clause, Personal data processing clauses for IT agreements (UK) (pro-customer version)</ital>
                      </link>
                      .
                    </paratext>
                  </para>
                </list.item>
                <list.item>
                  <para>
                    <paratext>
                      <link href="w-026-6854" style="ACTLinkPLCtoPLC">
                        <ital>Standard clause, Personal data processing clauses for IT agreements (UK) (pro-supplier version)</ital>
                      </link>
                      .
                    </paratext>
                  </para>
                </list.item>
              </list>
              <para>
                <paratext>Each set of clauses provide alternative options to cater for different processing scenarios.</paratext>
              </para>
              <para>
                <paratext>
                  For a note setting out the key issues to address when considering the impact of the UK and EU data protection legislation on rights and obligations commonly found in IT contracts, see 
                  <link href="w-027-2423" style="ACTLinkPLCtoPLC">
                    <ital>Practice note, Data protection issues in IT contracts</ital>
                  </link>
                  .
                </paratext>
              </para>
            </division>
            <division id="a240691" level="2">
              <head align="left" preservecase="true">
                <headtext>Network and Information Systems Regulations 2018</headtext>
              </head>
              <para>
                <paratext>
                  The parties should consider any obligations they may have under the 
                  <link href="w-014-4419" style="ACTLinkPLCtoPLC">
                    <ital>Network and Information Systems Regulations 2018 (SI 2018/506)</ital>
                  </link>
                   (NIS Regulations. The NIS Regulations specify minimum cybersecurity standards and obligations that apply to certain operators of essential services in the key sectors of energy, transport, health, drinking water supply and distribution, and digital infrastructure, and relevant digital service providers (namely, cloud computing service providers, online search engines and online marketplaces). The NIS Regulations do not set out prescriptive cybersecurity requirements. The parties must assess any compliance obligations required depending on the cybersecurity risk which is identified. For more information, see 
                  <link href="w-013-8329" style="ACTLinkPLCtoPLC">
                    <ital>Practice note, Cybersecurity Directive: UK implementation</ital>
                  </link>
                  .
                </paratext>
              </para>
              <para>
                <paratext>
                  Like the 
                  <link href="w-026-8528" style="ACTLinkPLCtoPLC">
                    <ital>UK GDPR</ital>
                  </link>
                  , the NIS Regulations impose security and incident reporting requirements and provide for high penalties (up to £17 million in the case of the NIS Regulations), but their focus is on security of IT systems, rather than security of the personal data processed by those systems; in practice the two regimes are inextricably linked.
                </paratext>
              </para>
              <para>
                <paratext>The banking and financial market infrastructures sectors were omitted from the NIS Regulations although they fall within the Cybersecurity Directive. The UK government stated in its consultation on implementation of the Directive that competent authorities for these sectors would not be identified. Firms and financial market infrastructure within these sectors must continue to adhere to requirements and standards as set by the Bank of England and the Financial Conduct Authority.</paratext>
              </para>
              <para>
                <paratext>
                  For a definition of an OES see 
                  <link anchor="a873370" href="w-013-8329" style="ACTLinkPLCtoPLC">
                    <ital>Practice note, Cybersecurity Directive: UK implementation: Identification or Designation as an OES</ital>
                  </link>
                   and for a definition of an RDSP see 
                  <link anchor="a375008" href="w-013-8329" style="ACTLinkPLCtoPLC">
                    <ital>Practice note, Cybersecurity Directive: UK implementation: Identification as an RDSP</ital>
                  </link>
                  .
                </paratext>
              </para>
              <para>
                <paratext>OESs and RDSPs have obligations to maintain the security of the systems on which their services rely and to report security incidents to their respective regulators (the ICO is the regulator for RDSPs and Schedule 1 of the NIS Regulations lists the regulators for OESs).</paratext>
              </para>
              <para>
                <paratext>You will need to assess whether your agreement is affected by the NIS Regulations, either directly, because one of the parties falls within the scope of the NIS Regulations, or indirectly, because your agreement is further up a supply chain that includes an entity within the scope of those regulations.</paratext>
              </para>
              <para>
                <paratext>If the customer is an OES or a RDSP, the supplier's system might be implicated in their obligations under the NIS Regulations. During systems integration work the customer and supplier systems are likely to interface with each other, particularly during the acceptance testing phase. Each party is likely to carry out a range of tests and the supplier is likely to provide a variety of online development tools for this purpose. Test data is likely to include actual personal data at some point and this is when a security breach may have significant compliance consequences for OESs and RDSPs under the NIS Regulations, as well as any applicable data protection legislation. The customer will want to ensure that the supplier co-operates in the event of a security incident.</paratext>
              </para>
              <para>
                <paratext>
                  Please see 
                  <internal.reference refid="a446471">clause 29</internal.reference>
                   for some example provisions that could be included if the NIS Regulations apply.
                </paratext>
              </para>
              <para>
                <paratext>
                  In addition, the National Cyber Security Centre (NCSC) has published guidance for OESs which includes advice on how to pass obligations up the supply chain and what considerations should be made in different circumstances (see 
                  <link href="https://www.ncsc.gov.uk/collection/nis-directive" style="ACTLinkURL">
                    <ital>Guidance on implementing the EU Directive on the security of Network and Information Systems</ital>
                  </link>
                  ).
                </paratext>
              </para>
              <para>
                <paratext>The customer should also refer to any specific guidance issued by the regulator for the specific OES sector or by the ICO for RDSPs and any applicable guidance for the banking and financial market infrastructures sectors.</paratext>
              </para>
            </division>
            <division id="a826015" level="2">
              <head align="left" preservecase="true">
                <headtext>Product Security and Telecommunications Infrastructure Act 2022</headtext>
              </head>
              <para>
                <paratext>
                  The 
                  <link href="w-037-9685" style="ACTLinkPLCtoPLC">
                    <ital>Product Security and Telecommunications Infrastructure Act 2022</ital>
                  </link>
                   (PSTIA 2022) is framework legislation only, but implementing regulations passed during 2023 bring Part 1 of the PSTIA 2022 fully into force from 29 April 2024. Obligations for in scope products include periodic security updates, password administration and vulnerability management (see 
                  <link anchor="a282968" href="5-616-1485" style="ACTLinkPLCtoPLC">
                    <ital>Practice notes, UK cybersecurity law: Product Security and Telecommunications Infrastructure Act 2022</ital>
                  </link>
                   and 
                  <link href="w-039-2845" style="ACTLinkPLCtoPLC">
                    <ital>Cybersecurity requirements for consumer connectable products under Part 1 of Product Security and Telecommunications Infrastructure Act 2022 (UK)</ital>
                  </link>
                  ).
                </paratext>
              </para>
              <para>
                <paratext>While in-scope products are generally limited to consumer products which can connect to the internet or other networks, and can transmit and receive digital data, with examples including smartphones, smart TVs, smart speakers, connected baby monitors and connected alarm systems, the PSTIA 2022 is also potentially relevant to software embedded in such devices, where those devices are being used for business purposes (but where identical products have also been marketed to consumers).</paratext>
              </para>
              <para>
                <paratext>
                  At the EU level, similar provisions are set to be introduced under the current proposals for a Cyber Resilience Act (see 
                  <link href="w-036-9357" style="ACTLinkPLCtoPLC">
                    <ital>Legal update, Cybersecurity: European Commission adopts proposal for Cyber Resilience Act (full update)</ital>
                  </link>
                  ).
                </paratext>
              </para>
              <para>
                <paratext>The parties will need to consider whether the obligations contained in this agreement are compatible with (and do not override) any mandatory obligations that are imposed on manufacturers, importers and distributors under this legislation.</paratext>
              </para>
            </division>
            <division id="a112512" level="2">
              <head align="left" preservecase="true">
                <headtext>Competition issues</headtext>
              </head>
              <para>
                <paratext>
                  Under UK competition law, a party's refusal to license materials protected by IPRs to third parties can in certain circumstances be challenged under Chapter II of the 
                  <link href="https://uk.practicallaw.thomsonreuters.com/5-505-5914?originationContext=document&amp;amp;transitionType=PLDocumentLink&amp;amp;contextData=%28sc.Default%29&amp;amp;comp=pluk" style="ACTLinkURL">
                    <ital>Competition Act 1998</ital>
                  </link>
                   (Competition Act), The Chapter II prohibition is based on Article 102 of 
                  <ital>the Treaty on the Functioning of the European Union </ital>
                  (TFEU), and prohibits abuses of dominance in a market which may have an effect on trade within the UK or any part of it.
                </paratext>
              </para>
              <para>
                <paratext>In addition, Chapter I of the Competition Act, based on Article 101 of the TFEU, prohibits anti-competitive agreements between undertakings (that is, any natural or legal person carrying on economic activities, including companies, sole traders and trading divisions of public bodies), which have the object or effect of restricting competition within the UK and which affect trade within the UK or any part of it.</paratext>
              </para>
              <para>
                <paratext>Entering into an agreement that breaches UK competition law can result in:</paratext>
              </para>
              <list type="bulleted">
                <list.item>
                  <para>
                    <paratext>The agreement (or particular sections of it) being null and void.</paratext>
                  </para>
                </list.item>
                <list.item>
                  <para>
                    <paratext>The parties being subject to investigation and enforcement proceedings by UK competition authority, the Competition and Markets Authority (CMA).</paratext>
                  </para>
                </list.item>
                <list.item>
                  <para>
                    <paratext>Potential exposure to large fines and private actions for damages.</paratext>
                  </para>
                </list.item>
              </list>
              <para>
                <paratext>
                  The EU competition rules (Articles 101 and 102 of the TFEU) will continue to apply, at the end of the 
                  <link href="w-023-9796" style="ACTLinkPLCtoPLC">
                    <ital>UK-EU transition period</ital>
                  </link>
                  , to agreements or conduct of UK companies that have an effect within the EU, see 
                  <link href="w-016-5380" style="ACTLinkPLCtoPLC">
                    <ital>Practice note, Extraterritorial application of EU competition law</ital>
                  </link>
                  .
                </paratext>
              </para>
              <para>
                <paratext>
                  At the EU level, an agreement that is caught by Article 101(1) TFEU may nevertheless escape prohibition (and therefore voidness) under Article 101(3) TFEU if it subject to either an individual or block exemption. For more information, see 
                  <link anchor="a1037249" href="0-107-3707" style="ACTLinkPLCtoPLC">
                    <ital>Practice note, Competition regime: Article 101: Exemption under Article 101(3)</ital>
                  </link>
                  .
                </paratext>
              </para>
              <para>
                <paratext>
                  In the UK, 
                  <link href="0-107-6961" style="ACTLinkPLCtoPLC">
                    <ital>Parallel exemptions</ital>
                  </link>
                   apply to agreements which are covered by an EU Commission individual or block exemption under Article 101(3) of the TFEU, or would be covered by an EU Commission block exemption if the agreement had an appreciable effect on trade between EU member states. Agreements covered by parallel exemptions are automatically exempt from the Chapter I prohibition. After the end of the transition period, the EU block exemptions were adopted into UK law as "retained exemptions", with their same expiry date, but domesticated to remove EU references. As a result, agreements that currently enjoy a safe harbour under one of these parallel block exemptions will continue to do so post-transition period. Going forward, companies entering into new agreements after December 2020 will also be able to benefit from the retained exemptions, provided they meet the relevant criteria. However, companies should be aware that UK courts and authorities may be able to divert from previous EU interpretation of the block exemptions, most likely where there are material differences in UK and EU legislation or markets, even if this is initially unlikely. Looking to the future, some divergence between EU and UK competition law may be expected as the application of EU and UK competition develops. The Secretary of State will have the power to vary (including to extend) or revoke the application of the retained exemptions.
                </paratext>
              </para>
              <para>
                <paratext>
                  In the licensing context, 
                  <link href="http://eur-lex.europa.eu/legal-content/EN/TXT/PDF/?uri=OJ:L:2014:093:FULL&amp;amp;from=EN" style="ACTLinkURL">
                    <ital>Commission Regulation (EU) 316/2014</ital>
                  </link>
                   on the application of Article 101(3) of the TFEU to categories of technology transfer agreements (the technology transfer block exemption regulation (TTBER)) is particularly relevant.
                </paratext>
              </para>
              <para>
                <paratext>
                  Under the TTBER, the EU Commission has removed the concept of a "severable improvement". All exclusive grant-backs fall outside the scope of the TTBER and will require an individual assessment under Article 101(3) of the TFEU. An exclusive grant back is defined as a grant back which prevents the licensee (which is the innovator and licensor of the improvement in this case) from exploiting the improvement (either for its own production or for licensing to third parties). However, non-exclusive grant back obligations are still covered by the TTBER. For more information, see 
                  <link href="3-561-9245" style="ACTLinkPLCtoPLC">
                    <ital>Legal update Commission adopts new technology transfer block exemption and guidelines</ital>
                  </link>
                  .
                </paratext>
              </para>
              <para>
                <paratext>For more information, see the following Practice notes:</paratext>
              </para>
              <list type="bulleted">
                <list.item>
                  <para>
                    <paratext>
                      <link href="0-566-9265" style="ACTLinkPLCtoPLC">
                        <ital>Competition law in copyright exploitation</ital>
                      </link>
                      .
                    </paratext>
                  </para>
                </list.item>
                <list.item>
                  <para>
                    <paratext>
                      <link href="0-107-3689" style="ACTLinkPLCtoPLC">
                        <ital>Transactions and practices: UK Intellectual property transactions</ital>
                      </link>
                      .
                    </paratext>
                  </para>
                </list.item>
                <list.item>
                  <para>
                    <paratext>
                      <link href="7-107-3704" style="ACTLinkPLCtoPLC">
                        <ital>Transactions and practices: EU Intellectual property transactions</ital>
                      </link>
                      .
                    </paratext>
                  </para>
                </list.item>
                <list.item>
                  <para>
                    <paratext>
                      <link href="https://uk.practicallaw.thomsonreuters.com/w-019-1992?originationContext=document&amp;amp;transitionType=DocumentItem&amp;amp;contextData=(sc.Default)" style="ACTLinkURL">Brexit: implications for UK merger control</link>
                    </paratext>
                  </para>
                </list.item>
                <list.item>
                  <para>
                    <paratext>
                      <link href="https://uk.practicallaw.thomsonreuters.com/w-019-5177?originationContext=document&amp;amp;transitionType=DocumentItem&amp;amp;contextData=(sc.Default)" style="ACTLinkURL">Brexit: implications for UK competition law enforcement</link>
                    </paratext>
                  </para>
                </list.item>
                <list.item>
                  <para>
                    <paratext>
                      <link href="https://uk.practicallaw.thomsonreuters.com/w-023-7594?originationContext=document&amp;amp;transitionType=DocumentItem&amp;amp;contextData=(sc.Default)" style="ACTLinkURL">Brexit: competition law transition period quick guide</link>
                    </paratext>
                  </para>
                </list.item>
              </list>
            </division>
          </division>
          <division id="a938507" level="1">
            <head align="left" preservecase="true">
              <headtext>Negotiating and drafting issues</headtext>
            </head>
            <division id="a992116" level="2">
              <head align="left" preservecase="true">
                <headtext>Bargaining power of parties</headtext>
              </head>
              <para>
                <paratext>
                  There are often significant differences in size and bargaining power between parties to system integration agreements. There are a few very large suppliers of IT services who have considerable experience in most of the usual types of system integration projects. They tend to have standard terms which are favourable to them and refuse to make any significant changes except for very large customers, such as national governments. On the other hand, there are small specialised supplier firms who have to deal with customers who are much more powerful than themselves, for example, such firms with expertise in very sophisticated financial software may be negotiating with large and powerful banks and financial institutions. In practice, it is not in the long-term interest of the more powerful party to insist on a one-sided contract, as this tends to lead to disputes. Where the contract is obviously unfair, the courts are more likely to apply 
                  <link href="7-505-7728" style="ACTLinkPLCtoPLC">
                    <ital>UCTA</ital>
                  </link>
                   and other legal principles in favour of the weaker party.
                </paratext>
              </para>
            </division>
            <division id="a183831" level="2">
              <head align="left" preservecase="true">
                <headtext>Structure and content of agreement</headtext>
              </head>
              <para>
                <paratext>The standard document covers all types of software supply, including:</paratext>
              </para>
              <list type="bulleted">
                <list.item>
                  <para>
                    <paratext>Standard software owned by the supplier or third parties which is to be used without modifications.</paratext>
                  </para>
                </list.item>
                <list.item>
                  <para>
                    <paratext>Standard software to be modified for use by the customer.</paratext>
                  </para>
                </list.item>
                <list.item>
                  <para>
                    <paratext>Software specially developed for the customer.</paratext>
                  </para>
                </list.item>
              </list>
              <para>
                <paratext>Modifications to the standard document may be required, depending on what the supplier is providing.</paratext>
              </para>
              <para>
                <paratext>
                  For the supplier who is also going to provide maintenance of all or part of the software, a simple set of maintenance provisions can be found in 
                  <internal.reference refid="a504255">clause 22</internal.reference>
                  . If these provisions suffice, then 
                  <internal.reference refid="a530347">clause 9.2(a)</internal.reference>
                   and 
                  <internal.reference refid="a843026">Part A: Services</internal.reference>
                   of 
                  <internal.reference refid="a537942">Schedule 3</internal.reference>
                   should be deleted. Where more complicated terms are required (for example, where the software is critical to the customer's business and more detailed response time requirements are needed), it may be advisable to put the maintenance provisions in a separate, annexed contract. If the supplier is to provide such services under the agreement, then 
                  <internal.reference refid="a504255">clause 22</internal.reference>
                   and the definitions of Defect, Maintenance Agreement, New Release, Normal Working Hours, Support Commencement Date and Supported Software should be removed. 
                  <internal.reference refid="a530347">clause 9.2(a)</internal.reference>
                   should also be amended accordingly and the maintenance and support agreement should be attached as 
                  <internal.reference refid="a212587">Annex J</internal.reference>
                  .
                </paratext>
              </para>
              <para>
                <paratext>It will be simpler to prepare the agreement if all the variables are put into schedules or appendices so that the main text of the agreement can be used for each customer without having to be amended. In addition to the contractual terms and conditions, there will normally be:</paratext>
              </para>
              <list type="bulleted">
                <list.item>
                  <para>
                    <paratext>A functional specification (termed Business Requirements Specification in this document), setting out what the software is to do and the business requirements it must fulfil.</paratext>
                  </para>
                </list.item>
                <list.item>
                  <para>
                    <paratext>An acceptance testing procedure.</paratext>
                  </para>
                </list.item>
                <list.item>
                  <para>
                    <paratext>A project implementation plan, including a timetable.</paratext>
                  </para>
                </list.item>
              </list>
              <para>
                <paratext>In addition, there may be one or more of the following:</paratext>
              </para>
              <list type="bulleted">
                <list.item>
                  <para>
                    <paratext>A technical specification of the software.</paratext>
                  </para>
                </list.item>
                <list.item>
                  <para>
                    <paratext>A change control procedure (if this is not dealt with in the body of the agreement).</paratext>
                  </para>
                </list.item>
                <list.item>
                  <para>
                    <paratext>A dispute resolution procedure or arbitration procedure, if this is not dealt with in the body of the agreement.</paratext>
                  </para>
                </list.item>
                <list.item>
                  <para>
                    <paratext>A specification of the documentation to be provided.</paratext>
                  </para>
                </list.item>
                <list.item>
                  <para>
                    <paratext>A specification of additional services (such as training, business continuity and disaster recovery) that are to be provided.</paratext>
                  </para>
                </list.item>
                <list.item>
                  <para>
                    <paratext>A payments schedule.</paratext>
                  </para>
                </list.item>
                <list.item>
                  <para>
                    <paratext>A contract for ongoing maintenance of all or part of the software, although (as in the standard document) if the arrangement is simple, this may also be dealt with in the agreement itself.</paratext>
                  </para>
                </list.item>
                <list.item>
                  <para>
                    <paratext>One or more source code escrow agreements.</paratext>
                  </para>
                </list.item>
                <list.item>
                  <para>
                    <paratext>A copy of the customer's invitation to tender and the supplier's proposal. The customer should insist on having these documents form part of the agreement if possible, as they may contain representations that the customer relied on in selecting the supplier. If they are to be included, they should be added as an annex, and it is vital to ensure that they are all properly incorporated by reference into the agreement. The parties must also ensure that any potential conflict between the provisions of these documents is dealt with by specifying an order of precedence between them, and their place in that order will have to be negotiated.</paratext>
                  </para>
                </list.item>
              </list>
            </division>
            <division id="a281050" level="2">
              <head align="left" preservecase="true">
                <headtext>Drafting for environmental sustainability</headtext>
              </head>
              <para>
                <paratext>
                  The 
                  <link href="https://chancerylaneproject.org/about/" style="ACTLinkURL">
                    <ital>Chancery Lane Project</ital>
                  </link>
                   (TCLP) brings together legal professionals to create model climate clauses that lawyers, businesses and governments can use in commercial contracts and transactions to help fight climate change and support the move towards achieving net zero. TCLP is independent of any professional body or practice and is politically neutral. It has published 
                  <link href="https://chancerylaneproject.org/climate-clauses/carbon-change-rights-carbon-footprint-reduction-mutual-notification-right-carbon-footprint-reduction-notice/" style="ACTLinkURL">
                    <ital>Zain’s Clause: Carbon Footprint Reduction - Mutual Notification Right (Carbon Footprint Reduction Notice)</ital>
                  </link>
                   which may be integrated into this agreement to allow the parties to adjust their obligations so as to become “lower carbon”, and/or to require their counterparty to do the same.
                </paratext>
              </para>
              <para>
                <paratext>Other model clauses are freely available for incorporation into law firm precedents and commercial agreements.</paratext>
              </para>
            </division>
            <division id="a696007" level="2">
              <head align="left" preservecase="true">
                <headtext>Brexit</headtext>
              </head>
              <para>
                <paratext>
                  On 31 January 2020 (
                  <link href="https://1.next.westlaw.com/Document/I058b7d0e89d011e8a5b3e3d9e23d7429/View/FullText.html?originationContext=document&amp;amp;transitionType=DocumentItem&amp;amp;ppcid=ea4156ebfba94e05992fecd56fe3d415&amp;amp;contextData=(sc.Default)" style="ACTLinkURL">
                    <ital>exit day</ital>
                  </link>
                  ), the UK left the EU and the UK-EU withdrawal agreement entered into force. Following the end of the transition period at 11.00 pm UK time on 31 December 2020, 
                  <link href="https://1.next.westlaw.com/Document/I59cd196f4d6111e9adfea82903531a62/View/FullText.html?originationContext=document&amp;amp;transitionType=DocumentItem&amp;amp;ppcid=ea4156ebfba94e05992fecd56fe3d415&amp;amp;contextData=(sc.Default)" style="ACTLinkURL">
                    <bold>
                      <ital>retained EU law</ital>
                    </bold>
                  </link>
                   was created, the remaining withdrawal agreement provisions came into operation, and the 
                  <link href="https://1.next.westlaw.com/Document/I4ed30651502711ebbea4f0dc9fb69570/View/FullText.html?originationContext=document&amp;amp;transitionType=DocumentItem&amp;amp;ppcid=ea4156ebfba94e05992fecd56fe3d415&amp;amp;contextData=(sc.Default)" style="ACTLinkURL">
                    <bold>
                      <ital>future relationship agreements</ital>
                    </bold>
                  </link>
                   (including the UK-EU trade and co-operation agreement) started to apply on a provisional basis, eventually entering into force at 11.00 pm (UK time) on 30 April 2021. This resource has been reviewed and reflects the position from the end of the transition period.
                </paratext>
              </para>
              <para>
                <paratext>
                  For general information on the withdrawal agreement, future relationship agreements, and the operation of UK law following the end of the transition period, see 
                  <link href="w-013-0603" style="ACTLinkPLCtoPLC">
                    <ital>UK legal change post-transition and UK-EU agreements toolkit</ital>
                  </link>
                   and Practical Law’s 
                  <link href="_new" style="ACTLinkPLCtoPLC">
                    <ital>Brexit page</ital>
                  </link>
                  .
                </paratext>
              </para>
              <para>
                <paratext>For more information on the impact of Brexit on the specific practice areas covered by this resource, see:</paratext>
              </para>
              <list type="bulleted">
                <list.item>
                  <para>
                    <paratext>
                      <link href="https://uk.practicallaw.thomsonreuters.com/w-017-3813?originationContext=document&amp;amp;transitionType=DocumentItem&amp;amp;contextData=(sc.Default)" style="ACTLinkURL">
                        <ital>Brexit: implications for intellectual property rights</ital>
                      </link>
                      .
                    </paratext>
                  </para>
                </list.item>
                <list.item>
                  <para>
                    <paratext>
                      <link anchor="co_anchor_a871801" href="https://uk.practicallaw.thomsonreuters.com/3-107-3683?originationContext=document&amp;amp;transitionType=DocumentItem&amp;amp;contextData=(sc.Default)" style="ACTLinkURL">
                        <ital>Overview: UK competition law: Brexit and competition law</ital>
                      </link>
                      .
                    </paratext>
                  </para>
                </list.item>
              </list>
            </division>
          </division>
        </drafting.note>
        <cover.sheet>
          <head align="left" preservecase="true">
            <headtext>Systems integration agreement</headtext>
          </head>
          <party.name>Party 1</party.name>
          <AdditionalPartyType>
            <static.and>and</static.and>
            <party.name>Party 2</party.name>
          </AdditionalPartyType>
        </cover.sheet>
        <intro default="true">
          <intro.date>This agreement is dated [DATE]</intro.date>
        </intro>
        <parties>
          <head align="left" preservecase="true">
            <headtext>PARTIES</headtext>
          </head>
          <drafting.note id="a561431" jurisdiction="">
            <head align="left" preservecase="true">
              <headtext>Parties</headtext>
            </head>
            <division id="a000013" level="1">
              <para>
                <paratext>
                  The correct corporate entity must be identified as the "customer". This is particularly important when one member of a group is negotiating to procure a system to be used by other members of the group, because the licence granted for use of the software must extend to these other companies (see 
                  <internal.reference refid="a907840">clause 18</internal.reference>
                  ). The other users should be named in the definition of "customer" or one company should contract on behalf of other members of its group and ensure that the benefit of the licence is extended to them under 
                  <internal.reference refid="a616533">clause 18.1</internal.reference>
                   and 
                  <internal.reference refid="a447869">clause 49</internal.reference>
                  . The latter alternative is likely to be less burdensome where many affiliates will be using the software. In either case, the various customer affiliates will need to agree among themselves to apportion the payment obligations and what invoicing and other arrangements need to be put in place between the customer-contracting entity and the supplier to channel funds and documentation appropriately.
                </paratext>
              </para>
              <para>
                <paratext>If one company contracts on behalf of other members of its group, the supplier should require proof that the contracting company has sufficient control over the other users to ensure that they will comply with the terms and conditions in the agreement (particularly those relating to use of the system and confidential information), otherwise those users should also be made party to the agreement.</paratext>
              </para>
            </division>
          </drafting.note>
          <party executionmethod="contract" id="a149737" status="company">
            <identifier>(1)</identifier>
            <defn.item>
              <defn>
                <para>
                  <paratext>[FULL COMPANY NAME] incorporated and registered in England and Wales with company number [NUMBER] whose registered office is at [REGISTERED OFFICE ADDRESS]</paratext>
                </para>
              </defn>
              <defn.term>Supplier</defn.term>
            </defn.item>
          </party>
          <party executionmethod="contract" id="a424026" status="company">
            <identifier>(2)</identifier>
            <defn.item>
              <defn>
                <para>
                  <paratext>[FULL COMPANY NAME] incorporated and registered in England and Wales with company number [NUMBER] whose registered office is at [REGISTERED OFFICE ADDRESS]</paratext>
                </para>
              </defn>
              <defn.term>Customer</defn.term>
            </defn.item>
          </party>
        </parties>
        <operative xrefname="clause">
          <head align="left" preservecase="true">
            <headtext>Agreed terms</headtext>
          </head>
          <clause id="a458370">
            <identifier>1.</identifier>
            <head align="left" preservecase="true">
              <headtext>Interpretation</headtext>
            </head>
            <drafting.note id="a135174" jurisdiction="">
              <head align="left" preservecase="true">
                <headtext>Interpretation</headtext>
              </head>
              <division id="a000014" level="1">
                <para>
                  <paratext>
                    See 
                    <link href="5-107-3795" style="ACTLinkPLCtoPLC">
                      <ital>Standard clause, Interpretation</ital>
                    </link>
                    .
                  </paratext>
                </para>
              </division>
            </drafting.note>
            <para>
              <paratext>The definitions and rules of interpretation in this clause apply in this agreement.</paratext>
            </para>
            <subclause1 id="a699321">
              <identifier>1.1</identifier>
              <para>
                <paratext>Definitions:</paratext>
              </para>
              <defn.item id="a647618">
                <defn.term>Acceptance Certificate</defn.term>
                <defn>
                  <para>
                    <paratext>
                      the certificate to be signed by the Customer under 
                      <internal.reference refid="a199717">clause 13(a)</internal.reference>
                      .
                    </paratext>
                  </para>
                </defn>
              </defn.item>
              <defn.item id="a658098">
                <defn.term>Acceptance Date</defn.term>
                <defn>
                  <para>
                    <paratext>
                      the date on which the Acceptance Certificate is issued by the Customer under 
                      <internal.reference refid="a199717">clause 13(a)</internal.reference>
                      .
                    </paratext>
                  </para>
                </defn>
              </defn.item>
              <defn.item id="a415146">
                <defn.term>Acceptance Tests</defn.term>
                <defn>
                  <para>
                    <paratext>
                      the tests of the System after installation to be agreed in accordance with 
                      <internal.reference refid="a410203">clause 12</internal.reference>
                       and annexed as 
                      <internal.reference refid="a180127">Annex F</internal.reference>
                      .
                    </paratext>
                  </para>
                </defn>
              </defn.item>
              <defn.item id="a839487">
                <defn.term>Affiliate</defn.term>
                <defn>
                  <para>
                    <paratext>
                      includes [in relation to either party, each and any subsidiary or holding company of that party and each and any subsidiary of a holding company of that party 
                      <bold>OR</bold>
                       either party or any business entity from time to time controlling, controlled by, or under common control with, either party].
                    </paratext>
                  </para>
                </defn>
                <drafting.note id="a845863" jurisdiction="">
                  <head align="left" preservecase="true">
                    <headtext>Affiliate</headtext>
                  </head>
                  <division id="a000015" level="1">
                    <para>
                      <paratext>
                        This generic definition may appeal to those less familiar with UK law more than definitions reliant on statutory provisions. However, UK statutory definitions may be used as an alternative, specifically "subsidiary" and "subsidiary undertaking" under 
                        <link href="9-506-6618" style="ACTLinkPLCtoPLC">
                          <ital>sections 736</ital>
                        </link>
                         and 
                        <link href="2-505-5232" style="ACTLinkPLCtoPLC">
                          <ital>1162(2)</ital>
                        </link>
                         of the 
                        <link href="3-503-8567" style="ACTLinkPLCtoPLC">
                          <ital>Companies Act 2006</ital>
                        </link>
                        . A subsidiary undertaking is defined much more widely than a subsidiary. See 
                        <internal.reference refid="a766572">clause 1.7</internal.reference>
                        .
                      </paratext>
                    </para>
                  </division>
                </drafting.note>
              </defn.item>
              <defn.item id="a856125">
                <defn.term>Bespoke Software</defn.term>
                <defn>
                  <para>
                    <paratext>
                      any software programs developed by the Supplier specifically for the Customer as part of the System and listed in 
                      <internal.reference refid="a809076">Schedule 1</internal.reference>
                      .
                    </paratext>
                  </para>
                </defn>
              </defn.item>
              <defn.item id="a969305">
                <defn.term>Business Day</defn.term>
                <defn>
                  <para>
                    <paratext>a day, other than a Saturday, Sunday or public holiday in England, when banks in London are open for business.</paratext>
                  </para>
                </defn>
              </defn.item>
              <defn.item id="a371430">
                <defn.term>Business Hours</defn.term>
                <defn>
                  <para>
                    <paratext>the period from [9.00 am to 5.00 pm] on any Business Day.</paratext>
                  </para>
                </defn>
              </defn.item>
              <defn.item id="a110795">
                <defn.term>Business</defn.term>
                <defn>
                  <para>
                    <paratext>
                      the business of the Customer [or any of its Affiliates] as specified in 
                      <internal.reference refid="a472006">Schedule 5</internal.reference>
                      .
                    </paratext>
                  </para>
                </defn>
                <drafting.note id="a344503" jurisdiction="">
                  <head align="left" preservecase="true">
                    <headtext>Business</headtext>
                  </head>
                  <division id="a000016" level="1">
                    <para>
                      <paratext>
                        The definition of business in 
                        <internal.reference refid="a458370">clause 1</internal.reference>
                         is effectively expanded by the very broad language in 
                        <internal.reference refid="a616533">clause 18.1</internal.reference>
                        . The definition of licensed purposes is the outcome of this expansion and represents the overall scope of the licence.
                      </paratext>
                    </para>
                  </division>
                </drafting.note>
              </defn.item>
              <defn.item id="a359417">
                <defn.term>Business Requirements Specification</defn.term>
                <defn>
                  <para>
                    <paratext>
                      the specification agreed between the Customer and the Supplier which sets out the Customer's business requirements regarding the System, contained in 
                      <internal.reference refid="a849173">Annex A</internal.reference>
                      .
                    </paratext>
                  </para>
                </defn>
                <drafting.note id="a715675" jurisdiction="">
                  <head align="left" preservecase="true">
                    <headtext>Business Requirements Specification</headtext>
                  </head>
                  <division id="a000017" level="1">
                    <para>
                      <paratext>These definitions call for a business requirements specification and a technical specification. The business requirements specification will be prepared by the customer or by a consultant on the customer's behalf, usually as one of the documents given to prospective suppliers during the tendering process. Except for very simple systems, a competent supplier will insist on producing a technical specification, which will set out the measurable deliverables and performance criteria that are necessary to achieve the business requirements and will seek the customer's written agreement that this technical specification meets their specified business requirements. This agreed technical specification will then act as the yardstick against which performance of the supplier's obligations is measured.</paratext>
                    </para>
                    <para>
                      <paratext>If the customer agrees to this, it must have a way of ensuring that adherence to the technical specification will produce a system that meets its business requirements. If a consultant is employed to check this, the customer should ensure that the consultant will be liable (and able) to compensate the customer if the final system does not meet its needs despite conforming to the technical specification. There is an advantage to the customer in having an accurate and detailed technical specification in that it reduces the chance of disagreements over whether or not the supplier has met its obligations.</paratext>
                    </para>
                    <para>
                      <paratext>The technical specification is both technical and legal in nature. Accordingly, irrespective of who prepares it, it should be reviewed from a legal point of view as soon as it is feasible to do so. It is a crucial part of the agreement and its success depends on its technical accuracy and completeness.</paratext>
                    </para>
                    <para>
                      <paratext>Understanding the role of each document is important. The supplier will want the technical specification to be comprehensive and, once it has been finalised, for the business requirements specification to be deemed no longer relevant (particularly as it may be a source of argument under the Dispute Resolution Procedure). However, the customer will want it to be retained, as it sets out the customer's core requirements and the customer may not have had the time to come to grips fully with the technical specification (usually, as mentioned, prepared by the supplier).</paratext>
                    </para>
                    <para>
                      <paratext>
                        For more information, see 
                        <link anchor="a725489" href="2-107-4777" style="ACTLinkPLCtoPLC">
                          <ital>Practice note, Main issues in systems integration contracts: Specification</ital>
                        </link>
                         and 
                        <link anchor="a675946" href="2-107-4777" style="ACTLinkPLCtoPLC">
                          <ital>Customer's requirements</ital>
                        </link>
                        <ital>.</ital>
                      </paratext>
                    </para>
                  </division>
                </drafting.note>
              </defn.item>
              <defn.item id="a273148">
                <defn.term>Change Agreement</defn.term>
                <defn>
                  <para>
                    <paratext>
                      an agreement made under 
                      <internal.reference refid="a473513">clause 16.4</internal.reference>
                      .
                    </paratext>
                  </para>
                </defn>
              </defn.item>
              <defn.item id="a248760">
                <defn.term>Commencement Date</defn.term>
                <defn>
                  <para>
                    <paratext>
                      the date on which this agreement becomes effective, as specified in 
                      <internal.reference refid="a537942">Schedule 3</internal.reference>
                      .
                    </paratext>
                  </para>
                </defn>
              </defn.item>
              <defn.item id="a926102">
                <defn.term>Completion Date</defn.term>
                <defn>
                  <para>
                    <paratext>
                      the estimated date specified in the Implementation Plan (which may be varied in accordance with 
                      <internal.reference refid="a743704">clause 14</internal.reference>
                      ) by which the Supplier is to provide the System Ready for Service.
                    </paratext>
                  </para>
                </defn>
              </defn.item>
              <defn.item id="a676607">
                <defn.term>Computer Hardware</defn.term>
                <defn>
                  <para>
                    <paratext>the computer hardware or device used by the Customer to operate the Licensed Software.</paratext>
                  </para>
                </defn>
              </defn.item>
              <defn.item id="a596047">
                <defn.term>Confidential Information</defn.term>
                <defn>
                  <para>
                    <paratext>has the meaning given in Clause 27 (Confidentiality and publicity).</paratext>
                  </para>
                </defn>
              </defn.item>
              <defn.item condition="optional" id="a354944">
                <defn.term>Contract Year</defn.term>
                <defn>
                  <para>
                    <paratext>any 12-month period ending on any anniversary of the Commencement Date.</paratext>
                  </para>
                </defn>
              </defn.item>
              <defn.item id="a815165">
                <defn.term>Control</defn.term>
                <defn>
                  <para>
                    <paratext>
                      [a business entity shall be deemed to "control" another business entity if it owns, directly or indirectly, in excess of [50]% of the outstanding voting securities or capital stock of such business entity, or any other comparable equity or ownership interest with respect to a business entity other than a corporation 
                      <bold>OR</bold>
                       as defined in section 1124 of the Corporation Tax Act 2010].
                    </paratext>
                  </para>
                </defn>
                <drafting.note id="a439977" jurisdiction="">
                  <head align="left" preservecase="true">
                    <headtext>Control</headtext>
                  </head>
                  <division id="a000018" level="1">
                    <para>
                      <paratext>
                        This concept is relevant to the definition of Affiliate (which may be used in reference to either party) and to 
                        <internal.reference refid="a238391">clause 38.5(a)</internal.reference>
                         regarding termination. The appropriate percentage should be inserted; 50% is typical, although it may be as low as 20%, for example, where the customer seeks to expand the range of affiliates it wants to be licensed under the agreement.
                      </paratext>
                    </para>
                  </division>
                </drafting.note>
              </defn.item>
              <defn.item id="a764580">
                <defn.term>Customer Hardware</defn.term>
                <defn>
                  <para>
                    <paratext>
                      the computers and other equipment to be supplied by the Customer in conjunction with the Supplier Software, as specified in 
                      <internal.reference refid="a346252">Schedule 2</internal.reference>
                      .
                    </paratext>
                  </para>
                </defn>
              </defn.item>
              <defn.item id="a797185">
                <defn.term>Customer Representative</defn.term>
                <defn>
                  <para>
                    <paratext>a person duly authorised by the Customer to act on its behalf for the purposes of this agreement, and identified to the Supplier by written notice from the Customer.</paratext>
                  </para>
                </defn>
              </defn.item>
              <defn.item id="a731152">
                <defn.term>Customer Software</defn.term>
                <defn>
                  <para>
                    <paratext>
                      the software programs to be supplied by the Customer as specified in 
                      <internal.reference refid="a346252">Schedule 2</internal.reference>
                      .
                    </paratext>
                  </para>
                </defn>
              </defn.item>
              <defn.item condition="optional" id="a801687">
                <defn.term>Cybersecurity Requirements</defn.term>
                <defn>
                  <para>
                    <paratext>
                      all laws, regulations, codes, guidance (from regulatory and advisory bodies, whether mandatory or not), international and national standards, [industry schemes] and sanctions, applicable to either party and relating to security of network and information systems and security breach and incident reporting requirements, including [the retained EU law version of the General Data Protection Regulation ((EU) 2016/679) and] the Network and Information Systems Regulations 2018 (
                      <ital>SI 506/2018</ital>
                      ), all as amended or updated from time to time.
                    </paratext>
                  </para>
                </defn>
                <drafting.note id="a803792" jurisdiction="">
                  <head align="left" preservecase="true">
                    <headtext>Cybersecurity Requirements (optional)</headtext>
                  </head>
                  <division id="a000019" level="1">
                    <para>
                      <paratext>
                        This definition is used throughout this agreement as part of the broad cyber security compliance obligations which are contained at 
                        <internal.reference refid="a453847">clause 16.3</internal.reference>
                        , 
                        <internal.reference refid="a567474">clause 22.2</internal.reference>
                        ,
                        <internal.reference refid="a793866">clause 29.4</internal.reference>
                        , 
                        <internal.reference refid="a802293">clause 29.7</internal.reference>
                         and 
                        <internal.reference refid="a275723">clause 32.2</internal.reference>
                        . See 
                        <internal.reference refid="a975041">Drafting note, Compliance with Cybersecurity Requirements</internal.reference>
                        .
                      </paratext>
                    </para>
                    <para>
                      <paratext>
                        Select the optional words in square brackets if you want to expressly include data protection obligations within the general compliance obligations, but note this should be aligned to the approach taken in 
                        <internal.reference refid="a430071">clause 28</internal.reference>
                        . See, 
                        <internal.reference refid="a332195">Drafting note, Data protection</internal.reference>
                        .
                      </paratext>
                    </para>
                  </division>
                </drafting.note>
              </defn.item>
              <defn.item id="a900665">
                <defn.term>Defect</defn.term>
                <defn>
                  <para>
                    <paratext>an error in the Supported Software that causes it to fail to operate substantially in accordance with the relevant Documentation or a Vulnerability in the Supported Software.</paratext>
                  </para>
                </defn>
                <drafting.note id="a873284" jurisdiction="">
                  <head align="left" preservecase="true">
                    <headtext>Defect</headtext>
                  </head>
                  <division id="a000020" level="1">
                    <para>
                      <paratext>
                        This definition is relevant to the supplier's and customer's obligations under 
                        <internal.reference refid="a504255">clause 22</internal.reference>
                         and 
                        <internal.reference refid="a229739">clause 26</internal.reference>
                         respectively. It is important to tie it to something that can be measured objectively so that there is a standard against which the supplier's obligations can be measured. Specifying the documentation, as in the standard document, will require the supplier to ensure that the documentation is precise, complete and up-to-date. The "substantially" limitation in the definition does introduce some uncertainty, but without it the supplier would be obliged to fix all faults, however trivial. A trivial fault could be very difficult (and therefore expensive) to fix, and might not even affect the customer's use of the system.
                      </paratext>
                    </para>
                    <para>
                      <paratext>The definition of a defect has also been expanded to include vulnerabilities in the software coding itself which, although may still produce the correct output as against the agreed specification, may still affect the confidentiality, integrity, or availability of the system, and so should also be fixed.</paratext>
                    </para>
                  </division>
                </drafting.note>
              </defn.item>
              <defn.item id="a132151">
                <defn.term>Dispute Resolution Procedure</defn.term>
                <defn>
                  <para>
                    <paratext>
                      the procedure for dealing with disputes under this agreement as set out in 
                      <internal.reference refid="a447869">clause 49</internal.reference>
                      .
                    </paratext>
                  </para>
                </defn>
              </defn.item>
              <defn.item id="a209765">
                <defn.term>Documentation</defn.term>
                <defn>
                  <para>
                    <paratext>
                      the operating manuals, user instruction manuals, technical literature and all other related materials in human-readable and/or machine-readable forms supplied by the Supplier as specified in 
                      <internal.reference refid="a809076">Schedule 1</internal.reference>
                      .
                    </paratext>
                  </para>
                </defn>
                <drafting.note id="a717945" jurisdiction="">
                  <head align="left" preservecase="true">
                    <headtext>Documentation</headtext>
                  </head>
                  <division id="a000021" level="1">
                    <para>
                      <paratext>
                        The documentation that the supplier must provide is defined in terms of a list of documents (specified in 
                        <internal.reference refid="a837439">Part 5</internal.reference>
                         of 
                        <internal.reference refid="a809076">Schedule 1</internal.reference>
                        ). This gives greater certainty about what is to be provided than a functional specification. However, the customer must be certain that this list includes all the documentation it needs in order to use (and possibly maintain) the system.
                      </paratext>
                    </para>
                  </division>
                </drafting.note>
              </defn.item>
              <defn.item id="a763004">
                <defn.term>Escrow</defn.term>
                <defn>
                  <para>
                    <paratext>the deposit with, and retention by, the Escrow Agent of the Source Code.</paratext>
                  </para>
                </defn>
                <drafting.note id="a111718" jurisdiction="">
                  <head align="left" preservecase="true">
                    <headtext>Escrow, Escrow Agent, Escrow Agreement (1), Escrow Agreement (2) and Source Code</headtext>
                  </head>
                  <division id="a000022" level="1">
                    <para>
                      <paratext>
                        All of these terms relate to the escrow arrangements which are addressed in 
                        <internal.reference refid="a541902">clause 21</internal.reference>
                        .
                      </paratext>
                    </para>
                  </division>
                </drafting.note>
              </defn.item>
              <defn.item id="a447942">
                <defn.term>Escrow Agent</defn.term>
                <defn>
                  <para>
                    <paratext>[NAME OF ESCROW AGENT].</paratext>
                  </para>
                </defn>
              </defn.item>
              <defn.item id="a254677">
                <defn.term>Escrow Agreement (1)</defn.term>
                <defn>
                  <para>
                    <paratext>
                      an escrow agreement in the form annexed to this agreement as 
                      <internal.reference refid="a214798">Annex H</internal.reference>
                       which is to be entered into by the parties and the Escrow Agent in accordance with 
                      <internal.reference refid="a853607">clause 21.3</internal.reference>
                      .
                    </paratext>
                  </para>
                </defn>
              </defn.item>
              <defn.item id="a730066">
                <defn.term>Escrow Agreement (2)</defn.term>
                <defn>
                  <para>
                    <paratext>
                      an escrow agreement in the form annexed to this agreement as 
                      <internal.reference refid="a293013">Annex I</internal.reference>
                       which is to be entered into by the Customer, the relevant third party owner(s) and the Escrow Agent in accordance with 
                      <internal.reference refid="a263804">clause 21.3(b)</internal.reference>
                      .
                    </paratext>
                  </para>
                </defn>
              </defn.item>
              <defn.item id="a251544">
                <defn.term>Generally Accepted Accounting Principles</defn.term>
                <defn>
                  <para>
                    <paratext>all generally accepted accounting principles including generally accepted UK accounting principles comprising the Financial Reporting Standards [and:]</paratext>
                  </para>
                  <list type="loweralpha">
                    <list.item>
                      <para>
                        <paratext>International Accounting Standards as adopted by the International Accounting Standards Board;</paratext>
                      </para>
                    </list.item>
                    <list.item>
                      <para>
                        <paratext>International Accounting Standards: within the meaning of EC Regulation No 1606/2002 on the Application of International Accounting Standards;</paratext>
                      </para>
                    </list.item>
                    <list.item>
                      <para>
                        <paratext>SSAE 16 (Statement on Standards for Attestation Engagements No. 16, published by the American Institute of Certified Public Accountant (AICPA)).</paratext>
                      </para>
                    </list.item>
                  </list>
                </defn>
                <drafting.note id="a800970" jurisdiction="">
                  <head align="left" preservecase="true">
                    <headtext>Generally Accepted Accounting Principles</headtext>
                  </head>
                  <division id="a000023" level="1">
                    <para>
                      <paratext>
                        Tax advice should be sought regarding which combination of these alternatives is most appropriate for your transaction. For lower value transactions, there may be no need to define the term. Listed companies must produce their consolidated accounts in accordance with 
                        <link href="6-107-6722" style="ACTLinkPLCtoPLC">
                          <bold>
                            <ital>International Accounting Standards</ital>
                          </bold>
                        </link>
                        . An unlisted company may elect to prepare its accounts under these standards or not. For more information, see 
                        <internal.reference refid="a942715">clause 15.10</internal.reference>
                        .
                      </paratext>
                    </para>
                  </division>
                </drafting.note>
              </defn.item>
              <defn.item id="a682012">
                <defn.term>Good Industry Practice</defn.term>
                <defn>
                  <para>
                    <paratext>the exercise of that degree of skill, care, prudence, efficiency, foresight and timeliness as would be expected from a leading company within the relevant industry or business sector.</paratext>
                  </para>
                </defn>
              </defn.item>
              <defn.item id="a465245">
                <defn.term>Hardware</defn.term>
                <defn>
                  <para>
                    <paratext>the Computer Hardware and the Supplier Hardware.</paratext>
                  </para>
                </defn>
              </defn.item>
              <defn.item id="a736968">
                <defn.term>Hardware Delivery Date</defn.term>
                <defn>
                  <para>
                    <paratext>the estimated delivery date specified in the Implementation Plan, on which the Supplier will deliver an item of Supplier Hardware to the Site(s).</paratext>
                  </para>
                </defn>
              </defn.item>
              <defn.item id="a956309">
                <defn.term>Hardware Installation Tests</defn.term>
                <defn>
                  <para>
                    <paratext>
                      the tests set out in the Hardware Installation Test Plan to be inserted in 
                      <internal.reference refid="a286671">Annex D</internal.reference>
                      .
                    </paratext>
                  </para>
                </defn>
              </defn.item>
              <defn.item id="a787382">
                <defn.term>Implementation Plan</defn.term>
                <defn>
                  <para>
                    <paratext>
                      the time schedule and sequence of events for the performance of this agreement set out in 
                      <internal.reference refid="a780120">Annex C</internal.reference>
                      , which may be varied in accordance with 
                      <internal.reference refid="a743704">clause 14</internal.reference>
                      .
                    </paratext>
                  </para>
                  <para>
                    <paratext>
                      <bold>Incident: </bold>
                      any Vulnerability, Virus or security incident which:
                    </paratext>
                  </para>
                  <list type="loweralpha">
                    <list.item>
                      <para>
                        <paratext>may affect the System;</paratext>
                      </para>
                    </list.item>
                    <list.item>
                      <para>
                        <paratext>may affect the Supplier's network and information systems such that it could potentially affect the Customer or the System; or</paratext>
                      </para>
                    </list.item>
                    <list.item>
                      <para>
                        <paratext>is reported to the Supplier by the Customer.</paratext>
                      </para>
                    </list.item>
                  </list>
                </defn>
                <drafting.note id="a314587" jurisdiction="">
                  <head align="left" preservecase="true">
                    <headtext>Implementation Plan</headtext>
                  </head>
                  <division id="a000024" level="1">
                    <para>
                      <paratext>This important document, which sets out the timetable for each stage of the project, will initially be prepared by the supplier as part of the tender documents. The customer should make sure that negotiations include a thorough examination of the viability of this plan and its conformity with the customer's business requirements. A version agreed by both parties should be in existence by the time the contract is signed and annexed to the agreement.</paratext>
                    </para>
                  </division>
                </drafting.note>
              </defn.item>
              <defn.item id="a361899">
                <defn.term>Installation Date</defn.term>
                <defn>
                  <para>
                    <paratext>the estimated date by which the Supplier will complete installation of a specified item of Hardware or a Software Module as specified in the Implementation Plan.</paratext>
                  </para>
                </defn>
              </defn.item>
              <defn.item id="a496068">
                <defn.term>Intellectual Property Rights</defn.term>
                <defn>
                  <para>
                    <paratext>all patents, copyrights, design rights, trade marks, service marks, trade secrets, know-how, database rights and other rights in the nature of intellectual property rights (whether registered or not), and all applications for the same which may now, or in the future, subsist anywhere in the world, including the right to sue for and recover damages for past infringements.</paratext>
                  </para>
                </defn>
              </defn.item>
              <defn.item id="a531170">
                <defn.term>Known Vulnerabilities</defn.term>
                <defn>
                  <para>
                    <paratext>any Vulnerability that has either:</paratext>
                  </para>
                  <list type="loweralpha">
                    <list.item>
                      <para>
                        <paratext>been assigned a Common Vulnerabilities and Exposures (CVE) number;</paratext>
                      </para>
                    </list.item>
                    <list.item>
                      <para>
                        <paratext>been disclosed on the National Vulnerability Database available at the website operated by the US National Institute of Standards and Technology (NIST) from to time to time; or</paratext>
                      </para>
                    </list.item>
                    <list.item>
                      <para>
                        <paratext>been disclosed on the internet, or any [open] public database, such that it would be revealed by reasonable searches conducted in accordance with Good Industry Practice.</paratext>
                      </para>
                    </list.item>
                  </list>
                  <para>
                    <paratext>
                      <bold>Latent Vulnerabilities: </bold>
                      any instances of typical classes of Vulnerability. For example, buffer overflows, cross-site scripting (XSS) and Structure Query Language (SQL) injection.
                    </paratext>
                  </para>
                </defn>
                <drafting.note id="a157966" jurisdiction="">
                  <head align="left" preservecase="true">
                    <headtext>Known and Latent Vulnerabilities</headtext>
                  </head>
                  <division id="a000025" level="1">
                    <para>
                      <paratext>
                        This concept concerns that subset of "known" security vulnerabilities that may be present in software or hardware provided or developed during the project, which the supplier may be expected to mitigate against. It is referred to in 
                        <internal.reference refid="a638038">clause 7.2</internal.reference>
                         and 
                        <internal.reference refid="a567474">clause 22.2</internal.reference>
                         and the definition of 
                        <internal.reference refid="a861332">Mitigation</internal.reference>
                        . A supplier is likely to want to negotiate this definition, reducing its scope to those vulnerabilities disclosed in certain databases only.
                      </paratext>
                    </para>
                  </division>
                </drafting.note>
              </defn.item>
              <defn.item id="a828885">
                <defn.term>Licence</defn.term>
                <defn>
                  <para>
                    <paratext>
                      the licence granted under 
                      <internal.reference refid="a907840">clause 18</internal.reference>
                      .
                    </paratext>
                  </para>
                </defn>
              </defn.item>
              <defn.item id="a880841">
                <defn.term>Licensed Purposes</defn.term>
                <defn>
                  <para>
                    <paratext>
                      the meaning given in 
                      <internal.reference refid="a616533">clause 18.1</internal.reference>
                      .
                    </paratext>
                  </para>
                </defn>
              </defn.item>
              <defn.item id="a221454">
                <defn.term>Licensed Software</defn.term>
                <defn>
                  <para>
                    <paratext>
                      the Supplier Software as specified in 
                      <internal.reference refid="a809076">Schedule 1</internal.reference>
                      , (except the Third-Party Software, the Bespoke Software and the Modified Software).
                    </paratext>
                  </para>
                </defn>
                <drafting.note id="a500467" jurisdiction="">
                  <head align="left" preservecase="true">
                    <headtext>Licensed Software</headtext>
                  </head>
                  <division id="a000026" level="1">
                    <para>
                      <paratext>
                        This definition excludes bespoke software and the modified software (supplier), on the assumption that the customer owns all the rights in it under 
                        <internal.reference refid="a542011">clause 17</internal.reference>
                        . If some other arrangement has been agreed, then this definition (as well as the licence provisions of 
                        <internal.reference refid="a907840">clause 18</internal.reference>
                        ) will have to be amended accordingly.
                      </paratext>
                    </para>
                    <para>
                      <paratext>
                        Third-party-owned standard and modified software is excluded because it is envisaged that it will be licensed under the third party's standard licence terms under 
                        <internal.reference refid="a834490">clause 8.2</internal.reference>
                        .
                      </paratext>
                    </para>
                  </division>
                </drafting.note>
              </defn.item>
              <defn.item id="a337988">
                <defn.term>Licensed Users</defn.term>
                <defn>
                  <para>
                    <paratext>
                      the employees and agents of the Customer who use the Licensed Software, up to the maximum number specified in 
                      <internal.reference refid="a472006">Schedule 5</internal.reference>
                      .
                    </paratext>
                  </para>
                </defn>
                <drafting.note id="a968167" jurisdiction="">
                  <head align="left" preservecase="true">
                    <headtext>Licensed Users</headtext>
                  </head>
                  <division id="a000027" level="1">
                    <para>
                      <paratext>
                        The supplier may try to insist on a maximum number of users that can only be increased on payment of an appropriate fee (see 
                        <internal.reference refid="a689649">clause 18.2(c)</internal.reference>
                        ). Large customer organisations, in particular, should resist such restrictions, as they can be very difficult to police in the context of extensive networks and remote working.
                      </paratext>
                    </para>
                  </division>
                </drafting.note>
              </defn.item>
              <defn.item condition="optional" id="a593275">
                <defn.term>Maintenance Agreement</defn.term>
                <defn>
                  <para>
                    <paratext>
                      the form of maintenance agreement for the Supplier Software as annexed to this agreement as 
                      <internal.reference refid="a212587">Annex J</internal.reference>
                      .
                    </paratext>
                  </para>
                </defn>
              </defn.item>
              <defn.item id="a409379">
                <defn.term>Mandatory Policies</defn.term>
                <defn>
                  <para>
                    <paratext>
                      the Customer's business policies [and codes] [attached OR listed] in 
                      <internal.reference refid="a707381">Schedule 6</internal.reference>
                      [, as amended by notification to the Supplier from time to time].
                    </paratext>
                  </para>
                </defn>
                <drafting.note id="a312165" jurisdiction="">
                  <head align="left" preservecase="true">
                    <headtext>Mandatory Policies</headtext>
                  </head>
                  <division id="a000028" level="1">
                    <para>
                      <paratext>
                        <internal.reference refid="a415450">Clause 32.11</internal.reference>
                         obliges the supplier to comply with the customer's mandatory policies. See further 
                        <internal.reference refid="a358817">Drafting note, Compliance with laws and policies</internal.reference>
                        .
                      </paratext>
                    </para>
                  </division>
                </drafting.note>
              </defn.item>
              <defn.item id="a909337">
                <defn.term>Manufacturers' Warranties</defn.term>
                <defn>
                  <para>
                    <paratext>the warranties given by any third party manufacturer in relation to any item of the Supplier Hardware.</paratext>
                  </para>
                  <para>
                    <paratext>
                      <bold>Mitigate: </bold>
                      the taking of such reasonable steps that would be taken by a prudent supplier in accordance with Good Industry Practice to mitigate against the Incident in question, which may include (in the case of a Vulnerability) coding changes, but could also include specification changes (for example, removal of affected protocols or functionality in their entirety), provided these are approved by the Customer in writing in advance, and the terms 
                      <bold>Mitigated </bold>
                      and 
                      <bold>Mitigation </bold>
                      shall be interpreted accordingly.
                    </paratext>
                  </para>
                </defn>
              </defn.item>
              <defn.item id="a124710">
                <defn.term>Modified Software</defn.term>
                <defn>
                  <para>
                    <paratext>
                      the standard software programs proprietary to the Supplier and/or third parties listed in 
                      <internal.reference refid="a809076">Schedule 1</internal.reference>
                      , modified or to be modified by the Supplier under this agreement for inclusion in the System.
                    </paratext>
                  </para>
                </defn>
              </defn.item>
              <defn.item id="a955459">
                <defn.term>Modified Software (Supplier)</defn.term>
                <defn>
                  <para>
                    <paratext>
                      those elements of the Modified Software listed in 
                      <internal.reference refid="a809076">Schedule 1</internal.reference>
                      .
                    </paratext>
                  </para>
                </defn>
              </defn.item>
              <defn.item id="a237509">
                <defn.term>Modified Software (Third Party)</defn.term>
                <defn>
                  <para>
                    <paratext>
                      those elements of the Modified Software listed in 
                      <internal.reference refid="a809076">Schedule 1</internal.reference>
                      .
                    </paratext>
                  </para>
                </defn>
              </defn.item>
              <defn.item id="a312352">
                <defn.term>New Release</defn.term>
                <defn>
                  <para>
                    <paratext>a new release of all or any part of the Supported Software suitable for use by the Customer in which previously identified faults have been remedied or to which any modification, enhancement, revision or update has been made, or to which any further functions have been added but which does not constitute a New Version.</paratext>
                  </para>
                </defn>
                <drafting.note id="a249651" jurisdiction="">
                  <head align="left" preservecase="true">
                    <headtext>New Release and New Version</headtext>
                  </head>
                  <division id="a000029" level="1">
                    <para>
                      <paratext>
                        Support services usually include provision of new releases or updates to the software, either to correct defects or to add new functionality. This standard document distinguishes between new releases and new versions, a separate fee being paid for the latter, but not the former. Under 
                        <internal.reference refid="a149292">clause 22.4</internal.reference>
                        , the customer is not obliged to take any new version.
                      </paratext>
                    </para>
                  </division>
                </drafting.note>
              </defn.item>
              <defn.item id="a997728">
                <defn.term>New Version</defn.term>
                <defn>
                  <para>
                    <paratext>any new version of the Supplier Software, being a version released by the Supplier after the Acceptance Date which contains such significant differences from the previous versions as to be generally accepted in the marketplace as constituting a new product.</paratext>
                  </para>
                </defn>
              </defn.item>
              <defn.item id="a510142">
                <defn.term>Normal Working Hours</defn.term>
                <defn>
                  <para>
                    <paratext>the hours [TIME] am to [TIME] pm GMT, Monday to Friday, except English Bank Holidays.</paratext>
                  </para>
                </defn>
              </defn.item>
              <defn.item id="a237041">
                <defn.term>Open-Source Software</defn.term>
                <defn>
                  <para>
                    <paratext>any software licensed under any form of open-source licence meeting the Open Source Initiative's Open Source Definition from time to time.</paratext>
                  </para>
                </defn>
                <drafting.note id="a578160" jurisdiction="">
                  <head align="left" preservecase="true">
                    <headtext>Open-Source Software</headtext>
                  </head>
                  <division id="a000030" level="1">
                    <para>
                      <paratext>
                        This term is used in 
                        <internal.reference refid="a794594">clause 32.2(e)</internal.reference>
                         under which the supplier warrants that no restrictive open-source software has been used in the development of the supplier software.
                      </paratext>
                    </para>
                    <para>
                      <paratext>
                        For more detail on the Open Source Initiative's definition, see 
                        <link href="https://opensource.org/docs/definition.php" style="ACTLinkURL">
                          <ital>Open Source Initiative: The Open Source Definition</ital>
                        </link>
                        .
                      </paratext>
                    </para>
                  </division>
                </drafting.note>
              </defn.item>
              <defn.item id="a521930">
                <defn.term>Permitted Purposes</defn.term>
                <defn>
                  <para>
                    <paratext>
                      the meaning given in 
                      <internal.reference refid="a743259">clause 27.1</internal.reference>
                      .
                    </paratext>
                  </para>
                </defn>
              </defn.item>
              <defn.item id="a203400">
                <defn.term>Pre-Installation Tests</defn.term>
                <defn>
                  <para>
                    <paratext>
                      the tests to be carried out on the Modified Software and the Bespoke Software before delivery to the Site(s) as provided for in 
                      <internal.reference refid="a594513">clause 10</internal.reference>
                      .
                    </paratext>
                  </para>
                </defn>
              </defn.item>
              <defn.item id="a886451">
                <defn.term>Price</defn.term>
                <defn>
                  <para>
                    <paratext>
                      the aggregate price and payments for the Work (other than Training and any other Support Services) and the Licence, as specified in 
                      <internal.reference refid="a469523">Schedule 4</internal.reference>
                      .
                    </paratext>
                  </para>
                </defn>
              </defn.item>
              <defn.item id="a520964">
                <defn.term>Project Manager</defn.term>
                <defn>
                  <para>
                    <paratext>
                      the Supplier employee appointed under 
                      <internal.reference refid="a314317">clause 25.2</internal.reference>
                       who has overall responsibility for the Work.
                    </paratext>
                  </para>
                </defn>
              </defn.item>
              <defn.item id="a279221">
                <defn.term>Ready for Service</defn.term>
                <defn>
                  <para>
                    <paratext>
                      installed, tested and having passed or deemed to have passed the Acceptance Tests under 
                      <internal.reference refid="a669343">clause 13</internal.reference>
                      .
                    </paratext>
                  </para>
                </defn>
              </defn.item>
              <defn.item condition="optional" id="a996213">
                <defn.term>Relevant Price Index</defn.term>
                <defn>
                  <para>
                    <paratext>the [NAME OF INDEX] index published by [NAME OF PUBLISHER OF INDEX] or its successor from time to time.</paratext>
                  </para>
                </defn>
                <drafting.note id="a149140" jurisdiction="">
                  <head align="left" preservecase="true">
                    <headtext>Relevant Price Index (optional)</headtext>
                  </head>
                  <division id="a000031" level="1">
                    <para>
                      <paratext>
                        As from March 2013, a new variant of the RPI has been published on the website of the 
                        <link href="http://www.ons.gov.uk/" style="ACTLinkURL">
                          <ital>Office for National Statistics</ital>
                        </link>
                         using a geometric formulation (Jevons), known as RPIJ.
                      </paratext>
                    </para>
                  </division>
                </drafting.note>
              </defn.item>
              <defn.item id="a689095">
                <defn.term>Relevant Policies</defn.term>
                <defn>
                  <para>
                    <paratext>
                      has the meaning set out in 
                      <internal.reference refid="a487155">clause 30.1(c)</internal.reference>
                      .
                    </paratext>
                  </para>
                </defn>
              </defn.item>
              <defn.item id="a611749">
                <defn.term>Relevant Requirements</defn.term>
                <defn>
                  <para>
                    <paratext>
                      has the meaning set out in 
                      <internal.reference refid="a116406">clause 30.1(a)</internal.reference>
                      .
                    </paratext>
                  </para>
                </defn>
              </defn.item>
              <defn.item condition="optional" id="a606566">
                <defn.term>Service Levels</defn.term>
                <defn>
                  <para>
                    <paratext>the levels of service to be provided by the Supplier in relation to the Maintenance Agreement.</paratext>
                  </para>
                </defn>
                <drafting.note id="a638765" jurisdiction="">
                  <head align="left" preservecase="true">
                    <headtext>Service Levels (optional)</headtext>
                  </head>
                  <division id="a000032" level="1">
                    <para>
                      <paratext>
                        This term is included here to ensure that the issue is not overlooked. It might well be relevant to, and addressed in, any maintenance and support agreement, comprising 
                        <internal.reference refid="a212587">Annex J</internal.reference>
                        . See 
                        <internal.reference refid="a593275">Maintenance Agreement</internal.reference>
                         above. Delete this definition if there is no need for it in your particular agreement.
                      </paratext>
                    </para>
                  </division>
                </drafting.note>
              </defn.item>
              <defn.item id="a477215">
                <defn.term>Services</defn.term>
                <defn>
                  <para>
                    <paratext>the services to be provided by the Supplier under this agreement, including the Support Services.</paratext>
                  </para>
                </defn>
              </defn.item>
              <defn.item id="a303264">
                <defn.term>Site(s)</defn.term>
                <defn>
                  <para>
                    <paratext>
                      the location(s) at which the System is to be installed as specified in 
                      <internal.reference refid="a537942">Schedule 3</internal.reference>
                      .
                    </paratext>
                  </para>
                </defn>
                <drafting.note id="a328922" jurisdiction="">
                  <head align="left" preservecase="true">
                    <headtext>Site(s)</headtext>
                  </head>
                  <division id="a000033" level="1">
                    <para>
                      <paratext>
                        This provision is relevant to large customers who operate at more than one site. It can be omitted where the customer has only one site, or where the supplier agrees that the customer can use the system at multiple sites. Where there is a site limitation, the customer must be given the ability to use the system elsewhere on a temporary basis when the business is moved to another site, or the specified site becomes unusable for some reason (see 
                        <internal.reference refid="a774065">clause 18.2</internal.reference>
                        ).
                      </paratext>
                    </para>
                  </division>
                </drafting.note>
              </defn.item>
              <defn.item id="a596491">
                <defn.term>Software Delivery Date</defn.term>
                <defn>
                  <para>
                    <paratext>the estimated delivery date, specified in the Implementation Plan, on which the Supplier will deliver a Software Module to the Site(s).</paratext>
                  </para>
                </defn>
              </defn.item>
              <defn.item id="a362537">
                <defn.term>Software Module</defn.term>
                <defn>
                  <para>
                    <paratext>any one of the individual software programs in the Supplier Software.</paratext>
                  </para>
                </defn>
              </defn.item>
              <defn.item id="a773729">
                <defn.term>Software Pre-Installation Test Plan</defn.term>
                <defn>
                  <para>
                    <paratext>
                      the document prepared as provided in 
                      <internal.reference refid="a741074">clause 10.2(a)</internal.reference>
                       and to be annexed as 
                      <internal.reference refid="a876728">Annex E</internal.reference>
                      .
                    </paratext>
                  </para>
                </defn>
              </defn.item>
              <defn.item id="a479773">
                <defn.term>Source Code</defn.term>
                <defn>
                  <para>
                    <paratext>the source code of the software to which it relates, in the language in which the software was written, together with all related flow charts and technical documentation, all of a level sufficient to enable the Customer's development personnel to understand, develop and maintain that software.</paratext>
                  </para>
                </defn>
                <drafting.note id="a661400" jurisdiction="">
                  <head align="left" preservecase="true">
                    <headtext>Source Code</headtext>
                  </head>
                  <division id="a000034" level="1">
                    <para>
                      <paratext>This definition is very broad and includes technical documentation.</paratext>
                    </para>
                  </division>
                </drafting.note>
              </defn.item>
              <defn.item id="a420687">
                <defn.term>Supplier Hardware</defn.term>
                <defn>
                  <para>
                    <paratext>
                      all the computers and other equipment to be supplied by the Supplier as set out in 
                      <internal.reference refid="a809076">Schedule 1</internal.reference>
                      .
                    </paratext>
                  </para>
                </defn>
              </defn.item>
              <defn.item id="a939377">
                <defn.term>Supplier Software</defn.term>
                <defn>
                  <para>
                    <paratext>the Supplier Standard Software, the Third-Party Software, the Modified Software and the Bespoke Software. References to Supplier Software in this agreement shall be taken to include as it is updated from time to time by a New Release.</paratext>
                  </para>
                </defn>
                <drafting.note id="a119375" jurisdiction="">
                  <head align="left" preservecase="true">
                    <headtext>Supplier Software</headtext>
                  </head>
                  <division id="a000035" level="1">
                    <para>
                      <paratext>
                        Define the categories of software to be supplied here; the specific programs to be supplied are listed in 
                        <internal.reference refid="a809076">Schedule 1</internal.reference>
                        . The totality of what the supplier is to provide is defined as Supplier Software. This will need to be amended to specify the types of software that are to be supplied for the particular project. The standard document lists all possible types. If any are not to be provided under the contract, those definitions should be deleted. (Corresponding deletions will also need to be made, for example, within the definition of Pre-installation Tests and Supplier Software.)
                      </paratext>
                    </para>
                  </division>
                </drafting.note>
              </defn.item>
              <defn.item id="a894302">
                <defn.term>Supplier Standard Software</defn.term>
                <defn>
                  <para>
                    <paratext>
                      the software programs proprietary to the Supplier, listed in 
                      <internal.reference refid="a809076">Schedule 1</internal.reference>
                      , which are to be provided to the Customer without modification.
                    </paratext>
                  </para>
                </defn>
              </defn.item>
              <defn.item id="a823219">
                <defn.term>Support Charges</defn.term>
                <defn>
                  <para>
                    <paratext>
                      the annual support charge as specified in 
                      <internal.reference refid="a469523">Schedule 4</internal.reference>
                      .
                    </paratext>
                  </para>
                </defn>
              </defn.item>
              <defn.item id="a663460">
                <defn.term>Support Commencement Date</defn.term>
                <defn>
                  <para>
                    <paratext>
                      the Acceptance Date or such other date as may be specified in 
                      <internal.reference refid="a537942">Schedule 3</internal.reference>
                      .
                    </paratext>
                  </para>
                </defn>
              </defn.item>
              <defn.item id="a469659">
                <defn.term>Support Services</defn.term>
                <defn>
                  <para>
                    <paratext>
                      the services to be provided by the Supplier under this agreement (including 
                      <internal.reference refid="a537942">Schedule 3</internal.reference>
                       and 
                      <internal.reference refid="a469523">Schedule 4</internal.reference>
                      ) and any data migration referred to in the Business Requirements Specification.
                    </paratext>
                  </para>
                </defn>
              </defn.item>
              <defn.item id="a315593">
                <defn.term>Supported Software</defn.term>
                <defn>
                  <para>
                    <paratext>
                      those Supplier Software programs listed as Supported Software in 
                      <internal.reference refid="a809076">Schedule 1</internal.reference>
                       and all subsequent amendments and updates to, and New Releases of, such programs.
                    </paratext>
                  </para>
                </defn>
                <drafting.note id="a739239" jurisdiction="">
                  <head align="left" preservecase="true">
                    <headtext>Supported Software</headtext>
                  </head>
                  <division id="a000036" level="1">
                    <para>
                      <paratext>
                        This may be a subset of the supplier software, in which case the software to be maintained under the agreement must be listed in 
                        <internal.reference refid="a925694">Part 6</internal.reference>
                         of 
                        <internal.reference refid="a809076">Schedule 1</internal.reference>
                        .
                      </paratext>
                    </para>
                  </division>
                </drafting.note>
              </defn.item>
              <defn.item id="a546167">
                <defn.term>Support Staff</defn.term>
                <defn>
                  <para>
                    <paratext>those officers, employees, agents or subcontractors of the Supplier [and any of its Affiliates] connected with this agreement, including those individuals who perform the Supplier's obligations under this agreement.</paratext>
                  </para>
                </defn>
              </defn.item>
              <defn.item id="a650341">
                <defn.term>System</defn.term>
                <defn>
                  <para>
                    <paratext>the system consisting of the Supplier Hardware, the Supplier Software, the Tools and the Documentation and includes any New Release.</paratext>
                  </para>
                </defn>
              </defn.item>
              <defn.item id="a736425">
                <defn.term>Technical Specification</defn.term>
                <defn>
                  <para>
                    <paratext>
                      the specification of the System contained in 
                      <internal.reference refid="a807191">Annex B</internal.reference>
                       and agreed between the Supplier and the Customer to meet the Business Requirements Specification.
                    </paratext>
                  </para>
                </defn>
              </defn.item>
              <defn.item id="a901049">
                <defn.term>Third-Party Licence</defn.term>
                <defn>
                  <para>
                    <paratext>
                      the third party licence terms referred to in 
                      <internal.reference refid="a834490">clause 8.2</internal.reference>
                      .
                    </paratext>
                  </para>
                </defn>
              </defn.item>
              <defn.item id="a839968">
                <defn.term>Third-Party Software</defn.term>
                <defn>
                  <para>
                    <paratext>
                      the software programs proprietary to third parties, listed in 
                      <internal.reference refid="a809076">Schedule 1</internal.reference>
                      , which are to be provided to the Customer without modification.
                    </paratext>
                  </para>
                </defn>
              </defn.item>
              <defn.item id="a630087">
                <defn.term>Tools</defn.term>
                <defn>
                  <para>
                    <paratext>any tools and know-how developed and methods invented by the Supplier in the course of, or as a result of, carrying out the Work, whether or not developed or invented specifically or used exclusively to carry out the Work.</paratext>
                  </para>
                </defn>
                <drafting.note id="a725484" jurisdiction="">
                  <head align="left" preservecase="true">
                    <headtext>Tools</headtext>
                  </head>
                  <division id="a000037" level="1">
                    <para>
                      <paratext>
                        This concept concerns software tools developed during the project. It is referred to in both 
                        <internal.reference refid="a542011">clause 17</internal.reference>
                         (IPR ownership) and 
                        <internal.reference refid="a298097">clause 27.9</internal.reference>
                         (confidentiality), and a consistent approach must be taken if it is proposed to amend either of these provisions.
                      </paratext>
                    </para>
                  </division>
                </drafting.note>
              </defn.item>
              <defn.item condition="optional" id="a994389">
                <defn.term>Training</defn.term>
                <defn>
                  <para>
                    <paratext>
                      the training as specified in 
                      <internal.reference refid="a537942">Schedule 3</internal.reference>
                      , to be provided by the Supplier as part of the Services.
                    </paratext>
                  </para>
                </defn>
              </defn.item>
              <defn.item id="a700489">
                <defn.term>VAT</defn.term>
                <defn>
                  <para>
                    <paratext>value added tax imposed by the Value Added Tax Act 1994. [or any equivalent similar tax] chargeable in the UK [or elsewhere].</paratext>
                  </para>
                </defn>
                <drafting.note id="a940122" jurisdiction="">
                  <head align="left" preservecase="true">
                    <headtext>VAT</headtext>
                  </head>
                  <division id="a000038" level="1">
                    <para>
                      <paratext>Unless the parties are confident there will be no UK VAT or equivalent sales tax, we recommend retaining the wording "or elsewhere" in the document.</paratext>
                    </para>
                  </division>
                </drafting.note>
              </defn.item>
              <defn.item id="a321245">
                <defn.term>Virus</defn.term>
                <defn>
                  <para>
                    <paratext>any program which contains malicious code or infiltrates or damages a computer system without the owner's informed consent or is designed to do so or which is hostile, intrusive or annoying to the owner or user and has no legitimate purpose.</paratext>
                  </para>
                  <para>
                    <paratext>
                      <bold>Vulnerability: </bold>
                      a weakness in the computational logic (for example, code) found in software and hardware components that, when exploited, results in a negative impact to confidentiality, integrity, or availability, and the term 
                      <bold>Vulnerabilities </bold>
                      shall be interpreted accordingly.
                    </paratext>
                  </para>
                </defn>
                <drafting.note id="a260774" jurisdiction="">
                  <head align="left" preservecase="true">
                    <headtext>Vulnerability</headtext>
                  </head>
                  <division id="a000039" level="1">
                    <para>
                      <paratext>This concept concerns security vulnerabilities that may be present in software or hardware provided or developed during the project and is based on the definition used by US National Institute of Standards and Technology (NIST).</paratext>
                    </para>
                  </division>
                </drafting.note>
              </defn.item>
              <defn.item id="a341773">
                <defn.term>Work</defn.term>
                <defn>
                  <para>
                    <paratext>all the works, duties and obligations to be carried out by the Supplier under this agreement.</paratext>
                  </para>
                </defn>
              </defn.item>
            </subclause1>
            <subclause1 id="a865259">
              <identifier>1.2</identifier>
              <para>
                <paratext>Unless the context otherwise requires, a reference to one gender shall include a reference to the other genders. Unless the context otherwise requires, words in the singular shall include the plural and in the plural shall include the singular.</paratext>
              </para>
            </subclause1>
            <subclause1 id="a919027">
              <identifier>1.3</identifier>
              <para>
                <paratext>
                  Any words following the terms 
                  <bold>including</bold>
                  , 
                  <bold>include</bold>
                  , 
                  <bold>in particular</bold>
                  , 
                  <bold>for example</bold>
                   or any similar expression shall be interpreted as illustrative and shall not limit the sense of the words preceding those terms.
                </paratext>
              </para>
            </subclause1>
            <subclause1 id="a904179">
              <identifier>1.4</identifier>
              <para>
                <paratext>A reference to a statute or statutory provision is a reference to it as amended, extended or re-enacted from time to time.</paratext>
              </para>
            </subclause1>
            <subclause1 condition="optional" id="a797628">
              <identifier>1.5</identifier>
              <para>
                <paratext>
                  A reference to a 
                  <bold>holding company</bold>
                   or a 
                  <bold>subsidiary</bold>
                   means a holding company or a subsidiary (as the case may be) as defined in section 1159 of the Companies Act 2006 [and a company shall be treated, for the purposes only of the membership requirement contained in sections 1159(1)(b) and (c), as a member of another company even if its shares in that other company are registered in the name of (a) another person (or its nominee) by way of security or in connection with the taking of security, or (b) its nominee]. In the case of a limited liability partnership which is a subsidiary of a company or another limited liability partnership, section 1159 of the Companies Act 2006 shall be amended so that: (a) references in sections 1159(1)(a) and (c) to voting rights are to the members' rights to vote on all or substantially all matters which are decided by a vote of the members of the limited liability partnership; and (b) the reference in section 1159(1)(b) to the right to appoint or remove a majority of its board of directors is to the right to appoint or remove members holding a majority of the voting rights.
                </paratext>
              </para>
            </subclause1>
            <subclause1 id="a165495">
              <identifier>1.6</identifier>
              <para>
                <paratext>Except where a contrary intention appears, a reference to a clause, Schedule or annex is a reference to a clause of, or Schedule or annex to, this agreement.</paratext>
              </para>
            </subclause1>
            <subclause1 id="a766572">
              <identifier>1.7</identifier>
              <para>
                <paratext>Clause, Schedule and paragraph headings shall not affect the interpretation of this agreement.</paratext>
              </para>
            </subclause1>
            <subclause1 id="a518142">
              <identifier>1.8</identifier>
              <para>
                <paratext>
                  A reference to 
                  <bold>writing</bold>
                   or 
                  <bold>written</bold>
                   excludes fax [and email 
                  <bold>OR</bold>
                   but not email].
                </paratext>
              </para>
            </subclause1>
            <subclause1 id="a416694">
              <identifier>1.9</identifier>
              <para>
                <paratext>The Schedules form part of this agreement and shall have effect as if set out in full in the body of this agreement. Any reference to this agreement includes the Schedules.</paratext>
              </para>
            </subclause1>
            <subclause1 id="a760293">
              <identifier>1.10</identifier>
              <para>
                <paratext>If there is an inconsistency between any of the provisions in the main body of this agreement and the Schedules, the provisions in the main body of this agreement shall prevail.</paratext>
              </para>
            </subclause1>
            <subclause1 id="a109087">
              <identifier>1.11</identifier>
              <para>
                <paratext>
                  If the Licensed Software or any of the Services is provided to a Customer in any country listed in 
                  <internal.reference refid="a472006">Schedule 5</internal.reference>
                  , then that Schedule shall also apply. In the case of conflict or ambiguity between any provision contained in the body of this agreement or any other Schedule and any provision contained in 
                  <internal.reference refid="a472006">Schedule 5</internal.reference>
                  , the provision contained in that Schedule shall prevail, but only in respect of the Customer's use of the Licensed Software or receipt of those Services in that country.
                </paratext>
              </para>
            </subclause1>
            <subclause1 id="a920728">
              <identifier>1.12</identifier>
              <para>
                <paratext>
                  A 
                  <bold>person</bold>
                   includes a natural person, corporate or unincorporated body (whether or not having separate legal personality) [and that person's personal representatives, successors or permitted assigns].
                </paratext>
              </para>
            </subclause1>
          </clause>
          <clause id="a501236">
            <identifier>2.</identifier>
            <head align="left" preservecase="true">
              <headtext>Scope</headtext>
            </head>
            <subclause1 id="a247604">
              <identifier>2.1</identifier>
              <para>
                <paratext>The Supplier grants the Licence and shall supply to the Customer [and its Affiliates]:</paratext>
              </para>
              <subclause2 id="a463311">
                <identifier>(a)</identifier>
                <para>
                  <paratext>the Supplier Hardware;</paratext>
                </para>
              </subclause2>
              <subclause2 id="a198387">
                <identifier>(b)</identifier>
                <para>
                  <paratext>the Supplier Software and the Documentation;</paratext>
                </para>
              </subclause2>
              <subclause2 id="a860529">
                <identifier>(c)</identifier>
                <para>
                  <paratext>
                    the services specified in 
                    <internal.reference refid="a537942">Schedule 3</internal.reference>
                    ; and
                  </paratext>
                </para>
              </subclause2>
              <subclause2 id="a545292">
                <identifier>(d)</identifier>
                <para>
                  <paratext>the Support Services,</paratext>
                </para>
              </subclause2>
              <para>
                <paratext>in accordance with this agreement.</paratext>
              </para>
            </subclause1>
            <subclause1 id="a264021">
              <identifier>2.2</identifier>
              <para>
                <paratext>
                  If control of an entity, or a division or department within an entity, that is included within the definition of the Customer or an Affiliate is sold or otherwise transferred to one or more unrelated third parties, such entity, division or department (
                  <defn.term>Divested Entity</defn.term>
                  ) shall nevertheless continue to enjoy the Licence for [one year] after the Commencement Date of such transfer, provided that the Divested Entity or the legal entity assuming control of the Divested Entity agrees in writing to be bound by this agreement.
                </paratext>
              </para>
              <drafting.note id="a867076" jurisdiction="">
                <head align="left" preservecase="true">
                  <headtext>Limited licence to Divested Entity</headtext>
                </head>
                <division id="a000040" level="1">
                  <para>
                    <paratext>As a result of corporate restructuring, affiliates may be sold. This provision enables licences to those affiliates to continue for a grace period during which they can make their own longer term arrangements with the supplier if they wish.</paratext>
                  </para>
                </division>
              </drafting.note>
            </subclause1>
            <subclause1 id="a626660">
              <identifier>2.3</identifier>
              <para>
                <paratext>
                  The Price is specified in 
                  <internal.reference refid="a469523">Schedule 4</internal.reference>
                  .
                </paratext>
              </para>
            </subclause1>
            <subclause1 id="a456001">
              <identifier>2.4</identifier>
              <para>
                <paratext>
                  The supply under 
                  <internal.reference refid="a247604">clause 2.1</internal.reference>
                   and Price are subject to the terms and conditions set out in this agreement[, including the country specific amendments to this agreement set out in 
                  <internal.reference refid="a472006">Schedule 5</internal.reference>
                  ].
                </paratext>
              </para>
              <drafting.note id="a432752" jurisdiction="">
                <head align="left" preservecase="true">
                  <headtext>Terms and conditions of supply</headtext>
                </head>
                <division id="a000041" level="1">
                  <para>
                    <paratext>
                      This standard document can also take the form of a framework agreement. A simple mechanism has been provided for in this clause which refers to the various country specific amendments that may be set out in Part C of 
                      <internal.reference refid="a554929">Part 1</internal.reference>
                       of 
                      <internal.reference refid="a472006">Schedule 5</internal.reference>
                      . It is envisaged that Part C would in turn refer to various individual country addenda. Examples of such amendments include dispute resolution procedures, invoicing, tax requirements, insurance and contact details. 
                      <internal.reference refid="a920728">clause 1.12</internal.reference>
                       governs which provisions prevail if there is any inconsistency between the main body of the document and the relevant addendum forming part of 
                      <internal.reference refid="a472006">Schedule 5</internal.reference>
                       or between that schedule and one of the other schedules.
                    </paratext>
                  </para>
                  <para>
                    <paratext>
                      See 
                      <link href="2-517-0618" style="ACTLinkPLCtoPLC">
                        <ital>Practice note, Framework agreements</ital>
                      </link>
                      .
                    </paratext>
                  </para>
                </division>
              </drafting.note>
            </subclause1>
            <subclause1 id="a679479">
              <identifier>2.5</identifier>
              <para>
                <paratext>The Schedules to this agreement, together with any documents referred to in them, form an integral part of this agreement and any reference to this agreement means this agreement together with the Schedules and all documents referred to in them, and such amendments in writing as may subsequently be agreed between the parties.</paratext>
              </para>
            </subclause1>
          </clause>
          <clause condition="optional" id="a473501">
            <identifier>3.</identifier>
            <head align="left" preservecase="true">
              <headtext>Hardware Products to be provided</headtext>
            </head>
            <drafting.note id="a872508" jurisdiction="">
              <head align="left" preservecase="true">
                <headtext>Hardware products to be provided (optional)</headtext>
              </head>
              <division id="a000042" level="1">
                <para>
                  <paratext>This clause will only be required where the supplier is providing at least some of the hardware for the system. This could be its own products or those of a third-party manufacturer.</paratext>
                </para>
                <para>
                  <paratext>
                    The provision of cabling under 
                    <internal.reference refid="a592422">clause 3.2</internal.reference>
                     could be done by either the supplier or the customer, but responsibility must be agreed.
                  </paratext>
                </para>
                <para>
                  <paratext>
                    The agreement to make spare parts available in 
                    <internal.reference refid="a870139">clause 3.3</internal.reference>
                     is only necessary where the equipment is not standard computer equipment, where spare parts are unlikely to be readily available.
                  </paratext>
                </para>
              </division>
            </drafting.note>
            <subclause1 id="a700502">
              <identifier>3.1</identifier>
              <para>
                <paratext>The Supplier shall supply all items of Supplier Hardware, together with all related documentation provided by third party manufacturers of items of Supplier Hardware.</paratext>
              </para>
            </subclause1>
            <subclause1 id="a592422">
              <identifier>3.2</identifier>
              <para>
                <paratext>
                  The [Customer 
                  <bold>OR</bold>
                   Supplier] shall provide all cabling and other equipment needed for the installation of the Supplier Hardware at the Site(s), including any equipment needed to connect and interface Supplier Hardware with Computer Hardware.
                </paratext>
              </para>
            </subclause1>
            <subclause1 id="a870139">
              <identifier>3.3</identifier>
              <para>
                <paratext>For those items of Supplier Hardware manufactured by the Supplier, the Supplier undertakes to make spare parts available to the Customer at the Supplier's standard list price for at least [NUMBER OF YEARS] years from the Acceptance Date. For those items of Supplier Hardware manufactured by third parties, the Supplier shall use reasonable endeavours to get a similar undertaking from such third party manufacturers and will, in any event, provide the Customer with contact details for those entities known to the Supplier which provide spare parts for the items manufactured by such third parties.</paratext>
              </para>
            </subclause1>
          </clause>
          <clause condition="optional" id="a798795">
            <identifier>4.</identifier>
            <head align="left" preservecase="true">
              <headtext>System changes and technology substitution</headtext>
            </head>
            <drafting.note id="a847126" jurisdiction="">
              <head align="left" preservecase="true">
                <headtext>System changes and technology substitution (optional)</headtext>
              </head>
              <division id="a000043" level="1">
                <para>
                  <paratext>This clause will only be required where the supplier is providing at least some of the hardware for the system. This could be its own products or those of a third-party manufacturer.</paratext>
                </para>
                <para>
                  <paratext>Where the project is major, extending over a year or more, it is possible that improved hardware will become available before the full system is installed. In these circumstances the customer should require the opportunity to opt for the substitution of such improved items for those originally specified.</paratext>
                </para>
              </division>
            </drafting.note>
            <subclause1 id="a577778">
              <identifier>4.1</identifier>
              <para>
                <paratext>
                  The Customer may request changes to the Supplier Hardware in accordance with the procedures set out in 
                  <internal.reference refid="a487807">clause 16</internal.reference>
                  .
                </paratext>
              </para>
            </subclause1>
            <subclause1 id="a334532">
              <identifier>4.2</identifier>
              <para>
                <paratext>
                  The Supplier undertakes to offer to the Customer, and the Customer may at any time before the relevant Hardware Delivery Date or Software Delivery Date and at its sole discretion choose to obtain from the Supplier, any item of hardware or software in substitution for any corresponding item of the System where the substitute item contains new technology or has better performance characteristics than such item of the System. As part of the offer, the Supplier shall notify the Customer of any change in the Price which would result from such substitution. If the Customer chooses to obtain any such substitute item, the parties shall use its best endeavours to agree and execute a Change Agreement in accordance with 
                  <internal.reference refid="a473513">clause 16.4</internal.reference>
                  .
                </paratext>
              </para>
            </subclause1>
          </clause>
          <clause condition="optional" id="a896001">
            <identifier>5.</identifier>
            <head align="left" preservecase="true">
              <headtext>Hardware delivery and delays</headtext>
            </head>
            <drafting.note id="a141292" jurisdiction="">
              <head align="left" preservecase="true">
                <headtext>Hardware delivery and delays (optional)</headtext>
              </head>
              <division id="a000044" level="1">
                <para>
                  <paratext>This clause will only be required where the supplier is providing at least some of the hardware for the system. This could be its own products or those of a third-party manufacturer.</paratext>
                </para>
              </division>
            </drafting.note>
            <subclause1 id="a531955">
              <identifier>5.1</identifier>
              <para>
                <paratext>The Supplier shall deliver the items of Supplier Hardware to the Site(s) by the applicable Hardware Delivery Dates.</paratext>
              </para>
            </subclause1>
            <subclause1 id="a560745">
              <identifier>5.2</identifier>
              <para>
                <paratext>
                  If any delivery is delayed at the request of, or because of the acts or omissions of, the Customer, the Implementation Plan shall be amended to take account of such delay in accordance with 
                  <internal.reference refid="a370171">clause 14.5</internal.reference>
                  . If the Supplier can demonstrate by documentary evidence that the delay has resulted in an increase in cost to the Supplier of carrying out its obligations under this agreement, the Supplier may, at its discretion, notify the Customer that it wishes to increase the Price by an amount not exceeding any such demonstrable cost. No later than seven working days after receipt of such notification, the Customer shall tell the Supplier whether it agrees to such increase in the Price. If the Customer does not agree, the question of whether the Supplier is entitled to an increase in the Price and, if so, the amount of such increase, shall be determined under the Dispute Resolution Procedure.
                </paratext>
              </para>
            </subclause1>
          </clause>
          <clause condition="optional" id="a757220">
            <identifier>6.</identifier>
            <head align="left" preservecase="true">
              <headtext>Hardware testing</headtext>
            </head>
            <drafting.note id="a623057" jurisdiction="">
              <head align="left" preservecase="true">
                <headtext>Hardware testing (optional)</headtext>
              </head>
              <division id="a000045" level="1">
                <para>
                  <paratext>This clause will only be required where the supplier is providing at least some of the hardware for the system. This could be its own products or those of a third-party manufacturer.</paratext>
                </para>
                <para>
                  <paratext>This provision for pre-installation testing is designed to eliminate (or at least minimise) delays caused by hardware failures during the integration process, and may not be necessary if only standard third-party-manufactured computer equipment is to be supplied.</paratext>
                </para>
              </division>
            </drafting.note>
            <subclause1 id="a873882">
              <identifier>6.1</identifier>
              <para>
                <paratext>Before delivering any item of Supplier Hardware to the Site(s), the Supplier shall carry out reasonable tests to ensure that such item is in operable condition and is capable of meeting the requirements of the Technical Specification once properly installed.</paratext>
              </para>
            </subclause1>
            <subclause1 id="a352801">
              <identifier>6.2</identifier>
              <para>
                <paratext>Following installation of each item of Supplier Hardware, the Supplier shall carry out the Hardware Installation Tests applicable to that item and shall supply the Customer with copies of the test results.</paratext>
              </para>
            </subclause1>
            <subclause1 id="a476159">
              <identifier>6.3</identifier>
              <para>
                <paratext>If any item of the Supplier Hardware fails to pass the applicable Hardware Installation Tests then the Supplier shall have [NUMBER] days in which to remedy the deficiency, and the relevant test(s) shall be repeated within a reasonable time.</paratext>
              </para>
            </subclause1>
            <subclause1 id="a506524">
              <identifier>6.4</identifier>
              <para>
                <paratext>
                  If the item of Supplier Hardware fails, in some material respect, to pass such repeated Hardware Installation Tests then the Customer may, by written notice to the Supplier, choose at its sole discretion to specify (without prejudice to the Customer's other rights and remedies) a new date for carrying out further tests on the Software Module on the same terms and conditions as are set out in 
                  <internal.reference refid="a352801">clause 6.2</internal.reference>
                  . If the item of Supplier Hardware fails such further tests then the Customer may:
                </paratext>
              </para>
              <subclause2 id="a903166">
                <identifier>(a)</identifier>
                <para>
                  <paratext>
                    request a repeat test under this 
                    <internal.reference refid="a757220">clause 6</internal.reference>
                    ; or
                  </paratext>
                </para>
              </subclause2>
              <subclause2 id="a460572">
                <identifier>(b)</identifier>
                <para>
                  <paratext>accept the item of Supplier Hardware subject to such change of acceptance criteria, amendment of the Business Requirements Specification and/or reduction in the Price as, after taking into account all the relevant circumstances, is reasonable; or</paratext>
                </para>
              </subclause2>
              <subclause2 id="a394864">
                <identifier>(c)</identifier>
                <para>
                  <paratext>
                    if the Supplier is unable to correct material defects within a period of [six] months from the start of the Hardware Installation Tests under 
                    <internal.reference refid="a352801">clause 6.2</internal.reference>
                    , reject the item of Supplier Hardware as not conforming to this agreement, in which case the Customer may terminate this agreement.
                  </paratext>
                </para>
              </subclause2>
            </subclause1>
          </clause>
          <clause condition="optional" id="a338002">
            <identifier>7.</identifier>
            <head align="left" preservecase="true">
              <headtext>Hardware warranties</headtext>
            </head>
            <drafting.note id="a398562" jurisdiction="">
              <head align="left" preservecase="true">
                <headtext>Hardware warranties (optional)</headtext>
              </head>
              <division id="a000046" level="1">
                <para>
                  <paratext>This clause will only be required where the supplier is providing at least some of the hardware for the system. This could be its own products or those of a third-party manufacturer.</paratext>
                </para>
                <para>
                  <paratext>The customer will want to ensure that the hardware supplied will meet its business requirements. However, the supplier may be reluctant to warrant that the equipment is suitable for purpose unless this is linked to, and carefully delineated in, the technical specification.</paratext>
                </para>
              </division>
            </drafting.note>
            <subclause1 id="a287030">
              <identifier>7.1</identifier>
              <para>
                <paratext>
                  The warranties given in this 
                  <internal.reference refid="a338002">clause 7</internal.reference>
                   are in addition to the warranties given in other parts of this agreement.
                </paratext>
              </para>
            </subclause1>
            <subclause1 id="a638038">
              <identifier>7.2</identifier>
              <para>
                <paratext>The Supplier warrants that:</paratext>
              </para>
              <subclause2 id="a979438">
                <identifier>(a)</identifier>
                <para>
                  <paratext>the Supplier Hardware will:</paratext>
                </para>
                <subclause3 id="a665910">
                  <identifier>(i)</identifier>
                  <para>
                    <paratext>
                      be new (except where otherwise specified in 
                      <internal.reference refid="a809076">Schedule 1</internal.reference>
                      );
                    </paratext>
                  </para>
                </subclause3>
                <subclause3 id="a822764">
                  <identifier>(ii)</identifier>
                  <para>
                    <paratext>be of satisfactory quality;</paratext>
                  </para>
                </subclause3>
                <subclause3 id="a638687">
                  <identifier>(iii)</identifier>
                  <para>
                    <paratext>[be suitable for the purpose for which it is intended under the Business Requirements Specification;]</paratext>
                  </para>
                </subclause3>
                <subclause3 id="a962408">
                  <identifier>(iv)</identifier>
                  <para>
                    <paratext>not contain any [Known Vulnerabilities and Latent] Vulnerabilities; and</paratext>
                  </para>
                </subclause3>
                <subclause3 id="a607479">
                  <identifier>(v)</identifier>
                  <para>
                    <paratext>when assessed on its own or as part of the System, comply with the Cybersecurity Requirements.</paratext>
                  </para>
                  <drafting.note id="a561813" jurisdiction="">
                    <head align="left" preservecase="true">
                      <headtext>Cybersecurity hardware warranties</headtext>
                    </head>
                    <division id="a000047" level="1">
                      <para>
                        <paratext>
                          For more information on the supplier's general obligation to comply with the Cybersecurity Requirements, see 
                          <internal.reference refid="a567474">clause 22.2</internal.reference>
                          .
                        </paratext>
                      </para>
                      <para>
                        <paratext>
                          For more information on the supplier's obligation to mitigate against vulnerabilities, see 
                          <internal.reference refid="a567474">clause 22.2</internal.reference>
                          .
                        </paratext>
                      </para>
                    </division>
                  </drafting.note>
                </subclause3>
              </subclause2>
              <subclause2 id="a883095">
                <identifier>(b)</identifier>
                <para>
                  <paratext>as far as it is able, the Supplier will pass on to the Customer the benefits of any Manufacturer's Warranties.</paratext>
                </para>
              </subclause2>
            </subclause1>
          </clause>
          <clause id="a402981">
            <identifier>8.</identifier>
            <head align="left" preservecase="true">
              <headtext>Software and system documentation</headtext>
            </head>
            <drafting.note id="a989294" jurisdiction="">
              <head align="left" preservecase="true">
                <headtext>Software and system documentation</headtext>
              </head>
              <division id="a000048" level="1">
                <para>
                  <paratext>
                    The customer will want to tie the supplier's obligations to modify and develop software (
                    <internal.reference refid="a518288">clause 8.1</internal.reference>
                     and 
                    <internal.reference refid="a519178">clause 9.3</internal.reference>
                    ) to the requirements of the business requirements specification, in order to ensure that it gets software which meets its business needs. The supplier will probably prefer to tie these obligations to the technical specification and any performance criteria than the business requirements specification. The former will normally contain more precise definitions of the functions such software is to perform than the latter.
                  </paratext>
                </para>
                <para>
                  <paratext>
                    The obligations to provide the system (
                    <internal.reference refid="a518288">clause 8.1</internal.reference>
                    ) and associated services (
                    <internal.reference refid="a247604">clause 2.1</internal.reference>
                    ) are expressed simply as acts, and it should be simple to demonstrate the completion of these. However, particularly in relation to complex systems, the customer should insist on including some reference to satisfactory outcomes. It would be reasonable to agree to tie the acts to the specific provisions of the specifications with an allowance for some error. For example, a supplier would want to agree an acceptable error rate for the conversion of the customer's data (as no conversion process can be guaranteed to be 100% accurate), perhaps with a provision for correcting mistakes that are found during a specified period.
                  </paratext>
                </para>
                <para>
                  <paratext>
                    The standards set out in 
                    <internal.reference refid="a518288">clause 8.1</internal.reference>
                     go further than the legally implied obligation of reasonable skill and expertise, but should be achievable by any competent supplier. The outcome is expressed as meeting the requirements of the business requirements specification. The supplier is likely to want to insist on the technical specification instead (see 
                    <internal.reference refid="a359417">Business Requirements Specification</internal.reference>
                    ).
                  </paratext>
                </para>
                <para>
                  <paratext>
                    Software supplied or developed by the supplier under this agreement is subject to the terms of this agreement (
                    <internal.reference refid="a252337">clause 8.3</internal.reference>
                    ), whereas software supplied by a third party (whether or not modified under this agreement) is subject to terms stipulated by the relevant third party (
                    <internal.reference refid="a834490">clause 8.2</internal.reference>
                    ).
                  </paratext>
                </para>
                <para>
                  <paratext>
                    The third party's terms will require careful review as they may conflict with those in the agreement between the customer and the supplier. If the supplier asks the customer to enter into a direct licence agreement with a third-party software owner (as is contemplated by 
                    <internal.reference refid="a834490">clause 8.2</internal.reference>
                    ), the customer should make it clear that it is able to seek redress from the supplier if the software fails or infringes any third-party IPRs (see 
                    <internal.reference refid="a682833">clause 32.1</internal.reference>
                    , 
                    <internal.reference refid="a425295">clause 32.2(c)</internal.reference>
                    , 
                    <internal.reference refid="a518079">clause 32.2(d)</internal.reference>
                     and 
                    <internal.reference refid="a910478">clause 33.1</internal.reference>
                    ) (see also 
                    <internal.reference refid="a119375">Drafting note, Supplier Software</internal.reference>
                    , above).
                  </paratext>
                </para>
                <para>
                  <paratext>Alternatively, the supplier enters into a back-to-back agreement with the third-party software owner and grants a sub-licence to the customer. In that case, to ensure that the customer will have similar rights against the supplier, the definition of Licensed Software should be expanded to include third-party software.</paratext>
                </para>
                <para>
                  <paratext>
                    <internal.reference refid="a718820">Clause 8.4</internal.reference>
                     refers to the provision of documentation relating to use of the software which may be supplied in electronic or hard-copy form or both.
                  </paratext>
                </para>
              </division>
            </drafting.note>
            <subclause1 id="a518288">
              <identifier>8.1</identifier>
              <para>
                <paratext>The Supplier shall carry out the Work with reasonable diligence and despatch, and with reasonable skill and expertise, to provide the System in accordance with the Business Requirements Specification by the Completion Date.</paratext>
              </para>
            </subclause1>
            <subclause1 id="a834490">
              <identifier>8.2</identifier>
              <para>
                <paratext>The Supplier shall provide the Third-Party Software and any Modified Software (Third Parties) to the Customer [and its Affiliates] under the standard licence terms provided by the relevant third parties, copies of which shall be provided to the Customer, and the Customer agrees to be bound by such licence terms [and to use reasonable endeavours to ensure that its Affiliates are bound under similar obligations owed to the relevant third parties].</paratext>
              </para>
            </subclause1>
            <subclause1 id="a252337">
              <identifier>8.3</identifier>
              <para>
                <paratext>The Supplier shall provide the Supplier Standard Software and any Modified Software (Supplier) under the terms of this agreement.</paratext>
              </para>
            </subclause1>
            <subclause1 id="a718820">
              <identifier>8.4</identifier>
              <para>
                <paratext>The Supplier shall, in a timely manner, provide the Customer with copies of the Documentation containing sufficient up-to-date information for the proper use [and maintenance] of the System. Such Documentation may be supplied in electronic form.</paratext>
              </para>
            </subclause1>
            <subclause1 id="a610949">
              <identifier>8.5</identifier>
              <para>
                <paratext>The Customer may make such further copies of the Documentation as are reasonably necessary for the use [and maintenance] of the System [and for training the Customer's personnel in use of the System]. The Customer shall ensure that all Supplier's proprietary notices are reproduced in any such copy.</paratext>
              </para>
            </subclause1>
            <subclause1 id="a429382">
              <identifier>8.6</identifier>
              <para>
                <paratext>
                  The Customer may provide copies of the Documentation to any third party who needs to know the information contained in it, provided that such third party first enters into a confidentiality obligation in accordance with 
                  <internal.reference refid="a175838">clause 27</internal.reference>
                  .
                </paratext>
              </para>
            </subclause1>
          </clause>
          <clause id="a935839">
            <identifier>9.</identifier>
            <head align="left" preservecase="true">
              <headtext>Systems integration services to be provided</headtext>
            </head>
            <drafting.note id="a640264" jurisdiction="">
              <head align="left" preservecase="true">
                <headtext>Systems integration services to be provided</headtext>
              </head>
              <division id="a000049" level="1">
                <para>
                  <paratext>
                    Sample text is provided in 
                    <internal.reference refid="a768767">Drafting note, Example of Schedule 3, Part A: Services</internal.reference>
                     for training and disaster recovery and business continuity services (see 
                    <internal.reference refid="a993855">clause 9.2(b)</internal.reference>
                     and 
                    <internal.reference refid="a838316">clause 9.2(d)</internal.reference>
                    ). If you need more comprehensive provisions, attach appropriate stand-alone pro forma agreements. Any obligation to provide disaster recovery and business continuity services (as contemplated under 
                    <internal.reference refid="a838316">clause 9.2(d)</internal.reference>
                    ) typically arises where the contract services are ongoing in nature, such as maintenance and support. If greater certainty is required regarding these terms, consider attaching a pro forma agreement as an appendix to this agreement, using a similar approach to that adopted for maintenance and support.
                  </paratext>
                </para>
                <para>
                  <paratext>It is good drafting practice to place all the supplier's principal obligations together in the agreement, as this makes it easier to check that everything has been covered.</paratext>
                </para>
                <para>
                  <paratext>
                    The supplier will need to have both physical and remote access to the existing system and to the customer's data. This need for access has to be balanced against the customer's need to go on running its business while the new system is being developed. The customer is typically obliged to co-operate in the carrying out of the work, in particular to allow the supplier's staff reasonable access to information and the site, and to provide necessary supplies for the supplier's personnel working on the customer's site (
                    <internal.reference refid="a342478">clause 26.2</internal.reference>
                     and 
                    <internal.reference refid="a678462">clause 26.3</internal.reference>
                    ).
                  </paratext>
                </para>
                <para>
                  <paratext>
                    The customer may want more control over rights of access than this clause gives. However, the supplier should not be put in a situation where the project cannot be completed on time because access is not provided, or where it ends up paying its personnel overtime from its own pocket because access is only given outside normal working hours (unless this expense has been factored into the agreed price at the beginning). The customer should also require the supplier to accept an obligation of responsible conduct to go with the right of access (
                    <internal.reference refid="a697613">clause 24</internal.reference>
                    ).
                  </paratext>
                </para>
              </division>
            </drafting.note>
            <subclause1 id="a460918">
              <identifier>9.1</identifier>
              <para>
                <paratext>The Supplier agrees to:</paratext>
              </para>
              <subclause2 id="a671354">
                <identifier>(a)</identifier>
                <para>
                  <paratext>deliver and install the Supplier Hardware and Supplier Software at the Site(s);</paratext>
                </para>
              </subclause2>
              <subclause2 id="a477282">
                <identifier>(b)</identifier>
                <para>
                  <paratext>integrate the Supplier Hardware, Computer Hardware, Supplier Software and Customer Software to form the System;</paratext>
                </para>
              </subclause2>
              <subclause2 id="a674061">
                <identifier>(c)</identifier>
                <para>
                  <paratext>carry out, in conjunction with the Customer, the Acceptance Tests; and</paratext>
                </para>
              </subclause2>
              <subclause2 id="a660506">
                <identifier>(d)</identifier>
                <para>
                  <paratext>provide the System Ready for Service by the Completion Date;</paratext>
                </para>
              </subclause2>
              <para>
                <paratext>on the terms and conditions set out in this agreement.</paratext>
              </para>
            </subclause1>
            <subclause1 condition="optional" id="a739372">
              <identifier>9.2</identifier>
              <para>
                <paratext>If requested to do so by the Customer, the Supplier shall:</paratext>
              </para>
              <subclause2 id="a530347">
                <identifier>(a)</identifier>
                <para>
                  <paratext>
                    [promptly enter into a software maintenance and support agreement in a form to be agreed between the parties 
                    <bold>OR</bold>
                     provide maintenance and support in accordance with [this agreement including 
                    <internal.reference refid="a537942">Schedule 3</internal.reference>
                    <bold>OR </bold>
                    <internal.reference refid="a212587">Annex J</internal.reference>
                    ]];
                  </paratext>
                </para>
              </subclause2>
              <subclause2 id="a993855">
                <identifier>(b)</identifier>
                <para>
                  <paratext>
                    [provide the training specified in the Implementation Plan at the rates provided for in that plan 
                    <bold>OR</bold>
                     provide training in accordance with 
                    <internal.reference refid="a890525">clause 23</internal.reference>
                     and 
                    <internal.reference refid="a537942">Schedule 3</internal.reference>
                     and 
                    <internal.reference refid="a469523">Schedule 4</internal.reference>
                    ];
                  </paratext>
                </para>
              </subclause2>
              <subclause2 id="a803833">
                <identifier>(c)</identifier>
                <para>
                  <paratext>
                    make available to the Customer suitably qualified personnel to carry out [such tasks on a consultancy basis concerning the Work as the Customer may specify 
                    <bold>OR</bold>
                     tasks on a consultancy basis concerning the Work in accordance with this agreement including 
                    <internal.reference refid="a537942">Schedule 3</internal.reference>
                     and 
                    <internal.reference refid="a469523">Schedule 4</internal.reference>
                    ];
                  </paratext>
                </para>
              </subclause2>
              <subclause2 id="a838316">
                <identifier>(d)</identifier>
                <para>
                  <paratext>
                    provide the Customer with disaster recovery and business continuity services in accordance with this agreement including 
                    <internal.reference refid="a537942">Schedule 3</internal.reference>
                     and 
                    <internal.reference refid="a469523">Schedule 4</internal.reference>
                    .
                  </paratext>
                </para>
                <drafting.note id="a710374" jurisdiction="">
                  <head align="left" preservecase="true">
                    <headtext>Business continuity (optional)</headtext>
                  </head>
                  <division id="a000050" level="1">
                    <para>
                      <paratext>
                        In some instances, business continuity will be a paid-for service line, in which case it will be appropriate to include a description of this service line, and associated costings, at 
                        <internal.reference refid="a537942">Schedule 3</internal.reference>
                         and 
                        <internal.reference refid="a469523">Schedule 4</internal.reference>
                        . However, even where business continuity is not to be paid for as a separate service line, it is likely that customers will want the supplier to sign up to certain obligations in respect of business continuity, particularly where the customer is subject to the provisions of the 
                        <link href="w-014-4419" style="ACTLinkPLCtoPLC">
                          <ital>NIS Regulations</ital>
                        </link>
                         (see 
                        <internal.reference refid="a945130">clause 29.3</internal.reference>
                         and 
                        <internal.reference refid="a470713">Drafting note, Business continuity</internal.reference>
                        ) or applicable data protection legislation (see 
                        <internal.reference refid="a332195">Drafting note, Data protection</internal.reference>
                        ).
                      </paratext>
                    </para>
                  </division>
                </drafting.note>
              </subclause2>
            </subclause1>
            <subclause1 id="a519178">
              <identifier>9.3</identifier>
              <para>
                <paratext>The Supplier shall develop the Bespoke Software and make the modifications to the Modified Software in accordance with the requirements of the Business Requirements Specification.</paratext>
              </para>
            </subclause1>
            <subclause1 condition="optional" id="a957357">
              <identifier>9.4</identifier>
              <para>
                <paratext>
                  Time shall be of the essence regarding any date for delivery by the Supplier of any good or service specified in this agreement and the Completion Date under 
                  <internal.reference refid="a656427">clause 11.7</internal.reference>
                  .
                </paratext>
              </para>
              <drafting.note id="a410434" jurisdiction="">
                <head align="left" preservecase="true">
                  <headtext>Time of the essence regarding delivery and completion date (optional)</headtext>
                </head>
                <division id="a000051" level="1">
                  <para>
                    <paratext>If the customer has strong bargaining power, consider whether to include this optional text to the effect that time is of the essence regarding the delivery dates specified in the agreement. This will facilitate enforcement in the case of breach. However, the supplier is unlikely to accept this wording.</paratext>
                  </para>
                </division>
              </drafting.note>
            </subclause1>
            <subclause1 id="a265147">
              <identifier>9.5</identifier>
              <para>
                <paratext>When performing the Services and any Work, the Supplier shall comply with the Customer's reasonable instructions to ensure minimal disruption to the Business.</paratext>
              </para>
            </subclause1>
          </clause>
          <clause id="a594513">
            <identifier>10.</identifier>
            <head align="left" preservecase="true">
              <headtext>Pre-installation testing</headtext>
            </head>
            <drafting.note id="a227874" jurisdiction="">
              <head align="left" preservecase="true">
                <headtext>Pre-installation testing</headtext>
              </head>
              <division id="a000052" level="1">
                <para>
                  <paratext>
                    There may be no need for pre-installation testing if the system is fairly simple and will only use standard software. In any other case, both parties have an interest in having pre-installation testing carried out. For the supplier, this allows for testing in a controlled environment and the opportunity to correct obvious errors and deal with problems before the customer sees the software. The customer also benefits, as its employees and business are not disrupted by problems with totally untested software. 
                    <internal.reference refid="a658849">clause 10.3</internal.reference>
                     provides a mechanism for dealing with repeated material failure to pass the agreed pre-installation tests. The relevant periods (in square brackets in the standard document) will have to be agreed in the light of the implementation plan as a whole, and the complexity of both the system and the software.
                  </paratext>
                </para>
              </division>
            </drafting.note>
            <subclause1 id="a511231">
              <identifier>10.1</identifier>
              <para>
                <paratext>Before delivering any item of Supplier Standard Software or Third-Party Software to the Site(s), the Supplier shall carry out reasonable tests to ensure that such item is in operable condition and is capable of meeting the requirements of the Business Requirements Specification once properly installed.</paratext>
              </para>
            </subclause1>
            <subclause1 id="a817120">
              <identifier>10.2</identifier>
              <para>
                <paratext>The Supplier shall carry out the Pre-Installation Tests on the Modified Software and Bespoke Software before delivery to the Site(s) in accordance with the following provisions:</paratext>
              </para>
              <subclause2 id="a741074">
                <identifier>(a)</identifier>
                <para>
                  <paratext>
                    no later than [30] days from the date of signing this agreement, the Customer shall deliver to the Supplier proposed user acceptance criteria and test data for the Pre-Installation Tests for each module of Modified Software and Bespoke Software. These criteria and data shall be such as are reasonably required to show that each module complies with the relevant parts of the Business Requirements Specification. The Supplier shall provide the Customer with assistance to prepare such user acceptance criteria and test data at the Customer's request, at the Supplier's standard rates then in force. The parties shall use best endeavours to agree the Software Pre-Installation Test Plan containing the Pre-Installation Tests for each module within [ten] days from the date of delivery to the Supplier of the proposed criteria and data, and such Software Pre-Installation Test Plan shall be annexed to this agreement as 
                    <internal.reference refid="a876728">Annex E</internal.reference>
                    ;
                  </paratext>
                </para>
              </subclause2>
              <subclause2 id="a896559">
                <identifier>(b)</identifier>
                <para>
                  <paratext>within a reasonable time before the relevant Software Delivery Date for each Software Module, the Supplier shall carry out the agreed Pre-Installation Tests for each Software Module. The Supplier shall give the Customer at least 24 hours' notice of the start of the Pre-Installation Tests and shall permit the Customer to observe all or any parts of the testing; and</paratext>
                </para>
              </subclause2>
              <subclause2 id="a650655">
                <identifier>(c)</identifier>
                <para>
                  <paratext>if the Software Module fails to pass the Pre-Installation Tests, the Supplier shall remedy the defects and deficiencies, and the relevant test(s) shall be repeated within a reasonable time.</paratext>
                </para>
              </subclause2>
            </subclause1>
            <subclause1 id="a658849">
              <identifier>10.3</identifier>
              <para>
                <paratext>
                  If the Software Module fails, in some material respect, to pass the Pre-Installation Tests within [four weeks] from the date of its second submission to the Pre-Installation Tests, then the Customer may, by written notice to the Supplier, choose at its sole discretion to specify (without prejudice to the Customer's other rights and remedies) a new date for carrying out further tests on the Software Module on the same terms and conditions as are set out in 
                  <internal.reference refid="a817120">clause 10.2</internal.reference>
                  . If the Software Module fails such further tests, then the Customer may:
                </paratext>
              </para>
              <subclause2 id="a149846">
                <identifier>(a)</identifier>
                <para>
                  <paratext>
                    request a repeat test under this 
                    <internal.reference refid="a594513">clause 10</internal.reference>
                    ; or
                  </paratext>
                </para>
              </subclause2>
              <subclause2 id="a851763">
                <identifier>(b)</identifier>
                <para>
                  <paratext>permit installation of the Software Module subject to such change of acceptance criteria, amendment of the Business Requirements Specification and/or reduction in the Price as, after taking into account all the relevant circumstances, is reasonable; or</paratext>
                </para>
              </subclause2>
              <subclause2 id="a874932">
                <identifier>(c)</identifier>
                <para>
                  <paratext>
                    if the Supplier is unable to correct material defects within a period of [six] months from the start of Pre-Installation Tests under 
                    <internal.reference refid="a896559">clause 10.2(b)</internal.reference>
                    , reject the Software Module as not conforming to this agreement, and terminate this agreement.
                  </paratext>
                </para>
              </subclause2>
            </subclause1>
          </clause>
          <clause id="a989279">
            <identifier>11.</identifier>
            <head align="left" preservecase="true">
              <headtext>Delivery, installation and delays</headtext>
            </head>
            <drafting.note id="a545438" jurisdiction="">
              <head align="left" preservecase="true">
                <headtext>Delivery, installation and delays</headtext>
              </head>
              <division id="a000053" level="1">
                <para>
                  <paratext>
                    The supplier has most of the obligations here. However, the customer may prefer to carry out the site preparation itself (see the alternative forms of 
                    <internal.reference refid="a996509">clause 11.3</internal.reference>
                    ). Where the supplier is not providing hardware, the references to supplier hardware in 
                    <internal.reference refid="a989279">clause 11</internal.reference>
                     should be deleted. Similarly, if the customer is not supplying any hardware or software, 
                    <internal.reference refid="a990532">clause 11.5</internal.reference>
                     is not required.
                  </paratext>
                </para>
                <para>
                  <paratext>
                    The preferred version of this clause for the customer provides for liquidated damages for delay in successful completion of the acceptance testing procedure (see 
                    <internal.reference refid="a830558">clause 11.8</internal.reference>
                    ). The alternative form, which is more favourable to the supplier, provides that the customer's only remedy for delay is the payment of demonstrable, reasonable costs. A provision for liquidated damages is common in system integration agreements.
                  </paratext>
                </para>
                <para>
                  <paratext>However, if the amount of liquidated damages owed is not proportionate to the customer's legitimate interest in ensuring the performance of the supplier's obligations under this agreement, the relevant clause giving effect to the payment of liquidated damage may be considered an unenforceable penalty.</paratext>
                </para>
                <para>
                  <paratext>To help defend any clause that gives effect to liquidated damages, it would be useful to record the customer's interest that justifies any financial recovery which is more than the law would normally allow as damages for breach of contract. This should be recorded where it will be visible to whoever may be dealing with the contract if and when a dispute arises. The best place to record it would therefore be in the contract (in the clause itself or in the Background section). Next best, the receiving party could record it in emails between the parties when they negotiate the contract, or at least in notes of the negotiation. Although this draft recites the supplier's agreement that the specified sum achieves this, this will not prevent a court making its own enquiry about whether this is an unenforceable penalty.</paratext>
                </para>
                <para>
                  <paratext>
                    For more information on the law relating to penalty clauses, see 
                    <link anchor="a574254" href="9-582-2885" style="ACTLinkPLCtoPLC">
                      <ital>Practice note, Contracts: agreed remedies: The rule against penalties</ital>
                    </link>
                    .
                  </paratext>
                </para>
              </division>
            </drafting.note>
            <subclause1 id="a921011">
              <identifier>11.1</identifier>
              <para>
                <paratext>The Supplier shall deliver each item of Supplier Hardware and each Software Module to the Site(s) on or before the applicable Hardware Delivery Date or Software Delivery Date for that item.</paratext>
              </para>
            </subclause1>
            <subclause1 id="a533662">
              <identifier>11.2</identifier>
              <para>
                <paratext>The Supplier shall supply to the Customer, within a reasonable time before any Hardware Delivery Date or Software Delivery Date, such information and assistance as may be necessary to enable the Customer to prepare the Site(s) for the installation of the relevant item of Supplier Hardware or Supplier Software.</paratext>
              </para>
            </subclause1>
            <subclause1 id="a996509">
              <identifier>11.3</identifier>
              <para>
                <paratext>
                  The [Supplier 
                  <bold>OR</bold>
                   Customer] shall, at its own expense, prepare the Site(s) in accordance with the information provided by the Supplier in advance of each Hardware Delivery Date or Software Delivery Date. The [Supplier 
                  <bold>OR</bold>
                   Customer] may request reasonable assistance from the [Customer 
                  <bold>OR</bold>
                   Supplier] to carry out such preparation.
                </paratext>
              </para>
            </subclause1>
            <subclause1 id="a360533">
              <identifier>11.4</identifier>
              <para>
                <paratext>The Supplier shall complete installation of each item of Supplier Hardware and each Software Module at the Site(s) by the Installation Date for that item of Supplier Hardware or Software Module.</paratext>
              </para>
            </subclause1>
            <subclause1 id="a990532">
              <identifier>11.5</identifier>
              <para>
                <paratext>The Customer shall be responsible for ensuring that each item of Computer Hardware and Customer Software is installed and is in working order and available to the Supplier no later than the relevant date specified in the Implementation Plan.</paratext>
              </para>
            </subclause1>
            <subclause1 id="a330096">
              <identifier>11.6</identifier>
              <para>
                <paratext>
                  If any delivery is delayed at the request of, or because of the acts or omissions of, the Customer, the Implementation Plan shall be amended to take account of such delay in accordance with 
                  <internal.reference refid="a370171">clause 14.5</internal.reference>
                  . If the Supplier can demonstrate by documentary evidence that the delay has resulted in an increase in cost to the Supplier of carrying out its obligations under this agreement, the Supplier may, at its discretion, notify the Customer that it wishes to increase the Price by an amount not exceeding any such demonstrable cost. No later than seven working days after receipt of such notification, the Customer shall notify the Supplier whether it agrees to such increase in the Price. If the Customer does not agree, the question of whether the Supplier is entitled to an increase in the Price and, if so, the amount of such increase, shall be determined under the Dispute Resolution Procedure.
                </paratext>
              </para>
            </subclause1>
            <subclause1 id="a656427">
              <identifier>11.7</identifier>
              <para>
                <paratext>The Supplier shall provide the System Ready for Service on or before the Completion Date.</paratext>
              </para>
            </subclause1>
            <subclause1 id="a830558">
              <identifier>11.8</identifier>
              <para>
                <paratext>
                  If delivery of any item of Supplier Hardware or Software Module is not Ready for Service by the Completion Date because of any act or omission of the Supplier or any third party manufacturer or the System, the Supplier shall [pay to the Customer for each day after the scheduled Ready for Service date or the Completion Date (as the case may be) until the date the System is Ready for Service the sum specified in 
                  <internal.reference refid="a469523">Schedule 4</internal.reference>
                   as liquidated damages, and the Supplier agrees that this sum is proportionate when considering the Customer's legitimate interest to avoid any delay in provision of the System Ready for Service 
                  <bold>OR</bold>
                   be liable for any reasonable costs that the Customer can demonstrate it incurred as a direct result of such delay].
                </paratext>
              </para>
            </subclause1>
          </clause>
          <clause id="a410203">
            <identifier>12.</identifier>
            <head align="left" preservecase="true">
              <headtext>System acceptance tests</headtext>
            </head>
            <drafting.note id="a192283" jurisdiction="">
              <head align="left" preservecase="true">
                <headtext>System acceptance tests</headtext>
              </head>
              <division id="a000054" level="1">
                <para>
                  <paratext>The acceptance tests are usually prepared and run by the supplier, but the customer may want to do this itself, or at least have an involvement which extends beyond the provision of the test data.</paratext>
                </para>
                <para>
                  <paratext>
                    The acceptance tests in 
                    <internal.reference refid="a180127">Annex F</internal.reference>
                     are important. This document will normally have two parts:
                  </paratext>
                </para>
                <list type="bulleted">
                  <list.item>
                    <para>
                      <paratext>A testing procedure, including timetable and specification of tests to be performed.</paratext>
                    </para>
                  </list.item>
                  <list.item>
                    <para>
                      <paratext>A set of performance criteria for each test.</paratext>
                    </para>
                  </list.item>
                </list>
                <para>
                  <paratext>
                    As it is almost unknown for this document to be agreed before the contract is signed, 
                    <internal.reference refid="a853525">clause 12.1</internal.reference>
                     provides a mechanism for preparing and agreeing this document.
                  </paratext>
                </para>
                <para>
                  <paratext>The two parties need to reach a compromise between their competing interests in agreeing the tests and required performance. The customer prefers to go on testing for a long time to ensure that all problems are identified and remedied before the system is accepted (and acceptance payments are made), while the supplier will prefer short and simple tests leading to early acceptance, leaving any problems to be ironed out later under the maintenance agreement.</paratext>
                </para>
                <para>
                  <paratext>Where various software modules comprise part of the system, acceptance testing is likely to involve acceptance testing of the individual software modules and another set of tests on the whole set of modules as installed, to ensure that they work together properly and fulfil the business requirements specification. It is possible for the individual modules each to work correctly, but for the interfacing between them to be defective or for interference to occur between individual modules.</paratext>
                </para>
                <para>
                  <paratext>
                    For more information, see 
                    <link anchor="a828977" href="7-107-4789" style="ACTLinkPLCtoPLC">
                      <ital>Practice note, Main issues in software licensing and maintenance contracts: Installation and testing</ital>
                    </link>
                    .
                  </paratext>
                </para>
                <para>
                  <paratext>
                    Regarding 
                    <link href="6-201-4002" style="ACTLinkPLCtoPLC">
                      <ital>clause 10.2(a)</ital>
                    </link>
                    , the meaning of best endeavours, reasonable endeavours and other common forms of endeavours clauses is reviewed in 
                    <link href="6-380-0482" style="ACTLinkPLCtoPLC">
                      <ital>Practice note, Best or reasonable endeavours?</ital>
                    </link>
                    .
                  </paratext>
                </para>
              </division>
            </drafting.note>
            <subclause1 id="a853525">
              <identifier>12.1</identifier>
              <para>
                <paratext>No later than [30] days from the date of signature of this agreement, the Customer shall deliver to the Supplier proposed user acceptance criteria and test data for the Acceptance Tests for the System. These criteria and data shall be such as are reasonably required to show that the System complies with the Technical Specification [and does not contain any [Known Vulnerabilities or Latent] Vulnerabilities]. The Supplier shall provide the Customer with reasonable assistance to prepare such user acceptance criteria and test data at the Customer's request. The parties shall use best endeavours to agree the Acceptance Tests for the System within [ten] days from the date of delivery to the Supplier of the proposed criteria and data.</paratext>
              </para>
              <drafting.note id="a274165" jurisdiction="">
                <head align="left" preservecase="true">
                  <headtext>Preparing the testing protocol</headtext>
                </head>
                <division id="a000055" level="1">
                  <para>
                    <paratext>
                      It is unusual for the acceptance testing documents to be agreed before the software development agreement is signed. 
                      <internal.reference refid="a853525">clause 12.1</internal.reference>
                       provides a timetable (which will depend on the complexity of the software and the capabilities of the parties) and a procedure for agreeing the acceptance tests.
                    </paratext>
                  </para>
                </division>
              </drafting.note>
            </subclause1>
            <subclause1 id="a635625">
              <identifier>12.2</identifier>
              <para>
                <paratext>Within [ten] days of its Installation Date, the Acceptance Tests shall be carried out. The Acceptance Tests shall be started as soon as reasonably possible after installation and shall be run continuously during Normal Working Hours. The Supplier shall carry out the agreed Acceptance Tests for the System unless the Customer notifies the Supplier, not later than five days after the Installation Date, that it will carry out the Acceptance Tests. The party carrying out the Acceptance Tests shall give the other party at least 24 hours' notice of the start of the Acceptance Tests and permit the other party to observe all or any part of the testing.</paratext>
              </para>
              <drafting.note id="a647668" jurisdiction="">
                <head align="left" preservecase="true">
                  <headtext>Carrying out the tests</headtext>
                </head>
                <division id="a000056" level="1">
                  <para>
                    <paratext>
                      <internal.reference refid="a635625">Clause 12.2</internal.reference>
                       provides that the supplier will normally carry out the tests, with the customer having the right to observe. Sophisticated customers with their own IT capabilities should insist on running the tests themselves but should allow the supplier to be involved, as excluding the supplier from the testing process is likely to result in disputes if the customer alone decides the test criteria have not been met.
                    </paratext>
                  </para>
                </division>
              </drafting.note>
            </subclause1>
            <subclause1 id="a757978">
              <identifier>12.3</identifier>
              <para>
                <paratext>If the System fails to pass the Acceptance Tests, the Customer shall, within [NUMBER] days from the completion of the Acceptance Tests or any part of these tests, provide a written notice to this effect, giving details of such failure(s). The Supplier shall remedy the defects and deficiencies and the relevant test(s) shall be repeated within a reasonable time.</paratext>
              </para>
            </subclause1>
            <subclause1 id="a144778">
              <identifier>12.4</identifier>
              <para>
                <paratext>If the System fails [in some material respect] to pass any repeated Acceptance Tests within [four weeks] from the date of its second submission to the Acceptance Tests, then the Customer may, by written notice to the Supplier, choose at its sole discretion:</paratext>
              </para>
              <subclause2 id="a905017">
                <identifier>(a)</identifier>
                <para>
                  <paratext>
                    to fix (without prejudice to the Customer's other rights and remedies) a new date for carrying out further tests on the System on the same terms and conditions. If the System fails such further tests then the Customer may request a repeat test under this 
                    <internal.reference refid="a410203">clause 12</internal.reference>
                     or to proceed under 
                    <internal.reference refid="a883802">clause 12.4(b)</internal.reference>
                     or 
                    <internal.reference refid="a131936">clause 12.4(c)</internal.reference>
                    ;
                  </paratext>
                </para>
              </subclause2>
              <subclause2 id="a883802">
                <identifier>(b)</identifier>
                <para>
                  <paratext>to accept the System subject to such change of acceptance criteria, amendment of the Technical Specification and/or reduction in the Price as, after taking into account all the relevant circumstances, is reasonable; or</paratext>
                </para>
              </subclause2>
              <subclause2 id="a131936">
                <identifier>(c)</identifier>
                <para>
                  <paratext>
                    if the Supplier is unable to correct the [material] defects within a period of [three] months from the commencement of Acceptance Tests under 
                    <internal.reference refid="a635625">clause 12.2</internal.reference>
                    , to reject the System as not conforming to the agreement, in which event the Customer may terminate this agreement.
                  </paratext>
                </para>
                <drafting.note id="a207854" jurisdiction="">
                  <head align="left" preservecase="true">
                    <headtext>Test failures (clauses 12.3 and 12.4)</headtext>
                  </head>
                  <division id="a000057" level="1">
                    <para>
                      <paratext>
                        Software rarely works correctly first time. A reasonable balance must be struck between the supplier's interest in completing and being paid for the software and the customer's need to have working software, which may at the worst involve scrapping seriously faulty software and starting again with a different supplier. 
                        <internal.reference refid="a757978">clause 12.3</internal.reference>
                         and 
                        <internal.reference refid="a144778">clause 12.4</internal.reference>
                         are fairly standard provisions dealing with failure to complete the agreed acceptance testing procedure successfully. The supplier is likely to insist that the right to reject the software under 
                        <internal.reference refid="a131936">clause 12.4(c)</internal.reference>
                         does not arise unless the defects are material (although the definition of that term itself is a possible ground for dispute) and until the supplier has been given a reasonable time to correct them.
                      </paratext>
                    </para>
                    <para>
                      <paratext>The customer may wish to negotiate a tighter definition of Defects which gives it the right to reject the software in terms of its business needs or the cost of working around or replacing the defective parts of the software.</paratext>
                    </para>
                  </division>
                </drafting.note>
              </subclause2>
            </subclause1>
          </clause>
          <clause id="a669343">
            <identifier>13.</identifier>
            <head align="left" preservecase="true">
              <headtext>System Acceptance</headtext>
            </head>
            <drafting.note id="a657823" jurisdiction="">
              <head align="left" preservecase="true">
                <headtext>System acceptance</headtext>
              </head>
              <division id="a000058" level="1">
                <para>
                  <paratext>The customer has an interest in delaying acceptance until it is happy with the system because once the system has been accepted, it loses the right to reject it and get its money back, and its only remedy for defects is damages. However, delay in acceptance caused by the customer is of great concern to the supplier in a fixed-price contract, or where a significant proportion of the price is payable on formal acceptance. To address this concern, the customer will, under this clause, carry out its obligations in the acceptance testing process in a time-efficient fashion and may not "cheat" by using the system in its normal business while delaying providing an acceptance certificate.</paratext>
                </para>
                <para>
                  <paratext>
                    See also 
                    <link href="7-107-4789" style="ACTLinkPLCtoPLC">
                      <ital>Practice note, Main issues in software licensing and maintenance contracts: Installation and testing</ital>
                    </link>
                    .
                  </paratext>
                </para>
              </division>
            </drafting.note>
            <subclause1 id="a590945">
              <para>
                <paratext>Acceptance of the System shall be deemed to have occurred on whichever is the earliest of:</paratext>
              </para>
              <subclause2 id="a199717">
                <identifier>(a)</identifier>
                <para>
                  <paratext>the signing by the Customer of an Acceptance Certificate for the last Software Module to pass the Acceptance Tests; or</paratext>
                </para>
              </subclause2>
              <subclause2 id="a612260">
                <identifier>(b)</identifier>
                <para>
                  <paratext>
                    the expiry of [five days] after the completion of all the Acceptance Tests, unless the Customer has given any written notice under 
                    <internal.reference refid="a757978">clause 12.3</internal.reference>
                    ; or
                  </paratext>
                </para>
              </subclause2>
              <subclause2 id="a294765">
                <identifier>(c)</identifier>
                <para>
                  <paratext>the use of the System by the Customer in the normal course of its business.</paratext>
                </para>
              </subclause2>
            </subclause1>
          </clause>
          <clause id="a743704">
            <identifier>14.</identifier>
            <head align="left" preservecase="true">
              <headtext>Implementation Plan and extension of time</headtext>
            </head>
            <drafting.note id="a810262" jurisdiction="">
              <head align="left" preservecase="true">
                <headtext>Implementation Plan and extension of time</headtext>
              </head>
              <division id="a000059" level="1">
                <para>
                  <paratext>This important clause, which sets out the timetable for each stage of the project, will initially be prepared by the supplier as part of the tender documents. The customer should make sure that negotiations include a thorough examination of the viability of this plan and its conformity with the customer's business requirements. A version agreed by both parties should be in existence by the time the contract is signed and annexed to the agreement.</paratext>
                </para>
                <para>
                  <paratext>
                    Delays are a major cause of disputes over software development projects, so it is important that each party carries out its obligations in a time-efficient fashion. However, it is inevitable in all but the simplest projects that there will be unforeseen events that cause delay. The contract must contain a mechanism for controlling delay so that it does not get out of hand. This is provided by 
                    <internal.reference refid="a822296">clause 14.3</internal.reference>
                     to 
                    <internal.reference refid="a370171">clause 14.5</internal.reference>
                    . If the parties cannot agree on an extension of time (
                    <internal.reference refid="a370171">clause 14.5</internal.reference>
                    ), it is essential to have a speedy way of resolving this (see 
                    <internal.reference refid="a285824">Drafting note, Dispute resolution</internal.reference>
                    ).
                  </paratext>
                </para>
              </division>
            </drafting.note>
            <subclause1 id="a112505">
              <identifier>14.1</identifier>
              <para>
                <paratext>Both parties shall perform their obligations under this agreement in accordance with the Implementation Plan.</paratext>
              </para>
            </subclause1>
            <subclause1 id="a427436">
              <identifier>14.2</identifier>
              <para>
                <paratext>
                  The Supplier shall complete the Work in each stage of the Implementation Plan by the date specified in the Implementation Plan, subject to 
                  <internal.reference refid="a822296">clause 14.3</internal.reference>
                  .
                </paratext>
              </para>
            </subclause1>
            <subclause1 id="a822296">
              <identifier>14.3</identifier>
              <para>
                <paratext>The Supplier shall be given an extension of time for completion of any one or more of the stages in the Implementation Plan if one of more of the following events occurs:</paratext>
              </para>
              <subclause2 id="a785573">
                <identifier>(a)</identifier>
                <para>
                  <paratext>
                    a variation to the System is made at the Customer's request under the change control procedures set out in 
                    <internal.reference refid="a798795">clause 4</internal.reference>
                     and 
                    <internal.reference refid="a487807">clause 16</internal.reference>
                    ; or
                  </paratext>
                </para>
              </subclause2>
              <subclause2 id="a750092">
                <identifier>(b)</identifier>
                <para>
                  <paratext>
                    a force majeure event occurs as described in 
                    <internal.reference refid="a514569">clause 47</internal.reference>
                    ; or
                  </paratext>
                </para>
              </subclause2>
              <subclause2 id="a984908">
                <identifier>(c)</identifier>
                <para>
                  <paratext>a delay is caused in whole or in part by an action or omission of the Customer or its employees, agents or third party contractors.</paratext>
                </para>
              </subclause2>
            </subclause1>
            <subclause1 id="a172843">
              <identifier>14.4</identifier>
              <para>
                <paratext>
                  If the Supplier is entitled to an extension of time under 
                  <internal.reference refid="a822296">clause 14.3</internal.reference>
                  , it shall give written notice to the Customer not later than seven days after the beginning of the event. Such notice shall specify the event relied on and, in the case of a force majeure event under 
                  <internal.reference refid="a514569">clause 47</internal.reference>
                  , shall estimate the probable extent of the delay.
                </paratext>
              </para>
            </subclause1>
            <subclause1 id="a370171">
              <identifier>14.5</identifier>
              <para>
                <paratext>The Customer Representative and the Project Manager shall use best endeavours to agree in writing, signed by both parties, what extension of time is reasonable in the circumstances. The Implementation Plan shall be deemed amended accordingly.</paratext>
              </para>
            </subclause1>
          </clause>
          <clause id="a841806">
            <identifier>15.</identifier>
            <head align="left" preservecase="true">
              <headtext>Payment</headtext>
            </head>
            <drafting.note id="a449841" jurisdiction="">
              <head align="left" preservecase="true">
                <headtext>Payment</headtext>
              </head>
              <division id="a000060" level="1">
                <para>
                  <paratext>The standard document does not specify how the price is calculated or paid, so it could cover either a fixed-price or a time-and-materials basis for charging, or a combination of the two.</paratext>
                </para>
                <para>
                  <paratext>The customer needs as much predictability in the cost of the system as possible. However, the supplier will only want to give a fixed-price quotation for simple system, or where very little customisation of an established system is required to meet the customer's requirements. The customer should not accept an open-ended time-and-materials charging basis unless there is little risk that the expected cost will be significantly increased by the end of the project. This means that a system of charging has to be negotiated which provides some sharing of the risk of cost increases between the parties. The degree of sharing will probably depend on the relative negotiating power of each party.</paratext>
                </para>
                <para>
                  <paratext>
                    The customer should seek a provision that fee rates remain fixed for the duration of the contract, but the supplier may not be willing to agree to this if the project is expected to take more than a year to perform, particularly if inflation is significant. For longer periods, a method of increasing fee rates could be provided (similar to 
                    <internal.reference refid="a642955">clause 15.5</internal.reference>
                     and 
                    <internal.reference refid="a348890">clause 15.6</internal.reference>
                    , which apply to the support charges).
                  </paratext>
                </para>
                <para>
                  <paratext>
                    Training costs can be included in the price or paid for separately. Support charges, consultancy charges and charges for business continuity or disaster recovery services are generally paid for separately. All these items should be included in 
                    <internal.reference refid="a469523">Schedule 4</internal.reference>
                     under the appropriate headings.
                  </paratext>
                </para>
              </division>
            </drafting.note>
            <subclause1 id="a528645">
              <identifier>15.1</identifier>
              <para>
                <paratext>
                  The Supplier shall submit invoices in accordance with 
                  <internal.reference refid="a469523">Schedule 4</internal.reference>
                  . The Customer shall make payment of each invoice by the due date stated in that invoice or within 30 days of receipt of the invoice, whichever is later, provided that the relevant invoice is an appropriate and properly issued invoice [in the form set out in 
                  <internal.reference refid="a469523">Schedule 4</internal.reference>
                  ].
                </paratext>
              </para>
              <drafting.note id="a727261" jurisdiction="">
                <head align="left" preservecase="true">
                  <headtext>Invoicing</headtext>
                </head>
                <division id="a000061" level="1">
                  <para>
                    <paratext>
                      The details of how and when payments are to be made must be agreed and included in 
                      <internal.reference refid="a469523">Schedule 4</internal.reference>
                      . The supplier will almost always want to have staged payments so as to maintain a cash flow to meet expenses. In return, the customer should always seek to have payments tied to measurable progress in the project. This is often done by having a schedule setting out milestones (that is, specified events) and the amount payable on achievement of each milestone. The customer should seek to have these payments heavily weighted towards the final stages of the project. If the work is to be carried out on a fixed-price basis, then, from the customer's point of view, as many of the payments as possible should be withheld until the end of the project, that is, on acceptance of the supplier software as a whole. Typically, around 10% of the price is withheld until some period after acceptance, that is, the last payment will be made assuming that the supplier software has performed in accordance with the warranty during that period.
                    </paratext>
                  </para>
                  <para>
                    <paratext>It is not in the customer's interest to cause the supplier severe cash-flow problems which, in the case of a small company, could put its future at risk either during the project or during any subsequent maintenance period.</paratext>
                  </para>
                  <para>
                    <paratext>
                      <internal.reference refid="a469523">Schedule 4</internal.reference>
                       should also state when payments on any invoice are due.
                    </paratext>
                  </para>
                  <para>
                    <paratext>Suppliers may also seek the right to suspend work or even terminate the agreement for a failure to pay after an extended period or repeated late payments. The customer should consider this request carefully, because failure to receive regular payments on time can cause severe cash-flow problems to a small supplier who must continue to pay their employees or contractors regularly.</paratext>
                  </para>
                </division>
              </drafting.note>
            </subclause1>
            <subclause1 id="a754005">
              <identifier>15.2</identifier>
              <para>
                <paratext>
                  The Customer shall pay the Support Charges on the Support Commencement Date and on each anniversary of that date. The Supplier shall invoice the Customer for the Support Charges no later than 30 days before any anniversary of the Support Commencement Date at the invoicing address specified in 
                  <internal.reference refid="a469523">Schedule 4</internal.reference>
                  .
                </paratext>
              </para>
            </subclause1>
            <subclause1 id="a434588">
              <identifier>15.3</identifier>
              <para>
                <paratext>
                  The Price, the Support Charges and all other payments stated in 
                  <internal.reference refid="a469523">Schedule 4</internal.reference>
                   are exclusive of VAT. The Supplier shall provide the Customer with a valid VAT invoice. [The Customer shall pay any stamp duties or similar transfer taxes imposed on the supplies made under this agreement and shall reimburse the Supplier for any such stamp duties or similar transfer taxes paid by the Supplier.] If the Customer is required to make any deduction for or on account of tax from any payment due under this agreement (
                  <bold>Tax Deduction</bold>
                  ):
                </paratext>
              </para>
              <subclause2 id="a856924">
                <identifier>(a)</identifier>
                <para>
                  <paratext>The Customer shall account to the relevant tax authority for such Tax Deduction and shall provide evidence to the Supplier that it has so accounted.</paratext>
                </para>
              </subclause2>
              <subclause2 id="a132178">
                <identifier>(b)</identifier>
                <para>
                  <paratext>The amount of the payment due under this Agreement shall be increased so that the Supplier receives an amount equal to the amount that would have been received by it, had the Customer not been required to make any Tax Deduction.</paratext>
                </para>
              </subclause2>
              <para>
                <paratext>The Customer and the Supplier shall co-operate to minimise the amount of any Tax Deduction. If following the making of a Tax Deduction, the Supplier determines [in its sole discretion/ acting in good faith] that it (or any member of the Supplier's group) has received and retained any credit, relief or other benefit as a result of the Tax Deduction, the Supplier shall pay such amount to the Customer as the Supplier determines [in its sole discretion/ acting in good faith] would leave the Supplier in the same position as if the Customer had not been required to make any Tax Deduction.</paratext>
              </para>
              <drafting.note id="a284309" jurisdiction="">
                <head align="left" preservecase="true">
                  <headtext>Tax</headtext>
                </head>
                <division id="a000062" level="1">
                  <para>
                    <paratext>Unless each party wishes to bear the tax risks "as they fall", there must be appropriate provisions relating to tax payments (such as value added taxes) and tax withholding requirements. It may be necessary to have wording to deal with tax withholding, particularly in respect of licence fees, where that is relevant. It is always advisable to obtain expert tax advice on the structuring of payments before any agreement is entered into.</paratext>
                  </para>
                </division>
              </drafting.note>
            </subclause1>
            <subclause1 id="a135591">
              <identifier>15.4</identifier>
              <para>
                <paratext>[If the Customer fails to make any payment due to the Supplier under this agreement by the due date for payment, then[, without limiting the Supplier's remedies under [TERMINATION CLAUSE],] the Customer shall pay interest on the overdue amount at the rate of [4]% per annum above [FULL NAME OF BANK]'s base rate from time to time. Such interest shall accrue on a daily basis from the due date until actual payment of the overdue amount, whether before or after judgment. the Customer shall pay the interest together with the overdue amount.</paratext>
              </para>
              <drafting.note id="a657704" jurisdiction="">
                <head align="left" preservecase="true">
                  <headtext>Interest</headtext>
                </head>
                <division id="a000063" level="1">
                  <para>
                    <paratext>
                      <internal.reference refid="a469523">Schedule 4</internal.reference>
                       may permit the supplier to charge interest on late payments. Failure to agree on an interest rate or the use of an interest rate that is too low to provide a substantial remedy for late payment might result in a high rate of interest being imposed under the 
                      <link href="5-505-5706" style="ACTLinkPLCtoPLC">
                        <ital>Late Payment of Commercial Debts (Interest) Act 1988</ital>
                      </link>
                      . The statutory rate of interest is 8% above the Bank of England base rate.
                    </paratext>
                  </para>
                  <para>
                    <paratext>
                      See 
                      <link href="3-107-3800" style="ACTLinkPLCtoPLC">
                        <ital>Standard clause, Interest</ital>
                      </link>
                       and 
                      <link href="7-107-3799" style="ACTLinkPLCtoPLC">
                        <ital>Practice note, Interest clauses</ital>
                      </link>
                      .
                    </paratext>
                  </para>
                </division>
              </drafting.note>
            </subclause1>
            <subclause1 id="a642955">
              <identifier>15.5</identifier>
              <para>
                <paratext>
                  In relation to payments disputed in good faith, interest under this clause is payable only after the dispute is resolved, on sums found or agreed to be due, from [the due date 
                  <bold>OR</bold>
                   [NUMBER] days after the dispute is resolved] until payment.
                </paratext>
              </para>
              <drafting.note id="a205448" jurisdiction="">
                <head align="left" preservecase="true">
                  <headtext>Disputed payments</headtext>
                </head>
                <division id="a000064" level="1">
                  <para>
                    <paratext>Consider whether the customer wants the ability to terminate if it is not happy about an increase.</paratext>
                  </para>
                </division>
              </drafting.note>
            </subclause1>
            <subclause1 id="a348890">
              <identifier>15.6</identifier>
              <para>
                <paratext>
                  The Supplier may increase the Support Charges at any anniversary of the Support Commencement Date after the [first 
                  <bold>OR</bold>
                   second] such anniversary by giving the Customer at least [three months] before such anniversary.
                </paratext>
              </para>
              <drafting.note id="a892676" jurisdiction="">
                <head align="left" preservecase="true">
                  <headtext>Support charges</headtext>
                </head>
                <division id="a000065" level="1">
                  <para>
                    <paratext>Where the support contract is to run for several years, it is not in the customer's interest to prevent the supplier from increasing its charges in line with increases in its costs in providing the services. However, the customer must guard against unrestrained cost increases, particularly where it is tied to the supplier for support for a lengthy period.</paratext>
                  </para>
                </division>
              </drafting.note>
            </subclause1>
            <subclause1 condition="optional" id="a614071">
              <identifier>15.7</identifier>
              <para>
                <paratext>Any such percentage increase shall not exceed:</paratext>
              </para>
              <subclause2 condition="optional" id="a244827">
                <identifier>(a)</identifier>
                <para>
                  <paratext>that of the Relevant Price Index for the Contract Year (or the nearest publication dates to the commencement and expiry dates of the relevant Contract Year, spanning a 12-month period) and each subsequent Contract Year;</paratext>
                </para>
              </subclause2>
              <subclause2 condition="optional" id="a967960">
                <identifier>(b)</identifier>
                <para>
                  <paratext>the amount by which the Supplier has increased the comparable rates for its other commercial customers;</paratext>
                </para>
              </subclause2>
              <subclause2 condition="optional" id="a842995">
                <identifier>(c)</identifier>
                <para>
                  <paratext>[PERCENTAGE]%,</paratext>
                </para>
              </subclause2>
              <para>
                <paratext>[whichever is the lowest.]</paratext>
              </para>
            </subclause1>
            <subclause1 condition="optional" id="a881425">
              <identifier>15.8</identifier>
              <para>
                <paratext>The Supplier shall give the Customer a [further] discount on any sum payable under this agreement, specified in any correctly prepared written invoice submitted to the Customer, at the rate of [PERCENTAGE]%, [PERCENTAGE]% and [PERCENTAGE]% where payment is made within [NUMBER], [NUMBER] and [NUMBER] days, respectively, of the date of receipt of the relevant invoice.</paratext>
              </para>
              <drafting.note id="a876094" jurisdiction="">
                <head align="left" preservecase="true">
                  <headtext>Discount for prompt payment (optional)</headtext>
                </head>
                <division id="a000066" level="1">
                  <para>
                    <paratext>Expenses must also be dealt with. Where, in addition to the contract price or its normal fees, the supplier is entitled to charge expenses such as travel costs for its personnel visiting the customer's premises, standards of travel and accommodation should be agreed in writing in advance.</paratext>
                  </para>
                </division>
              </drafting.note>
            </subclause1>
            <subclause1 id="a363188">
              <identifier>15.9</identifier>
              <para>
                <paratext>The Customer shall not be obliged to pay any charges or fees to the Supplier for any Services performed, unless the applicable charges and fees are either specified in this agreement or have been approved in writing in advance by the Customer. Reasonable out-of-pocket expenses, agreed by the parties in writing in advance, may be charged by the Supplier on production of reasonable evidence of expenditure to the Customer.</paratext>
              </para>
            </subclause1>
            <subclause1 id="a942715">
              <identifier>15.10</identifier>
              <para>
                <paratext>
                  All invoices issued by the Supplier under or in connection with this agreement shall be accompanied by a sufficiently detailed breakdown of the matters being invoiced, including [details of the time taken to perform services per individual and] any additional costs authorised under 
                  <internal.reference refid="a363188">clause 15.9</internal.reference>
                  .
                </paratext>
              </para>
              <drafting.note id="a896791" jurisdiction="">
                <head align="left" preservecase="true">
                  <headtext>Breakdown of matters invoiced</headtext>
                </head>
                <division id="a000067" level="1">
                  <para>
                    <paratext>
                      Record keeping by the supplier is important to help verify invoices and deal with disputes over amounts payable, and is in the interests of both parties. The customer should have the right to inspect these records as specified in 
                      <internal.reference refid="a748271">clause 15.11</internal.reference>
                       and on reasonable notice (
                      <internal.reference refid="a846164">clause 15.12</internal.reference>
                      ). The supplier may insist that exercise of this right be limited to reasonable intervals, for example, annually.
                    </paratext>
                  </para>
                </division>
              </drafting.note>
            </subclause1>
            <subclause1 id="a748271">
              <identifier>15.11</identifier>
              <para>
                <paratext>For the duration of this agreement, and for a period of [seven] years from termination or expiry of this agreement, the Supplier shall maintain full and accurate records in accordance with Generally Accepted Accounting Principles, in a form to be approved in writing by the Customer, of:</paratext>
              </para>
              <subclause2 id="a795766">
                <identifier>(a)</identifier>
                <para>
                  <paratext>all charges, prices, costs and expenses associated with, and invoiced in respect of, the System and the Services[; and]</paratext>
                </para>
              </subclause2>
              <subclause2 condition="optional" id="a586391">
                <identifier>(b)</identifier>
                <para>
                  <paratext>its performance against the Service Levels,</paratext>
                </para>
              </subclause2>
              <para>
                <paratext>[and ensure that monthly management accounts are produced in addition to its annual audited accounts and shall, if requested, promptly provide to the Customer copies of such records and accounts and any other financial information reasonably requested by the Customer].</paratext>
              </para>
            </subclause1>
            <subclause1 id="a846164">
              <identifier>15.12</identifier>
              <para>
                <paratext>
                  At the Customer's request and its expense, the Supplier shall grant access to the Customer or its designated auditors to the premises, records and accounts of the Supplier [and its] [Affiliates] [and] [subcontractors], including its [and their] data processing facilities, and to such of its [and their] supporting documentation and explanations from Support Staff as is reasonable to ascertain compliance with this agreement and the adequacy of the Supplier's financial standing [and to provide to the Customer and the auditor of the Customer the report of the auditor of the service provider under 
                  <link href="2-506-5293" style="ACTLinkPLCtoPLC">
                    <ital>SSAE 16</ital>
                  </link>
                   (Statement on Standards for Attestation Engagements No. 16, published by the American Institute of Certified Public Accountant (AICPA)), which report shall be at a minimum a SOC 1 (Service Organisation Control 1) Type II report, or if such a report is not available, the information that would be required by the management of the Supplier in connection with producing that report].
                </paratext>
              </para>
              <drafting.note id="a818053" jurisdiction="">
                <head align="left" preservecase="true">
                  <headtext>Record keeping and auditing</headtext>
                </head>
                <division id="a000068" level="1">
                  <para>
                    <paratext>
                      The parties should ensure that the scope of any audit obligation is clearly defined. See (
                      <link href="D-015-8419" style="ACTLinkURL">
                        <ital>Transport for Greater Manchester v Thales Transport &amp; Security Ltd [2012] EWHC 3717 (TCC)</ital>
                      </link>
                      ) (reported in 
                      <link href="2-523-4601" style="ACTLinkPLCtoPLC">
                        <ital>Legal update, High Court considers what information must be disclosed under an audit clause</ital>
                      </link>
                      ), where the High Court has considered what type of information and documents must be disclosed under an audit clause in an agreement to supply services, and in what circumstances it is permissible to withhold such information.
                    </paratext>
                  </para>
                  <para>
                    <paratext>
                      The audit provisions under this agreement should be reviewed to ensure they reflect any audit obligations which are contained in any applicable data protection legislation, see 
                      <link anchor="a989450" href="w-027-4499" style="ACTLinkPLCtoPLC">
                        <ital>Standard clauses, Personal data processing clauses for IT agreements (UK) (pro-customer version): Drafting note: Records and audits</ital>
                      </link>
                       and 
                      <link anchor="a989450" href="w-026-6854" style="ACTLinkPLCtoPLC">
                        <ital>Personal data processing clauses for IT agreements (UK) (pro-supplier version): Drafting note: Records and audits</ital>
                      </link>
                      .
                    </paratext>
                  </para>
                  <para>
                    <paratext>
                      The customer will also want the audit provision as a means of ensuring that the Supplier's network and information systems security is sufficient for the customer to meet any obligations it may have under the NIS Regulations. See also 
                      <internal.reference refid="a446471">clause 29</internal.reference>
                      .
                    </paratext>
                  </para>
                  <division id="a419249" level="2">
                    <head align="left" preservecase="true">
                      <headtext>Sarbanes-Oxley Act</headtext>
                    </head>
                    <para>
                      <paratext>Select the optional text towards the end of this clause if the Supplier is subject to the US Sarbanes-Oxley Act of 2002 (SOX).</paratext>
                    </para>
                    <para>
                      <paratext>
                        Under SOX, market data must be complete and accurate and certified to be so by the 
                        <link href="2-204-1069" style="ACTLinkPLCtoPLC">
                          <bold>
                            <ital>CEO</ital>
                          </bold>
                        </link>
                         or 
                        <link href="2-204-1093" style="ACTLinkPLCtoPLC">
                          <bold>
                            <ital>CFO</ital>
                          </bold>
                        </link>
                        . If the certification is wrong, the CEO or CFO faces ten years jail and/or a $1 million fine. If it is wilfully wrong, the CEO or CFO faces 20 years in jail and/or a $5 million fine. The fact that the IT system may have let the supplier down provides no excuse. The CEO or CFO is directly responsible for the internal controls of the company including the IT systems. "Real-time" disclosure rules have been introduced, under which all material changes must be disclosed "on a rapid and current basis". This potentially includes key events regarding the services contemplated in this standard document.
                      </paratext>
                    </para>
                    <para>
                      <paratext>Broadly speaking, the following companies are affected by SOX:</paratext>
                    </para>
                    <list type="bulleted">
                      <list.item>
                        <para>
                          <paratext>US companies.</paratext>
                        </para>
                      </list.item>
                      <list.item>
                        <para>
                          <paratext>Non-US companies which have securities publicly traded in the US on national security exchanges or which file reports under section 15(d) of the US Exchange Act of 1934 (Exchange Act) or have registered securities under section 12(g) of the Exchange Act.</paratext>
                        </para>
                      </list.item>
                      <list.item>
                        <para>
                          <paratext>Non US subsidiaries of US parents, where consolidated.</paratext>
                        </para>
                      </list.item>
                    </list>
                    <para>
                      <paratext>There are possible exceptions regarding companies to which US shareholders have small exposure.</paratext>
                    </para>
                  </division>
                </division>
              </drafting.note>
            </subclause1>
            <subclause1 id="a982766">
              <identifier>15.13</identifier>
              <para>
                <paratext>Such access shall be granted during normal business hours and subject to reasonable prior notice from the Supplier[, except to the extent that such access is required by the Customer's regulators outside of these parameters].</paratext>
              </para>
            </subclause1>
            <subclause1 id="a369985">
              <identifier>15.14</identifier>
              <para>
                <paratext>If, on such examination, the Customer determines that any charges, prices, costs or expenses exceed the amounts properly chargeable to, or recoverable from, the Customer, the Supplier shall promptly refund to the Customer the amount over­charged.</paratext>
              </para>
              <drafting.note id="a167952" jurisdiction="">
                <head align="left" preservecase="true">
                  <headtext>Refunds</headtext>
                </head>
                <division id="a000069" level="1">
                  <para>
                    <paratext>The customer should require a provision allowing it to withhold disputed amounts during dispute resolution. If the supplier agrees to this, the supplier may also seek provision for interest to be payable on any amount to which the supplier is found to be entitled at the end of the dispute resolution procedure.</paratext>
                  </para>
                </division>
              </drafting.note>
            </subclause1>
            <subclause1 id="a524071">
              <identifier>15.15</identifier>
              <para>
                <paratext>The Customer may withhold payment against any invoice not submitted in accordance with this agreement and shall immediately notify the Suppler in writing of its reason for so doing. If the invoice is disputed in part only, the Supplier shall issue a credit note in respect of the original invoice and issue an invoice for the part not in dispute. On receipt of such an invoice the Customer shall pay that part of the original invoice which it accepts, while any query concerning a disputed sum is resolved.</paratext>
              </para>
            </subclause1>
            <subclause1 condition="optional" id="a650716">
              <identifier>15.16</identifier>
              <para>
                <paratext>The Supplier warrants that the terms (including pricing) of this agreement are comparable to, or better than, the terms (including pricing) offered by the Supplier to any of its commercial customers of equal or lesser size in a country covered by this agreement for comparable goods or services. If the Supplier offers more favourable terms (including pricing) to such commercial customers during the term of this agreement (or accepts such terms), such terms shall also be made available to the Customer regarding that country within 30 days from the signature of any such agreement. Without limitation, if the cost to the Supplier of providing the System or the Services in a particular country covered by this agreement is reduced owing to tariff reduction or any other reason, the Supplier shall immediately offer the Customer a corresponding reduction in that part of the Price or the Support Charges relating to that country.</paratext>
              </para>
              <drafting.note id="a574824" jurisdiction="">
                <head align="left" preservecase="true">
                  <headtext>Most favoured nation clause (optional)</headtext>
                </head>
                <division id="a000070" level="1">
                  <para>
                    <paratext>A "most favoured nation" clause will be resisted by a supplier. These clauses are difficult to enforce, but do give useful negotiation leverage. The initial fall back for customers should be to discuss ways of amending the clause to give comfort that the comparisons must be "like-for-like".</paratext>
                  </para>
                </division>
              </drafting.note>
            </subclause1>
          </clause>
          <clause id="a487807">
            <identifier>16.</identifier>
            <head align="left" preservecase="true">
              <headtext>Change control: system and services</headtext>
            </head>
            <drafting.note id="a302971" jurisdiction="">
              <head align="left" preservecase="true">
                <headtext>Change control: system and services</headtext>
              </head>
              <division id="a000071" level="1">
                <para>
                  <paratext>It is vital to the success of any systems integration project that changes are managed in a controlled manner. This is particularly true of changes to software, which can have knock-on effects such as delaying completion of the system and increasing costs.</paratext>
                </para>
                <para>
                  <paratext>The key elements for pricing are certainty and flexibility, both in terms of providing performance incentives and also to provide some means of control over pricing. This is necessary in view of the potential dynamism of the services and potential changes to the service requirements.</paratext>
                </para>
                <para>
                  <paratext>However, changes made to the system during implementation can lead to delay and/or increase in costs. One of the difficulties of system integration projects is that the customer can rarely define exactly what it wants before any system integration work begins. During development it is common to find that an alternative would work better, or for the users in the customer's organisation to discover that new software can add functionality which they want but could not achieve with the old system. It follows that procedures to vary what is to be provided are essential in any system integration agreement.</paratext>
                </para>
                <para>
                  <paratext>Unless this change process is carefully controlled, the changes can cause serious delay and price escalation. Allowing uncontrolled variation is a proven recipe for disaster and dispute, particularly when the supplier's personnel are working closely with the customer's employees and therefore want to be helpful and provide whatever is asked for. Variations almost always add to the cost of the project and the time needed for completion. If it is a fixed-price contract, the supplier suffers, and if it is on a time-and-materials basis, the customer finds the system is more expensive than expected. In addition, both parties are affected by the extra time needed. Both parties therefore have an interest in controlling the variations that are made and the process by which they are agreed and incorporated in the main contract.</paratext>
                </para>
                <para>
                  <paratext>This clause provides a mechanism for controlling changes. However, the customer, in collaboration with the supplier, must manage the contract carefully to ensure that this mechanism is always used. System engineers and programmers like solving problems, and tend to ignore the official change control procedure unless they are properly managed.</paratext>
                </para>
                <para>
                  <paratext>
                    In more complex systems where the supplier may not be able to accurately determine everything required for the system at the outset, the mutual form of 
                    <internal.reference refid="a555176">clause 16.1</internal.reference>
                     (using "either party" and "the other party" in place of "the customer" and "the supplier") allowing for change requests by the supplier should be used.
                  </paratext>
                </para>
              </division>
            </drafting.note>
            <subclause1 id="a555176">
              <identifier>16.1</identifier>
              <para>
                <paratext>The Customer may, by giving written notice to the Supplier at any time during the term of this agreement, request a change to the System or the Services.</paratext>
              </para>
            </subclause1>
            <subclause1 id="a455156">
              <identifier>16.2</identifier>
              <para>
                <paratext>
                  Within [seven] working days of receipt of such notice, and subject to 
                  <internal.reference refid="a453847">clause 16.3</internal.reference>
                  , the Supplier shall, at its standard rates then in force, prepare for the Customer a written [quote for 
                  <bold>OR</bold>
                   estimate of] any increase or decrease in the Price, and of any effect that the requested change would have on the Implementation Plan and Completion Date.
                </paratext>
              </para>
              <drafting.note id="a404674" jurisdiction="">
                <head align="left" preservecase="true">
                  <headtext>Quote for requested change</headtext>
                </head>
                <division id="a000072" level="1">
                  <para>
                    <paratext>
                      <internal.reference refid="a455156">Clause 16.2</internal.reference>
                       provides the mechanism for determining the effects of any requested variation. The time limit should be short but reasonable. What is reasonable may depend on the significance of the requested variation.
                    </paratext>
                  </para>
                  <para>
                    <paratext>If the agreement is for a fixed price, and changes are to be carried out on a fixed-price basis, the supplier should provide a quotation and should be allowed to include a contingency, but the quotation should be reduced to reflect any consequential reductions in the time likely to be taken by the supplier in carrying out other aspects of the project. If the agreement and changes are both on a time and materials basis, the supplier should provide an estimate, which should not include a contingency, and an estimate of any consequential reductions in the time likely to be taken by the supplier in carrying out other aspects of the project.</paratext>
                  </para>
                </division>
              </drafting.note>
            </subclause1>
            <subclause1 condition="optional" id="a453847">
              <identifier>16.3</identifier>
              <para>
                <paratext>The Supplier shall not be entitled to any increase in the Price with respect to any changes requested by the Customer which are [demonstrated to be] [reasonably] necessary to comply with changes to Cybersecurity Requirements which [become known and] take effect after the Commencement Date.</paratext>
              </para>
              <drafting.note id="a334755" jurisdiction="">
                <head align="left" preservecase="true">
                  <headtext>Changes dictated by regulatory requirements (optional)</headtext>
                </head>
                <division id="a000073" level="1">
                  <para>
                    <paratext>
                      <internal.reference refid="a425295">Clause 32.2(c)</internal.reference>
                      , along with other clauses in this agreement, place obligations on the supplier to ensure the system complies with applicable cybersecurity requirements (and where the optional clauses are included in that definition, express data protection requirements). Such clauses may be resisted by the supplier for various reasons including because these requirements may change over the course of the development (see 
                      <internal.reference refid="a975041">Drafting note, Compliance with Cybersecurity Requirements</internal.reference>
                      ).
                    </paratext>
                  </para>
                  <para>
                    <paratext>
                      For this reason, the customer may be required by the supplier to define the specific data protection or cybersecurity requirements upfront as part of the business requirements, and resulting technical specifications, and rely on the change control provisions, and maintenance releases, to cover any changes to those requirements over time. In such case, the customer will want to consider including 
                      <internal.reference refid="a453847">clause 16.3</internal.reference>
                       in order to minimise their financial exposure for system changes that might be required to meet these potentially changing standards. This may be particularly important where the customer knows that it will be subject to the NIS Regulations but specific regulatory guidance on acceptable cybersecurity standards has not yet been published for their sector, or where international standards are likely to change over time. As expected, a supplier is likely to resist 
                      <internal.reference refid="a453847">clause 16.3</internal.reference>
                      , particularly where such standards are not prescriptive and may be open for interpretation.
                    </paratext>
                  </para>
                  <para>
                    <paratext>
                      Whether or not 
                      <internal.reference refid="a453847">clause 16.3</internal.reference>
                      <ital> </ital>
                      is likely to be acceptable will depend on the negotiating position of the parties, how far the customer is relying on the supplier's expertise to provide ongoing data protection or cybersecurity advice, and whether this is included in the final cost of the product.
                    </paratext>
                  </para>
                  <para>
                    <paratext>
                      <internal.reference refid="a453847">Clause 16.3</internal.reference>
                       may be expanded to cover other types of regulatory change for which the supplier should be expected to bear the risk of increased costs.
                    </paratext>
                  </para>
                </division>
              </drafting.note>
            </subclause1>
            <subclause1 id="a473513">
              <identifier>16.4</identifier>
              <para>
                <paratext>
                  Within [14] working days of receipt of the written [quote 
                  <bold>OR</bold>
                   estimate] referred to in 
                  <internal.reference refid="a455156">clause 16.2</internal.reference>
                  , the Customer shall inform the Supplier in writing of whether or not the Customer wishes the requested change to be made. If the change is required, the Supplier shall not make the requested change until the parties have agreed and signed a written agreement (
                  <bold>Change Agreement</bold>
                  ) specifying, in particular, any changes to the Implementation Plan and Price.
                </paratext>
              </para>
              <drafting.note id="a555353" jurisdiction="">
                <head align="left" preservecase="true">
                  <headtext>Agreement on requested change</headtext>
                </head>
                <division id="a000074" level="1">
                  <para>
                    <paratext>
                      Agreed variations to the agreement must be recorded in a written document (called a change agreement in 
                      <internal.reference refid="a473513">clause 16.4</internal.reference>
                       of the standard document). There is an inherent conflict between certainty and progress on the project. From the lawyer's point of view, no work should proceed on a variation until a formal change agreement has been agreed and signed, therefore giving legal certainty to the scope of the contract. Unfortunately, this can take time, and meanwhile the parties will want to press on with work on the project. If work is to commence before the change agreement is agreed and signed, there has to be some mechanism for resolving disputes over the change agreement and dealing with a situation where the parties cannot reach an agreement and work has been done on implementing the variation.
                    </paratext>
                  </para>
                </division>
              </drafting.note>
            </subclause1>
          </clause>
          <clause id="a542011">
            <identifier>17.</identifier>
            <head align="left" preservecase="true">
              <headtext>Ownership</headtext>
            </head>
            <drafting.note id="a969304" jurisdiction="">
              <head align="left" preservecase="true">
                <headtext>Ownership</headtext>
              </head>
              <division id="a000075" level="1">
                <para>
                  <paratext>
                    The provisions relating to ownership of rights in the system are drafted to provide the best outcome for the customer. While it clearly cannot demand any rights in standard software, the customer gets all rights in bespoke software and the standard software that has been modified at the customer's expense (that is, the modified software (supplier)). The supplier's probable starting position is that it should retain ownership in all software originating from the supplier, including modified and bespoke software. This is to ensure that it retains the ability to use the same code to develop software for another customer. The customer should resist this, especially with respect to the customised software for which it has paid the development costs. Whether the customer can negotiate ownership of not only the bespoke software and tools, but also the modified software (supplier) will depend largely on the bargaining power of the parties. Whatever the outcome, there needs to be consistency between the provisions of 
                    <internal.reference refid="a542011">clause 17</internal.reference>
                    , the definition of Licensed Software and 
                    <internal.reference refid="a541902">clause 21</internal.reference>
                     which addresses escrow arrangements.
                  </paratext>
                </para>
                <para>
                  <paratext>
                    For more information, see 
                    <link anchor="a476195" href="2-107-4777" style="ACTLinkPLCtoPLC">
                      <ital>Practice note, Main issues in systems integration contracts: Ownership of intellectual property rights.</ital>
                    </link>
                    .
                  </paratext>
                </para>
                <para>
                  <paratext>
                    A possible compromise is to allow the supplier to own all the software, with an agreement not to license third parties to use the modified or bespoke software unless the supplier has the customer's permission to do so (see 
                    <internal.reference refid="a218883">clause 18.1(d)</internal.reference>
                     and 
                    <internal.reference refid="a554731">Drafting note, Use of Licensed Software and Documentation</internal.reference>
                    ). However, it would be prudent to limit this restriction to a specified period to minimise the risk of breaching UK or EU competition law, see 
                    <internal.reference refid="a112512">Drafting note, Competition issues</internal.reference>
                    .
                  </paratext>
                </para>
              </division>
            </drafting.note>
            <subclause1 id="a189316">
              <identifier>17.1</identifier>
              <para>
                <paratext>The parties agree that, except as expressly provided to the contrary, this agreement does not transfer ownership of, or create any licences (implied or otherwise), in any Intellectual Property Rights in the System or the Documentation.</paratext>
              </para>
            </subclause1>
            <subclause1 id="a494813">
              <identifier>17.2</identifier>
              <para>
                <paratext>The Intellectual Property Rights in the Bespoke Software, the Modified Software (Supplier) and the Tools shall, at the Commencement Date or (if later) on creation of the rights, vest in the Customer. The Supplier assigns (by way of present and, where appropriate, future assignment) all such Intellectual Property Rights with full title guarantee to the Customer.</paratext>
              </para>
              <drafting.note id="a917585" jurisdiction="">
                <head align="left" preservecase="true">
                  <headtext>Ownership of Intellectual Property Rights</headtext>
                </head>
                <division id="a000076" level="1">
                  <para>
                    <paratext>
                      <internal.reference refid="a494813">Clause 17.2</internal.reference>
                       assumes that the customer will own all Bespoke Software, Modified Software (Supplier) and Tools. Separate arrangements will need to be entered into with the relevant third party if the customer also wishes to own the Modified Software (Third-Party).
                    </paratext>
                  </para>
                  <para>
                    <paratext>
                      If it is agreed, instead, that the supplier should own these items then the definition of the 
                      <internal.reference refid="a221454">Licensed Software</internal.reference>
                       and the relevant provisions related to the Licensed Software will need to be adjusted accordingly.
                    </paratext>
                  </para>
                  <para>
                    <paratext>
                      See 
                      <link href="9-505-7727" style="ACTLinkPLCtoPLC">
                        <ital>sections 2</ital>
                      </link>
                       and 
                      <link href="1-505-7712" style="ACTLinkPLCtoPLC">
                        <ital>3</ital>
                      </link>
                       of the 
                      <link href="5-505-7710" style="ACTLinkPLCtoPLC">
                        <ital>Law of Property (Miscellaneous Provisions) Act 1994</ital>
                      </link>
                       for the meaning of full title guarantee. It applies to both tangible and intangible property, such as IPRs.
                    </paratext>
                  </para>
                </division>
              </drafting.note>
            </subclause1>
            <subclause1 id="a498432">
              <identifier>17.3</identifier>
              <para>
                <paratext>The Supplier shall do and execute, or arrange for the doing and executing of, each necessary act, document and thing that the Customer may consider necessary or desirable to perfect the right, title and interest of the Customer in and to the Intellectual Property Rights in the Bespoke Software, the Modified Software (Supplier) and Tools.</paratext>
              </para>
            </subclause1>
            <subclause1 id="a282608">
              <identifier>17.4</identifier>
              <para>
                <paratext>The Supplier shall:</paratext>
              </para>
              <subclause2 id="a854335">
                <identifier>(a)</identifier>
                <para>
                  <paratext>procure the irrevocable waiver of all moral rights in the Documentation relating to the Bespoke Software, the Tools and the Modified Software (Supplier), to the extent permitted by law;</paratext>
                </para>
                <drafting.note id="a942576" jurisdiction="">
                  <head align="left" preservecase="true">
                    <headtext>Waiver of moral rights</headtext>
                  </head>
                  <division id="a000077" level="1">
                    <para>
                      <paratext>
                        Moral rights of paternity and integrity do not exist in software under UK law. However, they might be applicable to related documentation, including graphics. See, in particular, 
                        <link href="5-508-8655" style="ACTLinkPLCtoPLC">
                          <ital>sections 79(2)</ital>
                        </link>
                         and 
                        <link href="4-508-9306" style="ACTLinkPLCtoPLC">
                          <ital>80(1)</ital>
                        </link>
                         of the 
                        <link href="7-503-9372" style="ACTLinkPLCtoPLC">
                          <ital>Copyright, Designs and Patents Act 1988</ital>
                        </link>
                         for more information (see also 
                        <link href="9-107-3741" style="ACTLinkPLCtoPLC">
                          <ital>Practice note, Overview of copyright</ital>
                        </link>
                        ).
                      </paratext>
                    </para>
                  </division>
                </drafting.note>
              </subclause2>
              <subclause2 id="a868665">
                <identifier>(b)</identifier>
                <para>
                  <paratext>ensure that records are maintained which are sufficient to provide evidence of the process of independent creation of the Bespoke Software, the Tools and the Modified Software (Supplier); and</paratext>
                </para>
                <drafting.note id="a208814" jurisdiction="">
                  <head align="left" preservecase="true">
                    <headtext>Records of independent creation</headtext>
                  </head>
                  <division id="a000078" level="1">
                    <para>
                      <paratext>
                        <internal.reference refid="a576824">clause 32</internal.reference>
                         will generally be sufficient to safeguard against third-party claims for IPR infringement made against the customer. However, 
                        <internal.reference refid="a868665">clause 17.4(b)</internal.reference>
                         is a good housekeeping provision to generate evidence which is likely to be useful in any litigation.
                      </paratext>
                    </para>
                  </division>
                </drafting.note>
              </subclause2>
              <subclause2 id="a809654">
                <identifier>(c)</identifier>
                <para>
                  <paratext>
                    be responsible for ensuring that written agreements are, subject to 
                    <internal.reference refid="a954947">clause 36</internal.reference>
                    , entered into with, and adhered to by, subcontractors engaged in the performance of this agreement and that, unless otherwise agreed with the Customer in writing in advance, the terms of engagement of such subcontractors are consistent with and enable the Supplier fully to comply with the provisions as to the Bespoke Software, the Tools [and the Modified Software (Supplier)] set out in this agreement, including this 
                    <internal.reference refid="a542011">clause 17</internal.reference>
                    .
                  </paratext>
                </para>
              </subclause2>
            </subclause1>
            <subclause1 condition="optional" id="a427454">
              <identifier>17.5</identifier>
              <para>
                <paratext>The Supplier agrees that it shall not grant a licence to use the Modified Software to any other party without the prior written permission of the Customer.</paratext>
              </para>
            </subclause1>
            <subclause1 condition="optional" id="a945013">
              <identifier>17.6</identifier>
              <para>
                <paratext>
                  The Customer grants the Supplier an unlimited, paid up, non-exclusive licence, [inclusive 
                  <bold>OR</bold>
                   exclusive] of sub-licensing rights, to use:
                </paratext>
              </para>
              <subclause2 id="a701568">
                <identifier>(a)</identifier>
                <para>
                  <paratext>any Tools; and</paratext>
                </para>
              </subclause2>
              <subclause2 id="a732877">
                <identifier>(b)</identifier>
                <para>
                  <paratext>the Bespoke Software and the Modified Software (Supplier),</paratext>
                </para>
                <para>
                  <paratext>
                    to carry out its obligations under this agreement, including 
                    <internal.reference refid="a935839">clause 9</internal.reference>
                    .
                  </paratext>
                </para>
                <drafting.note id="a240870" jurisdiction="">
                  <head align="left" preservecase="true">
                    <headtext>Licence to use Tools, Bespoke Software and Modified Software (optional)</headtext>
                  </head>
                  <division id="a000079" level="1">
                    <para>
                      <paratext>
                        The Bespoke Software, Modified (Software) and Tools developed by the supplier under this agreement are owned by the customer under 
                        <internal.reference refid="a494813">clause 17.2</internal.reference>
                        , but licensed non-exclusively to the supplier under 
                        <internal.reference refid="a945013">clause 17.6</internal.reference>
                        . Sub-licensing may or may not be permitted.
                      </paratext>
                    </para>
                  </division>
                </drafting.note>
              </subclause2>
            </subclause1>
          </clause>
          <clause id="a907840">
            <identifier>18.</identifier>
            <head align="left" preservecase="true">
              <headtext>Software Licence and Documentation</headtext>
            </head>
            <subclause1 id="a616533">
              <identifier>18.1</identifier>
              <para>
                <paratext>The Supplier grants, subject to the terms of this agreement, the Customer [and its Affiliates] the non-exclusive, non-transferable right to use the Licensed Software [on the Hardware] and the Documentation for the following purposes:</paratext>
              </para>
              <drafting.note id="a554731" jurisdiction="">
                <head align="left" preservecase="true">
                  <headtext>Use of Licensed Software and documentation</headtext>
                </head>
                <division id="a000080" level="1">
                  <para>
                    <paratext>This clause is drafted on the basis that:</paratext>
                  </para>
                  <list type="bulleted">
                    <list.item>
                      <para>
                        <paratext>
                          The Bespoke Software and the Modified Software (Supplier) are not included in the definition of Licensed Software (because they are to be owned by the customer under 
                          <internal.reference refid="a542011">clause 17</internal.reference>
                          ).
                        </paratext>
                      </para>
                    </list.item>
                    <list.item>
                      <para>
                        <paratext>
                          The Third-Party Software and Modified Software (Third-Party) are not included in the definition of Licensed Software (because they are to be licensed directly by the relevant third party under 
                          <internal.reference refid="a834490">clause 8.2</internal.reference>
                          ).
                        </paratext>
                      </para>
                    </list.item>
                  </list>
                  <para>
                    <paratext>
                      If some other arrangement has been agreed, then the definition of 
                      <internal.reference refid="a221454">Licensed Software</internal.reference>
                      , and any clauses which are impacted by it, will need to be amended accordingly.
                    </paratext>
                  </para>
                  <para>
                    <paratext>
                      The customer is given a non-exclusive licence to use the software owned by the supplier, which is the simplest form of licence. If the customer needs greater rights under the licence than this, they will have to be negotiated with the supplier and this clause amended accordingly, see 
                      <internal.reference refid="a397691">Drafting note, Licence of IPRs</internal.reference>
                      .
                    </paratext>
                  </para>
                  <para>
                    <paratext>
                      The definition of Business in 
                      <internal.reference refid="a458370">clause 1</internal.reference>
                       is effectively expanded by the very broad language in 
                      <internal.reference refid="a616533">clause 18.1</internal.reference>
                      . 
                      <internal.reference refid="a765605">clause 18.1(b)</internal.reference>
                       and 
                      <internal.reference refid="a504868">clause 18.2(a)</internal.reference>
                       are important if the customer uses a third party to maintain or otherwise access the software.
                    </paratext>
                  </para>
                  <para>
                    <paratext>
                      Regarding 
                      <internal.reference refid="a616533">clause 18.1</internal.reference>
                      , see 
                      <internal.reference refid="a279378">Drafting note, Consequences for licensors and licensees in the light of UsedSoft decision</internal.reference>
                      , in particular the commentary on licence term and contractual provisions against transfer contained in the resource referred to there.
                    </paratext>
                  </para>
                  <division id="a406073" level="2">
                    <head align="left" preservecase="true">
                      <headtext>No fees payable for grant of software licence</headtext>
                    </head>
                    <para>
                      <paratext>
                        There are no separate provisions for charging for the software licence, apart from a fee if the number of licensed users increases above the specified limit. (This assumes that the licence fee is a lump sum included in the price specified in 
                        <internal.reference refid="a469523">Schedule 4</internal.reference>
                        ) It is open to the parties to agree to reduce the initial price by providing for a royalty payable for use of the software. The pricing structure should be considered in line with each party's right to terminate the licence and the agreement separately from one another, see 
                        <internal.reference refid="a348251">Drafting note, Termination</internal.reference>
                        .
                      </paratext>
                    </para>
                  </division>
                </division>
              </drafting.note>
              <subclause2 id="a301542">
                <identifier>(a)</identifier>
                <para>
                  <paratext>any activity in the course of the Business;</paratext>
                </para>
              </subclause2>
              <subclause2 id="a765605">
                <identifier>(b)</identifier>
                <para>
                  <paratext>the provision of hardware or software facilities management, support, maintenance, development, disaster recovery, back-up, information processing, network or other services relating to the Supplied Software;</paratext>
                </para>
              </subclause2>
              <subclause2 id="a589752">
                <identifier>(c)</identifier>
                <para>
                  <paratext>use and storage of data within any database comprised in the Licensed Software and the extraction and reutilisation of data therefrom, and the amendment or merging of the data or database; and</paratext>
                </para>
              </subclause2>
              <subclause2 id="a218883">
                <identifier>(d)</identifier>
                <para>
                  <paratext>use in connection with any associated or interconnected networks, including the internet or intranet,</paratext>
                </para>
              </subclause2>
              <para>
                <paratext>
                  (together 
                  <defn.term>Licensed Purposes</defn.term>
                  ).
                </paratext>
              </para>
            </subclause1>
            <subclause1 id="a774065">
              <identifier>18.2</identifier>
              <para>
                <paratext>The Licensed Software may be used only by Licensed Users [at the Site(s)] except as follows:</paratext>
              </para>
              <subclause2 id="a504868">
                <identifier>(a)</identifier>
                <para>
                  <paratext>
                    the Licence may be extended to contractors employed by the Customer for any of the Licensed Purposes referred to in 
                    <internal.reference refid="a765605">clause 18.1(b)</internal.reference>
                    [, provided that each individual to whom this Licence is so extended signs a written confidentiality undertaking addressed to the Supplier to protect the Supplier's Confidential Information];
                  </paratext>
                </para>
              </subclause2>
              <subclause2 id="a411099">
                <identifier>(b)</identifier>
                <para>
                  <paratext>the Licensed Software may be used on any replacement for all or any part of the Hardware;</paratext>
                </para>
              </subclause2>
              <subclause2 condition="optional" id="a689649">
                <identifier>(c)</identifier>
                <para>
                  <paratext>
                    the Licence may, with the prior written consent of the Supplier, be extended to additional Licensed Users, and 
                    <internal.reference refid="a472006">Schedule 5</internal.reference>
                     may be amended accordingly, provided that any appropriate additional fee is paid to the Supplier before such use;
                  </paratext>
                </para>
              </subclause2>
              <subclause2 condition="optional" id="a612803">
                <identifier>(d)</identifier>
                <para>
                  <paratext>if the Customer transfers its business permanently to another site, the System may be used at the new site by the Licensed Users, provided that the Supplier is informed in writing of the change of site before use of the System commences at the new site;</paratext>
                </para>
              </subclause2>
              <subclause2 id="a538320">
                <identifier>(e)</identifier>
                <para>
                  <paratext>if the Hardware becomes inoperable for any reason, the Licensed Software may be temporarily used on backup equipment until the Hardware is repaired, and the Customer may use the Licensed Software for the purpose of testing whether any such backup equipment is suitable for use while the Hardware is inoperable; and</paratext>
                </para>
              </subclause2>
              <subclause2 id="a527578">
                <identifier>(f)</identifier>
                <para>
                  <paratext>if any Site becomes temporarily unusable due to flood, fire or similar damage, or an emergency situation occurs, the Licensed Software may be used at an alternative site until the Site is again useable, provided that the Customer gives the Supplier notice of such alternative site. If the alternative site is managed by a third party, the third party must have signed a confidentiality undertaking addressed to the Supplier to protect the Supplier's Confidential Information before the Licensed Software is transferred to the alternative site.</paratext>
                </para>
                <drafting.note id="a641339" jurisdiction="">
                  <head align="left" preservecase="true">
                    <headtext>Licensed users</headtext>
                  </head>
                  <division id="a000081" level="1">
                    <para>
                      <paratext>
                        This provision is relevant to large customers who operate at more than one site. It can be omitted where the customer has only one site, or where the supplier agrees that the customer can use the software at multiple sites. Where there is a site limitation, the customer must be given the ability to use the software elsewhere on a temporary basis when the business is moved to another site, or the specified site becomes unusable for some reason (see 
                        <internal.reference refid="a612803">clause 18.2(d)</internal.reference>
                         and 
                        <internal.reference refid="a527578">clause 18.2(f)</internal.reference>
                        ).
                      </paratext>
                    </para>
                    <para>
                      <paratext>
                        <internal.reference refid="a774065">clause 18.2</internal.reference>
                         provides that the software must only be used by licensed users at the specified site, except in the circumstances set out in 
                        <internal.reference refid="a504868">clause 18.2(a)</internal.reference>
                         to 
                        <internal.reference refid="a527578">clause 18.2(f)</internal.reference>
                        . These exceptions give the customer the necessary flexibility to run its business, including moving, expanding the number of users, dealing with problems with the hardware or the site and replacing or upgrading the hardware. The exception in 
                        <internal.reference refid="a504868">clause 18.2(a)</internal.reference>
                         allows third parties to maintain the system. If the customer is likely to outsource the operation of the system, this provision allows the outsourcing contractor the same rights as the customer has itself to use the system on behalf of the customer. 
                        <internal.reference refid="a411099">clause 18.2(b)</internal.reference>
                         and 
                        <internal.reference refid="a538320">clause 18.2(e)</internal.reference>
                         permit use on replacement hardware (either permanent replacements or temporary, alternative hardware) while the hardware is being repaired. Where the customer has accepted licensed user restrictions, 
                        <internal.reference refid="a689649">clause 18.2(c)</internal.reference>
                         permits an increase in the number of licensed users. If there is a site restriction, the customer needs 
                        <internal.reference refid="a612803">clause 18.2(d)</internal.reference>
                         to permit moving premises and 
                        <internal.reference refid="a527578">clause 18.2(f)</internal.reference>
                         to allow temporary use at a backup site if the main site has become temporarily unusable owing to a disaster.
                      </paratext>
                    </para>
                  </division>
                </drafting.note>
              </subclause2>
            </subclause1>
          </clause>
          <clause id="a889673">
            <identifier>19.</identifier>
            <head align="left" preservecase="true">
              <headtext>Transfer or reproduction of Licensed Software</headtext>
            </head>
            <drafting.note id="a487362" jurisdiction="">
              <head align="left" preservecase="true">
                <headtext>Transfer or reproduction of Licensed Software</headtext>
              </head>
              <division id="a000082" level="1">
                <para>
                  <paratext>If the supplier retains proprietary rights, it is necessary to find a balance between protection of these rights and the customer's need to make copies of the software for backup and security purposes.</paratext>
                </para>
              </division>
            </drafting.note>
            <subclause1 id="a454780">
              <identifier>19.1</identifier>
              <para>
                <paratext>The Customer may make such copies of the Licensed Software as are reasonably necessary for use in accordance with this Licence and for the purposes of backup and security. The Customer has no right to make, or authorise the making of, any other copies of the Licensed Software.</paratext>
              </para>
            </subclause1>
            <subclause1 id="a778965">
              <identifier>19.2</identifier>
              <para>
                <paratext>The Supplier shall at all times own all copies of all or any part of the Licensed Software. For copies recorded on a tangible medium, the Customer shall place on each copy of all or any part of the Licensed Software a clearly visible label indicating that the copy is the property of the Supplier and reproducing the Supplier's proprietary rights notice. For electronic copies, the Customer shall ensure that all proprietary notices contained in the Licensed Software shall be maintained in such copies and shall display when the software is run, in the same way as in the case of the Licensed Software as supplied by the Supplier. The Customer shall keep all copies of the Licensed Software in a secure place when not in use and shall, at all times, keep all such copies in its possession or control.</paratext>
              </para>
            </subclause1>
            <subclause1 id="a706450">
              <identifier>19.3</identifier>
              <para>
                <paratext>
                  Except as permitted under 
                  <internal.reference refid="a504868">clause 18.2(a)</internal.reference>
                   or 
                  <internal.reference refid="a954947">clause 36</internal.reference>
                  , the Customer shall not:
                </paratext>
              </para>
              <subclause2 id="a191577">
                <identifier>(a)</identifier>
                <para>
                  <paratext>sub-license, rent, lend, assign, novate or transfer in any other way the Licence or the Licensed Software to any person without the prior written consent of the Supplier; and</paratext>
                </para>
                <drafting.note id="a382867" jurisdiction="">
                  <head align="left" preservecase="true">
                    <headtext>Non assignment of licence</headtext>
                  </head>
                  <division id="a000083" level="1">
                    <para>
                      <paratext>
                        Regarding 
                        <internal.reference refid="a191577">clause 19.3(a)</internal.reference>
                        , see 
                        <internal.reference refid="a279378">Drafting note, Consequences for licensors and licensees in the light of UsedSoft decision</internal.reference>
                        , in particular the commentary on contractual provisions against transfer in the resource referred to there.
                      </paratext>
                    </para>
                  </division>
                </drafting.note>
              </subclause2>
              <subclause2 id="a928578">
                <identifier>(b)</identifier>
                <para>
                  <paratext>give access to the Licensed Software through any network of computers to users who are not employees or agents of the Customer.</paratext>
                </para>
                <drafting.note id="a832661" jurisdiction="">
                  <head align="left" preservecase="true">
                    <headtext>Network access</headtext>
                  </head>
                  <division id="a000084" level="1">
                    <para>
                      <paratext>
                        <internal.reference refid="a928578">Clause 19.3(b)</internal.reference>
                         deals with a situation where the software is used on a network, in particular where that network is accessible to people other than the customer's employees, for example, over the internet.
                      </paratext>
                    </para>
                  </division>
                </drafting.note>
              </subclause2>
            </subclause1>
          </clause>
          <clause id="a419620">
            <identifier>20.</identifier>
            <head align="left" preservecase="true">
              <headtext>Use and adaptation of Licensed Software</headtext>
            </head>
            <drafting.note id="a800157" jurisdiction="">
              <head align="left" preservecase="true">
                <headtext>Use and adaptation of Licensed Software</headtext>
              </head>
              <division id="a000085" level="1">
                <para>
                  <paratext>
                    <internal.reference refid="a225374">Clause 20.2</internal.reference>
                     and 
                    <internal.reference refid="a655405">clause 20.3</internal.reference>
                     mean that the customer is not able to perform maintenance or upgrade the software itself without express consent from the supplier.
                  </paratext>
                </para>
              </division>
            </drafting.note>
            <subclause1 id="a515649">
              <identifier>20.1</identifier>
              <para>
                <paratext>The Customer may use the Licensed Software with other software.</paratext>
              </para>
            </subclause1>
            <subclause1 id="a225374">
              <identifier>20.2</identifier>
              <para>
                <paratext>The Customer may not make adaptations or variations of the Licensed Software without the prior consent of the Supplier.</paratext>
              </para>
            </subclause1>
            <subclause1 id="a655405">
              <identifier>20.3</identifier>
              <para>
                <paratext>The Customer may not disassemble, decompile, reverse translate or in any other manner decode the Licensed Software, except as permitted by law.</paratext>
              </para>
              <drafting.note id="a627205" jurisdiction="">
                <head align="left" preservecase="true">
                  <headtext>Permitted acts</headtext>
                </head>
                <division id="a000086" level="1">
                  <para>
                    <paratext>
                      The law grants customers of software certain rights to copy, adapt and 
                      <link href="6-107-6053" style="ACTLinkPLCtoPLC">
                        <bold>
                          <ital>decompile</ital>
                        </bold>
                      </link>
                       software, some of which cannot be excluded by law (see 
                      <link href="7-107-4789#a621987" style="ACTLinkPLCtoPLC">
                        <ital>Practice note, Main issues in software licensing and maintenance contracts: Acts specifically permitted</ital>
                      </link>
                       and 
                      <link anchor="a490084" href="7-202-4703" style="ACTLinkPLCtoPLC">Practice note, Legal protection of software: Permitted acts</link>
                      ).
                    </paratext>
                  </para>
                </division>
              </drafting.note>
            </subclause1>
          </clause>
          <clause id="a541902">
            <identifier>21.</identifier>
            <head align="left" preservecase="true">
              <headtext>Source Code and Escrow</headtext>
            </head>
            <drafting.note id="a765168" jurisdiction="">
              <head align="left" preservecase="true">
                <headtext>Source Code and Escrow</headtext>
              </head>
              <division id="a000087" level="1">
                <para>
                  <paratext>This clause contemplates three situations:</paratext>
                </para>
                <list type="bulleted">
                  <list.item>
                    <para>
                      <paratext>Where the relevant software is to be owned by the customer, the supplier is to deliver the source code in the software to the customer on acceptance.</paratext>
                    </para>
                  </list.item>
                  <list.item>
                    <para>
                      <paratext>Where it is owned by the supplier, the customer, supplier and escrow agent will enter into an escrow agreement.</paratext>
                    </para>
                  </list.item>
                  <list.item>
                    <para>
                      <paratext>Where it is owned by a third party, the customer, third party and escrow agent will enter into an escrow agreement (and the supplier will ensure that the third party does so).</paratext>
                    </para>
                  </list.item>
                </list>
                <para>
                  <paratext>All of the following defined terms relate to the software source code escrow arrangements: Escrow, Escrow Agent, Escrow Agreement (1), Escrow Agreement (2) and Source Code.</paratext>
                </para>
                <para>
                  <paratext>
                    Whether the customer can negotiate ownership (and, consequently, early delivery of the source code) of not only the bespoke software and tools, but also the modified software (supplier) will depend largely on the bargaining power of the parties. Whatever the outcome, the final text of this clause should reflect and be consistent with the provisions of 
                    <internal.reference refid="a542011">clause 17</internal.reference>
                     which addresses ownership and the definition of licensed software.
                  </paratext>
                </para>
                <para>
                  <paratext>The customer needs appropriate source code escrow arrangements, particularly where software has been specially developed or modified. This will ensure that the customer can continue to support the software, either itself or through a third-party maintainer, if the supplier fails to do so adequately or at all.</paratext>
                </para>
                <para>
                  <paratext>
                    For more information on escrow arrangements, generally, see 
                    <link href="7-107-4789#a483447" style="ACTLinkPLCtoPLC">
                      <ital>Practice note, Main issues in software licensing and maintenance contracts: Escrow agreement</ital>
                    </link>
                     and 
                    <link href="w-022-3387" style="ACTLinkPLCtoPLC">
                      <ital>Practice note, Software escrow arrangements</ital>
                    </link>
                    .
                  </paratext>
                </para>
                <division id="a831708" level="2">
                  <head align="left" preservecase="true">
                    <headtext>Release events</headtext>
                  </head>
                  <para>
                    <paratext>The escrow agreement will need to carefully stipulate the release events which will trigger the release of the deposited software material to the customer. The appointed escrow agent will normally have a standard form of escrow agreement which will specify standard release events and the parties will need to decide whether these trigger events adequately protect the customer and reflect the commercial terms that can be agreed with the supplier. If they do not, all parties may need to negotiate the escrow agent's standard terms.</paratext>
                  </para>
                  <para>
                    <paratext>The customer should seek to broaden the scope of the release events, whereas the supplier will be concerned to limit them. The customer should seek to ensure that the release events extend beyond the supplier’s insolvency, as suppliers who are in financial trouble tend to provide inadequate maintenance long before they become officially insolvent. Conversely, the supplier should seek to ensure that the terms of the agreement restrict access to the source code to circumstances where the supplier is truly unwilling or unable to provide support, and do not trigger access where there is merely a dispute over the cost of maintenance.</paratext>
                  </para>
                  <para>
                    <paratext>The customer, to eliminate the risk of non-payment, may elect to pay the escrow agent's fees itself or, at the least, require the escrow agent to notify it before terminating the escrow agreement for non-payment so that it has an opportunity of making up the shortfall. Such matters, because they require the involvement of the escrow agent, should be dealt with in the escrow agreement itself.</paratext>
                  </para>
                  <para>
                    <paratext>Where software has been specially developed or modified, the customer should insist that supporting documentation, which will help a new programmer to understand how the software operates, is included in the escrow deposit. Where the supplier continues to provide maintenance, updates or new versions of the software, the escrow agreement must provide that the source code for any changes is promptly deposited with the escrow agent.</paratext>
                  </para>
                  <para>
                    <paratext>Specify how any source code is to be provided under this clause, for example, on CD-ROM, in duplicate, accompanied by a print out on paper of an index that allows access to each program or sub-program.</paratext>
                  </para>
                </division>
              </division>
            </drafting.note>
            <subclause1 id="a160353">
              <identifier>21.1</identifier>
              <para>
                <paratext>
                  Immediately after the Acceptance Date, the Supplier shall deliver to the Customer the updated and annotated version of the Bespoke Software [and the Modified Software (Supplier)], in Source Code and machine-readable form, to be installed in the System [and a copy of the Tools [in written form 
                  <bold>OR</bold>
                   [FORM IN WHICH TOOLS ARE TO BE PROVIDED]].
                </paratext>
              </para>
            </subclause1>
            <subclause1 id="a357956">
              <identifier>21.2</identifier>
              <para>
                <paratext>Any Source Code to be provided under this clause shall be provided [FORMATS ON WHICH THE SOURCE CODE IS TO BE PROVIDED].</paratext>
              </para>
            </subclause1>
            <subclause1 id="a853607">
              <identifier>21.3</identifier>
              <para>
                <paratext>Immediately after the Commencement Date, the Supplier shall:</paratext>
              </para>
              <subclause2 id="a722277">
                <identifier>(a)</identifier>
                <para>
                  <paratext>enter into Escrow Agreement (1) with the Customer and the Escrow Agent in respect of the Supplier Standard Software [and the Modified Software (Supplier)]; and</paratext>
                </para>
              </subclause2>
              <subclause2 id="a263804">
                <identifier>(b)</identifier>
                <para>
                  <paratext>
                    procure that the third-party owner(s) listed in 
                    <internal.reference refid="a809076">Schedule 1</internal.reference>
                     and the Escrow Agent enter into Escrow Agreement (2) with the Customer and the Escrow Agent in respect of the Third-Party Software [and the Modified Software (Third Party)].
                  </paratext>
                </para>
              </subclause2>
            </subclause1>
            <subclause1 id="a546006">
              <identifier>21.4</identifier>
              <para>
                <paratext>The Supplier and the Customer mutually undertake to sign Escrow Agreement (1) promptly, following signature of this agreement. The Supplier additionally undertakes to procure that the Escrow Agent signs Escrow Agreement (1) promptly, following signature of this agreement.</paratext>
              </para>
            </subclause1>
            <subclause1 id="a718220">
              <identifier>21.5</identifier>
              <para>
                <paratext>
                  The Customer undertakes to sign the Escrow Agreement(s) (2) promptly, following signature of this agreement. The Supplier additionally undertakes to procure that the third-party owner(s) listed in 
                  <internal.reference refid="a809076">Schedule 1</internal.reference>
                   and the Escrow Agent signs Escrow Agreement (2) promptly, following signature of this agreement.
                </paratext>
              </para>
            </subclause1>
            <subclause1 id="a271971">
              <identifier>21.6</identifier>
              <para>
                <paratext>The Supplier and the Customer mutually undertake to abide by the terms of Escrow Agreement (1) and acknowledge that for the purposes of Escrow Agreement (1):</paratext>
              </para>
              <subclause2 id="a789747">
                <identifier>(a)</identifier>
                <para>
                  <paratext>the Source Code, in respect of the Supplier Standard Software [and the Modified Software (Supplier)], will constitute the "[INSERT THE DEFINED TERM, AS USED IN ESCROW AGREEMENT (1), TO DESCRIBE THOSE MATERIALS TO BE DEPOSITED WITH ESCROW AGENT"];</paratext>
                </para>
              </subclause2>
              <subclause2 id="a952257">
                <identifier>(b)</identifier>
                <para>
                  <paratext>the Licence, insofar that it relates to the Supplier Standard Software [and the Modified Software (Supplier)], will constitute the "[INSERT THE DEFINED TERM, AS USED IN ESCROW AGREEMENT(1), TO DESCRIBE THIS MAIN LICENCE AGREEMENT, UNDER WHICH THE SOFTWARE IS TO BE LICENCED TO THE CUSTOMER BY THE SUPPLIER]"; and</paratext>
                </para>
              </subclause2>
              <subclause2 id="a850421">
                <identifier>(c)</identifier>
                <para>
                  <paratext>the Supplier Standard Software [and the Modified Software (Supplier)] will constitute the "[INSERT THE DEFINED TERM, AS USED IN ESCROW AGREEMENT (1), TO DESCRIBE THE OVERALL SOFTWARE PACKAGE WHICH IS LICENCED BY THE SUPPLIER TO THE CUSTOMER UNDER THIS MAIN LICENCE AGREEMENT"].</paratext>
                </para>
                <drafting.note id="a466257" jurisdiction="">
                  <head align="left" preservecase="true">
                    <headtext>Escrow Agreement – constituent parts</headtext>
                  </head>
                  <division id="a000088" level="1">
                    <para>
                      <paratext>This agreement will need to interface seamlessly with each escrow agreement, particularly as a breach of this agreement will often trigger a release of the deposited escrow materials under the terms of the escrow agreement.</paratext>
                    </para>
                    <para>
                      <paratext>
                        We recommend an interpretation clause, such as the ones proposed in 
                        <internal.reference refid="a271971">clause 21.6</internal.reference>
                         and 
                        <internal.reference refid="a634584">clause 21.7</internal.reference>
                         should be adopted to make it clear to both parties what is being referred to in each case, and to explain any differences in terminology that might exist between each of the agreements. This will help avoid disputes, or legal interpretation issues, in the future.
                      </paratext>
                    </para>
                    <para>
                      <paratext>It will not normally be possible for any third-party source code that forms part of the licensed software to be deposited with the escrow agent under the terms of the escrow agreement between the supplier and the customer. An escrow agent will normally require the customer to enter a separate escrow agreement with the third party owner, in respect of any such third party source code, which is the reason for escrow agreement (2).</paratext>
                    </para>
                    <para>
                      <paratext>
                        The concepts underlying open-source software imply access to its source code and, consequently, the usual escrow arrangements are not appropriate for open-source software. See 
                        <link href="5-504-1050" style="ACTLinkPLCtoPLC">
                          <ital>Practice note: overview, Open-source software toolkit</ital>
                        </link>
                        .
                      </paratext>
                    </para>
                  </division>
                </drafting.note>
              </subclause2>
            </subclause1>
            <subclause1 id="a634584">
              <identifier>21.7</identifier>
              <para>
                <paratext>The Supplier and the Customer acknowledge that for the purposes of Escrow Agreement (2):</paratext>
              </para>
              <subclause2 id="a720747">
                <identifier>(a)</identifier>
                <para>
                  <paratext>the Source Code of the Third-Party Software and the Modified Software (Third Party) will constitute the "[INSERT THE DEFINED TERM, AS USED IN ESCROW AGREEMENT (2), TO DESCRIBE THOSE MATERIALS TO BE DEPOSITED WITH ESCROW AGENT]";</paratext>
                </para>
              </subclause2>
              <subclause2 id="a512716">
                <identifier>(b)</identifier>
                <para>
                  <paratext>the Licence, insofar that it relates to the Third-Party Software and the Modified Software (Third Party), will constitute the "[INSERT THE DEFINED TERM, AS USED IN ESCROW AGREEMENT(2), TO DESCRIBE THIS MAIN LICENCE AGREEMENT, UNDER WHICH THE SOFTWARE IS TO BE LICENCED TO THE CUSTOMER BY THE SUPPLIER]"; and</paratext>
                </para>
              </subclause2>
              <subclause2 id="a187333">
                <identifier>(c)</identifier>
                <para>
                  <paratext>the Third-Party Software and the Modified Software (Third Party) will constitute the "[INSERT THE DEFINED TERM, AS USED IN ESCROW AGREEMENT (2), TO DESCRIBE THE OVERALL SOFTWARE PACKAGE WHICH IS LICENCED BY THE SUPPLIER TO THE CUSTOMER UNDER THIS MAIN LICENCE AGREEMENT]".</paratext>
                </para>
              </subclause2>
            </subclause1>
            <subclause1 id="a592958">
              <identifier>21.8</identifier>
              <para>
                <paratext>All relevant escrow fees in respect of Escrow Agreement (1) shall be payable by the Supplier and the Customer in the proportions set out in Escrow Agreement (1)</paratext>
              </para>
            </subclause1>
            <subclause1 id="a341531">
              <identifier>21.9</identifier>
              <para>
                <paratext>All relevant escrow fees in respect of Escrow Agreement (2) shall be payable by the (relevant) Third Party or the Supplier on its behalf and the Customer in the proportions set out in Escrow Agreement (2).</paratext>
              </para>
            </subclause1>
          </clause>
          <clause id="a504255">
            <identifier>22.</identifier>
            <head align="left" preservecase="true">
              <headtext>Support Services</headtext>
            </head>
            <subclause1 id="a441087">
              <identifier>22.1</identifier>
              <para>
                <paratext>The Supplier shall supply the Customer with New Releases in machine-readable form together with related amendments to the Documentation [by no later than the end of each [period] and in any event] no later than such New Releases are generally made available to the Supplier's other customers. The Supplier may make such New Releases available for downloading over the internet and will promptly notify the Customer when such downloads are available.</paratext>
              </para>
            </subclause1>
            <subclause1 id="a567474">
              <identifier>22.2</identifier>
              <para>
                <paratext>
                  The Supplier shall ensure that each New Release shall comply with the Cybersecurity Requirements, and shall Mitigate any Viruses or [Known Vulnerabilities and Latent] Vulnerabilities affecting the Supported Software since the last New Release provided under 
                  <internal.reference refid="a441087">clause 22.1</internal.reference>
                  .
                </paratext>
              </para>
              <drafting.note id="a919980" jurisdiction="">
                <head align="left" preservecase="true">
                  <headtext>Cybersecurity and maintenance releases</headtext>
                </head>
                <division id="a000089" level="1">
                  <para>
                    <paratext>
                      For more information on the supplier's general obligation to comply with the Cybersecurity requirements, see 
                      <internal.reference refid="a975041">Drafting note, Compliance with Cybersecurity Requirements</internal.reference>
                      .
                    </paratext>
                  </para>
                  <para>
                    <paratext>
                      For more information on the supplier's obligation to mitigate against vulnerabilities, see 
                      <internal.reference refid="a435526">Drafting note, Mitigating against Incidents</internal.reference>
                      .
                    </paratext>
                  </para>
                </division>
              </drafting.note>
            </subclause1>
            <subclause1 id="a940091">
              <identifier>22.3</identifier>
              <para>
                <paratext>The Supplier shall notify the Customer promptly, in writing, of the issue of any New Version, specifying the following:</paratext>
              </para>
              <subclause2 id="a590233">
                <identifier>(a)</identifier>
                <para>
                  <paratext>the charge for delivery and installation of the New Version;</paratext>
                </para>
              </subclause2>
              <subclause2 id="a922601">
                <identifier>(b)</identifier>
                <para>
                  <paratext>the licence fee payable for the New Version;</paratext>
                </para>
              </subclause2>
              <subclause2 id="a126427">
                <identifier>(c)</identifier>
                <para>
                  <paratext>in what way the New Version differs from the previous version in terms of functionality, performance and compatibility;</paratext>
                </para>
              </subclause2>
              <subclause2 id="a978675">
                <identifier>(d)</identifier>
                <para>
                  <paratext>the terms on which the Supplier will make the New Version available.</paratext>
                </para>
              </subclause2>
            </subclause1>
            <subclause1 id="a149292">
              <identifier>22.4</identifier>
              <para>
                <paratext>For the avoidance of doubt, nothing in this agreement shall oblige the Customer to take any New Version.</paratext>
              </para>
              <drafting.note id="a979260" jurisdiction="">
                <head align="left" preservecase="true">
                  <headtext>New releases and new versions</headtext>
                </head>
                <division id="a000090" level="1">
                  <para>
                    <paratext>
                      This standard document distinguishes between new releases and new versions, a separate fee being paid for the latter, but not the former. Under 
                      <internal.reference refid="a149292">clause 22.4</internal.reference>
                      , the customer is not obliged to take any new version.
                    </paratext>
                  </para>
                  <para>
                    <paratext>Support services may include installation of new releases, particularly where the system is complex or the customer does not have its own in-house IT support. Documentation for new functionality should be provided with each update. It is usually provided in electronic form. If there is a significant change in the system as a result of a new release, the customer may require extra training, which is typically provided at an additional charge.</paratext>
                  </para>
                </division>
              </drafting.note>
            </subclause1>
            <subclause1 condition="optional" id="a296913">
              <identifier>22.5</identifier>
              <para>
                <paratext>The Supplier shall ensure that support is available by telephone, email and fax, during Normal Working Hours to provide assistance to the Customer in respect of the following:</paratext>
              </para>
              <subclause2 id="a501383">
                <identifier>(a)</identifier>
                <para>
                  <paratext>remedying Defects in the Supported Software; and</paratext>
                </para>
              </subclause2>
              <subclause2 id="a349955">
                <identifier>(b)</identifier>
                <para>
                  <paratext>providing advice on the use of the Supported Software.</paratext>
                </para>
              </subclause2>
            </subclause1>
            <subclause1 condition="optional" id="a464378">
              <identifier>22.6</identifier>
              <para>
                <paratext>The Supplier shall use reasonable endeavours to correct Defects notified to it by the Customer in a timely manner, appropriate to the seriousness of the circumstances in accordance with the following procedure:</paratext>
              </para>
              <subclause2 id="a563477">
                <identifier>(a)</identifier>
                <para>
                  <paratext>the Customer shall promptly notify the Supplier of all Defects of which it becomes aware. Where such notification is made orally, the Customer shall provide written confirmation (which may be sent by fax or by email) of the notification within [two] working days;</paratext>
                </para>
              </subclause2>
              <subclause2 id="a112828">
                <identifier>(b)</identifier>
                <para>
                  <paratext>within [two] hours of such notification, the Supplier shall acknowledge receipt of the notification and shall determine, in consultation with the Customer, how seriously the Defect affects the Customer's operations;</paratext>
                </para>
              </subclause2>
              <subclause2 id="a108896">
                <identifier>(c)</identifier>
                <para>
                  <paratext>if a notified Defect:</paratext>
                </para>
                <subclause3 id="a377381">
                  <identifier>(i)</identifier>
                  <para>
                    <paratext>halts or substantially impairs the Customer's operations which use the Supported Software;</paratext>
                  </para>
                </subclause3>
                <subclause3 id="a342688">
                  <identifier>(ii)</identifier>
                  <para>
                    <paratext>compromises the System such that it does not meet the Cybersecurity Requirements; or</paratext>
                  </para>
                </subclause3>
                <subclause3 id="a228361">
                  <identifier>(iii)</identifier>
                  <para>
                    <paratext>comprises a Vulnerability,</paratext>
                  </para>
                </subclause3>
                <para>
                  <paratext>the Supplier shall start work on correcting the Defect within [four] hours of receipt of such notification, and shall use best efforts to correct the Defect as soon as possible, and shall keep the Customer informed of progress towards correction of the Defect;</paratext>
                </para>
              </subclause2>
              <subclause2 id="a444515">
                <identifier>(d)</identifier>
                <para>
                  <paratext>
                    if a notified Defect does not meet the threshold requirements set out in 
                    <internal.reference refid="a108896">clause 22.6(c)</internal.reference>
                     but causes the Customer's operations to become significantly slowed or causes substantial inconvenience, the Supplier shall commence work on correcting the Defect within [48] hours of receipt of such notification and shall use all reasonable efforts to correct the Defect as soon as possible; and
                  </paratext>
                </para>
              </subclause2>
              <subclause2 id="a153143">
                <identifier>(e)</identifier>
                <para>
                  <paratext>
                    in the case of Defects other than those specified in 
                    <internal.reference refid="a108896">clause 22.6(c)</internal.reference>
                     and 
                    <internal.reference refid="a444515">clause 22.6(d)</internal.reference>
                    , the Supplier shall start work on correcting the Defect as soon as the Supplier's workload allows and shall use commercially reasonable efforts to correct the Defect.
                  </paratext>
                </para>
                <drafting.note id="a836041" jurisdiction="">
                  <head align="left" preservecase="true">
                    <headtext>Support services (clauses 22.4 and 22.5) (optional)</headtext>
                  </head>
                  <division id="a000091" level="1">
                    <para>
                      <paratext>
                        Very simple provisions for support services are contained in 
                        <internal.reference refid="a296913">clause 22.5</internal.reference>
                         and 
                        <internal.reference refid="a464378">clause 22.6</internal.reference>
                        . Where the system is complex, especially where the customer's business could be seriously affected by a failure of the system, it is advisable to have a separate maintenance contract with detailed performance provisions, in which both service levels and service credits may be defined. (See 
                        <internal.reference refid="a593275">Maintenance Agreement</internal.reference>
                        .) For more information regarding service credits, see 
                        <internal.reference refid="a545438">Drafting note, Delivery, installation and delays</internal.reference>
                        .
                      </paratext>
                    </para>
                    <para>
                      <paratext>
                        <internal.reference refid="a296913">clause 22.5</internal.reference>
                         states generally what services the supplier will provide. 
                        <internal.reference refid="a464378">clause 22.6</internal.reference>
                         will be important to the customer as it provides the performance standards, such as time for response and an escalation of efforts to fix defects, depending on how seriously the defect affects the operation of the system. The specified timings are usually the subject of negotiation. Where the supplier and the customer are in different time zones, there will be negotiation about the hours during which the supplier will respond to requests for assistance and, if times are to run outside the supplier's normal working hours, the supplier will no doubt cost this into the price for support services.
                      </paratext>
                    </para>
                    <para>
                      <paratext>
                        See also 
                        <internal.reference refid="a873284">Drafting note, Defect</internal.reference>
                        .
                      </paratext>
                    </para>
                  </division>
                </drafting.note>
              </subclause2>
            </subclause1>
          </clause>
          <clause condition="optional" id="a890525">
            <identifier>23.</identifier>
            <head align="left" preservecase="true">
              <headtext>Training</headtext>
            </head>
            <drafting.note id="a374516" jurisdiction="">
              <head align="left" preservecase="true">
                <headtext>Training (optional)</headtext>
              </head>
              <division id="a000092" level="1">
                <para>
                  <paratext>
                    This clause should be deleted if no training is to be provided. The wording in square brackets in 
                    <internal.reference refid="a981570">clause 23.1</internal.reference>
                     should be deleted if there is no separate charge for training.
                  </paratext>
                </para>
                <para>
                  <paratext>
                    If the provisions for training are complex, they should be included in 
                    <internal.reference refid="a537942">Schedule 3</internal.reference>
                    . The supplier should agree a timetable with the customer and specify the location of the training and the maximum size of any training class. Where the training is included in the total price, the supplier should also specify the number of hours of training provided for that price. If there are different elements of training, depending on the needs of particular classes of customer employees, 
                    <internal.reference refid="a537942">Schedule 3</internal.reference>
                     should contain a mechanism for the customer to request different types of training.
                  </paratext>
                </para>
                <para>
                  <paratext>
                    For more information on 
                    <internal.reference refid="a843026">Part A: Services</internal.reference>
                     of 
                    <internal.reference refid="a537942">Schedule 3</internal.reference>
                    , and sample wording for the training provisions, see 
                    <internal.reference refid="a768767">Drafting note, Example of Schedule 3, Part A: Services</internal.reference>
                    .
                  </paratext>
                </para>
              </division>
            </drafting.note>
            <subclause1 id="a981570">
              <identifier>23.1</identifier>
              <para>
                <paratext>
                  The Supplier undertakes to provide Training to the Customer [in consideration of the Training charges specified in 
                  <internal.reference refid="a469523">Schedule 4</internal.reference>
                  ].
                </paratext>
              </para>
            </subclause1>
            <subclause1 id="a923117">
              <identifier>23.2</identifier>
              <para>
                <paratext>Any additional training required by the Customer shall be provided by the Supplier at the Supplier's standard rates then in force.</paratext>
              </para>
            </subclause1>
            <subclause1 id="a717702">
              <identifier>23.3</identifier>
              <para>
                <paratext>
                  Training shall be carried out at the [Site(s) 
                  <bold>OR</bold>
                   Supplier's premises 
                  <bold>OR</bold>
                   location(s) specified in 
                  <internal.reference refid="a537942">Schedule 3</internal.reference>
                  ], or as may otherwise be agreed by the Customer. Any special equipment necessary for the Training shall be provided by the Supplier.
                </paratext>
              </para>
            </subclause1>
          </clause>
          <clause id="a697613">
            <identifier>24.</identifier>
            <head align="left" preservecase="true">
              <headtext>Supplier personnel: System and support services</headtext>
            </head>
            <subclause1 id="a502521">
              <identifier>24.1</identifier>
              <para>
                <paratext>The Supplier undertakes that its employees and contractors, while on the Site(s) or any other premises of the Customer, will comply with all relevant rules and regulations laid down by the Customer from time to time for the behaviour of its own employees [and contractors], and any other reasonable requirements of the Customer. The Supplier shall remove any employee or contractor whom the Customer can demonstrate has failed to comply with such rules, regulations and requirements.</paratext>
              </para>
            </subclause1>
            <subclause1 id="a928543">
              <identifier>24.2</identifier>
              <para>
                <paratext>The Supplier shall indemnify the Customer for all loss and damage howsoever arising to the Customer's employees, contractors or property caused by the Supplier's personnel while they are on the Customer's premises.</paratext>
              </para>
            </subclause1>
            <subclause1 id="a171865">
              <identifier>24.3</identifier>
              <para>
                <paratext>The Supplier alone shall be responsible for the supervision, direction, control, wages, taxes, national insurance and benefits of [the Support Manager and] the Support Staff. The Supplier assumes full responsibility for their acts and omissions and acknowledges that they are not employees or agents of the Customer.</paratext>
              </para>
              <drafting.note id="a470828" jurisdiction="">
                <head align="left" preservecase="true">
                  <headtext>Not employees or agents</headtext>
                </head>
                <division id="a000093" level="1">
                  <para>
                    <paratext>The aim of this clause is to negate any suggestion that any of the supplier's personnel might technically be employees of the customer and so the customer should seek to retain it.</paratext>
                  </para>
                </division>
              </drafting.note>
            </subclause1>
            <subclause1 condition="optional" id="a515861">
              <identifier>24.4</identifier>
              <para>
                <paratext>During the term of this agreement and for a period of six months after its termination neither party shall, without the prior written consent of the other, solicit or permit any Affiliate or Associate to solicit the employment of any person who is employed by the other party in the course of developing, supplying, maintaining or supporting the System or any part of it.</paratext>
              </para>
              <drafting.note id="a332287" jurisdiction="">
                <head align="left" preservecase="true">
                  <headtext>No solicitation (optional)</headtext>
                </head>
                <division id="a000094" level="1">
                  <para>
                    <paratext>
                      The optional non-solicitation provisions in 
                      <internal.reference refid="a515861">clause 24.4</internal.reference>
                       are usually for the protection of the supplier. It is common for customers to want to hire the key supplier employee who has been responsible for the system integration once the system is up and running, as this enables them to bypass the supplier for much of the ongoing maintenance.
                    </paratext>
                  </para>
                  <para>
                    <paratext>However, where the project introduces the supplier to a new market, the customer may find that the supplier wants to hire key customer personnel in order to develop other clients in that market and so will need this non-solicitation clause. The clause should always be mutual, and care should be taken to make the period reasonable: it should be proportionate to the importance of the system to the customer's business and the length of time taken to complete the system integration project. If a court determines that either the period or scope of the restraint is not reasonable, it will be unenforceable.</paratext>
                  </para>
                </division>
              </drafting.note>
            </subclause1>
          </clause>
          <clause id="a307199">
            <identifier>25.</identifier>
            <head align="left" preservecase="true">
              <headtext>System: project management</headtext>
            </head>
            <drafting.note id="a274117" jurisdiction="">
              <head align="left" preservecase="true">
                <headtext>System: project management</headtext>
              </head>
              <division id="a000095" level="1">
                <para>
                  <paratext>Good management of the project is vital to its success. This requires active involvement from both the supplier and the user, with backing from senior management in both cases. Many failed software development projects are the result of the customer thinking that it can leave everything to the supplier.</paratext>
                </para>
              </division>
            </drafting.note>
            <subclause1 id="a721117">
              <identifier>25.1</identifier>
              <para>
                <paratext>No later than [five days] after the Commencement Date, the Customer shall notify the Supplier of the name and qualifications of the person appointed as the Customer Representative.</paratext>
              </para>
            </subclause1>
            <subclause1 id="a314317">
              <identifier>25.2</identifier>
              <para>
                <paratext>The Supplier shall appoint the Project Manager, who shall have the responsibility and commensurate authority for the overall progress of the Work and to whom all questions regarding this agreement can be referred. The name and qualifications of the appointed individual shall be notified in writing to the Customer Representative.</paratext>
              </para>
              <drafting.note id="a974426" jurisdiction="">
                <head align="left" preservecase="true">
                  <headtext>Customer representative and project manager (clauses 25.1 and 25.2)</headtext>
                </head>
                <division id="a000096" level="1">
                  <para>
                    <paratext>
                      Both parties have an interest in ensuring that the right people are appointed as customer representative and project manager (
                      <internal.reference refid="a721117">clause 25.1</internal.reference>
                       and 
                      <internal.reference refid="a314317">clause 25.2</internal.reference>
                      ), because if these people communicate well with each other, have the right competencies and have sufficient authority within their respective organisations there is a very good chance the project will be successful. As the success of the project depends, to a large extent, on the ability of these two individuals to work together, the parties should consider adding a mechanism for senior management to intervene and replace one or both of them if there is a serious personality clash.
                    </paratext>
                  </para>
                </division>
              </drafting.note>
            </subclause1>
            <subclause1 id="a845187">
              <identifier>25.3</identifier>
              <para>
                <paratext>The Project Manager shall co-operate with the Customer Representative and shall attend meetings scheduled by the Customer Representative at reasonable intervals not less than once a week to advise and assist the Customer on all matters relating to the Work.</paratext>
              </para>
            </subclause1>
            <subclause1 id="a220261">
              <identifier>25.4</identifier>
              <para>
                <paratext>The Supplier agrees that the Project Manager [and [SPECIFY KEY STAFF]] shall not be replaced before the Acceptance Date without notice to the Customer, unless:</paratext>
              </para>
              <subclause2 id="a767722">
                <identifier>(a)</identifier>
                <para>
                  <paratext>the individual to be replaced is prevented by ill-health from carrying out their duties in connection with the agreement for a significant period; or</paratext>
                </para>
              </subclause2>
              <subclause2 id="a931004">
                <identifier>(b)</identifier>
                <para>
                  <paratext>the individual resigns from employment with the Supplier; or</paratext>
                </para>
              </subclause2>
              <subclause2 id="a695850">
                <identifier>(c)</identifier>
                <para>
                  <paratext>the contract of employment of the individual is terminated; or</paratext>
                </para>
              </subclause2>
              <subclause2 id="a214512">
                <identifier>(d)</identifier>
                <para>
                  <paratext>the Customer makes a reasonable written request to the Supplier to replace the individual because they have performed unsatisfactorily or have caused a breach of any of the Supplier's obligations under this agreement howsoever arising.</paratext>
                </para>
                <drafting.note id="a566744" jurisdiction="">
                  <head align="left" preservecase="true">
                    <headtext>Replacement of project manager</headtext>
                  </head>
                  <division id="a000097" level="1">
                    <para>
                      <paratext>
                        In the interest of a successful outcome (which both parties share), it is reasonable to have a contractual agreement that the supplier will not remove the project manager (or any other key member of its team) from the project before final acceptance (see 
                        <internal.reference refid="a220261">clause 25.4</internal.reference>
                        ). This is to ensure that highly skilled personnel, who are essential to the success of the project, are not reassigned by the supplier if a more lucrative project comes along. However, the supplier will usually resist agreeing to an absolute prohibition on moving personnel between projects (which could make its business impossible to manage efficiently). However, it should be prepared to agree that a few key individuals (and certainly the project manager) will not be removed without the customer's consent. There should also be a mechanism for allowing the customer to request the removal of an individual and to be consulted about any proposed replacement before the change is made.
                      </paratext>
                    </para>
                  </division>
                </drafting.note>
              </subclause2>
            </subclause1>
            <subclause1 id="a521306">
              <identifier>25.5</identifier>
              <para>
                <paratext>If any such person is replaced, the Supplier shall consult with the Customer Representative about the identity of a suitable replacement.</paratext>
              </para>
            </subclause1>
            <subclause1 id="a770586">
              <identifier>25.6</identifier>
              <para>
                <paratext>The Customer agrees that the Customer Representative [and [SPECIFY KEY STAFF]] shall not be replaced before the Acceptance Date without notice to the Supplier, unless:</paratext>
              </para>
              <subclause2 id="a539791">
                <identifier>(a)</identifier>
                <para>
                  <paratext>the individual to be replaced is prevented by ill-health from carrying out their duties in connection with the agreement for a significant period; or</paratext>
                </para>
              </subclause2>
              <subclause2 id="a587879">
                <identifier>(b)</identifier>
                <para>
                  <paratext>the individual resigns from employment with the Customer; or</paratext>
                </para>
              </subclause2>
              <subclause2 id="a386943">
                <identifier>(c)</identifier>
                <para>
                  <paratext>the individual's contract of employment is terminated; or</paratext>
                </para>
              </subclause2>
              <subclause2 id="a621755">
                <identifier>(d)</identifier>
                <para>
                  <paratext>the Supplier makes a reasonable written request to the Customer to replace the individual because they have performed unsatisfactorily or has caused a breach of any of the Customer's obligations under this agreement howsoever arising.</paratext>
                </para>
              </subclause2>
            </subclause1>
            <subclause1 id="a711850">
              <identifier>25.7</identifier>
              <para>
                <paratext>The Customer shall consult with the Project Manager about the identity of a suitable replacement.</paratext>
              </para>
              <drafting.note id="a168200" jurisdiction="">
                <head align="left" preservecase="true">
                  <headtext>Replacement of customer representative (clauses 25.6 and 25.7)</headtext>
                </head>
                <division id="a000098" level="1">
                  <para>
                    <paratext>
                      The customer representative (and possibly other key customer employees) is essential to the project's success, so 
                      <internal.reference refid="a770586">clause 25.6</internal.reference>
                       and 
                      <internal.reference refid="a711850">clause 25.7</internal.reference>
                       contain provisions equivalent to those relating to the project manager.
                    </paratext>
                  </para>
                </division>
              </drafting.note>
            </subclause1>
            <subclause1 id="a134189">
              <identifier>25.8</identifier>
              <para>
                <paratext>The Supplier shall:</paratext>
              </para>
              <subclause2 id="a756916">
                <identifier>(a)</identifier>
                <para>
                  <paratext>
                    take all reasonable steps to maintain continuity in relation to the Support Staff team[; and 
                    <bold>OR</bold>
                     .]
                  </paratext>
                </para>
              </subclause2>
              <subclause2 condition="optional" id="a451005">
                <identifier>(b)</identifier>
                <para>
                  <paratext>to the extent possible, give the Customer reasonable written notice of any proposed holiday or leave of absence to be taken by the Support Manager.</paratext>
                </para>
              </subclause2>
            </subclause1>
          </clause>
          <clause id="a229739">
            <identifier>26.</identifier>
            <head align="left" preservecase="true">
              <headtext>Support Services: Customer's obligations</headtext>
            </head>
            <drafting.note id="a459516" jurisdiction="">
              <head align="left" preservecase="true">
                <headtext>Support Services: Customer's obligations</headtext>
              </head>
              <division id="a000099" level="1">
                <para>
                  <paratext>
                    The supplier will need to have both physical and remote access to the existing system and to the customer's data. This need for access has to be balanced against the customer's need to go on running its business while the new system is being developed. The customer is typically obliged to co-operate in the carrying out of the work, in particular to allow the supplier's staff reasonable access to information and the site, and to provide necessary supplies for the supplier's personnel working on the customer's site (
                    <internal.reference refid="a678462">clause 26.3</internal.reference>
                     and 
                    <internal.reference refid="a294184">clause 26.5</internal.reference>
                    ).
                  </paratext>
                </para>
                <para>
                  <paratext>
                    The customer may want more control over rights of access than this clause gives. However, the supplier should not be put in a situation where the project cannot be completed on time because access is not provided, or where it ends up paying its personnel overtime from its own pocket because access is only given outside normal working hours (unless this expense has been factored into the agreed price at the beginning). The customer should also require the supplier to accept an obligation of responsible conduct to go with the right of access (
                    <internal.reference refid="a697613">clause 24</internal.reference>
                    ).
                  </paratext>
                </para>
              </division>
            </drafting.note>
            <subclause1 id="a644355">
              <identifier>26.1</identifier>
              <para>
                <paratext>
                  During the term in which the Support Services are to be provided under 
                  <internal.reference refid="a243752">clause 37.2</internal.reference>
                  , the Customer shall not, without the Supplier's prior written approval, allow any person other than a representative of the Supplier to modify, repair or maintain any part of the Supported Software.
                </paratext>
              </para>
              <drafting.note id="a302277" jurisdiction="">
                <head align="left" preservecase="true">
                  <headtext>No third party maintenance</headtext>
                </head>
                <division id="a000100" level="1">
                  <para>
                    <paratext>
                      The supplier is likely to insist on including 
                      <internal.reference refid="a644355">clause 26.1</internal.reference>
                      , otherwise it could incur considerable expense trying to find out what the unauthorised third party has done in order to put right the relevant defects.
                    </paratext>
                  </para>
                </division>
              </drafting.note>
            </subclause1>
            <subclause1 id="a342478">
              <identifier>26.2</identifier>
              <para>
                <paratext>
                  The Customer shall co-operate with the Supplier in any manner reasonably required by the Supplier in order to carry out the Work, including provision of information and data, making available suitably qualified employees and contractors of the Customer and, subject to the Supplier's compliance with the Customer's normal security requirements [as specified in 
                  <internal.reference refid="a537942">Schedule 3</internal.reference>
                  ]:
                </paratext>
              </para>
              <subclause2 id="a187712">
                <identifier>(a)</identifier>
                <para>
                  <paratext>provide access to the Customer's systems for the purpose of carrying out diagnostics and correction of Defects, provided that system access shall be direct or remote, at the Customer's option, and that, in the latter case, such access will be subject to the Supplier's compliance with any additional requirements for security and encryption techniques or software which may from time to time be specified by the Customer.</paratext>
                </para>
              </subclause2>
              <subclause2 id="a994057">
                <identifier>(b)</identifier>
                <para>
                  <paratext>provide such further access for the Support Staff to the Site(s) as is necessary to carry out the Supplier's obligations under this agreement. The Customer shall obtain for the Supplier all permissions necessary to obtain such access.</paratext>
                </para>
              </subclause2>
              <subclause2 id="a954561">
                <identifier>(c)</identifier>
                <para>
                  <paratext>when the Support Staff are working on the Site(s), provide facilities and supplies reasonably required by the Supplier, such as power and computer consumables.</paratext>
                </para>
              </subclause2>
            </subclause1>
            <subclause1 id="a678462">
              <identifier>26.3</identifier>
              <para>
                <paratext>
                  The Customer shall, at its own expense, provide the equipment necessary at the Site(s) to enable the access referred to in 
                  <internal.reference refid="a187712">clause 26.2(a)</internal.reference>
                   in accordance with the specifications set out in the Business Requirements Specification, but all other costs and expenses for such access shall be borne by the Supplier.
                </paratext>
              </para>
              <drafting.note id="a563398" jurisdiction="">
                <head align="left" preservecase="true">
                  <headtext>Customer equipment and contacts (clauses 26.3 and 26.4)</headtext>
                </head>
                <division id="a000101" level="1">
                  <para>
                    <paratext>The supplier will need access to the system in order to correct defects. Where possible, remote access should be provided so that the supplier's employees do not have to spend time travelling to the customer's facility in order to work on the system. However, in these circumstances it is likely that the supplier will need to comply with additional security requirements. It is important to have one person at the customer (or a limited number of specified individuals) responsible for passing requests for assistance to the supplier and feeding back the responses, so that both the customer and the supplier can control and monitor the work that is being done on systems support.</paratext>
                  </para>
                </division>
              </drafting.note>
            </subclause1>
            <subclause1 id="a964625">
              <identifier>26.4</identifier>
              <para>
                <paratext>The Customer shall appoint an individual to serve as primary contact with the Supplier for the purpose of the provision of services under this agreement, and a deputy to that individual, and shall notify the Supplier of the names of those individuals promptly on their appointment.</paratext>
              </para>
            </subclause1>
            <subclause1 id="a294184">
              <identifier>26.5</identifier>
              <para>
                <paratext>The Customer may restrict access to certain areas of its premises or systems on security grounds.</paratext>
              </para>
            </subclause1>
          </clause>
          <clause id="a175838">
            <identifier>27.</identifier>
            <head align="left" preservecase="true">
              <headtext>Confidentiality and publicity</headtext>
            </head>
            <drafting.note id="a525804" jurisdiction="">
              <head align="left" preservecase="true">
                <headtext>Confidentiality and publicity</headtext>
              </head>
              <division id="a000102" level="1">
                <para>
                  <paratext>For more information on this clause, see:</paratext>
                </para>
                <list type="bulleted">
                  <list.item>
                    <para>
                      <paratext>
                        The drafting notes in 
                        <link href="http://www.practicallaw.com/2-107-3829" style="ACTLinkURL">
                          <ital>Standard clause, Confidentiality</ital>
                        </link>
                        .
                      </paratext>
                    </para>
                  </list.item>
                  <list.item>
                    <para>
                      <paratext>
                        <link anchor="a263683" href="http://www.practicallaw.com/w-014-1583" style="ACTLinkURL">
                          <ital>Practice note, Boilerplate: do I really need this clause and why?: Confidentiality</ital>
                        </link>
                        .
                      </paratext>
                    </para>
                  </list.item>
                </list>
              </division>
            </drafting.note>
            <subclause1 id="a743259">
              <identifier>27.1</identifier>
              <para>
                <paratext>Confidential Information means all confidential information (however recorded or preserved) disclosed by a party or its Representatives (as defined below) to the other party and that party's Representatives [whether before or] [after the date of this agreement] in connection with [DESCRIBE TRANSACTION OR CONTRACT], including but not limited to:</paratext>
              </para>
              <subclause2 condition="optional" id="a691865">
                <identifier>(a)</identifier>
                <para>
                  <paratext>the [existence and] terms of this agreement [or any agreement entered into in connection with this agreement];</paratext>
                </para>
              </subclause2>
              <subclause2 id="a603202">
                <identifier>(b)</identifier>
                <para>
                  <paratext>any information that would be regarded as confidential by a reasonable business person relating to:</paratext>
                </para>
                <subclause3 id="a217421">
                  <identifier>(i)</identifier>
                  <para>
                    <paratext>the business, assets, affairs, customers, clients, suppliers, [or] plans [, intentions, or market opportunities] of the disclosing party [(or of any member of the group of companies to which the disclosing party belongs)]; and</paratext>
                  </para>
                </subclause3>
                <subclause3 id="a396167">
                  <identifier>(ii)</identifier>
                  <para>
                    <paratext>the operations, processes, product information, know-how, designs, trade secrets or software of the disclosing party [(or of any member of the group of companies to which the disclosing party belongs)];</paratext>
                  </para>
                </subclause3>
              </subclause2>
              <subclause2 id="a824775">
                <identifier>(c)</identifier>
                <para>
                  <paratext>any information developed by the parties in the course of carrying out this agreement; and</paratext>
                </para>
              </subclause2>
              <subclause2 id="a919851">
                <identifier>(d)</identifier>
                <para>
                  <paratext>any information detailed in Schedule [NUMBER].</paratext>
                </para>
              </subclause2>
              <para>
                <paratext>
                  <bold>Representatives</bold>
                   means, in relation to a party, its employees, officers, contractors, subcontractors, representatives and advisers.
                </paratext>
              </para>
            </subclause1>
            <subclause1 id="a586282">
              <identifier>27.2</identifier>
              <para>
                <paratext>The provisions of this clause shall not apply to any Confidential Information that:</paratext>
              </para>
              <subclause2 id="a269271">
                <identifier>(a)</identifier>
                <para>
                  <paratext>is or becomes generally available to the public (other than as a result of its disclosure by the receiving party or its Representatives in breach of this clause);</paratext>
                </para>
              </subclause2>
              <subclause2 id="a965414">
                <identifier>(b)</identifier>
                <para>
                  <paratext>was available to the receiving party on a non-confidential basis before disclosure by the disclosing party;</paratext>
                </para>
              </subclause2>
              <subclause2 id="a968124">
                <identifier>(c)</identifier>
                <para>
                  <paratext>was, is or becomes available to the receiving party on a non-confidential basis from a person who, to the receiving party's knowledge, is not bound by a confidentiality agreement with the disclosing party or otherwise prohibited from disclosing the information to the receiving party; [or]</paratext>
                </para>
              </subclause2>
              <subclause2 condition="optional" id="a308377">
                <identifier>(d)</identifier>
                <para>
                  <paratext>the parties agree in writing is not confidential or may be disclosed[; or]</paratext>
                </para>
              </subclause2>
              <subclause2 condition="optional" id="a284538">
                <identifier>(e)</identifier>
                <para>
                  <paratext>is developed by or for the receiving party independently of the information disclosed by the disclosing party.</paratext>
                </para>
              </subclause2>
            </subclause1>
            <subclause1 id="a349159">
              <identifier>27.3</identifier>
              <para>
                <paratext>Each party shall keep the other party's Confidential Information secret and confidential and shall not:</paratext>
              </para>
              <subclause2 id="a505081">
                <identifier>(a)</identifier>
                <para>
                  <paratext>
                    use such Confidential Information except for [the purpose of exercising or performing its rights and obligations under or in connection with this agreement 
                    <bold>OR</bold>
                     [SPECIFY PURPOSE]] (
                    <bold>Permitted Purpose</bold>
                    ); or
                  </paratext>
                </para>
              </subclause2>
              <subclause2 id="a423238">
                <identifier>(b)</identifier>
                <para>
                  <paratext>disclose such Confidential Information in whole or in part to any third party, except as expressly permitted by this clause 27.</paratext>
                </para>
              </subclause2>
            </subclause1>
            <subclause1 id="a909857">
              <identifier>27.4</identifier>
              <para>
                <paratext>A party may disclose the other party's Confidential Information to those of its Representatives who need to know such Confidential Information for the Permitted Purpose, provided that:</paratext>
              </para>
              <subclause2 id="a372741">
                <identifier>(a)</identifier>
                <para>
                  <paratext>it informs such Representatives of the confidential nature of the Confidential Information before disclosure; and</paratext>
                </para>
              </subclause2>
              <subclause2 id="a524066">
                <identifier>(b)</identifier>
                <para>
                  <paratext>at all times, it is responsible for such Representatives' compliance with the confidentiality obligations set out in this clause.</paratext>
                </para>
              </subclause2>
            </subclause1>
            <subclause1 id="a271944">
              <identifier>27.5</identifier>
              <para>
                <paratext>A party may disclose Confidential Information to the extent such Confidential Information is required to be disclosed by law, by any governmental or other regulatory authority (including, without limitation, [ANY RELEVANT SECURITIES EXCHANGES]) or by a court or other authority of competent jurisdiction provided that, to the extent it is legally permitted to do so, it gives the other party as much notice of such disclosure as possible [and, where notice of disclosure is not prohibited and is given in accordance with this clause 27.5, it takes into account the reasonable requests of the other party in relation to the content of such disclosure].</paratext>
              </para>
            </subclause1>
            <subclause1 condition="optional" id="a447661">
              <identifier>27.6</identifier>
              <para>
                <paratext>A party may, provided that it has reasonable grounds to believe that the other party is involved in activity that may constitute a criminal offence under the Bribery Act 2010, disclose Confidential Information to the Serious Fraud Office without first informing the other party of such disclosure.</paratext>
              </para>
            </subclause1>
            <subclause1 id="a416838">
              <identifier>27.7</identifier>
              <para>
                <paratext>
                  Each party reserves all rights in its Confidential Information. No rights or obligations in respect of a party's Confidential Information other than those expressly stated in this [clause 
                  <bold>OR</bold>
                   agreement] are granted to the other party, or to be implied from this agreement.
                </paratext>
              </para>
            </subclause1>
            <subclause1 id="a811783">
              <identifier>27.8</identifier>
              <para>
                <paratext>On termination [or expiry] of this agreement, each party shall:</paratext>
              </para>
              <subclause2 id="a674593">
                <identifier>(a)</identifier>
                <para>
                  <paratext>destroy or return to the other party all documents and materials (and any copies) containing, reflecting, incorporating or based on the other party's Confidential Information;</paratext>
                </para>
              </subclause2>
              <subclause2 id="a345867">
                <identifier>(b)</identifier>
                <para>
                  <paratext>erase all the other party's Confidential Information from computer and communications systems and devices used by it, including such systems and data storage services provided by third parties (to the extent technically and legally practicable); and</paratext>
                </para>
              </subclause2>
              <subclause2 id="a367722">
                <identifier>(c)</identifier>
                <para>
                  <paratext>certify in writing to the other party that it has complied with the requirements of this clause, provided that a recipient party may retain documents and materials containing, reflecting, incorporating or based on the other party's Confidential Information to the extent required by law or any applicable governmental or regulatory authority. The provisions of this clause shall continue to apply to any such documents and materials retained by a recipient party, subject to clause [NUMBER] (Termination).</paratext>
                </para>
              </subclause2>
            </subclause1>
            <subclause1 condition="optional" id="a298097">
              <identifier>27.9</identifier>
              <para>
                <paratext>
                  Nothing in this agreement shall prevent either party from using any Tools, knowledge of which is contained in the unaided memory of such party's personnel [or those of its Affiliates], developed or disclosed under this agreement, provided that in doing so such party does not breach its obligations of confidentiality under this 
                  <internal.reference refid="a175838">clause 27</internal.reference>
                   or breach any Intellectual Property Rights of the other party [or any of its Affiliates]. An individual's memory is only "unaided" with respect to any information if the individual has not retained a copy of the information and has not intentionally memorised that information other than is required to perform the Services.
                </paratext>
              </para>
              <drafting.note id="a550282" jurisdiction="">
                <head align="left" preservecase="true">
                  <headtext>Residual information clause (optional)</headtext>
                </head>
                <division id="a000103" level="1">
                  <para>
                    <paratext>Service providers (often the receiving party in a transaction) will often want to include residual information clauses in services or consulting as they are concerned that their personnel will enhance their skills in the course of providing services to a customer and will use residual information (when providing similar services to future clients). This information could be in the form of experience gained in developing solutions or other information learned while working on an engagement. However, customers (often the disclosing party in a transaction) may be prejudiced if these clauses are too broad and effectively render the receiving party's confidentiality obligations meaningless.</paratext>
                  </para>
                  <para>
                    <paratext>The parties may ultimately agree to strike a balance between the service provider's need to use its personnel on future engagements and the customer's desire to protect its confidential information.</paratext>
                  </para>
                  <para>
                    <paratext>
                      <internal.reference refid="a298097">clause 27.9</internal.reference>
                       incorporates the following safeguards for the disclosing party:
                    </paratext>
                  </para>
                  <list type="bulleted">
                    <list.item>
                      <para>
                        <paratext>The information in question must not have been intentionally memorised.</paratext>
                      </para>
                    </list.item>
                    <list.item>
                      <para>
                        <paratext>
                          The type of information is limited to tools and know-how developed, and methods invented (see the full definition of 
                          <internal.reference refid="a725484">Drafting note, Tools</internal.reference>
                           in 
                          <internal.reference refid="a458370">clause 1</internal.reference>
                          ).
                        </paratext>
                      </para>
                    </list.item>
                    <list.item>
                      <para>
                        <paratext>Use of the information in question is only permitted if the receiving party does not breach its obligations of confidentiality under the agreement or breach any intellectual property rights of the disclosing party.</paratext>
                      </para>
                    </list.item>
                  </list>
                  <para>
                    <paratext>
                      This optional text allows each party to use the software tools to the extent that they reside in the unaided memory of the relevant person, that is, unprompted by, for example, a written record of the relevant information. Consider this text carefully before including it, as it is difficult to disprove that particular information was not in the unaided memory of the relevant person. Also ensure that the final text here is consistent with 
                      <internal.reference refid="a494813">clause 17.2</internal.reference>
                       and 
                      <internal.reference refid="a945013">clause 17.6</internal.reference>
                       which also refer to tools.
                    </paratext>
                  </para>
                </division>
              </drafting.note>
            </subclause1>
            <subclause1 condition="optional" id="a823111">
              <identifier>27.10</identifier>
              <para>
                <paratext>Except as expressly stated in this agreement, no party makes any express or implied warranty or representation concerning its Confidential Information.</paratext>
              </para>
            </subclause1>
            <subclause1 condition="optional" id="a132737">
              <identifier>27.11</identifier>
              <para>
                <paratext>
                  The provisions of this clause 27 shall [continue to apply after termination [or expiry] of this agreement 
                  <bold>OR</bold>
                   survive for a period of [five] years from termination [or expiry] of this agreement].
                </paratext>
              </para>
            </subclause1>
            <subclause1 condition="optional" id="a336071">
              <identifier>27.12</identifier>
              <para>
                <paratext>The Supplier may not refer to the Customer or this agreement in any publicity or advertising material without first obtaining the Customer's written consent.</paratext>
              </para>
              <drafting.note id="a591377" jurisdiction="">
                <head align="left" preservecase="true">
                  <headtext>No publicity (optional)</headtext>
                </head>
                <division id="a000104" level="1">
                  <para>
                    <paratext>The customer should make sure it can vet what the supplier says to third parties about the customer and its system.</paratext>
                  </para>
                </division>
              </drafting.note>
            </subclause1>
          </clause>
          <clause id="a430071">
            <identifier>28.</identifier>
            <head align="left" preservecase="true">
              <headtext>Data protection</headtext>
            </head>
            <drafting.note id="a355482" jurisdiction="">
              <head align="left" preservecase="true">
                <headtext>Data protection</headtext>
              </head>
              <division id="a000105" level="1">
                <para>
                  <paratext>
                    For more information on data protection, and the appropriate clauses to be inserted here, see 
                    <internal.reference refid="a332195">Drafting note, Data protection</internal.reference>
                    .
                  </paratext>
                </para>
              </division>
            </drafting.note>
            <subclause1 id="a877782">
              <identifier>28.1</identifier>
              <para>
                <paratext>[INSERT APPROPRIATE DATA PROTECTION CLAUSES, SEE DRAFTING NOTE].</paratext>
              </para>
            </subclause1>
          </clause>
          <clause condition="optional" id="a446471">
            <identifier>29.</identifier>
            <head align="left" preservecase="true">
              <headtext>Security of network and information systems</headtext>
            </head>
            <drafting.note id="a705409" jurisdiction="">
              <head align="left" preservecase="true">
                <headtext>Security of network and information systems (optional)</headtext>
              </head>
              <division id="a000106" level="1">
                <para>
                  <paratext>
                    This 
                    <internal.reference refid="a446471">clause 29</internal.reference>
                     is drafted to assist the customer with any obligations it may be subject to under the NIS Regulations (if applicable), see 
                    <internal.reference refid="a240691">Drafting note, Network and Information Systems Regulations 2018</internal.reference>
                    . However, even where the customer is not subject to the NIS Regulations, it may still want to include some or all of these provisions if cybersecurity is a material concern.
                  </paratext>
                </para>
                <para>
                  <paratext>
                    Where the expanded definition of 
                    <internal.reference refid="a801687">Cybersecurity Requirements</internal.reference>
                     is adopted, this 
                    <internal.reference refid="a446471">clause 29</internal.reference>
                     will also, expressly, cover compliance with data protection laws. There is a certain amount of cross-over between cybersecurity and data protection, but, as it is intended that data protection compliance will be dealt with predominantly in 
                    <internal.reference refid="a430071">clause 28</internal.reference>
                    , the parties may wish to exclude data protection issues from the scope of 
                    <internal.reference refid="a446471">clause 29</internal.reference>
                     and ensure the relevant issues are covered in 
                    <internal.reference refid="a430071">clause 28</internal.reference>
                     instead, see 
                    <internal.reference refid="a332195">Drafting note, Data protection</internal.reference>
                    .
                  </paratext>
                </para>
              </division>
            </drafting.note>
            <subclause1 id="a968088">
              <identifier>29.1</identifier>
              <para>
                <paratext>
                  The Supplier warrants that the information in 
                  <internal.reference refid="a649530">Schedule 7</internal.reference>
                   on the security of its network and information systems is up to date and accurate and that it will update the Customer immediately in the event of any changes to such information.
                </paratext>
              </para>
              <drafting.note id="a553385" jurisdiction="">
                <head align="left" preservecase="true">
                  <headtext>Supplier's network security</headtext>
                </head>
                <division id="a000107" level="1">
                  <para>
                    <paratext>
                      Where the NIS Regulations apply, this provision is intended to assist OESs and RDSPs in complying with their obligations to identify (in the case of RDSPs) and manage (in the case of both OESs and RDSPs) any risks to the network and information systems on which they rely (see 
                      <link href="w-014-4450" style="ACTLinkPLCtoPLC">
                        <ital>regulations 10</ital>
                      </link>
                       (OESs) and 
                      <link href="w-014-4457" style="ACTLinkPLCtoPLC">
                        <ital>12(1) and (2)</ital>
                      </link>
                       (RDSPs). It is important for this information to be included in the agreement so that the customer is able to judge at the outset whether the Supplier's security levels are sufficient for the customer to comply with its obligations under the NIS Regulations, which it will have to assess in the light of the NIS Regulations and its particular business.
                    </paratext>
                  </para>
                  <para>
                    <paratext>
                      The Supplier may in return ask the customer for a warranty that the information in 
                      <internal.reference refid="a649530">Schedule 7</internal.reference>
                       of this agreement is adequate to meet its obligations under the NIS Regulations. This would be a reasonable request.
                    </paratext>
                  </para>
                  <para>
                    <paratext>
                      Even if a customer is not subject to the NIS Regulations it may still be prudent to include the information in 
                      <internal.reference refid="a649530">Schedule 7</internal.reference>
                      .
                    </paratext>
                  </para>
                </division>
              </drafting.note>
            </subclause1>
            <subclause1 id="a723954">
              <identifier>29.2</identifier>
              <para>
                <paratext>The Supplier shall notify the Customer immediately if it becomes aware of any Incident and respond without delay to all queries and requests for information from the Customer about any Incident, whether discovered by the Supplier or the Customer, in particular bearing in mind the extent of any reporting obligations the Customer may have under Cybersecurity Requirements and that the Customer may be required to comply with statutory or other regulatory timescales.</paratext>
              </para>
              <drafting.note id="a511480" jurisdiction="">
                <head align="left" preservecase="true">
                  <headtext>Notifying a security incident to the regulator</headtext>
                </head>
                <division id="a000108" level="1">
                  <para>
                    <paratext>
                      This provision is intended to help the customer comply with any statutory duty it may have to report security incidents under cyber legislation such as the  NIS Regulations (and, where the expanded definition is used, expressly under data protection laws). The provisions for notification of a security incident under the NIS Regulations require reporting within 72 hours of the OES or RDSP becoming aware of the incident (
                      <link href="w-014-4455" style="ACTLinkPLCtoPLC">
                        <ital>regulations 11</ital>
                      </link>
                      <ital> and </ital>
                      <link href="w-014-4457" style="ACTLinkPLCtoPLC">
                        <ital>12</ital>
                      </link>
                      ). The NIS Regulations require certain information to be provided. The customer could specify in a schedule the types of information it would require under the NIS Regulations to assess the severity of the incident and that it would need in order to make any notification to the regulator. However, in this standard agreement we have opted to rely on the general obligations in 
                      <internal.reference refid="a723954">clause 29.2</internal.reference>
                       and 
                      <internal.reference refid="a793866">clause 29.4</internal.reference>
                      .
                    </paratext>
                  </para>
                  <para>
                    <paratext>We have used a broad definition of "Incident" here to capture issues such as software vulnerabilities and virus infiltrations as well as external security threats.</paratext>
                  </para>
                  <para>
                    <paratext>Even if a customer is not subject to the NIS Regulations or broader data protection obligations, it may still be prudent to include this clause, although whether it will be acceptable to the Supplier will likely depend on the risk in practice of the supplier's services being able to compromise the security of the customer's network and information system.</paratext>
                  </para>
                </division>
              </drafting.note>
            </subclause1>
            <subclause1 id="a945130">
              <identifier>29.3</identifier>
              <para>
                <paratext>
                  The Supplier will [use its best endeavours to] ensure the business continuity of the Work and the Services at all times in accordance with [
                  <internal.reference refid="a549908">Part 4</internal.reference>
                   of 
                  <internal.reference refid="a537942">Schedule 3</internal.reference>
                  ], the information on business continuity management set out in 
                  <internal.reference refid="a649530">Schedule 7</internal.reference>
                   and any relevant policies referred to in 
                  <internal.reference refid="a666781">clause 29.5(a)</internal.reference>
                  , with a view to ensuring the continuity of any services to be provided by the Customer via the System.
                </paratext>
              </para>
              <drafting.note id="a470713" jurisdiction="">
                <head align="left" preservecase="true">
                  <headtext>Business continuity</headtext>
                </head>
                <division id="a000109" level="1">
                  <para>
                    <paratext>
                      If the customer is classed as an OES or RDSP under the NIS Regulations it will be under an obligation to take measures with a view to ensuring business continuity (under 
                      <link href="w-014-4450" style="ACTLinkPLCtoPLC">
                        <ital>regulations 10(2)</ital>
                      </link>
                       and 
                      <link href="w-014-4457" style="ACTLinkPLCtoPLC">
                        <ital>12(1)</ital>
                      </link>
                       of the NIS Regulations respectively). Such measures must be appropriate and proportionate, and the Supplier may argue that inserting this clause in a contract of this type is not an appropriate and proportionate measure in the circumstances.
                    </paratext>
                  </para>
                  <para>
                    <paratext>Even if the customer is not subject to the NIS Regulations, it is still likely to be interested to place an obligation on the supplier to ensure continuity of its services (for example, development and support) to some degree, depending on how business critical the System is.</paratext>
                  </para>
                  <para>
                    <paratext>
                      The Supplier may only accept this clause where paid-for business continuity services are being provided under 
                      <internal.reference refid="a537942">Schedule 3</internal.reference>
                       (in which case the wording in square brackets should be included and the customer may wish to push for more robust obligations here).
                    </paratext>
                  </para>
                  <para>
                    <paratext>An alternative to including this clause may be to ask the Supplier to warrant that it has certain business continuity policies in place and to inspect and validate such policies as part of supplier due diligence, and before signing this agreement.</paratext>
                  </para>
                </division>
              </drafting.note>
            </subclause1>
            <subclause1 id="a793866">
              <identifier>29.4</identifier>
              <para>
                <paratext>The Supplier agrees to co-operate with the Customer in relation to:</paratext>
              </para>
              <subclause2 id="a170022">
                <identifier>(a)</identifier>
                <para>
                  <paratext>all aspects of its compliance with Cybersecurity Requirements (if applicable);</paratext>
                </para>
              </subclause2>
              <subclause2 id="a603815">
                <identifier>(b)</identifier>
                <para>
                  <paratext>any requests for information, or inspection, made by any regulator (including in connection with Cybersecurity Requirements);</paratext>
                </para>
              </subclause2>
              <subclause2 id="a966753">
                <identifier>(c)</identifier>
                <para>
                  <paratext>
                    any request for information made in respect of any of the information provided in 
                    <internal.reference refid="a649530">Schedule 7</internal.reference>
                     or any policies referred to in 
                    <internal.reference refid="a666781">clause 29.5(a)</internal.reference>
                    .
                  </paratext>
                </para>
              </subclause2>
              <subclause2 id="a310834">
                <identifier>(d)</identifier>
                <para>
                  <paratext>any Incident.</paratext>
                </para>
                <drafting.note id="a549327" jurisdiction="">
                  <head align="left" preservecase="true">
                    <headtext>Co-operation</headtext>
                  </head>
                  <division id="a000110" level="1">
                    <para>
                      <paratext>
                        If applicable, 
                        <link href="w-014-4522" style="ACTLinkPLCtoPLC">
                          <ital>regulation 16</ital>
                        </link>
                         of the NIS Regulations contains provisions enabling regulators to carry out inspections to check that OESs and RDSPs are complying with their security and notification requirements. The NIS Regulations do not specify that these inspections would be limited to the premises of the OES or RDSP. The customer may rely on the co-operation of the Supplier both in the event of an inspection and to comply with other aspects of the NIS Regulations or with guidance published by its regulator.
                      </paratext>
                    </para>
                    <para>
                      <paratext>These provisions are likely to be helpful to the customer, even if it is not subject to the NIS Regulations.</paratext>
                    </para>
                  </division>
                </drafting.note>
              </subclause2>
            </subclause1>
            <subclause1 id="a698401">
              <identifier>29.5</identifier>
              <para>
                <paratext>The Supplier shall (and warrants and represents that it shall) at all times in accordance with Good Industry Practice:</paratext>
              </para>
              <subclause2 id="a666781">
                <identifier>(a)</identifier>
                <para>
                  <paratext>
                    implement, operate, maintain, and adhere to, appropriate policies to cover the issues specified in 
                    <internal.reference refid="a649530">Schedule 7</internal.reference>
                    , including an incident management process which shall enable the Supplier, as a minimum, to discover and assess Incidents, and to prioritise those Incidents, sufficient to meet its reporting obligations under 
                    <internal.reference refid="a723954">clause 29.2</internal.reference>
                    .
                  </paratext>
                </para>
              </subclause2>
              <subclause2 id="a408409">
                <identifier>(b)</identifier>
                <para>
                  <paratext>Mitigate against all Incidents.</paratext>
                </para>
                <drafting.note id="a435526" jurisdiction="">
                  <head align="left" preservecase="true">
                    <headtext>Mitigating against Incidents</headtext>
                  </head>
                  <division id="a000111" level="1">
                    <para>
                      <paratext>
                        A common problem which can lead to cybersecurity issues (and which may place the customer in breach of any obligations it may have under data protection laws and the NIS Regulations) is where a supplier has developed insecure software (that is, software with a weakness in its computational logic (for example, code) that, when exploited, results in a vulnerability that can be exploited by hackers. It is therefore recommended that software security is expressly addressed as part of the business requirements document, acceptance testing, and technical specifications. 
                        <internal.reference refid="a698401">Clause 29.5</internal.reference>
                         places the supplier under a specific obligation to monitor and address security vulnerabilities as part of its software and hardware development, as well as taking reasonable steps to avoid viruses and defend against general security incidents as they happen.
                      </paratext>
                    </para>
                    <para>
                      <paratext>
                        A supplier may try to limit its obligations under 
                        <internal.reference refid="a408409">clause 29.5(b)</internal.reference>
                         to "known" incidents, which may be reasonable but will require careful consideration and drafting. In the case of vulnerabilities, it is recommended that this captures, at least, Known Vulnerabilities and Latent Vulnerabilities (see 
                        <internal.reference refid="a157966">Drafting note, Known and Latent Vulnerabilities</internal.reference>
                        ). It may be argued that the definition of Mitigation already provides the supplier with a level of comfort in this regard, as the supplier's obligations are limited to those reasonable steps to be taken in accordance with good industry practice, and so presumably would not cover what they could not be expected to know about.
                      </paratext>
                    </para>
                  </division>
                </drafting.note>
              </subclause2>
            </subclause1>
            <subclause1 id="a233971">
              <identifier>29.6</identifier>
              <para>
                <paratext>
                  The Supplier shall provide copies of the policies referred to in 
                  <internal.reference refid="a666781">clause 29.5(a)</internal.reference>
                   promptly on request by the Customer.
                </paratext>
              </para>
            </subclause1>
            <subclause1 id="a802293">
              <identifier>29.7</identifier>
              <para>
                <paratext>The Supplier shall indemnify the Customer against any loss or damage suffered by the Customer in relation to any breach by the Supplier of its obligations under this agreement, which cause the Customer to breach the Cybersecurity Requirements.</paratext>
              </para>
            </subclause1>
            <subclause1 id="a997124">
              <identifier>29.8</identifier>
              <para>
                <paratext>The Supplier shall:</paratext>
              </para>
              <subclause2 id="a586120">
                <identifier>(a)</identifier>
                <para>
                  <paratext>take reasonable precautions to preserve the integrity of any data which it processes and to prevent any corruption or loss of such data;</paratext>
                </para>
              </subclause2>
              <subclause2 id="a714700">
                <identifier>(b)</identifier>
                <para>
                  <paratext>make a backup copy of such data [PERIOD] and record the copy on media from which the data can be reloaded if there is any corruption or loss of the data; and</paratext>
                </para>
              </subclause2>
              <subclause2 id="a432846">
                <identifier>(c)</identifier>
                <para>
                  <paratext>in such event and if attributable to any default by the Supplier [or any of its Affiliates], promptly restore the data at its own expense or, at the Customer's option, promptly reimburse the Customer for any reasonable expenses it incurs in having the data restored by a third party.</paratext>
                </para>
                <drafting.note id="a910509" jurisdiction="">
                  <head align="left" preservecase="true">
                    <headtext>Restoration of lost or corrupted data</headtext>
                  </head>
                  <division id="a000112" level="1">
                    <para>
                      <paratext>
                        <internal.reference refid="a997124">Clause 29.8</internal.reference>
                         sets out the supplier's obligations regarding restoration of any lost or corrupted data, both personal data and other data.
                      </paratext>
                    </para>
                  </division>
                </drafting.note>
              </subclause2>
            </subclause1>
          </clause>
          <clause id="a775720">
            <identifier>30.</identifier>
            <head align="left" preservecase="true">
              <headtext>Anti-bribery</headtext>
            </head>
            <drafting.note id="a186203" jurisdiction="">
              <head align="left" preservecase="true">
                <headtext>Anti-bribery</headtext>
              </head>
              <division id="a000113" level="1">
                <para>
                  <paratext>
                    See 
                    <link href="5-504-3582" style="ACTLinkPLCtoPLC">
                      <ital>Standard document, Anti-bribery clause (long form)</ital>
                    </link>
                     and its accompanying drafting notes.
                  </paratext>
                </para>
              </division>
            </drafting.note>
            <subclause1 id="a602219">
              <identifier>30.1</identifier>
              <para>
                <paratext>The Supplier shall:</paratext>
              </para>
              <subclause2 id="a116406">
                <identifier>(a)</identifier>
                <para>
                  <paratext>
                    comply with all applicable laws, regulations, [codes] and sanctions relating to anti-bribery and anti-corruption including but not limited to the Bribery Act 2010 (
                    <defn.term>Relevant Requirements</defn.term>
                    );
                  </paratext>
                </para>
              </subclause2>
              <subclause2 condition="optional" id="a824602">
                <identifier>(b)</identifier>
                <para>
                  <paratext>not engage in any activity, practice or conduct which would constitute an offence under sections 1, 2 or 6 of the Bribery Act 2010 if such activity, practice or conduct had been carried out in the UK;</paratext>
                </para>
              </subclause2>
              <subclause2 id="a487155">
                <identifier>(c)</identifier>
                <para>
                  <paratext>
                    comply with the Customer's Ethics, Anti-bribery and Anti-corruption Policies (annexed to this agreement at Schedule [INSERT]) and [RELEVANT INDUSTRY CODE ON ANTI-BRIBERY]] [annexed to this agreement at Schedule [INSERT]], in each case as the Customer or the relevant industry body may update them from time to time (
                    <defn.term>Relevant Policies</defn.term>
                    ).
                  </paratext>
                </para>
              </subclause2>
              <subclause2 id="a499758">
                <identifier>(d)</identifier>
                <para>
                  <paratext>
                    have and shall maintain in place throughout the term of this agreement its own policies and procedures, including but not limited to adequate procedures under the Bribery Act 2010, to ensure compliance with the Relevant Requirements[, the Relevant Policies] [and 
                    <internal.reference refid="a824602">clause 30.1(b)</internal.reference>
                    ], and will enforce them where appropriate;
                  </paratext>
                </para>
              </subclause2>
              <subclause2 id="a268444">
                <identifier>(e)</identifier>
                <para>
                  <paratext>promptly report to the Customer any request or demand for any undue financial or other advantage of any kind received by the Supplier in connection with the performance of this agreement;</paratext>
                </para>
              </subclause2>
              <subclause2 id="a703868">
                <identifier>(f)</identifier>
                <para>
                  <paratext>
                    immediately notify the Customer (in writing) if a foreign public official [becomes an officer or employee of the Supplier 
                    <bold>AND/OR</bold>
                     acquires a direct or indirect interest in the Supplier] (and the Supplier warrants that it has no foreign public officials as [officers or employees 
                    <bold>AND/OR</bold>
                     direct or indirect owners] at the date of this agreement);
                  </paratext>
                </para>
              </subclause2>
              <subclause2 id="a812585">
                <identifier>(g)</identifier>
                <para>
                  <paratext>
                    without prejudice to 
                    <internal.reference refid="a748271">clause 15.11</internal.reference>
                    , 
                    <internal.reference refid="a846164">clause 15.12</internal.reference>
                     and 
                    <internal.reference refid="a982766">clause 15.13</internal.reference>
                    , within [NUMBER] months of the date of this agreement, and annually thereafter, certify to the Customer in writing signed by an officer of the Supplier, compliance with this 
                    <internal.reference refid="a775720">clause 30</internal.reference>
                     by the Supplier and all persons associated with it and all other persons for whom the Supplier is responsible under 
                    <internal.reference refid="a499758">clause 30.1(d)</internal.reference>
                    . The Supplier shall provide such supporting evidence of compliance as the Customer may reasonably request.
                  </paratext>
                </para>
              </subclause2>
            </subclause1>
            <subclause1 id="a911650">
              <identifier>30.2</identifier>
              <para>
                <paratext>
                  Without prejudice to 
                  <internal.reference refid="a489363">clause 36.2</internal.reference>
                  , the Supplier shall ensure that any person associated with the Supplier who is performing services [or providing goods] in connection with this agreement does so only on the basis of a written contract which imposes on and secures from such person terms equivalent to those imposed on the Supplier in this 
                  <internal.reference refid="a775720">clause 30</internal.reference>
                   (
                  <defn.term>Relevant Terms</defn.term>
                  ). The Supplier shall in all circumstances be responsible for the observance and performance by such persons of the Relevant Terms, and shall in all circumstances be directly liable to the Customer for any breach by such persons of any of the Relevant Terms howsoever arising.
                </paratext>
              </para>
            </subclause1>
            <subclause1 id="a168733">
              <identifier>30.3</identifier>
              <para>
                <paratext>
                  Breach of this 
                  <internal.reference refid="a775720">clause 30</internal.reference>
                   shall be deemed a material breach, which is irredeemable, under 
                  <internal.reference refid="a931085">clause 38.1(a)</internal.reference>
                  .
                </paratext>
              </para>
            </subclause1>
            <subclause1 id="a560732">
              <identifier>30.4</identifier>
              <para>
                <paratext>
                  For the purpose of this 
                  <internal.reference refid="a775720">clause 30</internal.reference>
                  , the meaning of adequate procedures and foreign public official and whether a person is associated with another person shall be determined in accordance with section 7(2) of the Bribery Act 2010 (and any guidance issued under section 9 of that Act), sections 6(5) and 6(6) of that Act and section 8 of that Act respectively. For the purposes of this 
                  <internal.reference refid="a775720">clause 30</internal.reference>
                   a person associated with the Supplier includes but is not limited to any subcontractor of the Supplier.
                </paratext>
              </para>
            </subclause1>
          </clause>
          <clause id="a205673">
            <identifier>31.</identifier>
            <head align="left" preservecase="true">
              <headtext>Export</headtext>
            </head>
            <drafting.note id="a202963" jurisdiction="">
              <head align="left" preservecase="true">
                <headtext>Export</headtext>
              </head>
              <division id="a000114" level="1">
                <para>
                  <paratext>
                    Technology export control laws are becoming increasingly pervasive and stringent around the world. In the UK, for example, there is the 
                    <link href="5-510-1893" style="ACTLinkPLCtoPLC">
                      <ital>Export Control Act 2002</ital>
                    </link>
                     (and various orders made under it) and similar laws in the US include the Export Administration Regulations and the International Traffic in Arms Regulations. Under US law a restricted asset may be deemed to be exported in a variety of circumstances, such as where services are performed by a non-US national outside of the US and this involves remote access to restricted assets in the US. For example, a software engineer in South East Asia might access a computer in the US for the purpose of performing maintenance on a restricted piece of software.
                  </paratext>
                </para>
                <para>
                  <paratext>Consider including a mutual indemnity, if there is a particular concern in this area.</paratext>
                </para>
              </division>
            </drafting.note>
            <subclause1 id="a927236">
              <identifier>31.1</identifier>
              <para>
                <paratext>
                  Neither party shall export, directly or indirectly, any technical data acquired from the other party under this agreement (or any products, including software, incorporating any such data) in breach of any applicable laws or regulations (
                  <defn.term>Export Control Laws</defn.term>
                  ), including United States export laws and regulations, to any country for which the government or any agency thereof at the time of export requires an export licence or other governmental approval without first obtaining such licence or approval.
                </paratext>
              </para>
            </subclause1>
            <subclause1 id="a464112">
              <identifier>31.2</identifier>
              <para>
                <paratext>Each party undertakes:</paratext>
              </para>
              <subclause2 id="a457719">
                <identifier>(a)</identifier>
                <para>
                  <paratext>contractually to oblige any third party to whom it discloses or transfers any such data or products to make an undertaking to it in similar terms to the one set out above; and</paratext>
                </para>
              </subclause2>
              <subclause2 id="a176709">
                <identifier>(b)</identifier>
                <para>
                  <paratext>if requested, to provide the other party with any reasonable assistance, at the reasonable cost of the other party, to enable it to perform any activity required by any competent government or agency in any relevant jurisdiction for the purpose of compliance with any Export Control Laws.</paratext>
                </para>
              </subclause2>
            </subclause1>
          </clause>
          <clause id="a576824">
            <identifier>32.</identifier>
            <head align="left" preservecase="true">
              <headtext>Warranties</headtext>
            </head>
            <drafting.note id="a327596" jurisdiction="">
              <head align="left" preservecase="true">
                <headtext>Warranties</headtext>
              </head>
              <division id="a000115" level="1">
                <para>
                  <paratext>
                    These provisions must be read in conjunction with the general limitation of liability (see 
                    <internal.reference refid="a768200">Drafting note, Limitation of liability</internal.reference>
                    ).
                  </paratext>
                </para>
                <para>
                  <paratext>
                    The warranty under 
                    <internal.reference refid="a620940">clause 32.2(a)</internal.reference>
                     is a form of the warranty of title, which is normally implied by statute and is not usually possible to exclude. It is common for the remedy for breach of this warranty to be limited in the way set out in 
                    <internal.reference refid="a858431">clause 32.3</internal.reference>
                    .
                  </paratext>
                </para>
                <para>
                  <paratext>
                    Suppliers may try to avoid giving any warranties as to performance, such as those in 
                    <internal.reference refid="a518079">clause 32.2(d)</internal.reference>
                    , but the customer should insist on express warranties of this type. If a supplier excludes all liability for performance, this may be held by a court to be unreasonable and therefore unenforceable, but the customer would be unwise to rely on this happening.
                  </paratext>
                </para>
                <para>
                  <paratext>
                    The supplier may try to exclude all liability if the customer makes unauthorised modifications of the system, but the customer should insist on the more limited (and reasonable) exclusions set out in 
                    <internal.reference refid="a176501">clause 32.4</internal.reference>
                     to 
                    <internal.reference refid="a594610">clause 32.6</internal.reference>
                    <ital>.</ital>
                  </paratext>
                </para>
                <para>
                  <paratext>
                    <internal.reference refid="a176501">Clause 32.4</internal.reference>
                     to 
                    <internal.reference refid="a594610">clause 32.6</internal.reference>
                     provide the usual exemptions for the supplier regarding unauthorised use or modifications made by the customer. However, the customer is protected under 
                    <internal.reference refid="a176501">clause 32.4</internal.reference>
                     if it attempts to fix a problem after the supplier fails to do so in a timely fashion.
                  </paratext>
                </para>
                <para>
                  <paratext>
                    The supplier may insist that any third-party software or modified software (third party) is carved out of the warranties set out in 
                    <internal.reference refid="a275723">clause 32.2</internal.reference>
                     and that the customer rely on any warranties given by the relevant third party in the licence agreement between the third party and the customer. If acceptable, the customer should nevertheless require that any warranties that have been given by the third party to the supplier be passed on by the supplier to the customer. If the customer is in a strong bargaining position, it should adopt the stance set out in 
                    <internal.reference refid="a952292">clause 32.9</internal.reference>
                    . Under this clause any third-party software, whether standard or modified by the supplier, is deemed to be within the scope of the warranties set out in 
                    <internal.reference refid="a275723">clause 32.2</internal.reference>
                     on the basis that the customer has relied on the supplier's recommendations in procuring such software.
                  </paratext>
                </para>
                <para>
                  <paratext>
                    Under 
                    <internal.reference refid="a794594">clause 32.2(e)</internal.reference>
                     the supplier warrants that no restrictive open-source software has been used in the development of the system. This warranty is designed to flush out details of any parts of the system which may contain, or have been developed using, software licensed under the more problematic types of restrictive open source licences, which include a copy-left element. The customer may then make an informed decision about whether it is prepared to accept the obligations owed to third parties that are imposed as a result.
                  </paratext>
                </para>
                <para>
                  <paratext>
                    Insert the appropriate number of years where indicated in 
                    <internal.reference refid="a255315">clause 32.2(k)</internal.reference>
                     and 
                    <internal.reference refid="a108424">clause 32.2(l)</internal.reference>
                    .
                  </paratext>
                </para>
                <para>
                  <paratext>
                    The optional indemnity in 
                    <internal.reference refid="a620769">clause 32.8</internal.reference>
                    <ital> </ital>
                    should be included where there are specific obligations in this agreement where a breach would be so significant to the customer, that it requires any recovery to be made on an indemnity basis. If this indemnity is included, the customer should specify what those obligations are by reference to their clause numbers. The indemnities in 
                    <internal.reference refid="a620769">clause 32.8</internal.reference>
                     (should the customer choose to include it) and 
                    <internal.reference refid="a952292">clause 32.9</internal.reference>
                     are not currently subject to the cap set out in 
                    <internal.reference refid="a691371">clause 34.4</internal.reference>
                    . Review your particular agreement to assess whether it is appropriate to exclude these indemnities from the limits in 
                    <internal.reference refid="a691371">clause 34.4</internal.reference>
                    <ital> </ital>
                    and make any necessary amendments. In particular, if the customer includes too many obligations under the indemnity in 
                    <internal.reference refid="a620769">clause 32.8</internal.reference>
                     the supplier may resist this indemnity falling outside the cap in 
                    <internal.reference refid="a693843">clause 34.3(a)</internal.reference>
                    .
                  </paratext>
                </para>
                <para>
                  <paratext>
                    The warranties related to delivery of deliverables refer to compliance with the Cybersecurity Requirements. Consider whether this is relevant to your transaction. See 
                    <internal.reference refid="a240691">Drafting note, Network and Information Systems Regulations 2018</internal.reference>
                     and 
                    <internal.reference refid="a332195">Drafting note, Data protection</internal.reference>
                    .
                  </paratext>
                </para>
              </division>
            </drafting.note>
            <subclause1 id="a682833">
              <identifier>32.1</identifier>
              <para>
                <paratext>The Supplier acknowledges that the Customer has entered into this agreement in reliance upon the Supplier's expertise in selecting and supplying goods and services fit to meet the Business Requirements Specification.</paratext>
              </para>
            </subclause1>
            <subclause1 id="a275723">
              <identifier>32.2</identifier>
              <para>
                <paratext>The Supplier warrants and represents that:</paratext>
              </para>
              <subclause2 id="a620940">
                <identifier>(a)</identifier>
                <para>
                  <paratext>
                    the Supplier Standard Software and Documentation (and before the vesting and assignment of the same to the Customer under 
                    <internal.reference refid="a494813">clause 17.2</internal.reference>
                    ), [the Modified Software (Supplier),] Tools and Bespoke Software are proprietary to the Supplier (except where otherwise stated in 
                    <internal.reference refid="a809076">Schedule 1</internal.reference>
                    ) and that it has the right to license all Intellectual Property Rights in and to the Licensed Software and Documentation to the Customer;
                  </paratext>
                </para>
              </subclause2>
              <subclause2 id="a468797">
                <identifier>(b)</identifier>
                <para>
                  <paratext>no element of the System supplied by the Supplier, or receipt of any Services, under this agreement infringes the Intellectual Property Rights of any third party;</paratext>
                </para>
              </subclause2>
              <subclause2 id="a425295">
                <identifier>(c)</identifier>
                <para>
                  <paratext>the System will meet all the requirements of the Business Requirements Specification [and comply with the Cybersecurity Requirements];</paratext>
                </para>
                <drafting.note id="a975041" jurisdiction="">
                  <head align="left" preservecase="true">
                    <headtext>Compliance with Cybersecurity Requirements</headtext>
                  </head>
                  <division id="a000116" level="1">
                    <para>
                      <paratext>
                        The 
                        <link href="w-014-4419" style="ACTLinkPLCtoPLC">
                          <ital>NIS Regulations</ital>
                        </link>
                        <ital>, </ital>
                        <link href="w-026-8528" style="ACTLinkPLCtoPLC">
                          <ital>UK GDPR</ital>
                        </link>
                        <ital> </ital>
                        and 
                        <link href="w-026-8527" style="ACTLinkPLCtoPLC">EU GDPR</link>
                         (where these are applicable to the parties) do not impose prescriptive security standards, but (broadly speaking) require in-scope organisations to:
                      </paratext>
                    </para>
                    <list type="bulleted">
                      <list.item>
                        <para>
                          <paratext>Implement appropriate and proportionate technical and organisational measures to manage risks posed to the security of the network and information systems on which their service relies (in the case of the NIS Regulations).</paratext>
                        </para>
                      </list.item>
                      <list.item>
                        <para>
                          <paratext>Protect against unauthorised or unlawful processing of personal data and against accidental loss or destruction of, or damage to, personal data (in the case of the UK GDPR and EU GDPR).</paratext>
                        </para>
                      </list.item>
                    </list>
                    <para>
                      <paratext>Such measures must have regard to the state of the art, and (in the case of the UK GDPR and EU GDPR) organisations are entitled to consider the costs of implementation in deciding what measures are appropriate in the circumstances. In the case of the NIS Regulations, OESs must have regard to any relevant guidance issued by their relevant competent authority and RDSPs must take into account compliance with international standards.</paratext>
                    </para>
                    <para>
                      <paratext>Accordingly, "appropriate and proportionate" measures are likely to change over time, based on new published guidance, developments in technology and the available state of the art (particularly for major projects, extended over a year or more).</paratext>
                    </para>
                    <para>
                      <paratext>
                        <internal.reference refid="a425295">Clause 32.2(c)</internal.reference>
                        , along with other clauses in this agreement, place obligations on the supplier to comply with Cybersecurity Requirements (and, where the expanded definition is used, this expressly includes data protection laws). Such clauses may be resisted by the supplier on the following basis:
                      </paratext>
                    </para>
                    <list type="bulleted">
                      <list.item>
                        <para>
                          <paratext>Such requirements are too broad and uncertain, may be applicable only to the customer (rather than the supplier) and may change depending on type of end-user who is using the System.</paratext>
                        </para>
                      </list.item>
                      <list.item>
                        <para>
                          <paratext>It is up to the customer (who understands its own business and operation risks) to decide what its security requirements are based on its own regulatory environment and to reflect those as part of it business requirements, and (in consultation with the supplier) the resulting technical specifications.</paratext>
                        </para>
                      </list.item>
                      <list.item>
                        <para>
                          <paratext>Such requirements may change during the course of the engagement (and the compliance obligation is not currently limited with respect to time).</paratext>
                        </para>
                      </list.item>
                    </list>
                    <para>
                      <paratext>In some cases, the warranty may only be acceptable if the definition of "Cybersecurity Requirements" is narrowed (for example, to exclude any non-mandatory guidance).</paratext>
                    </para>
                    <para>
                      <paratext>In the event this clause is resisted, the following alternative approaches could be considered:</paratext>
                    </para>
                    <list type="bulleted">
                      <list.item>
                        <para>
                          <paratext>Ensure adequate cybersecurity requirements, and privacy by design and default, are considered upfront and included as part of the business requirements and resulting technical specification.</paratext>
                        </para>
                      </list.item>
                      <list.item>
                        <para>
                          <paratext>
                            Narrow down the contractual compliance obligations by reference to the particular requirements that are set out in the relevant legislation (see, for example, 
                            <link href="w-014-4450" style="ACTLinkPLCtoPLC">
                              <ital>regulations 10</ital>
                            </link>
                            <ital> and</ital>
                            <link href="w-014-4457" style="ACTLinkPLCtoPLC">
                              <ital>12</ital>
                            </link>
                            <ital>, NIS Regulations</ital>
                            ) and relevant regulatory guidance, as assessed at a particular point in time.
                          </paratext>
                        </para>
                      </list.item>
                      <list.item>
                        <para>
                          <paratext>
                            Assess whether the supplier is certified against the Cyber Essentials Scheme (see 
                            <link href="https://www.gov.uk/government/publications/cyber-essentials-scheme-overview" style="ACTLinkURL">
                              <ital>Cyber Essentials Scheme Overview</ital>
                            </link>
                            <ital>)</ital>
                            , or other equivalent standard, and confirm this by way of a warranty (including that all Work and Services delivered will align with such standard). The cyber essentials scheme is not aligned to (and, accordingly, cannot be said to meet) any standard required under the NIS Regulations or UK or EU GDPR (should this be applicable), but it does at least provide some comfort that the supplier has met a minimum standard of cybersecurity.
                          </paratext>
                        </para>
                      </list.item>
                      <list.item>
                        <para>
                          <paratext>
                            Deal with changes to regulatory requirements via the change control process (see 
                            <internal.reference refid="a453847">clause 16.3</internal.reference>
                            ) and maintenance releases (see 
                            <internal.reference refid="a567474">clause 22.2</internal.reference>
                            ).
                          </paratext>
                        </para>
                      </list.item>
                      <list.item>
                        <para>
                          <paratext>
                            Even if the parties consider that the cybersecurity standards set out in the NIS Regulations, UK GDPR or EU GDPR are not relevant to this particular supplier-customer arrangement (see 
                            <internal.reference refid="a452645">Drafting note, Bribery Act 2010</internal.reference>
                             and 
                            <internal.reference refid="a240691">Drafting note, Network and Information Systems Regulations 2018</internal.reference>
                            ), it is still recommended that some cybersecurity obligations are included in this agreement in order to safeguard against security vulnerabilities being present in the system.
                          </paratext>
                        </para>
                      </list.item>
                      <list.item>
                        <para>
                          <paratext>
                            For more information on this topic, see 
                            <link anchor="a776531" href="w-027-2423" style="ACTLinkPLCtoPLC">
                              <ital>Practice note, Data protection issues in IT contracts: Privacy by design and default</ital>
                            </link>
                             and 
                            <link anchor="a734537" href="w-027-2423" style="ACTLinkPLCtoPLC">
                              <ital>Data security</ital>
                            </link>
                            .
                          </paratext>
                        </para>
                      </list.item>
                    </list>
                  </division>
                </drafting.note>
              </subclause2>
              <subclause2 id="a518079">
                <identifier>(d)</identifier>
                <para>
                  <paratext>the System at the Acceptance Date, and for [24] months after that date, will perform in accordance with the Technical Specification;</paratext>
                </para>
              </subclause2>
              <subclause2 id="a794594">
                <identifier>(e)</identifier>
                <para>
                  <paratext>
                    there has not been included or used any software licensed from time to time under the General Public Licence or any similar licence containing a "copyleft" requirement (
                    <bold>Restrictive Open Source Code</bold>
                    ) in, or in the development of, the Supplier Software nor does any Supplier Software operate in such a way that it is compiled with or linked to any Restrictive Open Source Code. Without prejudice to the foregoing, no Open-Source Software has been included or used in, or in the development of, any element of the Software in contravention of its applicable licence terms and no third party is asserting, or has in the last [three] years asserted, any such contravention;
                  </paratext>
                </para>
                <drafting.note id="a851334" jurisdiction="">
                  <head align="left" preservecase="true">
                    <headtext>Restrictive open-source code</headtext>
                  </head>
                  <division id="a000117" level="1">
                    <para>
                      <paratext>
                        Open-source software is increasingly used in the development of software. However, the use of certain open source code (for example, open source code licensed under the General Public Licence or under similarly restrictive copyleft terms) carries with it potentially far-reaching obligations to third parties which can significantly devalue the intellectual property rights in the affected software or system, see 
                        <link anchor="a705078" href="6-376-6421" style="ACTLinkPLCtoPLC">
                          <ital>Practice note, Open-source software: The OSS licences</ital>
                        </link>
                        . It is common for customers to ask for warranties that the software does not contain any software licenced under these restrictive terms.
                      </paratext>
                    </para>
                    <para>
                      <paratext>
                        The supplier will need to ensure it is happy to give this warranty, which it may only be willing to do if it has taken a decision not to develop its software using restrictive open source code, and has adopted good internal governance to ensure this is the case. See 
                        <link href="https://uk.practicallaw.thomsonreuters.com/5-504-1050?originationContext=document&amp;amp;transitionType=DocumentItem&amp;amp;contextData=(sc.Default)" style="ACTLinkURL">
                          <ital>Open-source software toolkit</ital>
                        </link>
                         and 
                        <link href="https://uk.practicallaw.thomsonreuters.com/3-501-0318?originationContext=document&amp;amp;transitionType=DocumentItem&amp;amp;contextData=(sc.Default)&amp;amp;comp=pluk" style="ACTLinkURL">
                          <ital>Practice note, Open-source software governance</ital>
                        </link>
                        .
                      </paratext>
                    </para>
                  </division>
                </drafting.note>
              </subclause2>
              <subclause2 id="a458093">
                <identifier>(f)</identifier>
                <para>
                  <paratext>it shall not introduce any Viruses or Restrictive Open-Source Software or [Known Vulnerabilities or Latent] Vulnerabilities into the System, or onto the Customer's network and information systems while performing the Services;</paratext>
                </para>
              </subclause2>
              <subclause2 id="a926946">
                <identifier>(g)</identifier>
                <para>
                  <paratext>it will perform the Services in a timely, reliable and professional manner, in conformity with Good Industry Practice by a sufficient number of competent personnel (including Support Staff) with appropriate skills, qualifications and experience, and has and will at all times have the ability and capacity to meet such requirements;</paratext>
                </para>
              </subclause2>
              <subclause2 id="a950188">
                <identifier>(h)</identifier>
                <para>
                  <paratext>it is in compliance with, and will perform the Services in compliance with, all applicable law and regulations, [including the Cybersecurity Requirements];</paratext>
                </para>
              </subclause2>
              <subclause2 id="a791063">
                <identifier>(i)</identifier>
                <para>
                  <paratext>the Customer will receive good and valid title to all deliverables in connection with the Services, free and clear of all encumbrances and liens of any kind;</paratext>
                </para>
              </subclause2>
              <subclause2 id="a974648">
                <identifier>(j)</identifier>
                <para>
                  <paratext>in respect of New Releases [and New Versions]:</paratext>
                </para>
                <subclause3 id="a525153">
                  <identifier>(i)</identifier>
                  <para>
                    <paratext>no New Releases [or New Versions] issued by the Supplier will adversely and materially affect the performance or functionality of the Supplier Software or introduce Viruses or [Known Vulnerabilities or Latent] Vulnerabilities into the System or the Customer's network and information systems;</paratext>
                  </para>
                </subclause3>
                <subclause3 id="a251071">
                  <identifier>(ii)</identifier>
                  <para>
                    <paratext>each New Release [and New Version] so issued will be compatible with the Hardware, the Third-Party Software and any other hardware, software and equipment used by the Customer [or any of its Affiliates] which needs to interface in any way with such New Release or New Version; and</paratext>
                  </para>
                </subclause3>
                <subclause3 id="a464551">
                  <identifier>(iii)</identifier>
                  <para>
                    <paratext>the implementation of each New Release [and New Version] will not necessitate the upgrading or replacement of any of the Hardware, the Third-Party Software or such other hardware, software and equipment which at the date of issue of the New Release [or New Version] is interfacing with the earlier release [or version].</paratext>
                  </para>
                </subclause3>
              </subclause2>
              <subclause2 id="a255315">
                <identifier>(k)</identifier>
                <para>
                  <paratext>the Third-Party Software, if installed by reasonably competent engineers, will:</paratext>
                </para>
                <subclause3 id="a245645">
                  <identifier>(i)</identifier>
                  <para>
                    <paratext>not introduce Viruses or [Known Vulnerabilities or Latent] Vulnerabilities into the System or the Customer's network and information systems;</paratext>
                  </para>
                </subclause3>
                <subclause3 id="a477628">
                  <identifier>(ii)</identifier>
                  <para>
                    <paratext>be suitable for the Customer's requirements notified to the Supplier by the Customer in writing before the installation;</paratext>
                  </para>
                </subclause3>
                <subclause3 id="a165323">
                  <identifier>(iii)</identifier>
                  <para>
                    <paratext>be compatible with the Supplier Software, including such as to enable the Supplier Software to perform in accordance with the Documentation [and the Cybersecurity Requirements]; and</paratext>
                  </para>
                </subclause3>
                <subclause3 id="a298829">
                  <identifier>(iv)</identifier>
                  <para>
                    <paratext>continue to be capable of being used with the Supplier Software for [NUMBER] years from the installation of each new version of Third-Party Software; and</paratext>
                  </para>
                </subclause3>
              </subclause2>
              <subclause2 id="a108424">
                <identifier>(l)</identifier>
                <para>
                  <paratext>the Hardware recommended or supplied by the Supplier on or after the date of this agreement, if installed by reasonably competent engineers and if comprising products of satisfactory quality, will:</paratext>
                </para>
                <subclause3 id="a119391">
                  <identifier>(i)</identifier>
                  <para>
                    <paratext>not introduce Viruses or [Known Vulnerabilities or Latent] Vulnerabilities into the System or the Customer's network and information systems;</paratext>
                  </para>
                </subclause3>
                <subclause3 id="a375269">
                  <identifier>(ii)</identifier>
                  <para>
                    <paratext>comply with the Business Requirements Specification [and the Cybersecurity Requirements];</paratext>
                  </para>
                </subclause3>
                <subclause3 id="a717989">
                  <identifier>(iii)</identifier>
                  <para>
                    <paratext>be compatible with the Supplier Software and will be such as to enable the Supplier Software to perform in accordance with the Documentation [and the Cybersecurity Requirements]; and</paratext>
                  </para>
                </subclause3>
                <subclause3 id="a238492">
                  <identifier>(iv)</identifier>
                  <para>
                    <paratext>continue to be capable of being used with the Supplier Software for [NUMBER] years from the installation of the Hardware, assuming usage and transaction levels remain constant with those at the date on which the Hardware is installed.</paratext>
                  </para>
                </subclause3>
              </subclause2>
              <subclause2 id="a838153">
                <identifier>(m)</identifier>
                <para>
                  <paratext>the System will not contain any Viruses or [Known Vulnerabilities or Latent] Vulnerabilities.</paratext>
                </para>
              </subclause2>
            </subclause1>
            <subclause1 id="a858431">
              <identifier>32.3</identifier>
              <para>
                <paratext>
                  [The sole remedies for breach of the warranties in 
                  <internal.reference refid="a620940">clause 32.2(a)</internal.reference>
                   and 
                  <internal.reference refid="a468797">clause 32.2(b)</internal.reference>
                   howsoever arising are set out in 
                  <internal.reference refid="a192886">clause 33</internal.reference>
                  .]
                </paratext>
              </para>
            </subclause1>
            <subclause1 id="a176501">
              <identifier>32.4</identifier>
              <para>
                <paratext>
                  The Supplier shall not be obliged to rectify any particular Defect if attempts to rectify such Defect other than normal recovery or diagnostic procedures have been made by the Customer's personnel or third parties without the permission of the Supplier, unless the Supplier has failed to respond within any relevant time period provided for in 
                  <internal.reference refid="a464378">clause 22.6</internal.reference>
                  .
                </paratext>
              </para>
            </subclause1>
            <subclause1 id="a663341">
              <identifier>32.5</identifier>
              <para>
                <paratext>
                  The Supplier shall not in any circumstances be liable under the warranties in 
                  <internal.reference refid="a425295">clause 32.2(c)</internal.reference>
                   and 
                  <internal.reference refid="a518079">clause 32.2(d)</internal.reference>
                   if it can demonstrate that any failure of the System to comply with such warranties was wholly caused by unauthorised modifications made to the System by, or on behalf of, the Customer.
                </paratext>
              </para>
            </subclause1>
            <subclause1 id="a594610">
              <identifier>32.6</identifier>
              <para>
                <paratext>The Supplier's obligations under this agreement shall not cover any part of the Supported Software which has been materially modified by anyone other than the Supplier, except with the Supplier's express prior written permission.</paratext>
              </para>
            </subclause1>
            <subclause1 condition="optional" id="a159607">
              <identifier>32.7</identifier>
              <para>
                <paratext>The Customer acknowledges that the only warranties in relation to the Third-Party Software and the Modified Software (Third Party), or the supply thereof, are those contained in the licence from the third party supplier(s) of the same, and that to the extent that any of such warranties are given to the Supplier, it will pass on the benefit of such warranties to the Customer [and its Affiliates].</paratext>
              </para>
            </subclause1>
            <subclause1 condition="optional" id="a620769">
              <identifier>32.8</identifier>
              <para>
                <paratext>The Supplier shall indemnify the Customer against any losses, damages, costs (including legal fees) and expenses incurred by, or awarded against, the Customer as a result of the Supplier's breach of [INSERT CLAUSE REFERENCES] of this agreement howsoever arising or any negligent or wrongful act of the Supplier, its officers, employees, contractors or agents.</paratext>
              </para>
            </subclause1>
            <subclause1 id="a952292">
              <identifier>32.9</identifier>
              <para>
                <paratext>
                  The Customer has relied on the Supplier's recommendations in deciding to acquire the Third-Party Software and the Modified Software (Third Party) and, accordingly, if the Supplier Software does not function in accordance with the Business Requirements Specification as a result of acquisition of the same and requires replacement, the Supplier shall be deemed to be in breach of the warranties under 
                  <internal.reference refid="a275723">clause 32.2</internal.reference>
                   and shall indemnify the Customer [and its Affiliates] against the cost of acquiring any appropriate replacement product and any related services required.
                </paratext>
              </para>
            </subclause1>
            <subclause1 id="a274418">
              <identifier>32.10</identifier>
              <para>
                <paratext>Each party warrants that it has full capacity and authority, and all necessary licences, permits and consents to enter into and perform this agreement and that those signing this agreement are duly authorised to bind the party for whom they sign.</paratext>
              </para>
            </subclause1>
            <subclause1 id="a415450">
              <identifier>32.11</identifier>
              <para>
                <paratext>In performing its obligations under this agreement, the Supplier shall comply with:</paratext>
              </para>
              <drafting.note id="a358817" jurisdiction="">
                <head align="left" preservecase="true">
                  <headtext>Compliance with laws and policies</headtext>
                </head>
                <division id="a000118" level="1">
                  <para>
                    <paratext>
                      While both parties will have to comply with the relevant laws in any event, this clause obliges the supplier to comply with the customer's business policies as well. The significance of this clause is that it triggers a specific right for the customer to terminate the agreement immediately if the supplier is in breach of its compliance obligation, see 
                      <internal.reference refid="a671109">clause 38.5(c)</internal.reference>
                      .
                    </paratext>
                  </para>
                </division>
              </drafting.note>
              <subclause2 id="a764248">
                <identifier>(a)</identifier>
                <para>
                  <paratext>all applicable laws, statutes, regulations [and codes] from time to time in force, [including the Cybersecurity Requirements]] and the Supplier will inform the Customer as soon as it becomes aware of any changes to the same; and</paratext>
                </para>
                <drafting.note id="a317942" jurisdiction="">
                  <head align="left" preservecase="true">
                    <headtext>Applicable Laws</headtext>
                  </head>
                  <division id="a000119" level="1">
                    <para>
                      <paratext>
                        This clause relates to all legislation in force from time to time, and not just to legislation that is in force when the agreement is signed (see also 
                        <internal.reference refid="a766572">clause 1.7</internal.reference>
                        ). For a discussion of whether the optional wording should be included, see 
                        <internal.reference refid="a975041">Drafting note, Compliance with Cybersecurity Requirements</internal.reference>
                        .
                      </paratext>
                    </para>
                  </division>
                </drafting.note>
              </subclause2>
              <subclause2 id="a950689">
                <identifier>(b)</identifier>
                <para>
                  <paratext>the Mandatory Policies.</paratext>
                </para>
                <drafting.note id="a168431" jurisdiction="">
                  <head align="left" preservecase="true">
                    <headtext>Mandatory policies</headtext>
                  </head>
                  <division id="a000120" level="1">
                    <para>
                      <paratext>
                        The Mandatory Polices may include policies and procedures prompted by statute, for example, the 
                        <link href="2-607-4606" style="ACTLinkPLCtoPLC">
                          <ital>Modern Slavery Act 2015</ital>
                        </link>
                        , the 
                        <link href="1-503-8422" style="ACTLinkPLCtoPLC">
                          <ital>Bribery Act 2010</ital>
                        </link>
                         or the data protection legislation.
                      </paratext>
                    </para>
                    <para>
                      <paratext>If the supplier has its own policies which conflict or differ from those of the customer's, the customer should review those policies and assess whether they are adequate. If they are, the clause will need to be amended to require the supplier to comply with those policies.</paratext>
                    </para>
                    <para>
                      <paratext>The customer will need to assess if a generic clause such as this one is appropriate, given the context, the party's preferred method of incorporating its mandatory policies into the agreement and the risk of non-compliance. This is a question that can only be answered by a draftsman with the full knowledge of the facts, structure and risk profile of the transaction.</paratext>
                    </para>
                    <para>
                      <paratext>
                        The customer may decide that in the circumstances, it is prudent to include specific compliance obligations in a separate clause. The inclusion of specific compliance clauses could be because the supplier is part of a sector, or is based in a location where breaches of the customer's policies are known to be prevalent. See, for example, 
                        <internal.reference refid="a775720">clause 30</internal.reference>
                         concerning the Bribery Act 2010.
                      </paratext>
                    </para>
                    <para>
                      <paratext>
                        Other areas which could give rise to compliance issues and the need for more specific contractual obligations include the Modern Slavery Act 2015. See 
                        <link href="6-618-7654" style="ACTLinkPLCtoPLC">
                          <ital>Standard clause, Anti-slavery and human trafficking clauses</ital>
                        </link>
                        .
                      </paratext>
                    </para>
                  </division>
                </drafting.note>
              </subclause2>
            </subclause1>
          </clause>
          <clause id="a192886">
            <identifier>33.</identifier>
            <head align="left" preservecase="true">
              <headtext>Intellectual Property Rights indemnity</headtext>
            </head>
            <subclause1 id="a910478">
              <identifier>33.1</identifier>
              <para>
                <paratext>The Supplier shall indemnify the Customer against all liabilities, costs, expenses, damages and losses (including any direct, indirect or consequential losses, loss of profit, loss of reputation and all interest, penalties and legal and other [reasonable] professional costs and expenses) suffered or incurred by the Customer arising out of or in connection with any claim that the use of the System, or receipt of the benefit of the Services, by the Customer infringes third party Intellectual Property Rights.</paratext>
              </para>
              <drafting.note id="a981277" jurisdiction="">
                <head align="left" preservecase="true">
                  <headtext>Intellectual Property Rights indemnity in favour of Customer</headtext>
                </head>
                <division id="a000121" level="1">
                  <para>
                    <paratext>
                      This clause provides the customer with protection, in the form of an indemnity, against third-party claims that its use of the system, or receipt of the services, infringes the IPRs belonging to a third party (see 
                      <link anchor="a735753" href="7-107-4789" style="ACTLinkPLCtoPLC">
                        <ital>Practice note, Main issues in software licensing and maintenance contracts: Intellectual property and indemnities</ital>
                      </link>
                      ). The supplier will usually be prepared to meet the customer's concerns in this respect, at least as far as any standard software is concerned, although the exact scope of that protection will be the subject of negotiation.
                    </paratext>
                  </para>
                  <para>
                    <paratext>The customer is entitled to insist that any code used in any bespoke software should not be copied from third-party proprietary software. However, the supplier may insist on excluding responsibility for any infringement of IPRs by the structure or function of the software which was dictated by the customer's specific requirements. For example, the customer may have requested a particular function which is covered by a third-party patent. The customer should try to have the supplier at least assume responsibility for checking whether or not this is likely to occur.</paratext>
                  </para>
                  <para>
                    <paratext>
                      The supplier will want to ensure that there is nothing in the agreement (in particular, 
                      <internal.reference refid="a192886">clause 33</internal.reference>
                       or 
                      <internal.reference refid="a198796">clause 34</internal.reference>
                      ) that provides that the cap on liability in 
                      <internal.reference refid="a691371">clause 34.4</internal.reference>
                       does not apply to the supplier's liability under 
                      <internal.reference refid="a192886">clause 33</internal.reference>
                      . Conversely, the customer should ensure that there is such a provision.
                    </paratext>
                  </para>
                  <para>
                    <paratext>
                      <internal.reference refid="a647608">Clause 33.2</internal.reference>
                       deals with the procedure to be adopted when a third party notifies the customer of an alleged IPR infringement. In supplier-biased model agreements, such clauses are often drafted as a part of the indemnity obligation. However, if the customer does not meet any such condition, the supplier is no longer obliged to fulfil its indemnity obligation. Accordingly, customers should ensure that the obligations in 
                      <internal.reference refid="a910478">clause 33.1</internal.reference>
                       and 
                      <internal.reference refid="a647608">clause 33.2</internal.reference>
                       are kept separate.
                    </paratext>
                  </para>
                  <para>
                    <paratext>
                      Under 
                      <internal.reference refid="a473848">clause 33.2(d)</internal.reference>
                      , the supplier will want to have control of any litigation, as the outcome will determine the extent of its liability under 
                      <internal.reference refid="a910478">clause 33.1</internal.reference>
                      . However, the customer may wish to retain control to avoid protracted litigation and possible harm to its reputation.
                    </paratext>
                  </para>
                </division>
              </drafting.note>
            </subclause1>
            <subclause1 id="a647608">
              <identifier>33.2</identifier>
              <para>
                <paratext>
                  If any third party makes a claim, or notifies an intention to make a claim, against the Customer which may reasonably be considered likely to give rise to a liability under this indemnity (
                  <defn.term>Claim</defn.term>
                  ), the Customer shall:
                </paratext>
              </para>
              <subclause2 id="a499307">
                <identifier>(a)</identifier>
                <para>
                  <paratext>as soon as reasonably practicable, give written notice of the Claim to the Supplier, specifying the nature of the Claim in reasonable detail;</paratext>
                </para>
              </subclause2>
              <subclause2 id="a512113">
                <identifier>(b)</identifier>
                <para>
                  <paratext>not make any admission of liability, agreement or compromise in relation to the Claim without the prior written consent of the Supplier (such consent not to be unreasonably conditioned, withheld or delayed);</paratext>
                </para>
              </subclause2>
              <subclause2 id="a981678">
                <identifier>(c)</identifier>
                <para>
                  <paratext>give the Supplier and its professional advisers access at reasonable times (on reasonable prior notice) to its premises and its officers, directors, employees, agents, representatives or advisers, and to any relevant assets, accounts, documents and records within the power or control of the Customer, so as to enable the Supplier and its professional advisers to examine them and to take copies (at the Supplier's expense) for the purpose of assessing the Claim; and</paratext>
                </para>
              </subclause2>
              <subclause2 id="a473848">
                <identifier>(d)</identifier>
                <para>
                  <paratext>subject to the Supplier providing security to the Customer to the Customer's reasonable satisfaction against any claim, liability, costs, expenses, damages or losses which may be incurred, take such action as the Supplier may reasonably request to avoid, dispute, compromise or defend the Claim.</paratext>
                </para>
              </subclause2>
            </subclause1>
            <subclause1 id="a345775">
              <identifier>33.3</identifier>
              <para>
                <paratext>The Supplier shall not in any circumstances have any liability for any claim of infringement of Intellectual Property Rights:</paratext>
              </para>
              <subclause2 id="a885637">
                <identifier>(a)</identifier>
                <para>
                  <paratext>caused solely by the Customer's use of the System in combination with software not supplied or approved in writing by the Supplier (other than the operating system of any Hardware, provided that the Supplier was notified of the identity of this operating system before this agreement was entered into); or</paratext>
                </para>
              </subclause2>
              <subclause2 id="a961461">
                <identifier>(b)</identifier>
                <para>
                  <paratext>resulting solely from any unauthorised modification of the System made by, or on behalf of, the Customer.</paratext>
                </para>
                <drafting.note id="a377669" jurisdiction="">
                  <head align="left" preservecase="true">
                    <headtext>Exclusions from the intellectual property rights indemnity</headtext>
                  </head>
                  <division id="a000122" level="1">
                    <para>
                      <paratext>The supplier can reasonably exclude liability if the third-party infringement claim arises from something the customer has done outside the authorised or expected use of the system. During the tendering process the customer should have notified the supplier of any existing software with which the new system is to work in conjunction, as this is relevant to operability issues. Once the system is accepted, it should have a way of notifying the supplier of any new software it is considering installing.</paratext>
                    </para>
                  </division>
                </drafting.note>
              </subclause2>
            </subclause1>
            <subclause1 id="a586082">
              <identifier>33.4</identifier>
              <para>
                <paratext>If use of the System becomes, or, in the opinion of qualified legal counsel, is likely to become, the subject of any claim of infringement of Intellectual Property Rights, the Supplier may:</paratext>
              </para>
              <subclause2 id="a680518">
                <identifier>(a)</identifier>
                <para>
                  <paratext>replace all or part of the System with functionally equivalent software or documentation without any charge to the Customer;</paratext>
                </para>
              </subclause2>
              <subclause2 id="a951891">
                <identifier>(b)</identifier>
                <para>
                  <paratext>modify the System as necessary to avoid such claim, provided that the System (as amended) functions in substantially the same way as the System or the New Releases (as the case may be) before modification;</paratext>
                </para>
              </subclause2>
              <subclause2 id="a562684">
                <identifier>(c)</identifier>
                <para>
                  <paratext>procure for the Customer a licence from the relevant claimant to continue using the System,</paratext>
                </para>
              </subclause2>
              <para>
                <paratext>
                  and in the case of 
                  <internal.reference refid="a680518">clause 33.4(a)</internal.reference>
                   or 
                  <internal.reference refid="a951891">clause 33.4(b)</internal.reference>
                   only, the Supplier shall reimburse the Customer [and its Affiliates] all reasonable additional costs and expenses they are required to incur in order to obtain software and hardware required to interact with such modified or replaced software and documentation, and additional services from third parties, all of which would not have been incurred if the System had been non-infringing.
                </paratext>
              </para>
            </subclause1>
            <subclause1 id="a239854">
              <identifier>33.5</identifier>
              <para>
                <paratext>If:</paratext>
              </para>
              <subclause2 id="a147829">
                <identifier>(a)</identifier>
                <para>
                  <paratext>the System is determined in a court of law to be infringing;</paratext>
                </para>
              </subclause2>
              <subclause2 id="a308796">
                <identifier>(b)</identifier>
                <para>
                  <paratext>the Supplier is advised by a barrister of at least ten years' call that use or possession by the Customer [or any of its Affiliates] of the System in accordance with this agreement is likely to constitute infringement of a third party's rights; or</paratext>
                </para>
              </subclause2>
              <subclause2 id="a449295">
                <identifier>(c)</identifier>
                <para>
                  <paratext>
                    an injunction or similar order is granted in connection with a claim of the types referred to in 
                    <internal.reference refid="a910478">clause 33.1</internal.reference>
                     which prevents or restricts the use or possession by the Customer [or any of its Affiliates] of the System in accordance with this agreement;
                  </paratext>
                </para>
              </subclause2>
              <para>
                <paratext>and the Supplier is unable, after best efforts, to procure for the Customer the right to continue using the System or to provide the Customer with functionally equivalent non-infringing software, this agreement and the Licence will be terminated, without prejudice to the Customer's right to seek further remedies, including damages, for any loss or damage arising out of such termination.</paratext>
              </para>
              <drafting.note id="a338555" jurisdiction="">
                <head align="left" preservecase="true">
                  <headtext>Remedies if the supplier software infringes</headtext>
                </head>
                <division id="a000123" level="1">
                  <para>
                    <paratext>
                      If an infringement action succeeds, the customer may face an injunction preventing it from using the infringing software. At worst, this could make the entire system unusable. The supplier should usually accept an obligation to take reasonable steps to keep the system usable, either by taking a licence from the third party or by replacing or modifying the system so as to avoid infringement. If none of these are reasonably achievable, the customer needs to be in the position to obtain a non-infringing alternative as soon as possible. Any existing payment obligations should be cancelled immediately and the customer should consider the best financial remedy for its situation. If acquiring a replacement system will cause cash flow problems, the customer should require that the supplier immediately repays all or a significant proportion of the money the customer paid for the system. However, the financial loss to the customer may be considerably greater than this amount, so it may decide to retain its right to seek damages (as per 
                      <internal.reference refid="a718392">clause 33.6</internal.reference>
                      ), particularly when it is able to fund the replacement system from other resources.
                    </paratext>
                  </para>
                </division>
              </drafting.note>
            </subclause1>
            <subclause1 id="a718392">
              <identifier>33.6</identifier>
              <para>
                <paratext>If a payment due from the Supplier under this clause is subject to tax (whether by way of direct assessment or withholding at its source), the Customer shall be entitled to receive from the Supplier such amounts as shall ensure that the net receipt, after tax, to the Customer in respect of the payment is the same as it would have been were the payment not subject to tax.</paratext>
              </para>
            </subclause1>
          </clause>
          <clause id="a198796">
            <identifier>34.</identifier>
            <head align="left" preservecase="true">
              <headtext>Limitation of liability</headtext>
            </head>
            <drafting.note id="a606331" jurisdiction="">
              <head align="left" preservecase="true">
                <headtext>Limitation of liability</headtext>
              </head>
              <division id="a000124" level="1">
                <para>
                  <paratext>For more information, see the following practice notes relating to limiting liability in B2B contracts:</paratext>
                </para>
                <list type="bulleted">
                  <list.item>
                    <para>
                      <paratext>
                        <link anchor="a436073" href="2-107-4777" style="ACTLinkPLCtoPLC">
                          <ital>Main issues in systems integration contracts: Exclusions and limitation of liability</ital>
                        </link>
                        .
                      </paratext>
                    </para>
                  </list.item>
                  <list.item>
                    <para>
                      <paratext>
                        <link href="2-520-5359" style="ACTLinkPLCtoPLC">Limiting liability: drafting and negotiating</link>
                        .
                      </paratext>
                    </para>
                  </list.item>
                  <list.item>
                    <para>
                      <paratext>
                        <link href="9-617-5230" style="ACTLinkPLCtoPLC">Limiting liability: statutory and common law controls on limitation clauses</link>
                        .
                      </paratext>
                    </para>
                  </list.item>
                  <list.item>
                    <para>
                      <paratext>
                        <link href="w-006-5549" style="ACTLinkPLCtoPLC">Limiting liability: interpretation</link>
                        .
                      </paratext>
                    </para>
                  </list.item>
                </list>
                <para>
                  <paratext>
                    It is rare to have a B2B agreement that does not allude to a limitation of liability for the supplier. Historically, B2B agreements have generally sought to exclude and/or limit the supplier's liability without including similar protection for the customer, meaning that the extent of the customer's liability to the supplier for damages for the customer's breach of contract is assessed in accordance with the general contract law rules applicable to recovery of damages (see 
                    <link href="6-533-8545" style="ACTLinkPLCtoPLC">
                      <ital>Practice note, Damages for breach of contract: an overview</ital>
                    </link>
                    ). However, more and more customers are seeking to include express exclusions on, and limitations of, liability in their B2B contracts.
                  </paratext>
                </para>
                <para>
                  <paratext>To reflect this reasonable market practice, we have included in this standard document a customer-favourable limitation of liability clause that has the following features:</paratext>
                </para>
                <list type="bulleted">
                  <list.item>
                    <para>
                      <paratext>There is no exclusion of implied terms. However, this type of exclusion is a standard term for suppliers and very few suppliers will agree to its deletion in its entirety. Accordingly, decide whether to reinstate such a clause and, if yes, consider:</paratext>
                    </para>
                  </list.item>
                </list>
                <display.quote>
                  <para>
                    <paratext>All warranties, conditions and other terms implied by statute or common law are, to the fullest extent permitted by law, excluded from the agreement.</paratext>
                  </para>
                </display.quote>
                <list type="bulleted">
                  <list.item>
                    <para>
                      <paratext>
                        <internal.reference refid="a343661">Clause 34.2</internal.reference>
                         is reciprocal. Ideally the customer should have the ability to argue that loss of profits and loss of business, in particular, are recoverable (that is, on the basis that they constitute direct, rather than indirect, loss) and so should seek either to include a specific statement to that effect or to omit these types of loss from the list of excluded losses in this clause. We have taken the latter approach. The supplier is likely to want to have these types of loss expressly included in this clause. The supplier may also want to have other types of loss included in the clause, such as loss of business opportunities, revenue, turnover, reputation or goodwill and loss of anticipated savings or wasted expenditure (including management time).
                      </paratext>
                    </para>
                  </list.item>
                  <list.item>
                    <para>
                      <paratext>
                        <internal.reference refid="a343661">Clause 34.2</internal.reference>
                         is compressed compared to many such clauses. However, it still, excludes consequential loss (which is increasingly market practice, even customer-side).
                      </paratext>
                    </para>
                  </list.item>
                  <list.item>
                    <para>
                      <paratext>
                        The suggested limit in 
                        <internal.reference refid="a693843">clause 34.3(a)</internal.reference>
                         is 200% of the total charges payable for the Services. Please review this percentage in the light of the comments below and amend it if necessary.
                      </paratext>
                    </para>
                  </list.item>
                  <list.item>
                    <para>
                      <paratext>
                        In 
                        <internal.reference refid="a233917">clause 34.4(a)</internal.reference>
                         we have excluded from the limit in 
                        <internal.reference refid="a693843">clause 34.3(a)</internal.reference>
                        :
                      </paratext>
                    </para>
                    <list type="bulleted">
                      <list.item>
                        <para>
                          <paratext>the customer's payment obligations and liability for damages for breach of them. The customer is unlikely to object to this; and</paratext>
                        </para>
                      </list.item>
                      <list.item>
                        <para>
                          <paratext>
                            the customer's liability for breach of confidentiality (see 
                            <internal.reference refid="a504255">clause 22</internal.reference>
                            ).
                          </paratext>
                        </para>
                      </list.item>
                    </list>
                  </list.item>
                </list>
                <list type="bulleted">
                  <list.item>
                    <para>
                      <paratext>
                        In 
                        <internal.reference refid="a340591">clause 34.4(b)</internal.reference>
                        , we have excluded from the limit in 
                        <internal.reference refid="a693843">clause 34.3(a)</internal.reference>
                        , the supplier's liability under any indemnity in the agreement (see 
                        <internal.reference refid="a928543">clause 24.2</internal.reference>
                        , 
                        <internal.reference refid="a802293">clause 29.7</internal.reference>
                        , 
                        <internal.reference refid="a620769">clause 32.8</internal.reference>
                        <ital>, </ital>
                        <internal.reference refid="a952292">clause 32.9</internal.reference>
                         and 
                        <internal.reference refid="a910478">clause 33.1</internal.reference>
                        ), for regulatory breach by the supplier (see 
                        <internal.reference refid="a607705">clause 34.4(b)(ii)</internal.reference>
                        ) (this type of liability is becoming increasingly more important) and for breaches related to proprietary rights, confidentiality, data protection, bribery and export (see 
                        <internal.reference refid="a542011">clause 17</internal.reference>
                        , 
                        <internal.reference refid="a175838">clause 27</internal.reference>
                        , 
                        <internal.reference refid="a775720">clause 30</internal.reference>
                         and 
                        <internal.reference refid="a205673">clause 31</internal.reference>
                         respectively).
                      </paratext>
                    </para>
                  </list.item>
                  <list.item>
                    <para>
                      <paratext>
                        <internal.reference refid="a430071">Clause 28</internal.reference>
                        <ital> </ital>
                        is also excluded from the limit in 
                        <internal.reference refid="a693843">clause 34.3(a)</internal.reference>
                        , as this is intended to be the section that deals with data protection issues. For further discussion on how to negotiate liability limits and exclusions in relation to data protection issues, see 
                        <link anchor="a207698" href="w-027-2423" style="ACTLinkPLCtoPLC">Practice note, Data protection issues in IT contracts: Liability for data protection compliance in IT contracts</link>
                        .
                      </paratext>
                    </para>
                  </list.item>
                  <list.item>
                    <para>
                      <paratext>
                        The Customer might also want to state that the supplier's liability under 
                        <internal.reference refid="a446471">clause 29</internal.reference>
                         (and related obligations, for example, the cybersecurity warranties contained in 
                        <internal.reference refid="a576824">clause 32</internal.reference>
                        ) in relation to compliance with the NIS Regulations is not subject to the supplier's liability cap. At least bear in mind when setting the cap that a fine under the NIS Regulations could be as much as £17 million (
                        <link href="w-014-4436" style="ACTLinkPLCtoPLC">
                          <ital>regulation 18(6)</ital>
                        </link>
                        ), although the parties could assess the risks of a fine being that high in the light of the type of development services being provided. For more on penalties under the NIS Regulations, see 
                        <link anchor="a956380" href="w-013-8329" style="ACTLinkPLCtoPLC">
                          <ital>Practice note, Cybersecurity Directive: UK implementation: Penalties</ital>
                        </link>
                        .
                      </paratext>
                    </para>
                  </list.item>
                  <list.item>
                    <para>
                      <paratext>
                        Review your particular agreement to assess whether an appropriate selection of clauses to be excluded from the limits in 
                        <internal.reference refid="a233917">clause 34.4(a)</internal.reference>
                         and 
                        <internal.reference refid="a340591">clause 34.4(b)</internal.reference>
                        <ital> </ital>
                        have been made and make any necessary amendments.
                      </paratext>
                    </para>
                  </list.item>
                </list>
                <para>
                  <paratext>
                    Regarding 
                    <internal.reference refid="a693843">clause 34.3(a)</internal.reference>
                     direct loss under English contract law is effectively self-limiting, generally at 125%-175% of the contract value, so the supplier is unlikely to object to the suggested limit in 
                    <internal.reference refid="a693843">clause 34.3(a)</internal.reference>
                     of 200% of contract value.
                  </paratext>
                </para>
                <para>
                  <paratext>The thinking underlying such a view is as follows:</paratext>
                </para>
                <list type="bulleted">
                  <list.item>
                    <para>
                      <paratext>
                        Direct loss, as the first limb of the traditional test of remoteness set out in 
                        <link href="D-000-1778" style="ACTLinkPLCtoPLC">
                          <ital>Hadley v Baxendale [1854] 9 Exch 341</ital>
                        </link>
                        , is the loss flowing arising naturally, that is, 
                        <bold>in</bold>
                        <bold>the usual course of things</bold>
                        , from the breach. See also 
                        <link anchor="a555322" href="6-533-8545" style="ACTLinkPLCtoPLC">
                          <ital>Practice note, Damages for breach of contract: an overview: Remoteness of damage.</ital>
                        </link>
                      </paratext>
                    </para>
                  </list.item>
                  <list.item>
                    <para>
                      <paratext>
                        <link anchor="a555322" href="6-533-8545" style="ACTLinkPLCtoPLC"/>
                        Losses within the second limb as "supposed to have been in the reasonable contemplation of the parties at the time they made the contract", that is, 
                        <bold>recoverable only because they were then contemplated by the parties</bold>
                        , are indirect or consequential.
                      </paratext>
                    </para>
                  </list.item>
                  <list.item>
                    <para>
                      <paratext>
                        Direct loss is generally, at the claimant's election, either 
                        <bold>wasted expenditure</bold>
                         ("rewind to the beginning") or the 
                        <bold>cost of an alternative</bold>
                         ("wind on to the end"), plus, in either case associated administrative costs, such as costs relating to consultancy, the preparation of another specification for the work involved, retendering, legal advice, management time and so on.
                      </paratext>
                    </para>
                  </list.item>
                  <list.item>
                    <para>
                      <paratext>
                        <bold>Wasted expenditure costs</bold>
                         are by definition calculated by reference to the contract price plus the associated administrative costs. As a rule of thumb, these generally do not exceed 150%-175% of the contract price.
                      </paratext>
                    </para>
                  </list.item>
                  <list.item>
                    <para>
                      <paratext>Costs of an alternative are assessed by reference to the market. Generally:</paratext>
                    </para>
                    <list type="bulleted">
                      <list.item>
                        <para>
                          <paratext>
                            IT equipment costs come down over time (see 
                            <link anchor="a154996" href="4-619-6070" style="ACTLinkPLCtoPLC">
                              <ital>Practice note, Demystifying IT for lawyers: Moore's law</ital>
                            </link>
                            );
                          </paratext>
                        </para>
                      </list.item>
                      <list.item>
                        <para>
                          <paratext>software costs are normally relatively stable;</paratext>
                        </para>
                      </list.item>
                      <list.item>
                        <para>
                          <paratext>labour costs depend on the market (in an economic boom, they tend to go up, in a recession, they are likely to go down); and</paratext>
                        </para>
                      </list.item>
                      <list.item>
                        <para>
                          <paratext>the market price of the alternative is within the band of 150%-175% of the initial contract price.</paratext>
                        </para>
                      </list.item>
                    </list>
                  </list.item>
                </list>
                <para>
                  <paratext>The proposed monetary cap should be a percentage of the total charges over the life of the contract. This is because the customer generally wants the cap to apply generally over the life of the contract (highest cap for longest period) to ensure that it is not disadvantaged by a cap that potentially decreases on a yearly basis over the life of the contract. The early stages may involve higher fees due to set-up or transition costs and services before the supplier is operating on a business-as-usual basis where the costs are known and more easily quantifiable.</paratext>
                </para>
                <para>
                  <paratext>Obviously, the supplier is keen to limit its liability as much as possible and generally favours a cap per year (lowest cap for shortest period). The cap per year is therefore a usual supplier response to the customer's request for a high cap over the life of the contract.</paratext>
                </para>
                <para>
                  <paratext>These rules of thumb are generalisations in the context of supply of IT services and are of course subject to exceptions. Nevertheless, they can be a useful negotiating and risk management tool, particularly for the supplier.</paratext>
                </para>
                <para>
                  <paratext>Limitation of liability is always a key issue in a services contract. Always tailor this clause for your particular transaction. It is likely to be the subject of the most negotiation between the parties. We strongly recommend that you read the following Practice notes relating to limiting liability in B2B contracts:</paratext>
                </para>
                <list type="bulleted">
                  <list.item>
                    <para>
                      <paratext>
                        <link href="2-520-5359" style="ACTLinkPLCtoPLC">
                          <ital>Limiting liability: drafting and negotiating </ital>
                        </link>
                      </paratext>
                    </para>
                  </list.item>
                  <list.item>
                    <para>
                      <paratext>
                        <link href="2-520-5359" style="ACTLinkPLCtoPLC">
                          <ital/>
                        </link>
                        <link href="w-006-5549" style="ACTLinkPLCtoPLC">
                          <ital>Limiting liability: interpretation </ital>
                        </link>
                      </paratext>
                    </para>
                  </list.item>
                  <list.item>
                    <para>
                      <paratext>
                        <link href="w-006-5549" style="ACTLinkPLCtoPLC">
                          <ital/>
                        </link>
                        <link href="9-617-5230" style="ACTLinkPLCtoPLC">
                          <ital>Limiting liability: statutory and common law controls on limitation clauses</ital>
                        </link>
                        .
                      </paratext>
                    </para>
                  </list.item>
                </list>
              </division>
            </drafting.note>
            <subclause1 id="a612381">
              <identifier>34.1</identifier>
              <para>
                <paratext>Neither party excludes or limits liability to the other party for:</paratext>
              </para>
              <subclause2 id="a126330">
                <identifier>(a)</identifier>
                <para>
                  <paratext>fraud or fraudulent misrepresentation;</paratext>
                </para>
              </subclause2>
              <subclause2 id="a409190">
                <identifier>(b)</identifier>
                <para>
                  <paratext>death or personal injury caused by negligence;</paratext>
                </para>
              </subclause2>
              <subclause2 id="a804524">
                <identifier>(c)</identifier>
                <para>
                  <paratext>a breach of any obligations implied by section 12 of the Sale of Goods Act 1979 or section 2 of the Supply of Goods and Services Act 1982; or</paratext>
                </para>
              </subclause2>
              <subclause2 id="a122749">
                <identifier>(d)</identifier>
                <para>
                  <paratext>any matter for which it would be unlawful for the parties to exclude liability.</paratext>
                </para>
              </subclause2>
            </subclause1>
            <subclause1 id="a343661">
              <identifier>34.2</identifier>
              <para>
                <paratext>
                  Subject to 
                  <internal.reference refid="a612381">clause 34.1</internal.reference>
                  , neither party shall in any circumstances be liable, whether in tort (including without limitation for [negligence or] breach of statutory duty howsoever arising), contract, misrepresentation (whether innocent or negligent) or otherwise for any special, indirect or consequential loss, costs, damages, charges or expenses.
                </paratext>
              </para>
            </subclause1>
            <subclause1 id="a479144">
              <identifier>34.3</identifier>
              <para>
                <paratext>
                  Subject to 
                  <internal.reference refid="a612381">clause 34.1</internal.reference>
                   and 
                  <internal.reference refid="a691371">clause 34.4</internal.reference>
                  :
                </paratext>
              </para>
              <subclause2 id="a693843">
                <identifier>(a)</identifier>
                <para>
                  <paratext>the Supplier's total aggregate liability in contract, tort (including without limitation [negligence and] breach of statutory duty howsoever arising), misrepresentation (whether innocent or negligent), restitution or otherwise, arising in connection with the performance or contemplated performance of this agreement or any collateral contract shall: be limited to [200][%] of the price paid or payable for the Services.</paratext>
                </para>
              </subclause2>
              <subclause2 id="a976256">
                <identifier>(b)</identifier>
                <para>
                  <paratext>the Customer's total aggregate liability (other than its liability to pay any sums properly due and payable under this agreement and for which the Customer shall remain fully liable) in contract, tort (including without limitation [negligence and] breach of statutory duty howsoever arising), misrepresentation (whether innocent or negligent), restitution or otherwise, arising in connection with the performance or contemplated performance of this agreement or any collateral contract shall be limited to [SUM].</paratext>
                </para>
              </subclause2>
            </subclause1>
            <subclause1 id="a691371">
              <identifier>34.4</identifier>
              <para>
                <paratext>
                  The limitations of liability in this 
                  <internal.reference refid="a198796">clause 34</internal.reference>
                   shall not apply:
                </paratext>
              </para>
              <subclause2 id="a233917">
                <identifier>(a)</identifier>
                <para>
                  <paratext>in the case of liability of the Customer, to liability for damages for any breach by the Customer of:</paratext>
                </para>
                <subclause3 id="a499951">
                  <identifier>(i)</identifier>
                  <para>
                    <paratext>its payment obligations; and</paratext>
                  </para>
                </subclause3>
                <subclause3 id="a432267">
                  <identifier>(ii)</identifier>
                  <para>
                    <paratext>
                      confidentiality under 
                      <internal.reference refid="a175838">clause 27</internal.reference>
                      .
                    </paratext>
                  </para>
                </subclause3>
              </subclause2>
              <subclause2 id="a340591">
                <identifier>(b)</identifier>
                <para>
                  <paratext>in the case of liability of the Supplier, to liability for:</paratext>
                </para>
                <subclause3 id="a483273">
                  <identifier>(i)</identifier>
                  <para>
                    <paratext>or under any indemnity in this agreement (whether in respect of performance of the indemnity or its breach);</paratext>
                  </para>
                </subclause3>
                <subclause3 id="a607705">
                  <identifier>(ii)</identifier>
                  <para>
                    <paratext>any breach of any regulatory requirement by the Supplier which directly or indirectly results in the imposition of any fine or sanction on the Customer or the Customer otherwise incurring any liability;</paratext>
                  </para>
                </subclause3>
                <subclause3 id="a609115">
                  <identifier>(iii)</identifier>
                  <para>
                    <paratext>
                      any breach by the Supplier of 
                      <internal.reference refid="a542011">clause 17</internal.reference>
                       (Ownership of Intellectual Property Rights), 
                      <internal.reference refid="a175838">clause 27</internal.reference>
                       (Confidentiality), 
                      <internal.reference refid="a430071">clause 28</internal.reference>
                       (Data Protection, etc), 
                      <internal.reference refid="a775720">clause 30</internal.reference>
                       (Anti-bribery) or 
                      <internal.reference refid="a205673">clause 31</internal.reference>
                       (Export).
                    </paratext>
                  </para>
                </subclause3>
              </subclause2>
            </subclause1>
          </clause>
          <clause id="a426040">
            <identifier>35.</identifier>
            <head align="left" preservecase="true">
              <headtext>Insurance</headtext>
            </head>
            <drafting.note id="a876752" jurisdiction="">
              <head align="left" preservecase="true">
                <headtext>Insurance</headtext>
              </head>
              <division id="a000125" level="1">
                <para>
                  <paratext>A clause requiring the supplier to effect insurance is particularly recommended if there is any doubt about the financial ability (over the term of the agreement) of the supplier (or its assignees or successors) to pay out under any claim or indemnity arising out of this agreement. Ideally, the period during which the supplier should be required to maintain insurance should be seven years to cover the potential claims run-off period (that is the statutory limitation period of six years plus four months to serve any writ, plus a safety margin). Other policies, such as fidelity guarantee or employee dishonesty, may be added to the list.</paratext>
                </para>
                <para>
                  <paratext>Review these provisions carefully with the client in the light of the client's insurance arrangements. For example, there are sometimes special arrangements concerning damage to the client's own tangible property and injuries to the client's own personnel.</paratext>
                </para>
                <para>
                  <paratext>
                    As a general principle, it is technically possible to have joint or composite insurance (see 
                    <link anchor="a556575" href="3-203-9754" style="ACTLinkPLCtoPLC">
                      <ital>Practice note, General principles of insurance law: Joint and composite insurance</ital>
                    </link>
                    ). See the first alternative wording at the end of the first alternative wording in 
                    <internal.reference refid="a426040">clause 35</internal.reference>
                     and in 
                    <internal.reference refid="a938752">clause 35.2(a)</internal.reference>
                    . However, in practice it might be difficult to achieve this in the context of software development. Accordingly, the second alternative wording in that clause provides for an obligation to note the Customer's interest on the supplier's insurance policies. For more information on the different levels of protection that these alternatives provide, see 
                    <link anchor="a769250" href="3-203-9754" style="ACTLinkPLCtoPLC">
                      <ital>Practice note, General principles of insurance law: Noting</ital>
                    </link>
                    .
                  </paratext>
                </para>
                <division id="a513383" level="2">
                  <head align="left" preservecase="true">
                    <headtext>Cyber insurance</headtext>
                  </head>
                  <para>
                    <paratext>
                      With the increasing regulatory exposure around cybersecurity and data protection (see 
                      <internal.reference refid="a452645">Drafting note, Bribery Act 2010</internal.reference>
                       and 
                      <internal.reference refid="a240691">Drafting note, Network and Information Systems Regulations 2018</internal.reference>
                      ), customers may become more interested in ensuring that their suppliers source specific cyber cover. For more information, see 
                      <link href="w-026-4193" style="ACTLinkPLCtoPLC">
                        <ital>Practice note: overview, Cyber insurance: an overview</ital>
                      </link>
                       and 
                      <link anchor="a983107" href="6-615-3705" style="ACTLinkPLCtoPLC">
                        <ital>Practice note, Cybercrime risks for business: Insurance against cyber risk</ital>
                      </link>
                      .
                    </paratext>
                  </para>
                </division>
              </division>
            </drafting.note>
            <subclause1 id="a754950">
              <identifier>35.1</identifier>
              <para>
                <paratext>
                  On signature of this agreement, the Supplier shall provide to the Customer written confirmation from its insurers that it has in force an insurance policy sufficient to provide cover as required by law or in respect of any foreseeable liability which may arise in connection with this agreement including professional indemnity or errors and omissions cover of not less than £[AMOUNT] per claim or series of related claims per year. The Supplier shall, at its own expense, maintain such policy in force for the term of this agreement and [seven] years thereafter, and shall provide a certificate of insurance from its insurers of such policy to the Customer at least once during each year of the term of this agreement and, in addition, as reasonably requested by the Customer. Such certificate shall also confirm that the insurance policy may not be cancelled before the expiry of a [30] day notification period and that the Customer will be immediately notified in writing of any such notice of termination. [The Customer [and its Affiliates] shall be listed as additional insured under such policy 
                  <bold>OR</bold>
                   The interests of the Customer [and its Affiliates] shall be noted on such policy.
                </paratext>
              </para>
              <para>
                <paratext>The Supplier shall, during the term of this agreement and for [seven] years thereafter and at its own cost:</paratext>
              </para>
              <subclause2 id="a830725">
                <identifier>(a)</identifier>
                <para>
                  <paratext>effect and maintain in force with [reputable] insurers [approved by the Customer] the following insurance policies [on terms and conditions approved by the Customer] for the payment of a sum up to the amount stated for any claim and in accordance with Good Industry Practice:</paratext>
                </para>
                <subclause3 id="a777702">
                  <identifier>(i)</identifier>
                  <para>
                    <paratext>public liability insurance policy: £[AMOUNT] million;</paratext>
                  </para>
                </subclause3>
                <subclause3 id="a633148">
                  <identifier>(ii)</identifier>
                  <para>
                    <paratext>professional indemnity insurance: £[AMOUNT] million;</paratext>
                  </para>
                </subclause3>
                <subclause3 id="a781936">
                  <identifier>(iii)</identifier>
                  <para>
                    <paratext>property damage: £[AMOUNT] million;</paratext>
                  </para>
                </subclause3>
                <subclause3 id="a134686">
                  <identifier>(iv)</identifier>
                  <para>
                    <paratext>business interruption insurance: £[AMOUNT] million;</paratext>
                  </para>
                </subclause3>
              </subclause2>
              <subclause2 id="a371773">
                <identifier>(b)</identifier>
                <para>
                  <paratext>provide evidence of such insurance to the Customer on request.</paratext>
                </para>
              </subclause2>
              <subclause2 id="a852764">
                <identifier>(c)</identifier>
                <para>
                  <paratext>administer the insurance policies and the Supplier's relationship with its insurers at all times to preserve the benefits for the Customer [and its Affiliates] set out in this agreement;</paratext>
                </para>
              </subclause2>
              <subclause2 id="a555452">
                <identifier>(d)</identifier>
                <para>
                  <paratext>do nothing to invalidate any such insurance policy or to prejudice the entitlement of the Customer [or any of its Affiliates] under this agreement;</paratext>
                </para>
              </subclause2>
              <subclause2 id="a601393">
                <identifier>(e)</identifier>
                <para>
                  <paratext>procure that the terms of such policy shall not be altered in such a way as to diminish the benefit to the Customer [or any of its Affiliates] of the policies as provided at the date of this agreement.]</paratext>
                </para>
              </subclause2>
            </subclause1>
            <para>
              <paratext>
                <bold>OR</bold>
              </paratext>
            </para>
            <subclause1 id="a120261">
              <identifier>35.2</identifier>
              <para>
                <paratext>
                  Any insurance policy effected and maintained under 
                  <internal.reference refid="a830725">clause 35.1(a)</internal.reference>
                   shall:
                </paratext>
              </para>
              <subclause2 id="a938752">
                <identifier>(a)</identifier>
                <para>
                  <paratext>
                    [name the Customer [and its Affiliates] as additional insured under such policy 
                    <bold>OR</bold>
                     Note the interests of the Customer [and its Affiliates] on such policy];
                  </paratext>
                </para>
              </subclause2>
              <subclause2 id="a475900">
                <identifier>(b)</identifier>
                <para>
                  <paratext>waive any right of subrogation of the insurers against the Customer or any of its Affiliates and their respective agents, officers and employees;</paratext>
                </para>
              </subclause2>
              <subclause2 id="a586554">
                <identifier>(c)</identifier>
                <para>
                  <paratext>be primary and without right of contribution from other insurance which may be available to the Customer or any of its Affiliates; and</paratext>
                </para>
              </subclause2>
              <subclause2 id="a398097">
                <identifier>(d)</identifier>
                <para>
                  <paratext>prohibit the lapse of or any cancellation or non-renewal of such insurance, without the prior consent in writing of the Customer.]</paratext>
                </para>
              </subclause2>
            </subclause1>
          </clause>
          <clause id="a954947">
            <identifier>36.</identifier>
            <head align="left" preservecase="true">
              <headtext>Assignment</headtext>
            </head>
            <drafting.note id="a338418" jurisdiction="">
              <head align="left" preservecase="true">
                <headtext>Assignment</headtext>
              </head>
              <division id="a000126" level="1">
                <para>
                  <paratext>
                    See 
                    <link href="w-001-1658" style="ACTLinkPLCtoPLC">
                      <ital>Standard clause, Assignment</ital>
                    </link>
                    .
                  </paratext>
                </para>
                <para>
                  <paratext>
                    See 
                    <internal.reference refid="a279378">Drafting note, Consequences for licensors and licensees in the light of UsedSoft decision</internal.reference>
                     in 
                    <internal.reference refid="a805772">Drafting note, About this document</internal.reference>
                    , in particular the commentary on contractual provisions against transfer contained in the resources referred to there.
                  </paratext>
                </para>
                <para>
                  <paratext>
                    Subcontracting is likely to come under closer scrutiny as a result of the 
                    <link href="2-607-4606" style="ACTLinkPLCtoPLC">
                      <ital>Modern Slavery Act 2015</ital>
                    </link>
                     (MSA). For more information on the MSA, see 
                    <ital> </ital>
                    <link href="8-618-8657" style="ACTLinkPLCtoPLC">
                      <ital>Modern Slavery Act 2015 toolkit</ital>
                    </link>
                    .
                  </paratext>
                </para>
              </division>
            </drafting.note>
            <subclause1 id="a694782">
              <identifier>36.1</identifier>
              <para>
                <paratext>The Customer may at any time assign, mortgage, charge, subcontract, delegate, declare a trust over or deal in any other manner with any or all of its rights and obligations under this agreement[, provided that it gives prior written notice of such dealing to the Supplier.</paratext>
              </para>
            </subclause1>
            <subclause1 id="a489363">
              <identifier>36.2</identifier>
              <para>
                <paratext>The Supplier shall not assign, transfer, mortgage, charge, subcontract, delegate, declare a trust over or deal in any other manner with any of its rights and obligations under this agreement.</paratext>
              </para>
            </subclause1>
          </clause>
          <clause id="a651930">
            <identifier>37.</identifier>
            <head align="left" preservecase="true">
              <headtext>Duration</headtext>
            </head>
            <drafting.note id="a909380" jurisdiction="">
              <head align="left" preservecase="true">
                <headtext>Duration</headtext>
              </head>
              <division id="a000127" level="1">
                <para>
                  <paratext>Suppliers often rely on maintenance fees for a regular cash-flow, so require at least a minimum period of maintenance and a fairly long period of notice if the customer decides to terminate the maintenance agreement. However, customers should avoid being tied to the supplier for maintenance indefinitely, and need the right to terminate very quickly if the supplier fails to provide maintenance at all, or to provide it to an adequate standard or in a timely fashion.</paratext>
                </para>
                <para>
                  <paratext>Consider whether you need to make the operation of the agreement retrospective, for example, in relation to the confidentiality obligations.</paratext>
                </para>
              </division>
            </drafting.note>
            <subclause1 id="a370090">
              <identifier>37.1</identifier>
              <para>
                <paratext>
                  This agreement shall, subject to 
                  <internal.reference refid="a243752">clause 37.2</internal.reference>
                  , commence on the Commencement Date and shall continue, unless terminated earlier in accordance with 
                  <internal.reference refid="a186131">clause 38</internal.reference>
                  , until the Work has been completed.
                </paratext>
              </para>
            </subclause1>
            <subclause1 id="a243752">
              <identifier>37.2</identifier>
              <para>
                <paratext>
                  The Support Services shall commence on the Support Commencement Date and shall continue until the Support Services are terminated in accordance with 
                  <internal.reference refid="a474862">clause 38.5(b)</internal.reference>
                  , unless terminated earlier in accordance with any of the other provisions of 
                  <internal.reference refid="a186131">clause 38</internal.reference>
                  .
                </paratext>
              </para>
            </subclause1>
            <subclause1 id="a619425">
              <identifier>37.3</identifier>
              <para>
                <paratext>
                  The Licence shall commence on the Commencement Date and shall continue in force until termination in accordance with this agreement, including 
                  <internal.reference refid="a186131">clause 38</internal.reference>
                  .
                </paratext>
              </para>
            </subclause1>
          </clause>
          <clause id="a186131">
            <identifier>38.</identifier>
            <head align="left" preservecase="true">
              <headtext>Termination</headtext>
            </head>
            <drafting.note id="a348251" jurisdiction="">
              <head align="left" preservecase="true">
                <headtext>Termination</headtext>
              </head>
              <division id="a000128" level="1">
                <para>
                  <paratext>This agreement covers three main supply obligations which are treated separately but are likely to be interlinked:</paratext>
                </para>
                <list type="bulleted">
                  <list.item>
                    <para>
                      <paratext>The provision of software development and system integration services.</paratext>
                    </para>
                  </list.item>
                  <list.item>
                    <para>
                      <paratext>The licensing of software (which may be pre-existing or still to be developed).</paratext>
                    </para>
                  </list.item>
                  <list.item>
                    <para>
                      <paratext>The provision of basic support services.</paratext>
                    </para>
                  </list.item>
                </list>
                <para>
                  <paratext>As such, the parties will need to consider how termination of one supply obligation will impact the others.</paratext>
                </para>
                <para>
                  <paratext>
                    <internal.reference refid="a186131">Clause 38</internal.reference>
                     has been drafted on the basis that:
                  </paratext>
                </para>
                <list type="bulleted">
                  <list.item>
                    <para>
                      <paratext>
                        Any termination of the main agreement (which is primary concerned with software development and systems integration) should not necessarily terminate the customer's right to use any software already developed and provided to it (under the licence granted under 
                        <internal.reference refid="a616533">clause 18.1</internal.reference>
                        ) or any support services being paid for, separately, in relation to that software.
                      </paratext>
                    </para>
                  </list.item>
                  <list.item>
                    <para>
                      <paratext>Any termination of the customer's licence to use the software should necessarily terminate the agreement and the support services, because they would be redundant without the customer first having the right to use the software.</paratext>
                    </para>
                  </list.item>
                </list>
                <para>
                  <paratext>However, the parties will need to consider whether the assumptions above are correct, bearing in mind the project being contemplated. Where the customer is expected to pay an additional value for the software licence (over and above the price of the development works) it may be easier for the customer to argue that the position above is fair. Otherwise, the supplier may argue that a breach of the customer's obligation to pay for certain development works should entitle the supplier to terminate the underlying licence as well as the development services.</paratext>
                </para>
                <para>
                  <paratext>The position of each party will likely depend on:</paratext>
                </para>
                <list type="bulleted">
                  <list.item>
                    <para>
                      <paratext>How each of the work streams has being valued, and how they are being paid for.</paratext>
                    </para>
                  </list.item>
                  <list.item>
                    <para>
                      <paratext>How interconnected each work stream is (for example, is the overall solution dependant on the successful completion of the development work, or would the solution still work even if the contemplated development work is unsuccessful?).</paratext>
                    </para>
                  </list.item>
                  <list.item>
                    <para>
                      <paratext>Whether the customer would be permitted to take any partially completed development work and appoint a replacement supplier to complete the project.</paratext>
                    </para>
                  </list.item>
                </list>
                <para>
                  <paratext>
                    When drafting termination provisions the customer should also consider whether it requires materials to be held in escrow, and released upon termination, to enable (for example) another supplier to take over the project in future (see 
                    <internal.reference refid="a765168">Drafting note, Source Code and Escrow</internal.reference>
                    ).
                  </paratext>
                </para>
                <division id="a979633" level="2">
                  <head align="left" preservecase="true">
                    <headtext>TUPE liabilities on termination</headtext>
                  </head>
                  <para>
                    <paratext>
                      The parties should consider the possible impact of the 
                      <link href="2-505-5915" style="ACTLinkPLCtoPLC">
                        <ital>Transfer of Undertakings (Protection of Employment) Regulations 2006 (SI 2006/246)</ital>
                      </link>
                       (TUPE) on exit in the (unlikely but conceivable) event that one (or more) of the supplier's employees is sufficiently dedicated to supporting the customer to transfer to the customer or a new supplier when the contract comes to an end. The customer may seek an indemnity from the supplier to cover this position. For further information, see 
                      <link href="8-204-4041" style="ACTLinkPLCtoPLC">
                        <ital>Practice notes, TUPE (3): service provision changes</ital>
                      </link>
                       and 
                      <link href="4-384-9856" style="ACTLinkPLCtoPLC">
                        <ital>Outsourcing agreements: drafting and negotiating employment indemnities and warranties</ital>
                      </link>
                      .
                    </paratext>
                  </para>
                </division>
                <division id="a795159" level="2">
                  <head align="left" preservecase="true">
                    <headtext>Transitional services</headtext>
                  </head>
                  <para>
                    <paratext>
                      The overriding concern of the customer on termination is that the services must continue. IT services cannot be switched off and on in one day. Transition takes time and requires co-operation from the supplier. The bargaining leverage shifts to the supplier as soon as the services commence. Accordingly, there must be an extended period for provision of the services (see 
                      <internal.reference refid="a611225">clause 38.14(d)</internal.reference>
                      ), particularly in the event of fault-based termination so that the customer is not caught short.
                    </paratext>
                  </para>
                </division>
                <division id="a266152" level="2">
                  <head align="left" preservecase="true">
                    <headtext>Other matters to consider</headtext>
                  </head>
                  <para>
                    <paratext>
                      There are various matters of general administration, including the return of software and confidential information (see 
                      <internal.reference refid="a124050">clause 38.7</internal.reference>
                      , 
                      <internal.reference refid="a238735">clause 38.13</internal.reference>
                       and 
                      <internal.reference refid="a363058">clause 38.14</internal.reference>
                      ).
                    </paratext>
                  </para>
                  <para>
                    <paratext>
                      Grounds for termination can be for convenience, that is, without cause, (this is unusual in development projects, but relevant regarding maintenance and support arrangements), for cause (for example, default) or neutral, that is, force majeure (see 
                      <internal.reference refid="a514569">clause 47</internal.reference>
                      ).
                    </paratext>
                  </para>
                  <para>
                    <paratext>The grounds for termination, as drafted in this standard document, include material or persistent breach. Overriding the contractual terms is the doctrine of fundamental breach which in appropriate circumstances the customer might wish to invoke, bearing in mind that purporting to terminate on this ground when not justified in the circumstances may lead to the customer being in breach.</paratext>
                  </para>
                  <para>
                    <paratext>
                      For further guidance on termination, see 
                      <link href="3-107-4673" style="ACTLinkPLCtoPLC">
                        <ital>Standard clause, Termination</ital>
                      </link>
                       and associated drafting notes, including information on the 
                      <link href="w-026-2452" style="ACTLinkPLCtoPLC">
                        <ital>Corporate Insolvency and Governance Act 2020</ital>
                      </link>
                      , which came into force on 26 June 2020. See also 
                      <link href="w-025-9457" style="ACTLinkPLCtoPLC">
                        <ital>Practice note, Restrictions on terminating supply contracts in insolvency proceedings</ital>
                      </link>
                       and, in particular, 
                      <link anchor="a557921" href="w-025-9457" style="ACTLinkPLCtoPLC">
                        <ital>What is a contract for the supply of goods and services?</ital>
                      </link>
                       and the commentary around 
                      <link anchor="a387269" href="w-025-9457" style="ACTLinkPLCtoPLC">
                        <ital>Software licence agreements</ital>
                      </link>
                       and 
                      <link anchor="a776693" href="w-025-9457" style="ACTLinkPLCtoPLC">
                        <ital>Intellectual property licence agreements</ital>
                      </link>
                      .
                    </paratext>
                  </para>
                  <para>
                    <paratext>
                      Clauses dealing with change of control (see 
                      <internal.reference refid="a238391">clause 38.5(a)</internal.reference>
                      ) require care. Refer to the definition of control and ensure that it is appropriate in this context as well as its use in relation to the definition of affiliate.
                    </paratext>
                  </para>
                  <para>
                    <paratext>
                      Check each of the provisions of the agreement that are to survive termination under 
                      <internal.reference refid="a369287">clause 38.10</internal.reference>
                      .
                    </paratext>
                  </para>
                </division>
              </division>
            </drafting.note>
            <subclause1 id="a767464">
              <identifier>38.1</identifier>
              <para>
                <paratext>Without affecting any other right or remedy available to it, either party may terminate this agreement with immediate effect by giving [written] notice to the other party if:</paratext>
              </para>
              <subclause2 condition="optional" id="a931085">
                <identifier>(a)</identifier>
                <para>
                  <paratext>the other party fails to pay any amount due under this agreement on the due date for payment and remains in default not less than [NUMBER] days after being notified [in writing] to make such payment;</paratext>
                </para>
              </subclause2>
              <subclause2 id="a946557">
                <identifier>(b)</identifier>
                <para>
                  <paratext>the other party commits a material breach of any [other] term of this agreement and (if such breach is remediable) fails to remedy that breach within a period of [NUMBER] days after being notified [in writing] to do so;</paratext>
                </para>
              </subclause2>
              <subclause2 condition="optional" id="a179411">
                <identifier>(c)</identifier>
                <para>
                  <paratext>the other party repeatedly breaches any of the terms of this agreement in such a manner as to reasonably justify the opinion that its conduct is inconsistent with it having the intention or ability to give effect to the terms of this agreement;</paratext>
                </para>
              </subclause2>
              <subclause2 id="a701089">
                <identifier>(d)</identifier>
                <para>
                  <paratext>
                    the other party suspends, or threatens to suspend, payment of its debts or is unable to pay its debts as they fall due or admits inability to pay its debts or [(being a company or limited liability partnership) is deemed unable to pay its debts within the meaning of section 123 of the Insolvency Act 1986 (
                    <bold>IA 1986</bold>
                    ) as if the words "it is proved to the satisfaction of the court" did not appear in sections 123(1)(e) or 123(2) of the IA 1986 
                    <bold>OR</bold>
                     (being an individual) is deemed either unable to pay its debts or as having no reasonable prospect of so doing, in either case, within the meaning of section 268 of the IA 1986 
                    <bold>OR</bold>
                     (being a partnership) has any partner to whom any of the foregoing apply];
                  </paratext>
                </para>
              </subclause2>
              <subclause2 id="a840178">
                <identifier>(e)</identifier>
                <para>
                  <paratext>the other party commences negotiations with all or any class of its creditors with a view to rescheduling any of its debts, or makes a proposal for or enters into any compromise or arrangement with its creditors [other than (being a company) for the sole purpose of a scheme for a solvent amalgamation of that other party with one or more other companies or the solvent reconstruction of that other party];</paratext>
                </para>
              </subclause2>
              <subclause2 id="a912514">
                <identifier>(f)</identifier>
                <para>
                  <paratext>the other party applies to court for, or obtains, a moratorium under Part A1 of the Insolvency Act 1986;</paratext>
                </para>
              </subclause2>
              <subclause2 id="a168003">
                <identifier>(g)</identifier>
                <para>
                  <paratext>a petition is filed, a notice is given, a resolution is passed, or an order is made, for or in connection with the winding up of the other party (being a company, limited liability partnership or partnership) [other than for the sole purpose of a scheme for a solvent amalgamation of that other party with one or more other companies or the solvent reconstruction of that other party];</paratext>
                </para>
              </subclause2>
              <subclause2 id="a841639">
                <identifier>(h)</identifier>
                <para>
                  <paratext>an application is made to court, or an order is made, for the appointment of an administrator or if a notice of intention to appoint an administrator is given or if an administrator is appointed over the other party (being a company, partnership or limited liability partnership);</paratext>
                </para>
              </subclause2>
              <subclause2 id="a443845">
                <identifier>(i)</identifier>
                <para>
                  <paratext>the holder of a qualifying floating charge over the assets of that other party (being a company or limited liability partnership) has become entitled to appoint or has appointed an administrative receiver;</paratext>
                </para>
              </subclause2>
              <subclause2 id="a775605">
                <identifier>(j)</identifier>
                <para>
                  <paratext>a person becomes entitled to appoint a receiver over all or any of the assets of the other party or a receiver is appointed over all or any of the assets of the other party;</paratext>
                </para>
              </subclause2>
              <subclause2 id="a834678">
                <identifier>(k)</identifier>
                <para>
                  <paratext>a creditor or encumbrancer of the other party attaches or takes possession of, or a distress, execution, sequestration or other such process is levied or enforced on or sued against, the whole or any part of its assets and such attachment or process is not discharged within [14] days;</paratext>
                </para>
              </subclause2>
              <subclause2 id="a493181">
                <identifier>(l)</identifier>
                <para>
                  <paratext>
                    any event occurs, or proceeding is taken, with respect to the other party in any jurisdiction to which it is subject that has an effect equivalent or similar to any of the events mentioned in 
                    <internal.reference refid="a701089">clause 38.1(d)</internal.reference>
                     to 
                    <internal.reference refid="a834678">clause 38.1(k)</internal.reference>
                     (inclusive);
                  </paratext>
                </para>
              </subclause2>
              <subclause2 id="a627252">
                <identifier>(m)</identifier>
                <para>
                  <paratext>the other party suspends or ceases, or threatens to suspend or cease, carrying on all or a substantial part of its business[; or]</paratext>
                </para>
              </subclause2>
              <subclause2 id="a938245">
                <identifier>(n)</identifier>
                <para>
                  <paratext>the other party's financial position deteriorates so far as to reasonably justify the opinion that its ability to give effect to the terms of this agreement is in jeopardy[; or]</paratext>
                </para>
              </subclause2>
              <subclause2 condition="optional" id="a267891">
                <identifier>(o)</identifier>
                <para>
                  <paratext>there is a change of control of the other party [(within the meaning of section 1124 of the Corporation Tax Act 2010)][; or];</paratext>
                </para>
              </subclause2>
              <subclause2 condition="optional" id="a769837">
                <identifier>(p)</identifier>
                <para>
                  <paratext>any warranty given by the other party in clause [NUMBER] of this agreement is found to be untrue or misleading.</paratext>
                </para>
              </subclause2>
            </subclause1>
            <subclause1 id="a750974">
              <identifier>38.2</identifier>
              <para>
                <paratext>
                  For the purposes of 
                  <internal.reference refid="a931085">clause 38.1(a)</internal.reference>
                  , a 
                  <bold>material breach</bold>
                   means:
                </paratext>
              </para>
              <subclause2 id="a476538">
                <identifier>(a)</identifier>
                <para>
                  <paratext>a breach of any of the obligations set out in clauses [NUMBERS]; or</paratext>
                </para>
              </subclause2>
              <subclause2 id="a592311">
                <identifier>(b)</identifier>
                <para>
                  <paratext>a breach that has a serious effect on the benefit the terminating party would otherwise derive from this agreement [over any [NUMBER] month period during its term].</paratext>
                </para>
              </subclause2>
            </subclause1>
            <subclause1 id="a121135">
              <identifier>38.3</identifier>
              <para>
                <paratext>
                  Where the ground for termination under 
                  <internal.reference refid="a767464">clause 38.1</internal.reference>
                   relates to the Support Services or the Licence, the party entitled to terminate may terminate the Support Services or the Licence (respectively).
                </paratext>
              </para>
            </subclause1>
            <subclause1 id="a855453">
              <identifier>38.4</identifier>
              <para>
                <paratext>
                  Either party may terminate this agreement [or the Support Services (or both)] in accordance with 
                  <internal.reference refid="a514569">clause 47</internal.reference>
                   .
                </paratext>
              </para>
            </subclause1>
            <subclause1 id="a626378">
              <identifier>38.5</identifier>
              <para>
                <paratext>The Customer may terminate:</paratext>
              </para>
              <subclause2 id="a238391">
                <identifier>(a)</identifier>
                <para>
                  <paratext>
                    this agreement [or the Support Services (or both)] immediately by written notice to the Customer if there is any change of Control of the Supplier or under 
                    <internal.reference refid="a874932">clause 10.3(c)</internal.reference>
                     or 
                    <internal.reference refid="a131936">clause 12.4(c)</internal.reference>
                    ;
                  </paratext>
                </para>
              </subclause2>
              <subclause2 id="a474862">
                <identifier>(b)</identifier>
                <para>
                  <paratext>the Support Services at or after the expiry of [three] year[s] from the Support Commencement Date by giving at least 90 days' prior written notice; and</paratext>
                </para>
              </subclause2>
              <subclause2 id="a671109">
                <identifier>(c)</identifier>
                <para>
                  <paratext>
                    terminate this agreement with immediate effect by giving written notice to the Supplier if the Supplier commits a breach of its obligation in 
                    <internal.reference refid="a415450">clause 32.11</internal.reference>
                    .
                  </paratext>
                </para>
              </subclause2>
            </subclause1>
            <subclause1 id="a295163">
              <identifier>38.6</identifier>
              <para>
                <paratext>
                  The Customer may terminate the Licence at any time by giving written notice to the Supplier and by complying with 
                  <internal.reference refid="a124050">clause 38.7</internal.reference>
                  .
                </paratext>
              </para>
            </subclause1>
            <subclause1 id="a124050">
              <identifier>38.7</identifier>
              <para>
                <paratext>
                  On termination of the Licence, the Customer shall either return to the Supplier or, at the Supplier's option, destroy all physical copies of the Licensed Software and Documentation, and shall ensure that any digital copies of the Licensed Software and Documentation on hard discs or other storage means associated with any computer equipment owned or controlled by the Customer are permanently deleted. Any digital copies shall be considered permanently deleted, for the purposes of this 
                  <internal.reference refid="a124050">clause 38.7</internal.reference>
                   where they have been put beyond use by the Customer.
                </paratext>
              </para>
            </subclause1>
            <subclause1 id="a845711">
              <identifier>38.8</identifier>
              <para>
                <paratext>This agreement shall automatically terminate on termination or expiry of the Licence, but the expiry or termination of this agreement (however caused) shall not automatically terminate the Licence or the Support Services. Any provisions of this agreement which relate to the Licence or the Support Services shall remain in full force and effect until the expiry or termination of the Licence or the Support Services (respectively).</paratext>
              </para>
            </subclause1>
            <subclause1 id="a528325">
              <identifier>38.9</identifier>
              <para>
                <paratext>Other than as set out in this agreement, neither party shall have any further obligation to the other under this agreement after its termination.</paratext>
              </para>
            </subclause1>
            <subclause1 id="a369287">
              <identifier>38.10</identifier>
              <para>
                <paratext>
                  Any provision of this agreement which expressly or by implication is intended to come into or continue in force on or after termination of this agreement, including 
                  <internal.reference refid="a458370">clause 1</internal.reference>
                  , 
                  <internal.reference refid="a542011">clause 17</internal.reference>
                  , 
                  <internal.reference refid="a175838">clause 27</internal.reference>
                   to 
                  <internal.reference refid="a426040">clause 35</internal.reference>
                  , and 
                  <internal.reference refid="a186131">clause 38</internal.reference>
                   shall remain in full force and effect.
                </paratext>
              </para>
            </subclause1>
            <subclause1 id="a914332">
              <identifier>38.11</identifier>
              <para>
                <paratex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paratext>
              </para>
            </subclause1>
            <subclause1 id="a936675">
              <identifier>38.12</identifier>
              <para>
                <paratext>
                  Notwithstanding its obligations in this 
                  <internal.reference refid="a186131">clause 38</internal.reference>
                  , if a party is required by any law, regulation, or government or regulatory body to retain any documents or materials containing the other party's Confidential Information, it shall notify the other party in writing of such retention, giving details of the documents and/or materials that it must retain.
                </paratext>
              </para>
            </subclause1>
            <subclause1 id="a238735">
              <identifier>38.13</identifier>
              <para>
                <paratext>On termination of this agreement for any reason, each party shall as soon as reasonably practicable:</paratext>
              </para>
              <subclause2 id="a760245">
                <identifier>(a)</identifier>
                <para>
                  <paratext>
                    return, destroy or permanently delete (as directed in writing by the other party) any documents, handbooks, CD-ROMs or DVDs or other information or data provided to it by the other party containing, reflecting, incorporating or based on Confidential Information belonging to the other party. If required by the other party, it shall provide written evidence (in the form of a letter signed by its [TITLE OF RELEVANT OFFICER]) no later than [NUMBER] days after termination of this agreement that these have been destroyed and that it has not retained any copies of them (except for one copy that it may use for audit purposes only and subject to the confidentiality obligations in 
                    <internal.reference refid="a175838">clause 27</internal.reference>
                    ), provided that the Customer may retain copies of any Supplier Confidential Information incorporated into the Supplier Software or to the extent necessary to allow it to make full use of the Services and any rights granted under any Licence or Third-Party Licence which is still in force;
                  </paratext>
                </para>
              </subclause2>
              <subclause2 id="a278794">
                <identifier>(b)</identifier>
                <para>
                  <paratext>permanently delete any proprietary software belonging to the other party and not the subject of a current licence granted by the other party from its IT network and hard disks or other storage means associated with any computer equipment owned or controlled by the other party. Each party shall provide written confirmation (in the form of a letter signed by its [TITLE OF RELEVANT OFFICER]) no later than [NUMBER] days after termination of this agreement that this software has been deleted;</paratext>
                </para>
              </subclause2>
              <subclause2 id="a868320">
                <identifier>(c)</identifier>
                <para>
                  <paratext>
                    subject to 
                    <internal.reference refid="a363058">clause 38.14</internal.reference>
                    , return all of the other party's equipment and materials, failing which, the other party may enter the relevant premises and take possession of them. Until these are returned or repossessed, [the party in possession] shall be solely responsible for their safe-keeping,
                  </paratext>
                </para>
              </subclause2>
              <para>
                <paratext>
                  and any electronic data shall be considered deleted, for the purposes of this 
                  <internal.reference refid="a238735">clause 38.13</internal.reference>
                   where it has been put beyond use by the deleting party.
                </paratext>
              </para>
              <drafting.note id="a248729" jurisdiction="">
                <head align="left" preservecase="true">
                  <headtext>Deletion of electronic data</headtext>
                </head>
                <division id="a000129" level="1">
                  <para>
                    <paratext>It can be difficult for organisations to agree to "delete" electronic data. The word ‘deletion’ can mean different things in relation to electronic data, and it is recognised that it is not always possible to delete or erase all traces of the data. As the ICO (the UK's data protection authority) has opined that the term "deletion", in relation to personal data, should be taken to mean ensuring that the data is beyond use, we consider this is a reasonable deletion standard to use in most circumstances. If it is appropriate to delete personal data from a live system, we recommend that a party should also be expected to delete it from any back-up of the information on that system, and the parties may prefer for this to be made explicit as part of the deletion obligation.</paratext>
                  </para>
                </division>
              </drafting.note>
            </subclause1>
            <subclause1 id="a363058">
              <identifier>38.14</identifier>
              <para>
                <paratext>On termination of this agreement for any reason, the Supplier shall:</paratext>
              </para>
              <subclause2 id="a638184">
                <identifier>(a)</identifier>
                <para>
                  <paratext>promptly refund such portion of the Price or Support Charges (as the case may be) as relates to the period after expiry or termination on a pro rata basis;</paratext>
                </para>
              </subclause2>
              <subclause2 id="a948554">
                <identifier>(b)</identifier>
                <para>
                  <paratext>
                    as soon as reasonably practicable, deliver to the Customer all drawings, designs, plans, specifications, programs (including source codes) or other documentation, goods and supplies that it has agreed to supply under this agreement and which exist at the date of termination, whether or not complete, subject to the rights of ownership and use agreed in 
                    <internal.reference refid="a542011">clause 17</internal.reference>
                    . If the Supplier fails to deliver these materials in accordance with this 
                    <internal.reference refid="a363058">clause 38.14</internal.reference>
                     the Customer shall be entitled to enter the premises of the Supplier to take possession of them. Until they have been returned or repossessed, the Supplier shall be solely responsible for their safe-keeping;
                  </paratext>
                </para>
              </subclause2>
              <subclause2 id="a123521">
                <identifier>(c)</identifier>
                <para>
                  <paratext>as soon as reasonably practicable, vacate the Customer's premises leaving them clean and tidy and removing any goods, materials or equipment belonging to it. Any goods, materials or equipment that have not been removed after [NUMBER] days after termination of this agreement may be disposed of by the Customer as it thinks fit;</paratext>
                </para>
              </subclause2>
              <subclause2 id="a611225">
                <identifier>(d)</identifier>
                <para>
                  <paratext>
                    assist the Customer [and its Affiliates] and/or the replacement supplier to the extent reasonably required to facilitate the smooth migration of the services to the Customer or the replacement supplier. If termination is by the Customer in accordance with 
                    <internal.reference refid="a767464">clause 38.1</internal.reference>
                    , 
                    <internal.reference refid="a855453">clause 38.4</internal.reference>
                     or 
                    <internal.reference refid="a626378">clause 38.5</internal.reference>
                     such co-operation and assistance shall be provided at no cost to the Customer. In all other cases, the Supplier may charge a reasonable sum to cover the cost of providing such co-operation and assistance;
                  </paratext>
                </para>
              </subclause2>
              <subclause2 id="a773353">
                <identifier>(e)</identifier>
                <para>
                  <paratext>during Normal Working Hours, provide access to the Customer [and its Affiliates] and any replacement supplier for up to [NUMBER] months after termination of this agreement to such information relating to [DETAILS] that remains in the possession or control of the Supplier;</paratext>
                </para>
              </subclause2>
              <subclause2 id="a854361">
                <identifier>(f)</identifier>
                <para>
                  <paratext>use all reasonable endeavours, at the Customer's request, to assign or novate, whether in favour of the Customer or any alternative supplier, any contract for services between the Supplier and any third party performing any part of the Services and the Supplier shall use its reasonable endeavours to ensure that the contract for services of any individual performing any part of the Services will include a novation or assignment clause allowing the novation or assignment of the contract to the Customer or an alternative supplier;</paratext>
                </para>
              </subclause2>
              <subclause2 id="a761214">
                <identifier>(g)</identifier>
                <para>
                  <paratext>procure that a written record of all Tools shall be delivered promptly to Customer; and</paratext>
                </para>
              </subclause2>
              <subclause2 id="a207746">
                <identifier>(h)</identifier>
                <para>
                  <paratext>
                    verify in writing to the Customer that it has complied with the requirements of this 
                    <internal.reference refid="a363058">clause 38.14</internal.reference>
                    .
                  </paratext>
                </para>
              </subclause2>
            </subclause1>
            <subclause1 id="a197113">
              <identifier>38.15</identifier>
              <para>
                <paratext>The Customer shall not in any circumstances be liable to the Supplier for redundancy payments and staff termination costs arising from termination or expiry of this agreement.</paratext>
              </para>
            </subclause1>
          </clause>
          <clause id="a132055">
            <identifier>39.</identifier>
            <head align="left" preservecase="true">
              <headtext>Waiver</headtext>
            </head>
            <drafting.note id="a810947" jurisdiction="">
              <head align="left" preservecase="true">
                <headtext>Waiver</headtext>
              </head>
              <division id="a000130" level="1">
                <para>
                  <paratext>For information on this clause, see:</paratext>
                </para>
                <list type="bulleted">
                  <list.item>
                    <para>
                      <paratext>
                        The drafting notes in 
                        <link href="http://www.practicallaw.com/0-107-3806" style="ACTLinkURL">
                          <ital>Standard clause, Waiver</ital>
                        </link>
                        .
                      </paratext>
                    </para>
                  </list.item>
                  <list.item>
                    <para>
                      <paratext>
                        <link anchor="a947318" href="http://www.practicallaw.com/w-014-1583" style="ACTLinkURL">
                          <ital>Practice note, Boilerplate: do I really need this clause and why? : Waiver</ital>
                        </link>
                      </paratext>
                    </para>
                  </list.item>
                </list>
              </division>
            </drafting.note>
            <subclause1 id="a563418">
              <identifier>39.1</identifier>
              <para>
                <paratext>A waiver of any right or remedy is only effective if given in writing [and shall not be deemed a waiver of any subsequent right or remedy].</paratext>
              </para>
            </subclause1>
            <subclause1 id="a681101">
              <identifier>39.2</identifier>
              <para>
                <paratext>A delay or failure to exercise, or the single or partial exercise of, any right or remedy shall not waive that or any other right or remedy, nor shall it prevent or restrict the further exercise of that or any other right or remedy.</paratext>
              </para>
            </subclause1>
          </clause>
          <clause id="a561766">
            <identifier>40.</identifier>
            <head align="left" preservecase="true">
              <headtext>Remedies</headtext>
            </head>
            <drafting.note id="a711164" jurisdiction="">
              <head align="left" preservecase="true">
                <headtext>Remedies</headtext>
              </head>
              <division id="a000131" level="1">
                <para>
                  <paratext>
                    For information on remedies clauses, see the integrated drafting notes to 
                    <link href="2-203-0725" style="ACTLinkPLCtoPLC">
                      <ital>Standard clause, Rights and remedies</ital>
                    </link>
                    .
                  </paratext>
                </para>
              </division>
            </drafting.note>
            <subclause1 id="a924943">
              <para>
                <paratext>Except as expressly provided in this agreement, the rights and remedies provided under this agreement are in addition to, and not exclusive of, any rights or remedies provided by law.</paratext>
              </para>
            </subclause1>
          </clause>
          <clause id="a752512">
            <identifier>41.</identifier>
            <head align="left" preservecase="true">
              <headtext>Variation</headtext>
            </head>
            <drafting.note id="a738387" jurisdiction="">
              <head align="left" preservecase="true">
                <headtext>Variation</headtext>
              </head>
              <division id="a000132" level="1">
                <para>
                  <paratext>
                    For information on variation clauses, see the integrated drafting notes to 
                    <link href="3-107-3838" style="ACTLinkPLCtoPLC">
                      <ital>Standard clause, Variation</ital>
                    </link>
                    .
                  </paratext>
                </para>
              </division>
            </drafting.note>
            <subclause1 id="a716881">
              <para>
                <paratext>No variation of this agreement shall be effective unless it is in writing and signed by the parties (or their authorised representatives).</paratext>
              </para>
            </subclause1>
          </clause>
          <clause id="a640117">
            <identifier>42.</identifier>
            <head align="left" preservecase="true">
              <headtext>Entire agreement</headtext>
            </head>
            <drafting.note id="a885142" jurisdiction="">
              <head align="left" preservecase="true">
                <headtext>Entire agreement</headtext>
              </head>
              <division id="a000133" level="1">
                <para>
                  <paratext>For more information on this clause, see:</paratext>
                </para>
                <list type="bulleted">
                  <list.item>
                    <para>
                      <paratext>
                        The drafting notes in 
                        <link href="http://www.practicallaw.com/2-107-3834" style="ACTLinkURL">
                          <ital>Standard clause, Entire agreement</ital>
                        </link>
                        .
                      </paratext>
                    </para>
                  </list.item>
                  <list.item>
                    <para>
                      <paratext>
                        <link anchor="a102696" href="http://www.practicallaw.com/w-014-1583" style="ACTLinkURL">
                          <ital>Practice note, Boilerplate: do I really need this clause and why?: Entire agreement</ital>
                        </link>
                        <ital>.</ital>
                      </paratext>
                    </para>
                  </list.item>
                </list>
              </division>
            </drafting.note>
            <subclause1 id="a513539">
              <identifier>42.1</identifier>
              <para>
                <paratext>This agreement constitutes the entire agreement between the parties.</paratext>
              </para>
            </subclause1>
            <subclause1 id="a534517">
              <identifier>42.2</identifier>
              <para>
                <paratext>Each party acknowledges that in entering into this agreement it does not rely on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paratext>
              </para>
            </subclause1>
          </clause>
          <clause id="a948587">
            <identifier>43.</identifier>
            <head align="left" preservecase="true">
              <headtext>Severance</headtext>
            </head>
            <drafting.note id="a361136" jurisdiction="">
              <head align="left" preservecase="true">
                <headtext>Severance</headtext>
              </head>
              <division id="a000134" level="1">
                <para>
                  <paratext>
                    For information on severance clauses, see the integrated drafting notes to 
                    <link href="9-107-3840" style="ACTLinkPLCtoPLC">
                      <ital>Standard clause, Severance</ital>
                    </link>
                    .
                  </paratext>
                </para>
              </division>
            </drafting.note>
            <subclause1 id="a502538">
              <identifier>43.1</identifier>
              <para>
                <paratex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paratext>
              </para>
            </subclause1>
            <subclause1 id="a768805">
              <identifier>43.2</identifier>
              <para>
                <paratext>If [one party gives notice to the other of the possibility that] any provision or part-provision of this agreement is invalid, illegal or unenforceable, the parties shall negotiate in good faith to amend such provision so that, as amended, it is legal, valid and enforceable, and, to the greatest extent possible, achieves the intended commercial result of the original provision.</paratext>
              </para>
            </subclause1>
          </clause>
          <clause id="a651085">
            <identifier>44.</identifier>
            <head align="left" preservecase="true">
              <headtext>Counterparts</headtext>
            </head>
            <drafting.note id="a431801" jurisdiction="">
              <head align="left" preservecase="true">
                <headtext>Counterparts</headtext>
              </head>
              <division id="a000135" level="1">
                <para>
                  <paratext>
                    For information on counterparts clauses, see the integrated drafting notes to 
                    <link href="1-107-3844" style="ACTLinkPLCtoPLC">
                      <ital>Standard clause, Counterparts</ital>
                    </link>
                    .
                  </paratext>
                </para>
              </division>
            </drafting.note>
            <subclause1 id="a925844">
              <para>
                <paratext>This agreement may be executed in any number of counterparts, each of which shall constitute a duplicate original, but all the counterparts shall together constitute the one agreement.</paratext>
              </para>
            </subclause1>
          </clause>
          <clause id="a437710">
            <identifier>45.</identifier>
            <head align="left" preservecase="true">
              <headtext>Third-party rights</headtext>
            </head>
            <drafting.note id="a975837" jurisdiction="">
              <head align="left" preservecase="true">
                <headtext>Third-party rights</headtext>
              </head>
              <division id="a000136" level="1">
                <para>
                  <paratext>For more information on this clause, see:</paratext>
                </para>
                <para>
                  <paratext>
                    ·The drafting notes in 
                    <link href="6-107-3846" style="ACTLinkPLCtoPLC">
                      <ital>Standard clause, Third party rights</ital>
                    </link>
                    .
                  </paratext>
                </para>
                <para>
                  <paratext>
                    ·
                    <link anchor="a867788" href="w-014-1583" style="ACTLinkPLCtoPLC">
                      <ital>Practice note, Boilerplate: do I really need this clause and why?: Third party rights</ital>
                    </link>
                  </paratext>
                </para>
              </division>
            </drafting.note>
            <subclause1 id="a613660">
              <identifier>45.1</identifier>
              <para>
                <paratext>
                  [Unless it expressly states otherwise, this 
                  <bold>OR </bold>
                  This] agreement does not give rise to any rights under the Contracts (Rights of Third Parties) Act 1999 to enforce any term of this agreement.
                </paratext>
              </para>
            </subclause1>
            <subclause1 condition="optional" id="a189978">
              <identifier>45.2</identifier>
              <para>
                <paratext>The rights of the parties to rescind or vary this agreement are not subject to the consent of any other person.</paratext>
              </para>
            </subclause1>
            <subclause1 id="a453715">
              <identifier>45.3</identifier>
              <para>
                <paratext>It is agreed that it is intended to confer a benefit on the Customer and its Affiliates by making the Supplier Software and Support Services available to them in accordance with this agreement, provided that the rights of such Affiliates under this agreement shall only be enforceable by the Customer on their behalf. The Customer will owe no duty to enforce such rights and it may conduct or compromise any relevant proceedings as it sees fit.</paratext>
              </para>
            </subclause1>
          </clause>
          <clause id="a636552">
            <identifier>46.</identifier>
            <head align="left" preservecase="true">
              <headtext>No partnership or agency</headtext>
            </head>
            <drafting.note id="a142763" jurisdiction="">
              <head align="left" preservecase="true">
                <headtext>No partnership or agency</headtext>
              </head>
              <division id="a000137" level="1">
                <para>
                  <paratext>
                    For information on no partnership or agency clauses, see the integrated drafting notes to 
                    <link href="4-107-3814" style="ACTLinkPLCtoPLC">
                      <ital>Standard clause, No partnership or agency</ital>
                    </link>
                    .
                  </paratext>
                </para>
              </division>
            </drafting.note>
            <subclause1 id="a614496">
              <identifier>46.1</identifier>
              <para>
                <paratext>Nothing in this agreement is intended to, or shall be deemed to, establish any partnership or joint venture between any of the parties, constitute any party the agent of another party, nor authorise any party to make or enter into any commitments for or on behalf of any other party, except as expressly authorised by the Customer or the Supplier (as the case may be).</paratext>
              </para>
            </subclause1>
            <subclause1 id="a338585">
              <identifier>46.2</identifier>
              <para>
                <paratext>The Supplier shall, subject to any express restrictions imposed under this agreement, have complete control of the Work and shall efficiently and competently direct and supervise its employees, agents and subcontractors who are carrying out the Work.</paratext>
              </para>
            </subclause1>
          </clause>
          <clause id="a514569">
            <identifier>47.</identifier>
            <head align="left" preservecase="true">
              <headtext>Force majeure</headtext>
            </head>
            <drafting.note id="a113128" jurisdiction="">
              <head align="left" preservecase="true">
                <headtext>Force majeure</headtext>
              </head>
              <division id="a000138" level="1">
                <para>
                  <paratext>
                    For information on force majeure clauses, see the integrated drafting notes to 
                    <link href="6-107-3808" style="ACTLinkPLCtoPLC">
                      <ital>Standard clause, Force majeure</ital>
                    </link>
                    .
                  </paratext>
                </para>
              </division>
            </drafting.note>
            <subclause1 id="a612944">
              <identifier>47.1</identifier>
              <para>
                <paratext>
                  Neither party shall be in breach of this agreement or otherwise liable for any failure or delay in the performance of its obligations if such delay or failure results from events, circumstances or causes beyond its reasonable control. The time for performance of such obligations shall be extended accordingly. If the period of delay or non-performance continues for [NUMBER] [weeks 
                  <bold>OR</bold>
                   months], the party not affected may terminate this agreement by giving [NUMBER] [days'] written notice to the affected party.
                </paratext>
              </para>
            </subclause1>
          </clause>
          <clause id="a129601">
            <identifier>48.</identifier>
            <head align="left" preservecase="true">
              <headtext>Notices</headtext>
            </head>
            <drafting.note id="a136749" jurisdiction="">
              <head align="left" preservecase="true">
                <headtext>Notices</headtext>
              </head>
              <division id="a000139" level="1">
                <para>
                  <paratext>For more information on this clause, see:</paratext>
                </para>
                <list type="bulleted">
                  <list.item>
                    <para>
                      <paratext>
                        The drafting notes in 
                        <link href="http://www.practicallaw.com/5-107-3842" style="ACTLinkURL">
                          <ital>Standard clauses. Notices</ital>
                        </link>
                        .
                      </paratext>
                    </para>
                  </list.item>
                  <list.item>
                    <para>
                      <paratext>
                        <link href="http://www.practicallaw.com/3-107-3843" style="ACTLinkURL">
                          <ital>Practice note, Notice clauses</ital>
                        </link>
                        .
                      </paratext>
                    </para>
                  </list.item>
                  <list.item>
                    <para>
                      <paratext>
                        <link anchor="a616007" href="http://www.practicallaw.com/w-014-1583" style="ACTLinkURL">
                          <ital>Practice note, Boilerplate: do I really need this clause and why?: Notices</ital>
                        </link>
                        .
                      </paratext>
                    </para>
                  </list.item>
                </list>
              </division>
            </drafting.note>
            <subclause1 id="a984009">
              <identifier>48.1</identifier>
              <para>
                <paratext>Any notice given to a party under or in connection with this contract shall be in writing and shall be:</paratext>
              </para>
              <subclause2 id="a932481">
                <identifier>(a)</identifier>
                <para>
                  <paratext>delivered by hand or by pre-paid first-class post or other next working day delivery service at its registered office (if a company) or its principal place of business (in any other case)[; or]</paratext>
                </para>
              </subclause2>
              <subclause2 id="a394213">
                <identifier>(b)</identifier>
                <para>
                  <paratext>sent by email to the following addresses (or an address substituted in writing by the party to be served):</paratext>
                </para>
                <subclause3 id="a222641">
                  <identifier>(i)</identifier>
                  <para>
                    <paratext>Supplier: [ADDRESS].</paratext>
                  </para>
                </subclause3>
                <subclause3 id="a937131">
                  <identifier>(ii)</identifier>
                  <para>
                    <paratext>Customer: [ADDRESS].</paratext>
                  </para>
                </subclause3>
              </subclause2>
            </subclause1>
            <subclause1 id="a176385">
              <identifier>48.2</identifier>
              <para>
                <paratext>Any notice shall be deemed to have been received:</paratext>
              </para>
              <subclause2 id="a788459">
                <identifier>(a)</identifier>
                <para>
                  <paratext>if delivered by hand, at the time the notice is left at the proper address;</paratext>
                </para>
              </subclause2>
              <subclause2 id="a218899">
                <identifier>(b)</identifier>
                <para>
                  <paratext>if sent by pre-paid first-class post or other next working day delivery service, at [9.00 am] on the [second] Business Day after posting[; or].</paratext>
                </para>
              </subclause2>
              <subclause2 id="a954648">
                <identifier>(c)</identifier>
                <para>
                  <paratext>if sent by email, at the time of transmission, or, if this time falls outside Business Hours in the place of receipt, when Business Hours resume.</paratext>
                </para>
              </subclause2>
            </subclause1>
            <subclause1 id="a733538">
              <identifier>48.3</identifier>
              <para>
                <paratext>This clause does not apply to the service of any proceedings or other documents in any legal action or, where applicable, any arbitration or other method of dispute resolution.</paratext>
              </para>
            </subclause1>
          </clause>
          <clause id="a447869">
            <identifier>49.</identifier>
            <head align="left" preservecase="true">
              <headtext>Dispute resolution</headtext>
            </head>
            <drafting.note id="a285824" jurisdiction="">
              <head align="left" preservecase="true">
                <headtext>Dispute resolution</headtext>
              </head>
              <division id="a000140" level="1">
                <para>
                  <paratext>Disputes between supplier and customer almost inevitably arise during systems integration projects, most commonly from failures to communicate. On the supplier's side, there is a natural reluctance to admit that things are not going to plan, so that the customer may only become aware that there is a problem when it has become so great as to threaten the whole project. On the customer's side, there is often a failure to communicate its requirements properly at an early stage, and a sense of failed expectations when the system does not meet these uncommunicated requirements.</paratext>
                </para>
                <para>
                  <paratext>
                    See 
                    <link href="6-370-6007" style="ACTLinkPLCtoPLC">
                      <ital>Practice note, Issues in IT contracts litigation</ital>
                    </link>
                    .
                  </paratext>
                </para>
                <para>
                  <paratext>Standard boilerplate clauses often simply give exclusive jurisdiction to the courts of the country in which the party drafting the contract resides. Litigation should be the last resort for disputes arising during the implementation of a systems integration project: it is expensive, slow and adversarial. However, to leave the decision about an alternative method of resolving a dispute until the dispute has actually arisen is also a recipe for disaster, as there may already be hurt feelings and a lack of trust at that point. It is, therefore, important that a carefully considered method of dealing with disputes is agreed and written into the contract before the project begins.</paratext>
                </para>
                <para>
                  <paratext>The usual method of approaching this is to provide for an escalation of methods, at first internal and then involving an outside party. The standard document provides for such an escalation, with the outside party acting as a mediator. There are several types of dispute resolution involving third parties.</paratext>
                </para>
              </division>
            </drafting.note>
            <subclause1 id="a137757">
              <identifier>49.1</identifier>
              <para>
                <paratext>
                  Any dispute which may arise between the parties concerning this agreement shall be determined as provided in this 
                  <internal.reference refid="a447869">clause 49</internal.reference>
                  .
                </paratext>
              </para>
            </subclause1>
            <subclause1 id="a299735">
              <identifier>49.2</identifier>
              <para>
                <paratext>
                  For the purpose of this 
                  <internal.reference refid="a447869">clause 49</internal.reference>
                  , a dispute shall be deemed to have arisen when one party serves on the other a notice in writing stating the nature of the dispute.
                </paratext>
              </para>
            </subclause1>
            <subclause1 id="a845728">
              <identifier>49.3</identifier>
              <para>
                <paratext>
                  Unless this agreement has already been terminated by the date of the notice of dispute, the Supplier shall, in every case, continue with the Work with all due diligence regardless of the nature of the dispute and the Customer shall continue to make payments (excluding any disputed sums) in accordance with 
                  <internal.reference refid="a469523">Schedule 4</internal.reference>
                  .
                </paratext>
              </para>
              <drafting.note id="a828407" jurisdiction="">
                <head align="left" preservecase="true">
                  <headtext>Continuing performance during disputes</headtext>
                </head>
                <division id="a000141" level="1">
                  <para>
                    <paratext>
                      Unless the situation is so serious that the agreement is terminated, both parties have an interest in continuing performance during the time that the dispute is being dealt with. The customer should seek the right to withhold payments relating to matters in dispute, as is provided in 
                      <internal.reference refid="a845728">clause 49.3</internal.reference>
                      . The supplier may require the customer to pay the disputed sums into an escrow account, especially if it has doubts about the ability or willingness of the customer to make the payments.
                    </paratext>
                  </para>
                </division>
              </drafting.note>
            </subclause1>
            <subclause1 id="a553838">
              <identifier>49.4</identifier>
              <para>
                <paratext>
                  After service of the notice of dispute, the following procedure shall be followed by the parties (all periods specified in this
                  <ital> </ital>
                  <internal.reference refid="a553838">clause 49.4</internal.reference>
                   shall be extendable by mutual agreement):
                </paratext>
              </para>
              <subclause2 id="a871626">
                <identifier>(a)</identifier>
                <para>
                  <paratext>within [two] days, the Project Manager and the Customer Representative shall meet to attempt to settle the dispute;</paratext>
                </para>
              </subclause2>
              <subclause2 id="a392370">
                <identifier>(b)</identifier>
                <para>
                  <paratext>if the Project Manager and the Customer Representative are unable to reach a settlement within [seven] days from the date of service of the notice, the [managing directors] of each of the parties shall meet within the following [seven] days to attempt to settle the dispute; and</paratext>
                </para>
              </subclause2>
              <subclause2 id="a438838">
                <identifier>(c)</identifier>
                <para>
                  <paratext>
                    if no settlement results from the meeting specified in 
                    <internal.reference refid="a392370">clause 49.4(b)</internal.reference>
                    , for the following [28] days the parties shall attempt to settle the dispute by mediation by an independent mediator, with costs to be shared equally between the parties.
                  </paratext>
                </para>
              </subclause2>
            </subclause1>
            <subclause1 id="a491884">
              <identifier>49.5</identifier>
              <para>
                <paratext>
                  If no settlement is reached under 
                  <internal.reference refid="a553838">clause 49.4</internal.reference>
                  :
                </paratext>
              </para>
              <subclause2 id="a948201">
                <identifier>(a)</identifier>
                <para>
                  <paratext>
                    if the dispute is of a technical nature concerning the interpretation of the Business Requirements Specification or Technical Specification or any similar or related matter then such dispute shall be referred for arbitration, to be carried out in accordance with the arbitration procedure set out in 
                    <internal.reference refid="a977097">Annex L</internal.reference>
                    . The arbitrator's decision shall (in the absence of clerical or manifest error) be final and binding on the parties and their fees for so acting shall be borne by the parties in equal shares unless they determine that the conduct of either party is such that such party should bear all of such fees;
                  </paratext>
                </para>
              </subclause2>
              <subclause2 id="a561704">
                <identifier>(b)</identifier>
                <para>
                  <paratext>in the case of a dispute over purely legal issues, or where disposition of the legal issues would dispose of all other issues in dispute, the matter shall be brought before the English High Court in the quickest manner possible, and the parties agree to co-operate in the speedy conduct of such legal proceedings; and</paratext>
                </para>
              </subclause2>
              <subclause2 id="a844303">
                <identifier>(c)</identifier>
                <para>
                  <paratext>in any other case, the dispute shall be determined by the English High Court and the parties submit to the exclusive jurisdiction of such court for such purposes.</paratext>
                </para>
                <drafting.note id="a262258" jurisdiction="">
                  <head align="left" preservecase="true">
                    <headtext>Escalation</headtext>
                  </head>
                  <division id="a000142" level="1">
                    <para>
                      <paratext>
                        These clauses set out the escalation procedure for dealing with disputes. First, there must be a formal step for starting the procedure (
                        <internal.reference refid="a299735">clause 49.2</internal.reference>
                        ). Initially, the supplier's project manager and the customer's representative should try to resolve the dispute if possible (
                        <internal.reference refid="a553838">clause 49.4</internal.reference>
                        ). Many disputes can be settled early by good collaboration between these individuals, so it is important that they have a good working relationship.
                      </paratext>
                    </para>
                    <para>
                      <paratext>
                        If these two individuals cannot resolve the dispute, it should then go to senior management (
                        <internal.reference refid="a392370">clause 49.4(b)</internal.reference>
                        ). However, this will only be successful if the senior managers have responsibility for, and ownership of, the project in their respective organisations and sufficient authority to take potentially risky decisions that are binding on their company. It is a good idea to provide maximum time periods for both levels of discussion, as delay in resolving the dispute could endanger the project. On the other hand, the best settlement is always one reached by the parties themselves, so sufficient time should be allowed for this to happen.
                      </paratext>
                    </para>
                    <para>
                      <paratext>
                        In the standard document, failure by the parties to resolve the dispute themselves leads to mediation (
                        <internal.reference refid="a438838">clause 49.4(c)</internal.reference>
                        ). There are other methods of alternative dispute resolution that could be used (see 
                        <link href="3-369-3959" style="ACTLinkPLCtoPLC">
                          <ital>Standard clause, Multi-tiered dispute resolution procedure</ital>
                        </link>
                        ).
                      </paratext>
                    </para>
                    <para>
                      <paratext>
                        As a final resort, there needs to be a binding third-party adjudication, either by way of arbitration or court proceedings (
                        <internal.reference refid="a491884">clause 49.5</internal.reference>
                        ). Arbitration and litigation both have their advantages and disadvantages, but neither is quick or cheap. You may wish to consider the arbitration services offered by the London Court of International Arbitration and the International Chamber of Commerce. The standard document attempts to assign the more suitable form to each of the potential kinds of technical and legal disputes, but there can also be disputes over the nature of the dispute itself. If arbitration is to be used, there should be provision in the agreement (
                        <ital>Annex 12</ital>
                        ) for at least the basic rules and procedure to be followed as, unlike in litigation, there is no single, legally binding standard set of rules. Again, leaving these to be decided only after a dispute has arisen could lead to stalemate and the collapse of the project.
                      </paratext>
                    </para>
                    <para>
                      <paratext>
                        Arbitration is an option particularly where one or more of the parties are established outside the UK. Briefly, the advantages of arbitration are that the parties can set their own procedure (including joinder of parties such as subcontractors), arbitration may be better suited to an international dispute and the proceedings can remain confidential. For more information on the advantages of arbitration and on choosing appropriate arbitration rules, see 
                        <link href="1-204-0032" style="ACTLinkPLCtoPLC">
                          <ital>Practice notes, Why arbitrate?</ital>
                        </link>
                         and 
                        <link href="w-040-9309" style="ACTLinkPLCtoPLC">
                          <ital>Major international commercial arbitration rules: comparison and key features</ital>
                        </link>
                        .
                      </paratext>
                    </para>
                  </division>
                </drafting.note>
              </subclause2>
            </subclause1>
          </clause>
          <clause id="a317631">
            <identifier>50.</identifier>
            <head align="left" preservecase="true">
              <headtext>Governing law</headtext>
            </head>
            <drafting.note id="a120627" jurisdiction="">
              <head align="left" preservecase="true">
                <headtext>Governing law</headtext>
              </head>
              <division id="a000143" level="1">
                <para>
                  <paratext>The supplier will normally want to have the law of the jurisdiction where it is based as the governing law of the contract. However, customers who are government bodies or publicly owned are often required by law to contract under the law of their own jurisdictions, and very large customers usually want to specify the law of the jurisdiction where they are based. Negotiations on this issue may require the assistance of suitably qualified lawyers from the jurisdiction in question.</paratext>
                </para>
                <para>
                  <paratext>Any exclusive jurisdiction chosen in this clause could be different from the jurisdiction of the governing law, but this would increase the cost of litigation, as the trial court would have to hear evidence on the relevant provisions of the chosen governing law. If provisions for alternative dispute resolution procedures are to be included in any of the sections, this should be referred to here.</paratext>
                </para>
                <para>
                  <paratext>For more information, see:</paratext>
                </para>
                <list type="bulleted">
                  <list.item>
                    <para>
                      <paratext>
                        <link href="0-107-3646#a683835" style="ACTLinkPLCtoPLC">
                          <ital>Practice note, Supply contracts: overview: Choice of law and jurisdiction</ital>
                        </link>
                        .
                      </paratext>
                    </para>
                  </list.item>
                  <list.item>
                    <para>
                      <paratext>
                        <link href="8-107-3850" style="ACTLinkPLCtoPLC">
                          <ital>Standard clause, Governing law</ital>
                        </link>
                        .
                      </paratext>
                    </para>
                  </list.item>
                  <list.item>
                    <para>
                      <paratext>
                        <link href="4-107-3852" style="ACTLinkPLCtoPLC">
                          <ital>Practice note, Governing law and jurisdiction clauses</ital>
                        </link>
                        .
                      </paratext>
                    </para>
                  </list.item>
                </list>
              </division>
            </drafting.note>
            <subclause1 id="a149436">
              <identifier>50.1</identifier>
              <para>
                <paratext>This agreement and any dispute or claim arising out of or in connection with it or its subject matter or formation (including non-contractual disputes or claims) shall be governed by and interpreted in accordance with the law of England and Wales.</paratext>
              </para>
              <drafting.note id="a749374" jurisdiction="">
                <head align="left" preservecase="true">
                  <headtext>Jurisdiction</headtext>
                </head>
                <division id="a000144" level="1">
                  <para>
                    <paratext>
                      See 
                      <internal.reference refid="a120627">Drafting note, Governing law</internal.reference>
                      .
                    </paratext>
                  </para>
                  <para>
                    <paratext>
                      For more information, see 
                      <link href="9-522-6848" style="ACTLinkPLCtoPLC">
                        <ital>Standard clause, Jurisdiction</ital>
                      </link>
                       and 
                      <link href="4-107-3852" style="ACTLinkPLCtoPLC">
                        <ital>Practice note, Governing law and jurisdiction clauses</ital>
                      </link>
                      .
                    </paratext>
                  </para>
                </division>
              </drafting.note>
            </subclause1>
            <subclause1 id="a409142">
              <identifier>50.2</identifier>
              <para>
                <paratext>
                  Each party irrevocably agrees that the courts of England and Wales shall have [exclusive 
                  <bold>OR</bold>
                   non-exclusive] jurisdiction to settle any dispute or claim arising out of or in connection with this agreement or its subject matter or formation (including non-contractual disputes or claims).
                </paratext>
              </para>
              <drafting.note id="a506905" jurisdiction="">
                <head align="left" preservecase="true">
                  <headtext>Schedules</headtext>
                </head>
                <division id="a000145" level="1">
                  <para>
                    <paratext>
                      Systems integration agreements typically have several schedules, which will contain details of things that are to be provided under the agreement. It is easier if these details are in separate schedules at the end of the agreement, but the agreement must make it clear that they are contractual terms and conditions. It should also provide for possible conflicts between these documents (see 
                      <internal.reference refid="a760293">clause 1.10</internal.reference>
                      ).
                    </paratext>
                  </para>
                  <para>
                    <paratext>
                      Where there are related agreements (for example, the maintenance and support agreement), they should be annexed to the main agreement. Annexation means that the agreements will be interpreted as related agreements. It also has the practical benefit of keeping all the agreements in one place. Where the customer is relying on representations made by the supplier in the response to the invitation to tender, it should insist on having these documents annexed to the main agreement (see 
                      <internal.reference refid="a885142">Drafting note, Entire agreement</internal.reference>
                      ).
                    </paratext>
                  </para>
                </division>
              </drafting.note>
            </subclause1>
          </clause>
        </operative>
        <testimonium default="true" wording="contract">
          <para>
            <paratext>This agreement has been entered into on the date stated at the beginning of it.</paratext>
          </para>
        </testimonium>
        <disclosure.schedule>
          <schedule id="a809076">
            <identifier>Schedule 1</identifier>
            <head align="left" preservecase="true">
              <headtext>Supplier Hardware and Software</headtext>
            </head>
            <drafting.note id="a133906" jurisdiction="">
              <head align="left" preservecase="true">
                <headtext>Supplier Hardware and Software</headtext>
              </head>
              <division id="a000146" level="1">
                <para>
                  <paratext>Under each part, identify the software by name and release or version number.</paratext>
                </para>
              </division>
            </drafting.note>
            <clause id="a175700" numbering="none">
              <head align="left" preservecase="true">
                <headtext>Part A: Supplier Hardware</headtext>
              </head>
            </clause>
            <clause id="a884981" numbering="none">
              <head align="left" preservecase="true">
                <headtext>Part B: Supplier Software</headtext>
              </head>
            </clause>
            <part id="a586889">
              <identifier>Part 1</identifier>
              <head align="left" preservecase="true">
                <headtext>Supplier Standard Software</headtext>
              </head>
            </part>
            <part id="a357101">
              <identifier>Part 2</identifier>
              <head align="left" preservecase="true">
                <headtext>Third-Party Software</headtext>
              </head>
            </part>
            <part id="a774241">
              <identifier>Part 3</identifier>
              <head align="left" preservecase="true">
                <headtext>Modified Software</headtext>
              </head>
              <para>
                <paratext>(a) Modified Software (Supplier)</paratext>
              </para>
              <para>
                <paratext>(b) Modified Software (Third Party)</paratext>
              </para>
            </part>
            <part id="a499620">
              <identifier>Part 4</identifier>
              <head align="left" preservecase="true">
                <headtext>Bespoke Software</headtext>
              </head>
            </part>
            <part id="a837439">
              <identifier>Part 5</identifier>
              <head align="left" preservecase="true">
                <headtext>Documentation</headtext>
              </head>
            </part>
            <part id="a925694">
              <identifier>Part 6</identifier>
              <head align="left" preservecase="true">
                <headtext>Supported Software</headtext>
              </head>
            </part>
          </schedule>
          <schedule id="a346252">
            <identifier>Schedule 2</identifier>
            <head align="left" preservecase="true">
              <headtext>Customer Hardware and Software</headtext>
            </head>
            <drafting.note id="a725633" jurisdiction="">
              <head align="left" preservecase="true">
                <headtext>Customer Hardware and Software</headtext>
              </head>
              <division id="a000147" level="1">
                <para>
                  <paratext>Identify the hardware by name and model number.</paratext>
                </para>
              </division>
            </drafting.note>
            <clause id="a854322" numbering="none">
              <head align="left" preservecase="true">
                <headtext>Part A: Customer Hardware</headtext>
              </head>
            </clause>
            <clause id="a690191" numbering="none">
              <head align="left" preservecase="true">
                <headtext>Part B: Customer Software</headtext>
              </head>
            </clause>
          </schedule>
          <schedule id="a537942">
            <identifier>Schedule 3</identifier>
            <head align="left" preservecase="true">
              <headtext>Services, site and commencement</headtext>
            </head>
            <drafting.note id="a668100" jurisdiction="">
              <head align="left" preservecase="true">
                <headtext>Services, site and commencement</headtext>
              </head>
              <division id="a000148" level="1">
                <para>
                  <paratext>
                    For an example of wording that can be used for 
                    <internal.reference refid="a843026">Part A: Services</internal.reference>
                     of 
                    <internal.reference refid="a537942">Schedule 3</internal.reference>
                    , see 
                    <internal.reference refid="a768767">Drafting note, Example of Schedule 3, Part A: Services</internal.reference>
                    .
                  </paratext>
                </para>
                <para>
                  <paratext>The maintenance and support agreement may well contain service levels and service credits.</paratext>
                </para>
                <para>
                  <paratext>Typically, descriptions of service levels will specify content, volume of services and performance levels such as availability, response times and details about help desks. Service levels should be described in as much detail as possible. These details will of course depend on the nature of the services being provided. In any event, the service levels should make clear the period over which they are to be measured, for example, weekly, monthly or annually. The customer should produce the first draft, but legal review and drafting is essential.</paratext>
                </para>
                <para>
                  <paratext>
                    Performance will need to be monitored and reports prepared. Issues include who will measure the performance, what exactly will be measured, how often the measurement will take place and the reporting arrangements. These details will need to be consistent with the record-keeping obligations and access and inspection arrangements set out in 
                    <internal.reference refid="a942715">clause 15.10</internal.reference>
                     and 
                    <internal.reference refid="a748271">clause 15.11</internal.reference>
                     of the main agreement.
                  </paratext>
                </para>
                <para>
                  <paratext>The consequences of service level failures will also need to be specified. Apart from the service credit regime, these may include damages and termination rights and practical remedies.</paratext>
                </para>
                <para>
                  <paratext>Service credits are a pre-determined payment and, accordingly, it is important to fix the amounts of the credits at an appropriate level, to help ensure their enforceability, and to have a liquidated damages clause. In some cases, the supplier may request the inclusion of service debits as well as credits, to reflect performance which is greater than the relevant service levels. However, the customer should consider whether over-performance will necessarily translate into greater financial value for the customer. For example, in a communications context voice quality that is greater than adequate may not meet this test.</paratext>
                </para>
                <para>
                  <paratext>Service credits need not be attached to all service levels. They might only apply to those which would have a business impact, if not met. The customer may wish to reduce the charges for non-achievement of a service level in circumstances where it is difficult to conceive that any loss would be incurred.</paratext>
                </para>
              </division>
            </drafting.note>
            <clause id="a843026" numbering="none">
              <head align="left" preservecase="true">
                <headtext>Part A: Services</headtext>
              </head>
              <drafting.note id="a768767" jurisdiction="">
                <head align="left" preservecase="true">
                  <headtext>Example of Schedule 3, Part A: Services</headtext>
                </head>
                <division id="a000149" level="1">
                  <division id="a510176" level="2">
                    <head align="left" preservecase="true">
                      <headtext>Part A: Services</headtext>
                    </head>
                    <division id="a960729" level="3">
                      <head align="left" preservecase="true">
                        <headtext>Part 1: Maintenance and Support</headtext>
                      </head>
                      <display.quote>
                        <para>
                          <paratext>1. See Annex I Escrow Agreement (2).</paratext>
                        </para>
                      </display.quote>
                    </division>
                    <division id="a241500" level="3">
                      <head align="left" preservecase="true">
                        <headtext>Part 2: Training</headtext>
                      </head>
                      <display.quote>
                        <para>
                          <paratext>1. The Supplier shall be responsible for providing the Customer and its personnel with such training in the operation and maintenance of the Supplier Software as the Customer may reasonably request.</paratext>
                        </para>
                      </display.quote>
                      <display.quote>
                        <para>
                          <paratext>2. Such training shall be provided at the location designated by the Customer by instructors who are satisfactory to the Customer and knowledgeable in the operation and maintenance of the system.</paratext>
                        </para>
                      </display.quote>
                      <display.quote>
                        <para>
                          <paratext>
                            3. Such training shall initially be provided in accordance with the timetable and for the fees set out in 
                            <internal.reference refid="a469523">Schedule 4</internal.reference>
                             below:
                          </paratext>
                        </para>
                      </display.quote>
                      <display.quote>
                        <para>
                          <paratext>4. Training fees shall include facility charges, training materials and travel expenses for instructors.</paratext>
                        </para>
                      </display.quote>
                      <display.quote>
                        <para>
                          <paratext>5. Additional training shall be provided at the same rate or at a rate not to exceed an increase of [NUMBER] per cent ([PERCENTAGE]%) in any one [1] year period.</paratext>
                        </para>
                      </display.quote>
                    </division>
                    <division id="a320574" level="3">
                      <head align="left" preservecase="true">
                        <headtext>Part 3: Consultancy</headtext>
                      </head>
                    </division>
                    <division id="a690761" level="3">
                      <head align="left" preservecase="true">
                        <headtext>Part 4: Disaster Recovery/Business Continuity</headtext>
                      </head>
                      <display.quote>
                        <para>
                          <paratext>1. The Customer requires continuity of Services provision, even if the Services have been disrupted by force majeure or other interruptions with the provision of the Services.</paratext>
                        </para>
                      </display.quote>
                      <display.quote>
                        <para>
                          <paratext>
                            2. The Supplier shall have in place, and maintain, business continuity and disaster recovery plans (
                            <bold>Disaster Recovery Plans</bold>
                            ) in respect of the Services which are in accordance with Good Industry Practice and include the elements set out in Paragraph 3. The Disaster Recovery Plan shall, as a minimum, include the following elements:
                          </paratext>
                        </para>
                      </display.quote>
                      <display.quote>
                        <para>
                          <paratext>(a) arrangements for obtaining alternative personnel in relation to the Services;</paratext>
                        </para>
                      </display.quote>
                      <display.quote>
                        <para>
                          <paratext>(b) arrangements for obtaining a substitute supplier on a temporary basis to provide the Services if the Supplier is temporarily unable to do so.</paratext>
                        </para>
                      </display.quote>
                      <display.quote>
                        <para>
                          <paratext>3. The Supplier shall:</paratext>
                        </para>
                      </display.quote>
                      <display.quote>
                        <para>
                          <paratext>(a) consult with the Customer in developing detailed Disaster Recovery Plans and comply with the Customer's reasonable requests to modify them;</paratext>
                        </para>
                      </display.quote>
                      <display.quote>
                        <para>
                          <paratext>(b) submit the Disaster Recovery Plans to the Customer for approval every twelve [12] months (or on request from the Customer);</paratext>
                        </para>
                      </display.quote>
                      <display.quote>
                        <para>
                          <paratext>
                            (c) have such Disaster Recovery Plans in place by [DATE] (
                            <bold>Relevant Date</bold>
                            );
                          </paratext>
                        </para>
                      </display.quote>
                      <display.quote>
                        <para>
                          <paratext>(d) ensure that the Disaster Recovery Plans are kept up-to-date in accordance with Good Industry Practice;</paratext>
                        </para>
                      </display.quote>
                      <display.quote>
                        <para>
                          <paratext>(e) continue to provide the affected Services to the Customer in accordance with the Disaster Recovery Plans [within [NUMBER] hours of the declaration or occurrence of any Disaster [to be defined]];</paratext>
                        </para>
                      </display.quote>
                      <display.quote>
                        <para>
                          <paratext>(f) restore the affected Services to normal within the period specified in the Disaster Recovery Plans;</paratext>
                        </para>
                      </display.quote>
                      <display.quote>
                        <para>
                          <paratext>(g) carry out regular tests, at least [once] per calendar year, of the Disaster Recovery Plans then in force.</paratext>
                        </para>
                      </display.quote>
                      <display.quote>
                        <para>
                          <paratext>4. The Supplier shall ensure that the Disaster Recovery Plans are promptly amended if such tests result in any failure to ensure that any future tests or a genuine disaster recovery are successful and as necessary to deal with any operational changes to the Services.</paratext>
                        </para>
                      </display.quote>
                      <display.quote>
                        <para>
                          <paratext>5. The Customer may terminate any Services in relation to which Disaster Recovery Plans deemed suitable by the Customer are not in place by the Relevant Date, by giving written notice to the Supplier.</paratext>
                        </para>
                      </display.quote>
                    </division>
                  </division>
                </division>
              </drafting.note>
            </clause>
            <part id="a644864">
              <identifier>Part 1</identifier>
              <head align="left" preservecase="true">
                <headtext>Maintenance and support</headtext>
              </head>
            </part>
            <part id="a135808">
              <identifier>Part 2</identifier>
              <head align="left" preservecase="true">
                <headtext>Training</headtext>
              </head>
            </part>
            <part id="a470777">
              <identifier>Part 3</identifier>
              <head align="left" preservecase="true">
                <headtext>Consultancy</headtext>
              </head>
            </part>
            <part id="a549908">
              <identifier>Part 4</identifier>
              <head align="left" preservecase="true">
                <headtext>Disaster recovery/business continuity</headtext>
              </head>
              <clause id="a960382" numbering="none">
                <head align="left" preservecase="true">
                  <headtext>Part B: Site(s)</headtext>
                </head>
              </clause>
              <clause id="a719499" numbering="none">
                <head align="left" preservecase="true">
                  <headtext>Part C: Commencement date</headtext>
                </head>
              </clause>
              <clause id="a155757" numbering="none">
                <head align="left" preservecase="true">
                  <headtext>Part D: Support Commencement date</headtext>
                </head>
              </clause>
              <clause id="a739023" numbering="none">
                <head align="left" preservecase="true">
                  <headtext>Part E: Customer's security requirements</headtext>
                </head>
              </clause>
            </part>
          </schedule>
          <schedule id="a469523">
            <identifier>Schedule 4</identifier>
            <head align="left" preservecase="true">
              <headtext>Price, payment and address for notices</headtext>
            </head>
            <drafting.note id="a645505" jurisdiction="">
              <head align="left" preservecase="true">
                <headtext>Price, payment and address for notices</headtext>
              </head>
              <division id="a000150" level="1">
                <para>
                  <paratext>If the price is to be determined on a time and materials basis, specify the maximum amount and the rates.</paratext>
                </para>
              </division>
            </drafting.note>
            <clause id="a326633" numbering="none">
              <head align="left" preservecase="true">
                <headtext>Part A: Price</headtext>
              </head>
            </clause>
            <clause id="a638791" numbering="none">
              <head align="left" preservecase="true">
                <headtext>Part B: Payment Schedule (including Scheduled invoice dates) and address for invoices</headtext>
              </head>
            </clause>
            <clause id="a251917" numbering="none">
              <head align="left" preservecase="true">
                <headtext>Part C: Annual support charge</headtext>
              </head>
            </clause>
            <clause id="a962055" numbering="none">
              <head align="left" preservecase="true">
                <headtext>Part D: Training Charge</headtext>
              </head>
            </clause>
            <clause id="a414752" numbering="none">
              <head align="left" preservecase="true">
                <headtext>Part E: Consultancy Charge</headtext>
              </head>
            </clause>
            <clause id="a358838" numbering="none">
              <head align="left" preservecase="true">
                <headtext>Part F: Charge for business continuity/disaster recovery services</headtext>
              </head>
            </clause>
            <clause id="a571305" numbering="none">
              <head align="left" preservecase="true">
                <headtext>Part G: Address for notices</headtext>
              </head>
            </clause>
            <clause id="a779596" numbering="none">
              <head align="left" preservecase="true">
                <headtext>[Part H: Liquidated Damages]</headtext>
              </head>
            </clause>
          </schedule>
          <schedule id="a472006">
            <identifier>Schedule 5</identifier>
            <head align="left" preservecase="true">
              <headtext>Licence details</headtext>
            </head>
            <part id="a554929">
              <identifier>Part 1</identifier>
              <head align="left" preservecase="true">
                <headtext>Licence</headtext>
              </head>
              <clause id="a513142" numbering="none">
                <head align="left" preservecase="true">
                  <headtext>Part A: Customer's Business</headtext>
                </head>
              </clause>
              <clause id="a245631" numbering="none">
                <head align="left" preservecase="true">
                  <headtext>Part B: Number of Licensed Users</headtext>
                </head>
              </clause>
              <clause condition="optional" id="a322567" numbering="none">
                <head align="left" preservecase="true">
                  <headtext>Part C: Country specific amendments</headtext>
                </head>
              </clause>
            </part>
          </schedule>
          <schedule condition="optional" id="a707381">
            <identifier>Schedule 6</identifier>
            <head align="left" preservecase="true">
              <headtext>Mandatory Policies</headtext>
            </head>
            <drafting.note id="a254111" jurisdiction="">
              <head align="left" preservecase="true">
                <headtext>Mandatory Policies: list and attach?</headtext>
              </head>
              <division id="a000151" level="1">
                <para>
                  <paratext>
                    For a discussion of whether or not the mandatory policies should also be attached to the agreement, see the integrated drafting notes to 
                    <link href="6-618-9498" style="ACTLinkPLCtoPLC">
                      <ital>Standard clause, Compliance with laws and policies: Schedule of Mandatory Policies</ital>
                    </link>
                    .
                  </paratext>
                </para>
              </division>
            </drafting.note>
            <para>
              <paratext>[LIST [AND ATTACH] THE MANDATORY POLICIES HERE]</paratext>
            </para>
            <para>
              <paratext>The Mandatory Policies are:</paratext>
            </para>
            <list type="bulleted">
              <list.item>
                <para>
                  <paratext>[Modern Slavery and Human Trafficking Policy]</paratext>
                </para>
              </list.item>
              <list.item>
                <para>
                  <paratext>[Corporate and Social Responsibility Policy]</paratext>
                </para>
              </list.item>
              <list.item>
                <para>
                  <paratext>[Data and Privacy Policy]</paratext>
                </para>
              </list.item>
              <list.item>
                <para>
                  <paratext>[Ethics and Anti-Bribery Policy]</paratext>
                </para>
              </list.item>
              <list.item>
                <para>
                  <paratext>[Expenses Policy]]</paratext>
                </para>
              </list.item>
              <list.item>
                <para>
                  <paratext>[Cybersecurity Policy].</paratext>
                </para>
              </list.item>
            </list>
          </schedule>
          <schedule id="a649530">
            <identifier>Schedule 7</identifier>
            <head align="left" preservecase="true">
              <headtext>Supplier's network and information systems security</headtext>
            </head>
            <drafting.note id="a277600" jurisdiction="">
              <head align="left" preservecase="true">
                <headtext>Supplier's network and information systems security</headtext>
              </head>
              <division id="a000153" level="1">
                <para>
                  <paratext>The Supplier should include in this Schedule information and policies on how it maintains security on its network and information systems as set out in this Schedule. This is intended to assist the customer in complying with the NIS Regulations.</paratext>
                </para>
                <para>
                  <paratext>
                    <bold>RDSPs:</bold>
                     The points in the schedule reflect the prescriptive requirements of 
                    <link href="w-019-4608" style="ACTLinkPLCtoPLC">
                      <ital>Commission Implementing Regulation (EU) 2018/151</ital>
                    </link>
                     which sets out further specification of the elements to be taken into account by RDSPs for managing the risks posed to the security of network and information systems (
                    <ital>Article 2</ital>
                    ), as referenced in 
                    <link href="w-014-4457" style="ACTLinkPLCtoPLC">
                      <ital>regulation 12(2)(c)</ital>
                    </link>
                     of the NIS Regulations (which transposes Article 16(1) of the NIS Directive). An RDSP must ensure it has adequate documentation to enable the ICO to verify compliance with its security obligations (
                    <ital>Article 2(6)</ital>
                    ). An RDSP has to meet the requirements of Article 2 of the Implementing Regulation.
                  </paratext>
                </para>
                <para>
                  <paratext>
                    <bold>OESs (that are not also RDSPs): </bold>
                    The NIS Regulations are less specific about what actions OESs should take to ensure network and information systems security, the main requirement being for them to take appropriate and proportionate measures (
                    <link href="w-014-4450" style="ACTLinkPLCtoPLC">
                      <ital>regulation 10</ital>
                    </link>
                    ). However, the relevant regulator for the sector in which the OES operates may have published more specific guidance and OESs must have regard to such guidance (
                    <ital>regulation 10(4)</ital>
                    ) as well as the NCSC guidance. The NCSC guidance should be considered, in particular: 
                    <link href="https://www.ncsc.gov.uk/guidance/ii-establish-control" style="ACTLinkURL">
                      <ital>II. Establish control,</ital>
                    </link>
                     and 
                    <link href="https://www.ncsc.gov.uk/collection/supply-chain-security/assessing-supply-chain-management-practice" style="ACTLinkURL">
                      <ital>Assessing supply chain management practice</ital>
                    </link>
                    .
                  </paratext>
                </para>
                <para>
                  <paratext>
                    Those parts of the guidance referred to in 
                    <link anchor="a901338" href="w-013-8329" style="ACTLinkPLCtoPLC">
                      <ital>Practice note, Cybersecurity Directive: UK implementation: How organisations can comply with the NIS Regulations</ital>
                    </link>
                    , 
                    <link anchor="a456543" href="w-013-8329" style="ACTLinkPLCtoPLC">
                      <ital>Compliance audits and Cyber Assessment Framework</ital>
                    </link>
                     and 
                    <link anchor="co_anchor_a292425" href="https://uk.practicallaw.thomsonreuters.com/Document/Ifce125f52ce011e89bf099c0ee06c731/View/FullText.html?transitionType=SearchItem&amp;amp;contextData=%28sc.Search%29" style="ACTLinkURL">
                      <ital>Achieving compliance in practice</ital>
                    </link>
                    .
                  </paratext>
                </para>
                <para>
                  <paratext>However, the NCSC guidance is principles and outcomes-based and in fact states: "Consider setting different protection requirements for different types of contracts, based on the risk associated with them: avoid situations where you force all your suppliers to deliver the same set of security requirements when it may not be proportionate or justified to do so."</paratext>
                </para>
                <para>
                  <paratext>OESs should consider whether any guidance from the relevant competent authority impacts on the information they might want from the Supplier in this schedule.</paratext>
                </para>
                <para>
                  <paratext>
                    <bold>Banking and financial market infrastructures sectors: </bold>
                    These sectors were omitted from the NIS Regulations although they fall within the Cybersecurity Directive. As well as the NCSC guidance, they will have to consider any relevant sectoral guidance. See 
                    <internal.reference refid="a705409">Drafting note, Security of network and information systems (optional)</internal.reference>
                    .
                  </paratext>
                </para>
                <para>
                  <paratext>
                    <bold>Other sectors: </bold>
                    The points in the schedule are generically worded and so could be used where the customer is in a sector other than one of those referred to above. However, where the customer is not a RDSP, the Supplier may resist providing all the information set out in this schedule. In any case, these points should be seen as initial points for discussion. The NCSC guidance, even though focused on OESs only, might also be useful during negotiations.
                  </paratext>
                </para>
              </division>
            </drafting.note>
            <clause id="a380668">
              <identifier>1.</identifier>
              <head align="left" preservecase="true">
                <headtext>Security of systems and facilities</headtext>
              </head>
              <list type="bulleted">
                <list.item>
                  <para>
                    <paratext>A description or mapping of the Supplier's information system insofar as it relates to the Customer and any policies the Supplier has in place for managing information security, including risk analysis, human resources, security of operations, security architecture, secure data and system life cycle management and, where applicable, encryption and its management.</paratext>
                  </para>
                </list.item>
                <list.item>
                  <para>
                    <paratext>Its measures to protect the security of its network and information systems from damage using an all-hazards risk-based approach, addressing for instance system failure, human error, malicious action or natural phenomena.</paratext>
                  </para>
                </list.item>
                <list.item>
                  <para>
                    <paratext>Its measures including any policies to ensure the accessibility and traceability of critical supplies used in the provision of the Services.</paratext>
                  </para>
                </list.item>
                <list.item>
                  <para>
                    <paratext>Any measures to ensure that the physical and logical access to network and information systems, including administrative security of network and information systems, is authorised and restricted based on business and security requirements.</paratext>
                  </para>
                </list.item>
              </list>
            </clause>
            <clause id="a339198">
              <identifier>2.</identifier>
              <head align="left" preservecase="true">
                <headtext>Incident handling</headtext>
              </head>
              <list type="bulleted">
                <list.item>
                  <para>
                    <paratext>Its detection processes and procedures for ensuring timely and adequate awareness of anomalous events and details of the ways in which it maintains and tests these processes and procedures.</paratext>
                  </para>
                </list.item>
                <list.item>
                  <para>
                    <paratext>Its processes and policies on reporting incidents and identifying weaknesses and vulnerabilities in its information systems.</paratext>
                  </para>
                </list.item>
                <list.item>
                  <para>
                    <paratext>Its procedures for assessing the severity of a security incident, documenting knowledge from incident analysis which may serve as evidence and support a continuous improvement process.</paratext>
                  </para>
                </list.item>
              </list>
            </clause>
            <clause id="a448412">
              <identifier>3.</identifier>
              <head align="left" preservecase="true">
                <headtext>Business continuity management</headtext>
              </head>
              <list type="bulleted">
                <list.item>
                  <para>
                    <paratext>Its contingency procedures for ensuring business continuity for the Services and details of the ways in which it regularly assesses and tests these.</paratext>
                  </para>
                </list.item>
                <list.item>
                  <para>
                    <paratext>Its disaster recovery capabilities and details of the ways in which these are regularly assessed and tested.</paratext>
                  </para>
                </list.item>
              </list>
            </clause>
            <clause id="a365404">
              <identifier>4.</identifier>
              <head align="left" preservecase="true">
                <headtext>Monitoring, auditing and testing</headtext>
              </head>
            </clause>
            <para>
              <paratext>Its policies and the maintenance of such policies on:</paratext>
            </para>
            <list type="bulleted">
              <list.item>
                <para>
                  <paratext>Conducting planned sequences of observations or measurements to assess whether network and information systems are operating as intended.</paratext>
                </para>
              </list.item>
              <list.item>
                <para>
                  <paratext>Inspection and verification to check whether a standard or set of guidelines is being followed, records are accurate, and efficiency and effectiveness targets are being met.</paratext>
                </para>
              </list.item>
              <list.item>
                <para>
                  <paratext>A process (including technical processes and personnel involved in the operation flow) intended to reveal flaws in the security mechanisms of a network and information system that protect data and maintain functionality as intended.</paratext>
                </para>
              </list.item>
            </list>
            <clause id="a588502">
              <identifier>5.</identifier>
              <head align="left" preservecase="true">
                <headtext>International standards</headtext>
              </head>
            </clause>
            <clause id="a443144">
              <para>
                <paratext>Any information or policies on compliance with international standards.</paratext>
              </para>
            </clause>
          </schedule>
        </disclosure.schedule>
        <signature default="true" pagebreak="true" signaturemessage="no">
          <para>
            <paratext>
              <table frame="none" pgwide="1">
                <tgroup cols="3">
                  <colspec colname="1" colnum="1" colwidth="60"/>
                  <colspec colname="2" colnum="2" colwidth="4"/>
                  <colspec colname="3" colnum="3" colwidth="35"/>
                  <tbody>
                    <row>
                      <entry valign="top">
                        <para align="left">
                          <paratext>Signed by [NAME OF DIRECTOR]</paratext>
                        </para>
                      </entry>
                      <entry valign="top">
                        <para>
                          <paratext/>
                        </para>
                      </entry>
                      <entry valign="top">
                        <para align="left">
                          <paratext>……………….………….…….….</paratext>
                        </para>
                      </entry>
                    </row>
                    <row>
                      <entry valign="top">
                        <para align="left">
                          <paratext>
                            for and on behalf of [NAME OF 
                            <bold>Supplier</bold>
                            ]
                          </paratext>
                        </para>
                      </entry>
                      <entry valign="top">
                        <para>
                          <paratext/>
                        </para>
                      </entry>
                      <entry valign="top">
                        <para align="left">
                          <paratext>Director</paratext>
                        </para>
                      </entry>
                    </row>
                  </tbody>
                </tgroup>
              </table>
              <table frame="none" pgwide="1">
                <tgroup cols="3">
                  <colspec colname="1" colnum="1" colwidth="60"/>
                  <colspec colname="2" colnum="2" colwidth="4"/>
                  <colspec colname="3" colnum="3" colwidth="35"/>
                  <tbody>
                    <row>
                      <entry valign="top">
                        <para align="left">
                          <paratext>Signed by [NAME OF DIRECTOR]</paratext>
                        </para>
                      </entry>
                      <entry valign="top">
                        <para>
                          <paratext/>
                        </para>
                      </entry>
                      <entry valign="top">
                        <para align="left">
                          <paratext>……………….………….…….….</paratext>
                        </para>
                      </entry>
                    </row>
                    <row>
                      <entry valign="top">
                        <para align="left">
                          <paratext>
                            for and on behalf of [NAME OF 
                            <bold>Customer</bold>
                            ]
                          </paratext>
                        </para>
                      </entry>
                      <entry valign="top">
                        <para>
                          <paratext/>
                        </para>
                      </entry>
                      <entry valign="top">
                        <para align="left">
                          <paratext>Director</paratext>
                        </para>
                      </entry>
                    </row>
                  </tbody>
                </tgroup>
              </table>
            </paratext>
          </para>
          <drafting.note id="a530835" jurisdiction="">
            <head align="left" preservecase="true">
              <headtext>Execution</headtext>
            </head>
            <division id="a000154" level="1">
              <para>
                <paratext>Although witnessing is not essential for the proper execution of agreements, it is good practice, particularly in the case of material transactions. Different rules apply to deeds.</paratext>
              </para>
              <para>
                <paratext>The authority may be given by, for example, board resolution or power of attorney. It will be necessary to check that the company may validly delegate its powers in this way and that the authority was duly given. In the case of foreign companies, this will require an opinion to be obtained from lawyers in the relevant jurisdiction.</paratext>
              </para>
            </division>
          </drafting.note>
        </signature>
        <appendix id="a849173">
          <identifier>ANNEX A</identifier>
          <head align="left" preservecase="true">
            <headtext>Business Requirement Specification</headtext>
          </head>
          <drafting.note id="a216112" jurisdiction="">
            <head align="left" preservecase="true">
              <headtext>Business Requirement Specification</headtext>
            </head>
            <division id="a000155" level="1">
              <para>
                <paratext>See the commentary relating to the definitions of these terms.</paratext>
              </para>
            </division>
          </drafting.note>
        </appendix>
        <appendix id="a807191">
          <identifier>ANNEX B</identifier>
          <head align="left" preservecase="true">
            <headtext>Technical Specification</headtext>
          </head>
          <drafting.note id="a813857" jurisdiction="">
            <head align="left" preservecase="true">
              <headtext>Technical Specification</headtext>
            </head>
            <division id="a000156" level="1">
              <para>
                <paratext>See the commentary relating to the definitions of these terms.</paratext>
              </para>
            </division>
          </drafting.note>
        </appendix>
        <appendix id="a780120">
          <identifier>ANNEX C</identifier>
          <head align="left" preservecase="true">
            <headtext>Implementation Plan</headtext>
          </head>
          <drafting.note id="a781681" jurisdiction="">
            <head align="left" preservecase="true">
              <headtext>Implementation Plan</headtext>
            </head>
            <division id="a000157" level="1">
              <para>
                <paratext>
                  The implementation plan is almost certain to be amended during the project. Each party should set up a procedure to ensure that any agreed variation to the plan is recorded by attaching an amended project plan schedule, so that the agreement is kept up to date (see 
                  <internal.reference refid="a810262">Drafting note, Implementation Plan and extension of time</internal.reference>
                  ).
                </paratext>
              </para>
            </division>
          </drafting.note>
        </appendix>
        <appendix id="a286671">
          <identifier>ANNEX D</identifier>
          <head align="left" preservecase="true">
            <headtext>Hardware Installation Test Plan</headtext>
          </head>
        </appendix>
        <appendix id="a876728">
          <identifier>ANNEX E</identifier>
          <head align="left" preservecase="true">
            <headtext>Software Pre-installation Test Plan</headtext>
          </head>
        </appendix>
        <appendix id="a180127">
          <identifier>ANNEX F</identifier>
          <head align="left" preservecase="true">
            <headtext>Acceptance tests</headtext>
          </head>
          <drafting.note id="a627688" jurisdiction="">
            <head align="left" preservecase="true">
              <headtext>Acceptance tests</headtext>
            </head>
            <division id="a000158" level="1">
              <para>
                <paratext>These must contain details of the tests to be carried out and the criteria that must be met in order for the tests to be successful. Ideally, these schedules will be finalised before the systems integration project begins. However, it is very rare for them to be completed before work begins for any but the simplest system. This is because most systems require a preliminary period for the design to be refined in the light of detailed discussions between the customer and the supplier. Both tests and performance criteria will both need to be amended to match the final design. If an acceptance testing procedure is not agreed by the time the systems integration agreement is signed, the agreement will need to have provisions dealing with how a procedure is to be agreed.</paratext>
              </para>
            </division>
          </drafting.note>
        </appendix>
        <appendix condition="optional" id="a151400">
          <identifier>ANNEX G</identifier>
          <head align="left" preservecase="true">
            <headtext>Licence agreement</headtext>
          </head>
        </appendix>
        <appendix condition="optional" id="a386024">
          <identifier>ANNEX H</identifier>
          <head align="left" preservecase="true">
            <headtext>Escrow agreement (1)</headtext>
          </head>
        </appendix>
        <appendix condition="optional" id="a706043">
          <identifier>ANNEX I</identifier>
          <head align="left" preservecase="true">
            <headtext>Escrow agreement (2)</headtext>
          </head>
        </appendix>
        <appendix condition="optional" id="a528274">
          <identifier>ANNEX J</identifier>
          <head align="left" preservecase="true">
            <headtext>Maintenance and support agreement</headtext>
          </head>
        </appendix>
        <appendix condition="optional" id="a509928">
          <identifier>ANNEX K</identifier>
          <head align="left" preservecase="true">
            <headtext>Customer's health and safety regulations for employees [and contractors]</headtext>
          </head>
        </appendix>
        <appendix condition="optional" id="a938869">
          <identifier>ANNEX L</identifier>
          <head align="left" preservecase="true">
            <headtext>Arbitration procedure</headtext>
          </head>
        </appendix>
      </body>
      <rev.history>
        <rev.item>
          <rev.title>Review to include the Product Security and Telecommunications Infrastructure Act 2022</rev.title>
          <rev.date>20231010</rev.date>
          <rev.author>Practical Law IP&amp;IT</rev.author>
          <rev.body>
            <division id="a000001" level="1">
              <para>
                <paratext>
                  We have updated this resource to add 
                  <internal.reference refid="a826015">Drafting note, Product Security and Telecommunications Infrastructure Act 2022</internal.reference>
                </paratext>
              </para>
            </division>
          </rev.body>
        </rev.item>
        <rev.item>
          <rev.title>Reduction of parties' carbon footprints (May 2022)</rev.title>
          <rev.date>20220519</rev.date>
          <rev.author>IP&amp;IT</rev.author>
          <rev.body>
            <division id="a000002" level="1">
              <para>
                <paratext>We have added details of a clause that may be added to this agreement to promote the environmental sustainability of the parties' operations.</paratext>
              </para>
            </division>
          </rev.body>
        </rev.item>
        <rev.item>
          <rev.title>Review in light of end of UK-EU transition period (December 2020)</rev.title>
          <rev.date>20201214</rev.date>
          <rev.author>Practical Law IP&amp;IT</rev.author>
          <rev.body>
            <division id="a000003" level="1">
              <para>
                <paratext>We have made changes to this resource so that it will continue to work correctly after the end of the UK-EU transition period.</paratext>
              </para>
            </division>
          </rev.body>
        </rev.item>
        <rev.item>
          <rev.title>Review of termination provisions (August 2020)</rev.title>
          <rev.date>20200825</rev.date>
          <rev.author>Practical Law IP&amp;IT</rev.author>
          <rev.body>
            <division id="a000004" level="1">
              <para>
                <paratext>
                  We have added new 
                  <internal.reference refid="a912514">clause 38.1(f)</internal.reference>
                   and 
                  <internal.reference refid="a938245">clause 38.1(n)</internal.reference>
                   to the termination clause to reflect the coming into force of the Corporate Insolvency and Governance Act 2020
                </paratext>
              </para>
            </division>
          </rev.body>
        </rev.item>
        <rev.item>
          <rev.title>Brexit (February 2020)</rev.title>
          <rev.date>20200204</rev.date>
          <rev.author>Practical Law IP&amp;IT</rev.author>
          <rev.body>
            <division id="a000005" level="1">
              <para>
                <paratext>We have updated to link to current materials relevant to Brexit.</paratext>
              </para>
            </division>
          </rev.body>
        </rev.item>
        <rev.item>
          <rev.title>General update (March 2019)</rev.title>
          <rev.date>20190320</rev.date>
          <rev.author>Practical Law IP&amp;IT</rev.author>
          <rev.body>
            <division id="a000006" level="1">
              <para>
                <paratext>We have revisited the parties' obligations in the light of the NIS Regulations, and made other general updates.</paratext>
              </para>
            </division>
          </rev.body>
        </rev.item>
        <rev.item>
          <rev.title>New materials on Brexit and IP (March 2019)</rev.title>
          <rev.date>20190314</rev.date>
          <rev.author>Practical Law IP&amp;IT</rev.author>
          <rev.body>
            <division id="a000007" level="1">
              <para>
                <paratext>We have added links to various materials on Brexit relevant to this resource.</paratext>
              </para>
            </division>
          </rev.body>
        </rev.item>
        <rev.item>
          <rev.title>GDPR and Data Protection Act 2018 (September 2018)</rev.title>
          <rev.date>20180927</rev.date>
          <rev.author>Practical Law Data Protection</rev.author>
          <rev.body>
            <division id="a000008" level="1">
              <para>
                <paratext>We have added links to further resources on the GDPR and Data Protection Act 2018 and updated the data protection clauses.</paratext>
              </para>
            </division>
          </rev.body>
        </rev.item>
        <rev.item>
          <rev.title>Network and Information Systems Regulations 2018</rev.title>
          <rev.date>20180723</rev.date>
          <rev.author>Practical Law IP&amp;IT</rev.author>
          <rev.body>
            <division id="a000009" level="1">
              <para>
                <paratext>Updated to take into account these regulations.</paratext>
              </para>
            </division>
          </rev.body>
        </rev.item>
        <rev.item>
          <rev.title>Modern Slavery Act 2015</rev.title>
          <rev.date>20160401</rev.date>
          <rev.author>Click here to enter the Resource History Author</rev.author>
          <rev.body>
            <division id="a000010" level="1">
              <para>
                <paratext>Various amendments have been made in light of the Modern Slavery Act 2015.</paratext>
              </para>
            </division>
          </rev.body>
        </rev.item>
        <rev.item>
          <rev.title>Limitation of liability reviewed June 2017</rev.title>
          <rev.date>20170606</rev.date>
          <rev.author>PLC IPIT &amp; Communications</rev.author>
          <rev.body>
            <division id="a000011" level="1">
              <para>
                <paratext>The limitation of liability clause was reviewed in June 2017 by Richard Kemp and Deirdre Moynihan, KempITLaw.</paratext>
              </para>
            </division>
          </rev.body>
        </rev.item>
      </rev.history>
    </standard.doc>
  </n-docbody>
</n-document>
</file>

<file path=customXml/item4.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2.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3.xml><?xml version="1.0" encoding="utf-8"?>
<ds:datastoreItem xmlns:ds="http://schemas.openxmlformats.org/officeDocument/2006/customXml" ds:itemID="{424E29B9-CA9F-4DEB-B1A6-2FE9C258D5D6}">
  <ds:schemaRefs>
    <ds:schemaRef ds:uri="http://www.w3.org/2001/XMLSchema"/>
  </ds:schemaRefs>
</ds:datastoreItem>
</file>

<file path=customXml/itemProps4.xml><?xml version="1.0" encoding="utf-8"?>
<ds:datastoreItem xmlns:ds="http://schemas.openxmlformats.org/officeDocument/2006/customXml" ds:itemID="{30219700-DB58-47AD-ABF4-76FA65F29906}">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Boland, Brian</dc:creator>
  <cp:lastModifiedBy>Boland, Brian</cp:lastModifiedBy>
  <cp:revision>2</cp:revision>
  <dcterms:created xsi:type="dcterms:W3CDTF">2025-10-31T08:27:00Z</dcterms:created>
  <dcterms:modified xsi:type="dcterms:W3CDTF">2025-10-31T08:27:00Z</dcterms:modified>
</cp:coreProperties>
</file>