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B43B6" w14:textId="3470356C" w:rsidR="785C2A88" w:rsidRDefault="785C2A88" w:rsidP="785C2A88">
      <w:pPr>
        <w:pStyle w:val="Title"/>
      </w:pPr>
      <w:r w:rsidRPr="785C2A88">
        <w:rPr>
          <w:sz w:val="44"/>
          <w:szCs w:val="44"/>
        </w:rPr>
        <w:t>Request for Tenders dated 28 October 2026 for the provision of Statutory External Audit Services to Oaklee Housing and Acorn Housing (Oaklee Group)</w:t>
      </w:r>
    </w:p>
    <w:p w14:paraId="1D9E2E3D" w14:textId="6E0270E5" w:rsidR="785C2A88" w:rsidRDefault="785C2A88" w:rsidP="785C2A88">
      <w:r>
        <w:t>Tender procedure: advertised on the national eTenders platform (www.etenders.gov.ie)</w:t>
      </w:r>
    </w:p>
    <w:p w14:paraId="530B182B" w14:textId="428A20B6" w:rsidR="785C2A88" w:rsidRDefault="785C2A88" w:rsidP="785C2A88">
      <w:r>
        <w:t>Tender Deadline: 6:00 pm (Irish time) on Sunday 15 November 2026 (see paragraph 2.5.2)</w:t>
      </w:r>
    </w:p>
    <w:p w14:paraId="5EEAEE2A" w14:textId="310E1386" w:rsidR="785C2A88" w:rsidRDefault="785C2A88" w:rsidP="785C2A88">
      <w:pPr>
        <w:pStyle w:val="Heading1"/>
      </w:pPr>
      <w:r>
        <w:t>Contents</w:t>
      </w:r>
    </w:p>
    <w:tbl>
      <w:tblPr>
        <w:tblStyle w:val="MediumShading1-Accent1"/>
        <w:tblW w:w="0" w:type="auto"/>
        <w:tblLook w:val="04A0" w:firstRow="1" w:lastRow="0" w:firstColumn="1" w:lastColumn="0" w:noHBand="0" w:noVBand="1"/>
      </w:tblPr>
      <w:tblGrid>
        <w:gridCol w:w="7070"/>
        <w:gridCol w:w="2000"/>
      </w:tblGrid>
      <w:tr w:rsidR="785C2A88" w14:paraId="746E5FF9" w14:textId="77777777" w:rsidTr="7FC179E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70" w:type="dxa"/>
          </w:tcPr>
          <w:p w14:paraId="2DDE009A" w14:textId="135170BB" w:rsidR="785C2A88" w:rsidRDefault="785C2A88">
            <w:r>
              <w:t>Part</w:t>
            </w:r>
          </w:p>
        </w:tc>
        <w:tc>
          <w:tcPr>
            <w:tcW w:w="2000" w:type="dxa"/>
          </w:tcPr>
          <w:p w14:paraId="4ADE13E0" w14:textId="0C2F577F" w:rsidR="785C2A88" w:rsidRDefault="785C2A88">
            <w:pPr>
              <w:cnfStyle w:val="100000000000" w:firstRow="1" w:lastRow="0" w:firstColumn="0" w:lastColumn="0" w:oddVBand="0" w:evenVBand="0" w:oddHBand="0" w:evenHBand="0" w:firstRowFirstColumn="0" w:firstRowLastColumn="0" w:lastRowFirstColumn="0" w:lastRowLastColumn="0"/>
            </w:pPr>
            <w:r>
              <w:t>Paragraphs</w:t>
            </w:r>
          </w:p>
        </w:tc>
      </w:tr>
      <w:tr w:rsidR="785C2A88" w14:paraId="7F229D18" w14:textId="77777777" w:rsidTr="7FC179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0" w:type="dxa"/>
          </w:tcPr>
          <w:p w14:paraId="72E4B464" w14:textId="2344B7F4" w:rsidR="785C2A88" w:rsidRDefault="785C2A88">
            <w:r>
              <w:t>Part 1: Introduction</w:t>
            </w:r>
          </w:p>
        </w:tc>
        <w:tc>
          <w:tcPr>
            <w:tcW w:w="2000" w:type="dxa"/>
          </w:tcPr>
          <w:p w14:paraId="4C210DB9" w14:textId="1C229EB8" w:rsidR="785C2A88" w:rsidRDefault="6DF3B8E2">
            <w:pPr>
              <w:cnfStyle w:val="000000100000" w:firstRow="0" w:lastRow="0" w:firstColumn="0" w:lastColumn="0" w:oddVBand="0" w:evenVBand="0" w:oddHBand="1" w:evenHBand="0" w:firstRowFirstColumn="0" w:firstRowLastColumn="0" w:lastRowFirstColumn="0" w:lastRowLastColumn="0"/>
            </w:pPr>
            <w:r>
              <w:t>1.1 – 1.8</w:t>
            </w:r>
          </w:p>
        </w:tc>
      </w:tr>
      <w:tr w:rsidR="785C2A88" w14:paraId="75A942C5" w14:textId="77777777" w:rsidTr="7FC179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0" w:type="dxa"/>
          </w:tcPr>
          <w:p w14:paraId="29D73D3B" w14:textId="3337FF2D" w:rsidR="785C2A88" w:rsidRDefault="785C2A88">
            <w:r>
              <w:t>Part 2: Instructions to Tenderers</w:t>
            </w:r>
          </w:p>
        </w:tc>
        <w:tc>
          <w:tcPr>
            <w:tcW w:w="2000" w:type="dxa"/>
          </w:tcPr>
          <w:p w14:paraId="16077C18" w14:textId="2C15E5F1" w:rsidR="785C2A88" w:rsidRDefault="785C2A88">
            <w:pPr>
              <w:cnfStyle w:val="000000010000" w:firstRow="0" w:lastRow="0" w:firstColumn="0" w:lastColumn="0" w:oddVBand="0" w:evenVBand="0" w:oddHBand="0" w:evenHBand="1" w:firstRowFirstColumn="0" w:firstRowLastColumn="0" w:lastRowFirstColumn="0" w:lastRowLastColumn="0"/>
            </w:pPr>
            <w:r>
              <w:t>2.1 – 2.14</w:t>
            </w:r>
          </w:p>
        </w:tc>
      </w:tr>
      <w:tr w:rsidR="785C2A88" w14:paraId="72AB870C" w14:textId="77777777" w:rsidTr="7FC179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0" w:type="dxa"/>
          </w:tcPr>
          <w:p w14:paraId="530D7D9B" w14:textId="432B4666" w:rsidR="785C2A88" w:rsidRDefault="785C2A88">
            <w:r>
              <w:t>Part 3: Selection and Award Criteria</w:t>
            </w:r>
          </w:p>
        </w:tc>
        <w:tc>
          <w:tcPr>
            <w:tcW w:w="2000" w:type="dxa"/>
          </w:tcPr>
          <w:p w14:paraId="1B1C9751" w14:textId="3C092D2A" w:rsidR="785C2A88" w:rsidRDefault="785C2A88">
            <w:pPr>
              <w:cnfStyle w:val="000000100000" w:firstRow="0" w:lastRow="0" w:firstColumn="0" w:lastColumn="0" w:oddVBand="0" w:evenVBand="0" w:oddHBand="1" w:evenHBand="0" w:firstRowFirstColumn="0" w:firstRowLastColumn="0" w:lastRowFirstColumn="0" w:lastRowLastColumn="0"/>
            </w:pPr>
            <w:r>
              <w:t>3.1 – 3.6</w:t>
            </w:r>
          </w:p>
        </w:tc>
      </w:tr>
      <w:tr w:rsidR="785C2A88" w14:paraId="5F5DF551" w14:textId="77777777" w:rsidTr="7FC179E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0" w:type="dxa"/>
          </w:tcPr>
          <w:p w14:paraId="4E31E547" w14:textId="531E8D9F" w:rsidR="785C2A88" w:rsidRDefault="785C2A88">
            <w:r>
              <w:t>Part 4: Specification of Services and Tender Response Requirements</w:t>
            </w:r>
          </w:p>
        </w:tc>
        <w:tc>
          <w:tcPr>
            <w:tcW w:w="2000" w:type="dxa"/>
          </w:tcPr>
          <w:p w14:paraId="476C3A0C" w14:textId="4BFC7463" w:rsidR="785C2A88" w:rsidRDefault="785C2A88">
            <w:pPr>
              <w:cnfStyle w:val="000000010000" w:firstRow="0" w:lastRow="0" w:firstColumn="0" w:lastColumn="0" w:oddVBand="0" w:evenVBand="0" w:oddHBand="0" w:evenHBand="1" w:firstRowFirstColumn="0" w:firstRowLastColumn="0" w:lastRowFirstColumn="0" w:lastRowLastColumn="0"/>
            </w:pPr>
            <w:r>
              <w:t>4.1 – 4.10</w:t>
            </w:r>
          </w:p>
        </w:tc>
      </w:tr>
      <w:tr w:rsidR="7FC179ED" w14:paraId="146C2A31" w14:textId="77777777" w:rsidTr="7FC179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0" w:type="dxa"/>
          </w:tcPr>
          <w:p w14:paraId="5E0C6903" w14:textId="48B646C2" w:rsidR="7FC179ED" w:rsidRDefault="7FC179ED">
            <w:r>
              <w:t>Appendices 1 – 4 (issued as separate documents)</w:t>
            </w:r>
          </w:p>
        </w:tc>
        <w:tc>
          <w:tcPr>
            <w:tcW w:w="2000" w:type="dxa"/>
          </w:tcPr>
          <w:p w14:paraId="11B0C975" w14:textId="41942D86" w:rsidR="7FC179ED" w:rsidRDefault="7FC179ED">
            <w:pPr>
              <w:cnfStyle w:val="000000100000" w:firstRow="0" w:lastRow="0" w:firstColumn="0" w:lastColumn="0" w:oddVBand="0" w:evenVBand="0" w:oddHBand="1" w:evenHBand="0" w:firstRowFirstColumn="0" w:firstRowLastColumn="0" w:lastRowFirstColumn="0" w:lastRowLastColumn="0"/>
            </w:pPr>
            <w:r>
              <w:t>Scoring Matrix; Pricing Schedule; Tender Response Form; European Single Procurement Document (ESPD)</w:t>
            </w:r>
          </w:p>
        </w:tc>
      </w:tr>
    </w:tbl>
    <w:p w14:paraId="6C7C479A" w14:textId="6F26EA71" w:rsidR="785C2A88" w:rsidRDefault="785C2A88">
      <w:r>
        <w:br w:type="page"/>
      </w:r>
    </w:p>
    <w:p w14:paraId="42CB6EAC" w14:textId="3713AF55" w:rsidR="785C2A88" w:rsidRDefault="785C2A88" w:rsidP="785C2A88">
      <w:pPr>
        <w:pStyle w:val="Heading1"/>
      </w:pPr>
      <w:r>
        <w:lastRenderedPageBreak/>
        <w:t>Part 1: Introduction</w:t>
      </w:r>
    </w:p>
    <w:p w14:paraId="60697B35" w14:textId="12121C5C" w:rsidR="785C2A88" w:rsidRDefault="785C2A88" w:rsidP="785C2A88">
      <w:r>
        <w:t xml:space="preserve">1.1 Oaklee Housing, a company limited by guarantee registered in Ireland (company registration number 337270), a registered charity (registered charity number 20044589) and an Approved Housing Body registered with the Approved Housing Bodies Regulatory Authority (registration number AHB-03058), acting on its own behalf and on behalf of its wholly owned subsidiary, </w:t>
      </w:r>
      <w:r w:rsidRPr="00A13A9C">
        <w:t>Acorn Housing, a designated activity company registered in Ireland (company registration number 605532) and a registered charity (registered charity number 20159894)</w:t>
      </w:r>
      <w:r>
        <w:t xml:space="preserve"> (the “Contracting Authority”), invites tenders (“Tenders”) in response to this request for tenders (“RFT”) from economic operators (“Tenderers”) for the services described in Part 4 (the “Services”). In this RFT, Oaklee Housing and Acorn Housing are together referred to as the “Group” (or “Oaklee Group”), and “Financial Year” means each financial year of the Group ending on 31 December.</w:t>
      </w:r>
    </w:p>
    <w:p w14:paraId="33B29712" w14:textId="35737936" w:rsidR="785C2A88" w:rsidRPr="001F30C9" w:rsidRDefault="785C2A88" w:rsidP="785C2A88">
      <w:r w:rsidRPr="001F30C9">
        <w:t>1.2 In summary, the Services comprise the statutory external audit of the Group for each Financial Year during the Term, namely:</w:t>
      </w:r>
    </w:p>
    <w:p w14:paraId="500C525A" w14:textId="20B1E8D3" w:rsidR="785C2A88" w:rsidRPr="007B6756" w:rsidRDefault="785C2A88" w:rsidP="785C2A88">
      <w:pPr>
        <w:pStyle w:val="ListBullet"/>
      </w:pPr>
      <w:r w:rsidRPr="007B6756">
        <w:t>the statutory audit of the consolidated (Group) financial statements of Oaklee Housing and of the parent company financial statements of Oaklee Housing, prepared in accordance with the Companies Act 2014, FRS 102 and the Statement of Recommended Practice for Registered Social Housing Providers (the “Housing SORP”);</w:t>
      </w:r>
    </w:p>
    <w:p w14:paraId="2511E824" w14:textId="6CF4D2A5" w:rsidR="785C2A88" w:rsidRPr="007B6756" w:rsidRDefault="785C2A88" w:rsidP="785C2A88">
      <w:pPr>
        <w:pStyle w:val="ListBullet"/>
      </w:pPr>
      <w:r w:rsidRPr="007B6756">
        <w:t>the statutory audit of the financial statements of Acorn Housing, prepared in accordance with the Companies Act 2014 and FRS 102;</w:t>
      </w:r>
    </w:p>
    <w:p w14:paraId="3EB7FDBD" w14:textId="14B82EB2" w:rsidR="785C2A88" w:rsidRPr="007B6756" w:rsidRDefault="785C2A88" w:rsidP="785C2A88">
      <w:pPr>
        <w:pStyle w:val="ListBullet"/>
      </w:pPr>
      <w:r w:rsidRPr="007B6756">
        <w:t>audit planning, interim (where proposed) and final audit fieldwork, and the issue of signed independent auditor’s reports in accordance with International Standards on Auditing (Ireland) (“ISA (Ireland)”);</w:t>
      </w:r>
    </w:p>
    <w:p w14:paraId="3F71919D" w14:textId="2420DBC4" w:rsidR="785C2A88" w:rsidRPr="001F30C9" w:rsidRDefault="785C2A88" w:rsidP="785C2A88">
      <w:pPr>
        <w:pStyle w:val="ListBullet"/>
      </w:pPr>
      <w:r w:rsidRPr="001F30C9">
        <w:t>reporting to those charged with governance, including an audit plan, an audit findings (completion) report and a management letter for each of Oaklee Housing and Acorn Housing;</w:t>
      </w:r>
    </w:p>
    <w:p w14:paraId="33F40307" w14:textId="7A1C89C8" w:rsidR="785C2A88" w:rsidRPr="00953E25" w:rsidRDefault="785C2A88" w:rsidP="785C2A88">
      <w:pPr>
        <w:pStyle w:val="ListBullet"/>
      </w:pPr>
      <w:r w:rsidRPr="00953E25">
        <w:t>attendance at, and presentation to, the Audit &amp; Risk Committee of Oaklee Housing (the “ARC”) and, on request, the Boards of Oaklee Housing and Acorn Housing; and</w:t>
      </w:r>
    </w:p>
    <w:p w14:paraId="6E988611" w14:textId="1A676797" w:rsidR="785C2A88" w:rsidRPr="00953E25" w:rsidRDefault="785C2A88" w:rsidP="785C2A88">
      <w:pPr>
        <w:pStyle w:val="ListBullet"/>
      </w:pPr>
      <w:r w:rsidRPr="00953E25">
        <w:t>compliance with the statutory auditor’s legal and professional reporting obligations, and the timely provision of signed audit reports to support the Group’s statutory, regulatory and funder reporting, as further described at paragraph 4.2.</w:t>
      </w:r>
    </w:p>
    <w:p w14:paraId="16CF110F" w14:textId="148F8BA8" w:rsidR="785C2A88" w:rsidRDefault="785C2A88" w:rsidP="785C2A88">
      <w:r>
        <w:t>1.3 This Competition is not divided into Lots. The statutory audits of the Group consolidated financial statements, Oaklee Housing and Acorn Housing are closely interdependent, and the Contracting Authority requires a single statutory audit firm to deliver all of the Services so that the Group audit is performed efficiently and coherently.</w:t>
      </w:r>
    </w:p>
    <w:p>
      <w:r>
        <w:t>1.4 This public procurement competition (the “Competition”) will be conducted using the accelerated open procedure on eTenders, in line with Circular 05/2023 and national procurement requirements. A reduced tendering period applies so that the statutory auditor can be appointed in time for the audit of the Financial Year ending 31 December 2026. The estimated value of the Services Contract (paragraph 1.6) is below the threshold for publication in the Official Journal of the European Union, and the Competition is therefore not advertised in the Official Journal. The Contracting Authority will nonetheless apply the provisions of the European Union (Award of Public Authority Contracts) Regulations 2016 (S.I. No. 284 of 2016), as amended (the “Regulations”), that are referred to in this RFT as if they applied to the Competition. The Competition is a standalone competition, open to all interested economic operators, and is advertised on the Government’s national electronic tendering platform, www.etenders.gov.ie (“eTenders”). All queries, clarifications, notifications and Tender submissions are made through eTenders, as set out in Part 2.</w:t>
      </w:r>
    </w:p>
    <w:p w14:paraId="61CC5DB4" w14:textId="61F88C6C" w:rsidR="785C2A88" w:rsidRDefault="785C2A88" w:rsidP="785C2A88">
      <w:r>
        <w:t xml:space="preserve">1.5 Any contract resulting from this Competition (the “Services Contract”) will commence on the date on which the Services Contract is signed (the “Effective Date”) and cover the statutory audits of the Financial Years ending 31 December 2026, 31 December 2027, 31 December 2028 and 31 December 2029 (approximately forty-eight </w:t>
      </w:r>
      <w:r>
        <w:lastRenderedPageBreak/>
        <w:t>(48) months) (the “Term”). The provision of the Services is subject to the successful Tenderer being appointed (and, where applicable, re-appointed) as statutory auditor of Oaklee Housing and of Acorn Housing in accordance with the Companies Act 2014.</w:t>
      </w:r>
    </w:p>
    <w:p w14:paraId="328F4C37" w14:textId="733CF824" w:rsidR="785C2A88" w:rsidRPr="00DB3F68" w:rsidRDefault="785C2A88" w:rsidP="785C2A88">
      <w:pPr>
        <w:rPr>
          <w:lang w:val="en-IE"/>
        </w:rPr>
      </w:pPr>
      <w:r>
        <w:t xml:space="preserve">1.6 The Contracting Authority estimates that expenditure under the Services Contract may amount to </w:t>
      </w:r>
      <w:r w:rsidR="004A7612">
        <w:t>€</w:t>
      </w:r>
      <w:r w:rsidR="009A50E9">
        <w:t>1</w:t>
      </w:r>
      <w:r w:rsidR="005A2C98">
        <w:t>4</w:t>
      </w:r>
      <w:r w:rsidR="009A50E9">
        <w:t>0,000</w:t>
      </w:r>
      <w:r>
        <w:t xml:space="preserve"> (excluding VAT) over the Term. This figure is an estimate only, based on current and expected future requirements.</w:t>
      </w:r>
      <w:r w:rsidR="00DB3F68">
        <w:t xml:space="preserve"> </w:t>
      </w:r>
      <w:r w:rsidR="00DB3F68" w:rsidRPr="00DB3F68">
        <w:rPr>
          <w:lang w:val="en-IE"/>
        </w:rPr>
        <w:t>The estimated contract value over the four-year Term is €140,000 excluding VAT, comprising approximately €87,000 in respect of Oaklee Housing and €53,000 in respect of Acorn Housing. These figures are indicative and are provided for information purposes only.</w:t>
      </w:r>
    </w:p>
    <w:p w14:paraId="60E7D1D9" w14:textId="1C2F7304" w:rsidR="785C2A88" w:rsidRDefault="6DF3B8E2" w:rsidP="785C2A88">
      <w:r>
        <w:t>1.7 The Contracting Authority encourages participation by Small and Medium Enterprises (“SMEs”) on a fair and equal basis.</w:t>
      </w:r>
    </w:p>
    <w:p w14:paraId="7C6C2A34" w14:textId="49679291" w:rsidR="7FC179ED" w:rsidRDefault="7FC179ED">
      <w:r>
        <w:t>1.8 This RFT comprises this document and the following appendices, which are issued with it and form part of the procurement documents: Appendix 1 – Scoring Matrix; Appendix 2 – Pricing Schedule (Excel); Appendix 3 – Tender Response Form (Word); Appendix 4 – European Single Procurement Document (ESPD) (Word).</w:t>
      </w:r>
    </w:p>
    <w:p w14:paraId="2EF5E33A" w14:textId="2BA87E58" w:rsidR="785C2A88" w:rsidRDefault="785C2A88" w:rsidP="785C2A88">
      <w:pPr>
        <w:pStyle w:val="Heading1"/>
      </w:pPr>
      <w:r>
        <w:t>Part 2: Instructions to Tenderers</w:t>
      </w:r>
    </w:p>
    <w:p w14:paraId="4E8B5B4E" w14:textId="53B90DCC" w:rsidR="785C2A88" w:rsidRDefault="785C2A88" w:rsidP="785C2A88">
      <w:pPr>
        <w:pStyle w:val="Heading2"/>
      </w:pPr>
      <w:r>
        <w:t>2.1 Important Notices</w:t>
      </w:r>
    </w:p>
    <w:p w14:paraId="6FEE6410" w14:textId="62E4B718" w:rsidR="785C2A88" w:rsidRDefault="785C2A88" w:rsidP="785C2A88">
      <w:r>
        <w:t>2.1.1 While every effort has been made to provide comprehensive and accurate information in all notices and documents prepared for this Competition, the Contracting Authority does not accept any liability or give any express or implied warranty in respect of such information. Tenderers must form their own conclusions about the solution needed to meet the requirements of this RFT and may wish to consult their legal advisers.</w:t>
      </w:r>
    </w:p>
    <w:p w14:paraId="1AC309DC" w14:textId="1B0DC99E" w:rsidR="785C2A88" w:rsidRDefault="785C2A88" w:rsidP="785C2A88">
      <w:r>
        <w:t>2.1.2 The Contracting Authority does not bind itself to accept the lowest priced or any Tender. This RFT is not an offer or a commitment to enter into a Services Contract, and no contractual rights will exist unless and until a formal written Services Contract has been executed by or on behalf of the Contracting Authority. Notification of preferred bidder status does not give rise to any enforceable rights. The Contracting Authority may cancel this Competition at any time before a Services Contract is executed.</w:t>
      </w:r>
    </w:p>
    <w:p w14:paraId="3F3FCDE4" w14:textId="13D362AE" w:rsidR="785C2A88" w:rsidRDefault="785C2A88" w:rsidP="785C2A88">
      <w:r>
        <w:t>2.1.3 This RFT supersedes and replaces all previous documentation, communications and correspondence between the Contracting Authority and Tenderers, on which Tenderers should place no reliance.</w:t>
      </w:r>
    </w:p>
    <w:p w14:paraId="67054A4A" w14:textId="2CC0AB5D" w:rsidR="785C2A88" w:rsidRDefault="785C2A88" w:rsidP="785C2A88">
      <w:r>
        <w:t>2.1.4 “Data Protection Laws” means all applicable national and EU data protection laws, regulations and guidelines, including Regulation (EU) 2016/679 (the “General Data Protection Regulation”) and any guidance and codes of practice issued by the Data Protection Commission from time to time. The Contracting Authority will be a data controller in respect of any personal data provided by a Tenderer in its Tender. Each Tenderer, as data controller of the personal data it provides, must confirm in the Tenderer’s Statement (paragraph 4.8) that every data subject whose personal data it provides has consented to the processing of that data by the Tenderer, the Contracting Authority, the evaluation team and the supplier of eTenders for the purposes of this Competition, or that it otherwise has a lawful basis for providing it.</w:t>
      </w:r>
    </w:p>
    <w:p w14:paraId="4265F287" w14:textId="55717BE5" w:rsidR="785C2A88" w:rsidRDefault="785C2A88" w:rsidP="785C2A88">
      <w:r>
        <w:lastRenderedPageBreak/>
        <w:t>2.1.5 Tenderers are referred to Regulation (EU) 2022/1031 on the International Procurement Instrument (“IPI”), including the obligations of a contracting authority under Article 6 where the European Commission has adopted an IPI measure, and to Regulation (EU) 2022/2560 on foreign subsidies distorting the internal market and Commission Implementing Regulation (EU) 2023/1441, including the requirements in Articles 28 and 29 of Regulation (EU) 2022/2560 for prior notification or declaration of foreign financial contributions where the estimated value of the procedure equals or exceeds the applicable threshold. Tenderers must comply with these Regulations and make the related confirmation in the Tenderer’s Statement (paragraph 4.8).</w:t>
      </w:r>
    </w:p>
    <w:p w14:paraId="6B530D6E" w14:textId="65B54023" w:rsidR="785C2A88" w:rsidRDefault="785C2A88" w:rsidP="785C2A88">
      <w:pPr>
        <w:pStyle w:val="Heading2"/>
      </w:pPr>
      <w:r>
        <w:t>2.2 Compliant Tenders</w:t>
      </w:r>
    </w:p>
    <w:p w14:paraId="116C0C95" w14:textId="7E16674C" w:rsidR="785C2A88" w:rsidRDefault="785C2A88" w:rsidP="785C2A88">
      <w:r>
        <w:t>2.2.1 If a Tenderer fails to comply in any respect with this paragraph 2.2.1, the Contracting Authority may reject its Tender as non-compliant or, without prejudice to that right and subject to its obligations at law, take any other action it considers appropriate, including seeking written clarification or further information, or waiving a requirement which in its view is non-material or procedural. Tenderers are required:</w:t>
      </w:r>
    </w:p>
    <w:p w14:paraId="3C8CC0A2" w14:textId="39402FA6" w:rsidR="785C2A88" w:rsidRDefault="785C2A88" w:rsidP="785C2A88">
      <w:pPr>
        <w:pStyle w:val="ListParagraph"/>
      </w:pPr>
      <w:r>
        <w:t>(a) to complete and submit with their Tender the electronic European Single Procurement Document (“eESPD”). An eESPD used in a previous procurement procedure may be submitted provided the Tenderer confirms that the information in it remains correct and that it satisfies the Selection Criteria at paragraph 3.2;</w:t>
      </w:r>
    </w:p>
    <w:p w14:paraId="29535609" w14:textId="1389B126" w:rsidR="785C2A88" w:rsidRDefault="785C2A88" w:rsidP="785C2A88">
      <w:pPr>
        <w:pStyle w:val="ListParagraph"/>
      </w:pPr>
      <w:r>
        <w:t>(b) to submit all documentation which this RFT requires, as listed at paragraph 2.5.6;</w:t>
      </w:r>
    </w:p>
    <w:p w14:paraId="13290F57" w14:textId="49061B2A" w:rsidR="785C2A88" w:rsidRDefault="785C2A88" w:rsidP="785C2A88">
      <w:pPr>
        <w:pStyle w:val="ListParagraph"/>
      </w:pPr>
      <w:r>
        <w:t>(c) to follow the format of this RFT and respond to each element in the order set out in it;</w:t>
      </w:r>
    </w:p>
    <w:p w14:paraId="1A110D9C" w14:textId="7C566166" w:rsidR="785C2A88" w:rsidRDefault="785C2A88" w:rsidP="785C2A88">
      <w:pPr>
        <w:pStyle w:val="ListParagraph"/>
      </w:pPr>
      <w:r>
        <w:t>(d) to comply with all instructions and requirements of this RFT;</w:t>
      </w:r>
    </w:p>
    <w:p w14:paraId="580CB9B2" w14:textId="73DCB525" w:rsidR="785C2A88" w:rsidRDefault="785C2A88" w:rsidP="785C2A88">
      <w:pPr>
        <w:pStyle w:val="ListParagraph"/>
      </w:pPr>
      <w:r>
        <w:t>(e) to submit the signed Tenderer’s Statement at paragraph 4.8; and</w:t>
      </w:r>
    </w:p>
    <w:p w14:paraId="514314AA" w14:textId="449BAAB7" w:rsidR="785C2A88" w:rsidRDefault="785C2A88" w:rsidP="785C2A88">
      <w:pPr>
        <w:pStyle w:val="ListParagraph"/>
      </w:pPr>
      <w:r>
        <w:t>(f) not to alter or edit this RFT in any way.</w:t>
      </w:r>
    </w:p>
    <w:p w14:paraId="701BD64A" w14:textId="61B5603E" w:rsidR="785C2A88" w:rsidRDefault="785C2A88" w:rsidP="785C2A88">
      <w:r>
        <w:t>2.2.2 Without prejudice to paragraph 2.2.1, failure to comply with paragraph 2.5.1, 2.5.2 or 2.5.3 will render a Tender non-compliant and it will be rejected.</w:t>
      </w:r>
    </w:p>
    <w:p w14:paraId="3AA9C71C" w14:textId="653EA4C1" w:rsidR="785C2A88" w:rsidRDefault="785C2A88" w:rsidP="785C2A88">
      <w:pPr>
        <w:pStyle w:val="Heading2"/>
      </w:pPr>
      <w:r>
        <w:t>2.3 Services Contract and Tenderer’s Statement</w:t>
      </w:r>
    </w:p>
    <w:p w14:paraId="7FB802E3" w14:textId="12A3E44B" w:rsidR="785C2A88" w:rsidRDefault="785C2A88" w:rsidP="785C2A88">
      <w:r>
        <w:t>2.3.1 The key terms and conditions of the Services Contract are set out at paragraph 4.10. Tenderers must confirm their acceptance of those terms, and of all other provisions of this RFT, by signing the Tenderer’s Statement at paragraph 4.8. Tenderers may not amend the terms of the Services Contract or the Tenderer’s Statement.</w:t>
      </w:r>
    </w:p>
    <w:p w14:paraId="2CD4BDD2" w14:textId="5705A39A" w:rsidR="785C2A88" w:rsidRDefault="785C2A88" w:rsidP="785C2A88">
      <w:r>
        <w:t>2.3.2 All Tenderers must return with their Tender a scanned, signed copy of the Tenderer’s Statement printed on the Tenderer’s letterhead. The signature must be legible; if it cannot be read, the Tenderer may be asked to re-submit.</w:t>
      </w:r>
    </w:p>
    <w:p w14:paraId="62127CA0" w14:textId="5E9A3D03" w:rsidR="785C2A88" w:rsidRDefault="785C2A88" w:rsidP="785C2A88">
      <w:pPr>
        <w:pStyle w:val="Heading2"/>
      </w:pPr>
      <w:r>
        <w:t>2.4 Consortia and Subcontracting</w:t>
      </w:r>
    </w:p>
    <w:p w14:paraId="4745343B" w14:textId="7F5ADB4A" w:rsidR="785C2A88" w:rsidRDefault="785C2A88" w:rsidP="785C2A88">
      <w:r>
        <w:t>2.4.1 Where a group of undertakings (in whatever form and regardless of the legal relationship between them) submits a Tender, the Contracting Authority will deal with all matters relating to this Competition through a single nominated entity authorised to represent all members. The Tender must identify every member and its role, and give the name, title, telephone number, postal address and e-mail address of the nominated entity, to which all communications will be directed until the Competition is completed or terminated. Correspondence from any other person will not be accepted, acknowledged or answered.</w:t>
      </w:r>
    </w:p>
    <w:p w14:paraId="71C5E07A" w14:textId="4E7100F3" w:rsidR="785C2A88" w:rsidRDefault="785C2A88" w:rsidP="785C2A88">
      <w:r>
        <w:lastRenderedPageBreak/>
        <w:t>2.4.2 Before and as a condition of award, the successful Tenderer must designate a single entity with overall responsibility for the Services Contract (the “Prime Contractor”), whether or not tasks are performed by a subcontractor or other consortium member (a “Subcontractor”).</w:t>
      </w:r>
    </w:p>
    <w:p w14:paraId="1E382428" w14:textId="75332AB3" w:rsidR="785C2A88" w:rsidRDefault="785C2A88" w:rsidP="785C2A88">
      <w:pPr>
        <w:pStyle w:val="Heading2"/>
      </w:pPr>
      <w:r>
        <w:t>2.5 Tender Submission Requirements</w:t>
      </w:r>
    </w:p>
    <w:p w14:paraId="7445F451" w14:textId="3401C466" w:rsidR="785C2A88" w:rsidRDefault="785C2A88" w:rsidP="785C2A88">
      <w:r>
        <w:t>2.5.1 Tenders must be submitted through the electronic tenderbox on eTenders. Tenders submitted by any other means (including e-mail, post or hand delivery) will not be accepted. Tenderers should allow sufficient time to upload all documents before the Tender Deadline, as upload speeds vary; the current limits are 250MB per file and 2GB in total. Tenderers must complete all submission steps, including clicking the “Submit” button, which is disabled automatically at the Tender Deadline. A Tender that is changed before the Tender Deadline must be re-submitted in its entirety.</w:t>
      </w:r>
    </w:p>
    <w:p w14:paraId="6B156EE1" w14:textId="3983BF9A" w:rsidR="785C2A88" w:rsidRDefault="785C2A88" w:rsidP="785C2A88">
      <w:r>
        <w:t>2.5.2</w:t>
      </w:r>
      <w:r w:rsidRPr="001C50AB">
        <w:t> Tenders must be received not later than 6:00 pm (Irish time) on Sunday 15 November 2026 (the “Tender Deadline”). Late Tenders will not be considered.</w:t>
      </w:r>
    </w:p>
    <w:p w14:paraId="7B179A62" w14:textId="13F64226" w:rsidR="785C2A88" w:rsidRDefault="785C2A88" w:rsidP="785C2A88">
      <w:r>
        <w:t>2.5.3 Tenders must be submitted in English.</w:t>
      </w:r>
    </w:p>
    <w:p w14:paraId="194235FE" w14:textId="2527B29B" w:rsidR="785C2A88" w:rsidRDefault="785C2A88" w:rsidP="785C2A88">
      <w:r>
        <w:t>2.5.4 Subject to paragraphs 2.11.3 and 2.11.4, each Tenderer may submit only one Tender in its own capacity and one Tender as part of a consortium or group of undertakings.</w:t>
      </w:r>
    </w:p>
    <w:p w14:paraId="7D44D9AD" w14:textId="7C7E732E" w:rsidR="785C2A88" w:rsidRDefault="6DF3B8E2" w:rsidP="785C2A88">
      <w:r w:rsidRPr="00747E51">
        <w:t>2.5.5 Tenders must be readable in Adobe Acrobat Reader (PDF), except that the completed Pricing Schedule (Appendix 2) may be submitted in Microsoft Excel format and the completed Tender Response Form (Appendix 3) in Microsoft Word format. The Contracting Authority is not responsible for corrupted electronic documents, and Tenderers must ensure their files are not corrupt.</w:t>
      </w:r>
    </w:p>
    <w:p w14:paraId="317CD52B" w14:textId="4E4443BF" w:rsidR="785C2A88" w:rsidRDefault="6DF3B8E2" w:rsidP="785C2A88">
      <w:r>
        <w:t>2.5.6 </w:t>
      </w:r>
      <w:r w:rsidRPr="0083396D">
        <w:t>Each Tender must contain: (a) the completed eESPD for the Tenderer and for each entity referred to in paragraph 3.1.3 or 3.1.4;</w:t>
      </w:r>
      <w:r>
        <w:t xml:space="preserve"> (b) the signed Tenderer’s Statement (paragraph 4.8); (c) the completed Tender Response Form (Appendix 3), including curricula vitae of the Engagement Partner and Audit Manager; (d) the completed and signed Pricing Schedule (Appendix 2); and (e) any confidentiality markings required under paragraph 2.12.2.</w:t>
      </w:r>
    </w:p>
    <w:p w14:paraId="2B8276FD" w14:textId="6A5C975F" w:rsidR="785C2A88" w:rsidRDefault="785C2A88" w:rsidP="785C2A88">
      <w:pPr>
        <w:pStyle w:val="Heading2"/>
      </w:pPr>
      <w:r>
        <w:t>2.6 Queries and Clarifications</w:t>
      </w:r>
    </w:p>
    <w:p w14:paraId="1DFD09AC" w14:textId="56865D61" w:rsidR="785C2A88" w:rsidRDefault="785C2A88" w:rsidP="785C2A88">
      <w:r>
        <w:t>2.6.1 </w:t>
      </w:r>
      <w:r w:rsidRPr="000C3A11">
        <w:t>All queries about this Competition or this RFT must be submitted through the messaging facility on eTenders no later than 6:00 pm (Irish time) on Monday 9 November 2026, unless otherwise published</w:t>
      </w:r>
      <w:r w:rsidRPr="00D10921">
        <w:t>. Provided a query is received by that time, the Contracting Authority will respond no later than Wednesday 11 November 2026.</w:t>
      </w:r>
      <w:r>
        <w:t xml:space="preserve"> Tenderers may not contact the Contracting Authority directly regarding any aspect of this Competition.</w:t>
      </w:r>
    </w:p>
    <w:p w14:paraId="42C03A5A" w14:textId="5EEFBA29" w:rsidR="785C2A88" w:rsidRDefault="785C2A88" w:rsidP="785C2A88">
      <w:r>
        <w:t>2.6.2 All responses will be issued through the eTenders messaging facility to all Tenderers and may be amalgamated; the Contracting Authority will not respond privately to individual Tenderers.</w:t>
      </w:r>
    </w:p>
    <w:p w14:paraId="59809121" w14:textId="36F1C929" w:rsidR="785C2A88" w:rsidRDefault="785C2A88" w:rsidP="785C2A88">
      <w:r>
        <w:t>2.6.3 The Contracting Authority reserves the right to issue or seek written clarifications.</w:t>
      </w:r>
    </w:p>
    <w:p w14:paraId="41B15394" w14:textId="3121E8ED" w:rsidR="785C2A88" w:rsidRDefault="785C2A88" w:rsidP="785C2A88">
      <w:r>
        <w:t xml:space="preserve">2.6.4 The Contracting Authority may, at any time before the Tender Deadline, update or amend this RFT and/or extend the Tender Deadline, and will inform Tenderers through eTenders. </w:t>
      </w:r>
      <w:r>
        <w:lastRenderedPageBreak/>
        <w:t>Tenderers should register their interest by clicking the “Accept” button on eTenders in order to receive all responses and updates.</w:t>
      </w:r>
    </w:p>
    <w:p w14:paraId="371E94F7" w14:textId="67C7C4FF" w:rsidR="785C2A88" w:rsidRDefault="785C2A88" w:rsidP="785C2A88">
      <w:pPr>
        <w:pStyle w:val="Heading2"/>
      </w:pPr>
      <w:r>
        <w:t>2.7 Tendering Costs</w:t>
      </w:r>
    </w:p>
    <w:p w14:paraId="54629E7D" w14:textId="71751EF4" w:rsidR="785C2A88" w:rsidRDefault="785C2A88" w:rsidP="785C2A88">
      <w:r>
        <w:t>2.7.1 All costs and expenses incurred by Tenderers in participating in this Competition, including site visits, demonstrations and presentations, are borne by the Tenderers exclusively.</w:t>
      </w:r>
    </w:p>
    <w:p w14:paraId="48CCEDB6" w14:textId="314C482A" w:rsidR="785C2A88" w:rsidRDefault="785C2A88" w:rsidP="785C2A88">
      <w:pPr>
        <w:pStyle w:val="Heading2"/>
      </w:pPr>
      <w:r>
        <w:t>2.8 Confidentiality</w:t>
      </w:r>
    </w:p>
    <w:p w14:paraId="20B72E5D" w14:textId="475CEBBA" w:rsidR="785C2A88" w:rsidRDefault="785C2A88" w:rsidP="785C2A88">
      <w:r>
        <w:t>2.8.1 All documentation, data, information and material furnished by the Contracting Authority during this Competition: (a) is furnished solely for the purpose of responding to this RFT; (b) may not be used, communicated, reproduced or published for any other purpose without the Contracting Authority’s prior written permission; (c) must be treated as confidential by the Tenderer and by any third party (including Subcontractors) it engages or consults; and (d) must be returned immediately on cancellation or completion of this Competition if the Contracting Authority so requests.</w:t>
      </w:r>
    </w:p>
    <w:p w14:paraId="63605561" w14:textId="5EF47063" w:rsidR="785C2A88" w:rsidRDefault="785C2A88" w:rsidP="785C2A88">
      <w:pPr>
        <w:pStyle w:val="Heading2"/>
      </w:pPr>
      <w:r>
        <w:t>2.9 Pricing</w:t>
      </w:r>
    </w:p>
    <w:p w14:paraId="31D82D3F" w14:textId="100538BE" w:rsidR="785C2A88" w:rsidRDefault="6DF3B8E2" w:rsidP="785C2A88">
      <w:r>
        <w:t>2.9.1 Tenderers must complete Appendix 2 – Pricing Schedule. All prices must be expressed in euro, exclusive of VAT, and fully inclusive of all costs and expenses.</w:t>
      </w:r>
    </w:p>
    <w:p w14:paraId="49BECA68" w14:textId="327FCA55" w:rsidR="785C2A88" w:rsidRDefault="785C2A88" w:rsidP="785C2A88">
      <w:r>
        <w:t>2.9.2 Tenderers must quote a separate fixed fee for each Financial Year, which will remain fixed for the Term, and no price indexation will apply. Any currency variations over the term of the Services Contract will be borne by the Tenderer.</w:t>
      </w:r>
    </w:p>
    <w:p w14:paraId="154AA3C4" w14:textId="3A82EDB9" w:rsidR="785C2A88" w:rsidRDefault="785C2A88" w:rsidP="785C2A88">
      <w:r>
        <w:t xml:space="preserve">2.9.3 Tenderers must confirm that all prices will remain valid for </w:t>
      </w:r>
      <w:r w:rsidR="00AD3555">
        <w:t>90 calendar days</w:t>
      </w:r>
      <w:r>
        <w:t xml:space="preserve"> from the Tender Deadline.</w:t>
      </w:r>
    </w:p>
    <w:p w14:paraId="6AC8744F" w14:textId="6B66443C" w:rsidR="785C2A88" w:rsidRDefault="785C2A88" w:rsidP="785C2A88">
      <w:r>
        <w:t>2.9.4 Payments will be made in accordance with the Services Contract (paragraph 4.10).</w:t>
      </w:r>
    </w:p>
    <w:p w14:paraId="4EFA7C48" w14:textId="202D1C75" w:rsidR="785C2A88" w:rsidRDefault="785C2A88" w:rsidP="785C2A88">
      <w:pPr>
        <w:pStyle w:val="Heading2"/>
      </w:pPr>
      <w:r>
        <w:t>2.10 Environmental, Social and Labour Law</w:t>
      </w:r>
    </w:p>
    <w:p w14:paraId="6957E6AD" w14:textId="2249BD63" w:rsidR="785C2A88" w:rsidRDefault="785C2A88" w:rsidP="785C2A88">
      <w:r>
        <w:t>2.10.1 In performing any Services Contract, the successful Tenderer and its Subcontractors must comply with all applicable obligations in the fields of environmental, social and labour law established by EU law, national law, collective agreements or the international environmental, social and labour law provisions listed in Schedule 7 of the Regulations.</w:t>
      </w:r>
    </w:p>
    <w:p w14:paraId="1F27ED31" w14:textId="639634E9" w:rsidR="785C2A88" w:rsidRDefault="785C2A88" w:rsidP="785C2A88">
      <w:r>
        <w:t>2.10.2 Tenderers must undertake to comply fully with Council Directive 2001/23/EC on the safeguarding of employees’ rights in the event of transfers of undertakings, as implemented by the European Communities (Protection of Employees on Transfer of Undertakings) Regulations 2003 (S.I. No. 131 of 2003), and to indemnify the Contracting Authority for any claim, loss or cost arising from a failure to do so.</w:t>
      </w:r>
    </w:p>
    <w:p w14:paraId="214FB37F" w14:textId="476AB262" w:rsidR="785C2A88" w:rsidRDefault="785C2A88" w:rsidP="785C2A88">
      <w:r>
        <w:t>2.10.3 Under the Protection of Employees (Temporary Agency Work) Act 2012, an agency worker is entitled to the same basic working and employment conditions as a directly recruited employee doing the same or similar work. Where the Services involve agency workers, Tenderers must take this into account when pricing. The Contracting Authority has no liability for any resulting increase in salaries.</w:t>
      </w:r>
    </w:p>
    <w:p w14:paraId="6E023A44" w14:textId="4ABB9A92" w:rsidR="785C2A88" w:rsidRDefault="785C2A88" w:rsidP="785C2A88">
      <w:pPr>
        <w:pStyle w:val="Heading2"/>
      </w:pPr>
      <w:r>
        <w:t>2.11 Conduct of Tenderers</w:t>
      </w:r>
    </w:p>
    <w:p w14:paraId="3F4E481C" w14:textId="39D0F93B" w:rsidR="785C2A88" w:rsidRDefault="785C2A88" w:rsidP="785C2A88">
      <w:r>
        <w:t>2.11.1 No publicity regarding this Competition or any Services Contract is permitted without the Contracting Authority’s prior written consent.</w:t>
      </w:r>
    </w:p>
    <w:p w14:paraId="65D6B01A" w14:textId="59029CDC" w:rsidR="785C2A88" w:rsidRDefault="785C2A88" w:rsidP="785C2A88">
      <w:r>
        <w:lastRenderedPageBreak/>
        <w:t>2.11.2 Any Registrable Interest involving a Tenderer or Subcontractor and the Contracting Authority, members of the Government or the Oireachtas, or employees and officers of the Contracting Authority and their relatives, must be fully disclosed in the Tender or, if it becomes known later, notified immediately. “Registrable Interest” and “Relative” have the meanings given in section 2 of the Ethics in Public Office Acts 1995 and 2001.</w:t>
      </w:r>
    </w:p>
    <w:p w14:paraId="3DDF2FB5" w14:textId="4917FA66" w:rsidR="785C2A88" w:rsidRDefault="785C2A88" w:rsidP="785C2A88">
      <w:r>
        <w:t>2.11.3 Tenderers’ attention is drawn to the Competition Act 2002 (as amended), which makes it a criminal offence for Tenderers to collude on prices or terms in a public procurement competition.</w:t>
      </w:r>
    </w:p>
    <w:p w14:paraId="2C76BDC2" w14:textId="3DB3FFA0" w:rsidR="785C2A88" w:rsidRDefault="785C2A88" w:rsidP="785C2A88">
      <w:r>
        <w:t>2.11.4 Any actual or potential conflict of interest on the part of a Tenderer, a Subcontractor or any of their employees or agents must be disclosed to the Contracting Authority as soon as it becomes apparent. Tenderers must declare that their Tender was prepared independently. The Contracting Authority may invite proposals to remove a conflict and, where Tenderers are linked, seek further information to confirm that their Tenders were prepared independently.</w:t>
      </w:r>
    </w:p>
    <w:p w14:paraId="2B743197" w14:textId="3ECD4C87" w:rsidR="785C2A88" w:rsidRDefault="785C2A88" w:rsidP="785C2A88">
      <w:r>
        <w:t>2.11.5 In the circumstances described in paragraphs 2.11.2 to 2.11.4, the Contracting Authority will, at its absolute discretion, decide the appropriate course of action, which may include eliminating a Tenderer from this Competition or terminating any Services Contract.</w:t>
      </w:r>
    </w:p>
    <w:p w14:paraId="47B43DED" w14:textId="2F23CE50" w:rsidR="785C2A88" w:rsidRDefault="785C2A88" w:rsidP="785C2A88">
      <w:r>
        <w:t>2.11.6 A Tenderer that decides to withdraw from this Competition must notify the Contracting Authority immediately through the eTenders messaging facility. References in this RFT to any item, process or term are to be given the meaning generally understood in the audit profession.</w:t>
      </w:r>
    </w:p>
    <w:p w14:paraId="7D5072B6" w14:textId="57B637ED" w:rsidR="785C2A88" w:rsidRDefault="785C2A88" w:rsidP="785C2A88">
      <w:pPr>
        <w:pStyle w:val="Heading2"/>
      </w:pPr>
      <w:r>
        <w:t>2.12 Freedom of Information</w:t>
      </w:r>
    </w:p>
    <w:p w14:paraId="5FF7AA68" w14:textId="1550DADC" w:rsidR="785C2A88" w:rsidRDefault="785C2A88" w:rsidP="785C2A88">
      <w:r>
        <w:t xml:space="preserve">2.12.1 Information provided by Tenderers may be liable to disclosure under the </w:t>
      </w:r>
      <w:r w:rsidR="00367E2A">
        <w:t>Freedom of Information Act 2014</w:t>
      </w:r>
      <w:r>
        <w:t>.</w:t>
      </w:r>
    </w:p>
    <w:p w14:paraId="764841C8" w14:textId="140A8D96" w:rsidR="785C2A88" w:rsidRDefault="785C2A88" w:rsidP="785C2A88">
      <w:r>
        <w:t>2.12.2 Tenderers who consider that specific information in their Tender should not be disclosed because of its confidentiality or commercial sensitivity must clearly identify the relevant sections and state the reasons. Confidentiality may not be asserted over the entire Tender. Information not so identified is liable to be released without further notice or consultation. The Contracting Authority will, where possible, consult Tenderers before deciding on a request, and accepts no liability in respect of any information released or any consequential damage.</w:t>
      </w:r>
    </w:p>
    <w:p w14:paraId="4CD52060" w14:textId="5065CCDC" w:rsidR="785C2A88" w:rsidRDefault="785C2A88" w:rsidP="785C2A88">
      <w:pPr>
        <w:pStyle w:val="Heading2"/>
      </w:pPr>
      <w:r>
        <w:t>2.13 Tax Clearance</w:t>
      </w:r>
    </w:p>
    <w:p w14:paraId="5DB8FA25" w14:textId="1F061BD3" w:rsidR="785C2A88" w:rsidRDefault="785C2A88" w:rsidP="785C2A88">
      <w:r>
        <w:t>2.13.1 It is a condition of any Services Contract that the successful Tenderer complies with all applicable EU and domestic tax laws for its term (see www.revenue.ie). Before award, the successful Tenderer must supply its Tax Clearance Access Number and Tax Reference Number, thereby permitting the Contracting Authority to verify its tax-cleared status online.</w:t>
      </w:r>
    </w:p>
    <w:p w14:paraId="67FE932F" w14:textId="72838F2C" w:rsidR="785C2A88" w:rsidRDefault="785C2A88" w:rsidP="785C2A88">
      <w:pPr>
        <w:pStyle w:val="Heading2"/>
      </w:pPr>
      <w:r>
        <w:t>2.14 Insurance</w:t>
      </w:r>
    </w:p>
    <w:p w14:paraId="49E95B3D" w14:textId="7E7EC830" w:rsidR="785C2A88" w:rsidRDefault="785C2A88" w:rsidP="785C2A88">
      <w:r>
        <w:t>2.14.1 The successful Tenderer must hold the following insurances for the term of the Services Contract:</w:t>
      </w:r>
    </w:p>
    <w:p w14:paraId="113F7992" w14:textId="77777777" w:rsidR="00B55CFE" w:rsidRDefault="00B55CFE" w:rsidP="785C2A88"/>
    <w:tbl>
      <w:tblPr>
        <w:tblStyle w:val="MediumShading1-Accent1"/>
        <w:tblW w:w="0" w:type="auto"/>
        <w:tblLook w:val="04A0" w:firstRow="1" w:lastRow="0" w:firstColumn="1" w:lastColumn="0" w:noHBand="0" w:noVBand="1"/>
      </w:tblPr>
      <w:tblGrid>
        <w:gridCol w:w="2800"/>
        <w:gridCol w:w="6270"/>
      </w:tblGrid>
      <w:tr w:rsidR="785C2A88" w14:paraId="7312EFD0" w14:textId="77777777" w:rsidTr="785C2A8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00" w:type="dxa"/>
          </w:tcPr>
          <w:p w14:paraId="7DF30C27" w14:textId="78901C6D" w:rsidR="785C2A88" w:rsidRDefault="785C2A88">
            <w:r>
              <w:t>Type of insurance</w:t>
            </w:r>
          </w:p>
        </w:tc>
        <w:tc>
          <w:tcPr>
            <w:tcW w:w="6270" w:type="dxa"/>
          </w:tcPr>
          <w:p w14:paraId="31FA680B" w14:textId="716E0331" w:rsidR="785C2A88" w:rsidRDefault="785C2A88">
            <w:pPr>
              <w:cnfStyle w:val="100000000000" w:firstRow="1" w:lastRow="0" w:firstColumn="0" w:lastColumn="0" w:oddVBand="0" w:evenVBand="0" w:oddHBand="0" w:evenHBand="0" w:firstRowFirstColumn="0" w:firstRowLastColumn="0" w:lastRowFirstColumn="0" w:lastRowLastColumn="0"/>
            </w:pPr>
            <w:r>
              <w:t>Indemnity limit</w:t>
            </w:r>
          </w:p>
        </w:tc>
      </w:tr>
      <w:tr w:rsidR="785C2A88" w14:paraId="2C525EA2" w14:textId="77777777" w:rsidTr="785C2A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2BF5F4B5" w14:textId="088363A6" w:rsidR="785C2A88" w:rsidRDefault="785C2A88">
            <w:r>
              <w:t>Employer’s Liability</w:t>
            </w:r>
          </w:p>
        </w:tc>
        <w:tc>
          <w:tcPr>
            <w:tcW w:w="6270" w:type="dxa"/>
          </w:tcPr>
          <w:p w14:paraId="26403380" w14:textId="05EE078E" w:rsidR="785C2A88" w:rsidRPr="00791495" w:rsidRDefault="785C2A88">
            <w:pPr>
              <w:cnfStyle w:val="000000100000" w:firstRow="0" w:lastRow="0" w:firstColumn="0" w:lastColumn="0" w:oddVBand="0" w:evenVBand="0" w:oddHBand="1" w:evenHBand="0" w:firstRowFirstColumn="0" w:firstRowLastColumn="0" w:lastRowFirstColumn="0" w:lastRowLastColumn="0"/>
            </w:pPr>
            <w:r w:rsidRPr="007053A5">
              <w:t>€1</w:t>
            </w:r>
            <w:r w:rsidR="007053A5">
              <w:t>3</w:t>
            </w:r>
            <w:r w:rsidRPr="007053A5">
              <w:t xml:space="preserve"> million any one claim or series of claims arising from a single occurrence (not required where the Tenderer has no </w:t>
            </w:r>
            <w:r w:rsidRPr="007053A5">
              <w:lastRenderedPageBreak/>
              <w:t>employees)</w:t>
            </w:r>
          </w:p>
        </w:tc>
      </w:tr>
      <w:tr w:rsidR="785C2A88" w14:paraId="171F8A4D" w14:textId="77777777" w:rsidTr="785C2A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7117B74F" w14:textId="1876AADF" w:rsidR="785C2A88" w:rsidRDefault="785C2A88">
            <w:r>
              <w:lastRenderedPageBreak/>
              <w:t>Public Liability</w:t>
            </w:r>
          </w:p>
        </w:tc>
        <w:tc>
          <w:tcPr>
            <w:tcW w:w="6270" w:type="dxa"/>
          </w:tcPr>
          <w:p w14:paraId="65E4CAA9" w14:textId="115491A3" w:rsidR="785C2A88" w:rsidRPr="00791495" w:rsidRDefault="785C2A88">
            <w:pPr>
              <w:cnfStyle w:val="000000010000" w:firstRow="0" w:lastRow="0" w:firstColumn="0" w:lastColumn="0" w:oddVBand="0" w:evenVBand="0" w:oddHBand="0" w:evenHBand="1" w:firstRowFirstColumn="0" w:firstRowLastColumn="0" w:lastRowFirstColumn="0" w:lastRowLastColumn="0"/>
            </w:pPr>
            <w:r w:rsidRPr="007053A5">
              <w:t>€6.5 million any one claim or series of claims arising from a single occurrence</w:t>
            </w:r>
          </w:p>
        </w:tc>
      </w:tr>
      <w:tr w:rsidR="785C2A88" w14:paraId="42D01ED5" w14:textId="77777777" w:rsidTr="785C2A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52FC8591" w14:textId="2869F218" w:rsidR="785C2A88" w:rsidRDefault="785C2A88">
            <w:r>
              <w:t>Product Liability</w:t>
            </w:r>
          </w:p>
        </w:tc>
        <w:tc>
          <w:tcPr>
            <w:tcW w:w="6270" w:type="dxa"/>
          </w:tcPr>
          <w:p w14:paraId="3E7C3624" w14:textId="5B763F7A" w:rsidR="785C2A88" w:rsidRPr="009D70CE" w:rsidRDefault="785C2A88">
            <w:pPr>
              <w:cnfStyle w:val="000000100000" w:firstRow="0" w:lastRow="0" w:firstColumn="0" w:lastColumn="0" w:oddVBand="0" w:evenVBand="0" w:oddHBand="1" w:evenHBand="0" w:firstRowFirstColumn="0" w:firstRowLastColumn="0" w:lastRowFirstColumn="0" w:lastRowLastColumn="0"/>
            </w:pPr>
            <w:r w:rsidRPr="009D70CE">
              <w:t>Not required, as the Services do not involve the supply of products</w:t>
            </w:r>
          </w:p>
        </w:tc>
      </w:tr>
      <w:tr w:rsidR="785C2A88" w14:paraId="4339ED04" w14:textId="77777777" w:rsidTr="785C2A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5406962F" w14:textId="385D3951" w:rsidR="785C2A88" w:rsidRDefault="785C2A88">
            <w:r>
              <w:t>Professional Indemnity</w:t>
            </w:r>
          </w:p>
        </w:tc>
        <w:tc>
          <w:tcPr>
            <w:tcW w:w="6270" w:type="dxa"/>
          </w:tcPr>
          <w:p w14:paraId="66271CE3" w14:textId="12AFC0A5" w:rsidR="785C2A88" w:rsidRPr="00791495" w:rsidRDefault="004A5AAD">
            <w:pPr>
              <w:cnfStyle w:val="000000010000" w:firstRow="0" w:lastRow="0" w:firstColumn="0" w:lastColumn="0" w:oddVBand="0" w:evenVBand="0" w:oddHBand="0" w:evenHBand="1" w:firstRowFirstColumn="0" w:firstRowLastColumn="0" w:lastRowFirstColumn="0" w:lastRowLastColumn="0"/>
            </w:pPr>
            <w:r w:rsidRPr="007053A5">
              <w:t>€</w:t>
            </w:r>
            <w:r>
              <w:t>1</w:t>
            </w:r>
            <w:r w:rsidRPr="007053A5">
              <w:t xml:space="preserve"> million any one claim or series of claims arising from a single occurrence</w:t>
            </w:r>
          </w:p>
        </w:tc>
      </w:tr>
      <w:tr w:rsidR="785C2A88" w14:paraId="639C1F89" w14:textId="77777777" w:rsidTr="785C2A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0" w:type="dxa"/>
          </w:tcPr>
          <w:p w14:paraId="5A01C914" w14:textId="4850808A" w:rsidR="785C2A88" w:rsidRDefault="785C2A88">
            <w:r>
              <w:t>Cyber and data liability</w:t>
            </w:r>
          </w:p>
        </w:tc>
        <w:tc>
          <w:tcPr>
            <w:tcW w:w="6270" w:type="dxa"/>
          </w:tcPr>
          <w:p w14:paraId="1ACFFB9E" w14:textId="66FA3094" w:rsidR="785C2A88" w:rsidRPr="00791495" w:rsidRDefault="009D70CE">
            <w:pPr>
              <w:cnfStyle w:val="000000100000" w:firstRow="0" w:lastRow="0" w:firstColumn="0" w:lastColumn="0" w:oddVBand="0" w:evenVBand="0" w:oddHBand="1" w:evenHBand="0" w:firstRowFirstColumn="0" w:firstRowLastColumn="0" w:lastRowFirstColumn="0" w:lastRowLastColumn="0"/>
            </w:pPr>
            <w:r w:rsidRPr="007053A5">
              <w:t>€5 million any one claim or series of claims arising from a single occurrence</w:t>
            </w:r>
          </w:p>
        </w:tc>
      </w:tr>
    </w:tbl>
    <w:p w14:paraId="501537B3" w14:textId="77777777" w:rsidR="0006755C" w:rsidRDefault="0006755C" w:rsidP="785C2A88"/>
    <w:p w14:paraId="3A4DEE9A" w14:textId="0B4E2605" w:rsidR="785C2A88" w:rsidRDefault="785C2A88" w:rsidP="785C2A88">
      <w:r>
        <w:t>2.14.2 By signing the Tenderer’s Statement, Tenderers confirm that, if awarded a Services Contract, (i) they will hold the insurances at paragraph 2.14.1 from the Effective Date, (ii) the territorial limits and jurisdiction of the policies include Ireland, and (iii) they are not aware of any exclusion, restriction, condition, warranty or (for aggregate-limit policies) outstanding claim that could materially reduce that cover. Formal confirmation from the Tenderer’s insurer or broker will be a condition of award.</w:t>
      </w:r>
    </w:p>
    <w:p w14:paraId="2687AF12" w14:textId="44D5360E" w:rsidR="785C2A88" w:rsidRDefault="785C2A88" w:rsidP="785C2A88">
      <w:r>
        <w:t>2.14.3 During the term of the Services Contract, the successful Tenderer must immediately advise the Contracting Authority of any material change to its insurances and, on request, produce proof of current premiums paid and valid certificates of insurance.</w:t>
      </w:r>
    </w:p>
    <w:p w14:paraId="57FEE9E1" w14:textId="785F2C3F" w:rsidR="785C2A88" w:rsidRDefault="785C2A88" w:rsidP="785C2A88">
      <w:pPr>
        <w:pStyle w:val="Heading1"/>
      </w:pPr>
      <w:r>
        <w:t>Part 3: Selection and Award Criteria</w:t>
      </w:r>
    </w:p>
    <w:p w14:paraId="6769EE4A" w14:textId="20499E92" w:rsidR="785C2A88" w:rsidRDefault="785C2A88" w:rsidP="785C2A88">
      <w:pPr>
        <w:pStyle w:val="Heading2"/>
      </w:pPr>
      <w:r>
        <w:t>3.1 Exclusion Grounds and Compliant Tenders</w:t>
      </w:r>
    </w:p>
    <w:p w14:paraId="7DF90C34" w14:textId="51E5B860" w:rsidR="785C2A88" w:rsidRDefault="785C2A88" w:rsidP="785C2A88">
      <w:r>
        <w:t>3.1.1 Only Tenderers who have (a) submitted a compliant Tender under paragraph 2.2, (b) declared by eESPD that no mandatory ground for exclusion under Regulation 57 of the Regulations (the “Exclusion Grounds”) applies to them or, where one applies (and the Tenderer is not precluded under Regulation 57(17)), that they can evidence measures sufficient to demonstrate their reliability, and (c) declared by eESPD that they satisfy the Selection Criteria at paragraph 3.2, will be evaluated against the Award Criteria at paragraph 3.3. The Contracting Authority also reserves the right to exclude a Tenderer to which a discretionary ground for exclusion under Regulation 57 applies.</w:t>
      </w:r>
    </w:p>
    <w:p w14:paraId="37248C71" w14:textId="53C08D07" w:rsidR="785C2A88" w:rsidRDefault="785C2A88" w:rsidP="785C2A88">
      <w:r>
        <w:t>3.1.2 The Contracting Authority may examine Tenders before verifying the absence of Exclusion Grounds and the fulfilment of the Selection Criteria.</w:t>
      </w:r>
    </w:p>
    <w:p w14:paraId="37F65FF8" w14:textId="6A7C10FF" w:rsidR="785C2A88" w:rsidRDefault="785C2A88" w:rsidP="785C2A88">
      <w:r>
        <w:t>3.1.3 A Tenderer relying on the capacity of other entities (for example, Subcontractors) to meet any Selection Criterion must ensure that each such entity submits a separate eESPD and, on request, provides proof to the Contracting Authority’s satisfaction that it will place the necessary resources at the Tenderer’s disposal.</w:t>
      </w:r>
    </w:p>
    <w:p w14:paraId="1D8AB2EA" w14:textId="2E5E2F4C" w:rsidR="785C2A88" w:rsidRDefault="785C2A88" w:rsidP="785C2A88">
      <w:r>
        <w:t>3.1.4 A Prime Contractor intending to subcontract any share of the Services Contract to a Subcontractor on whose capacity it does not rely must ensure that the Subcontractor submits a separate eESPD completing the sections specified in section 2.D of the eESPD for this Competition.</w:t>
      </w:r>
    </w:p>
    <w:p w14:paraId="26E00171" w14:textId="2DC7A940" w:rsidR="785C2A88" w:rsidRDefault="785C2A88" w:rsidP="785C2A88">
      <w:r>
        <w:t xml:space="preserve">3.1.5 Notwithstanding anything in this paragraph 3.1, the Contracting Authority may at any time during the Competition ask a Tenderer (including the Prime Contractor and any </w:t>
      </w:r>
      <w:r>
        <w:lastRenderedPageBreak/>
        <w:t>Subcontractor) to submit: (i) the Declaration at paragraph 4.9; (ii) evidence of measures demonstrating reliability despite a relevant Exclusion Ground; (iii) for the Prime Contractor and any Subcontractor whose capacity is relied on, any of the supporting documents specified at paragraph 3.2; and (iv) information for the purposes of Regulation (EU) No 833/2014 (as amended by Regulation (EU) 2022/576 and any later amendment), including identity documents for natural persons and a commercial register extract (or equivalent) for legal persons, and information on the origin of any goods.</w:t>
      </w:r>
    </w:p>
    <w:p w14:paraId="724A154B" w14:textId="5DE3DFC0" w:rsidR="785C2A88" w:rsidRDefault="785C2A88" w:rsidP="785C2A88">
      <w:r>
        <w:t>3.1.6 A Tenderer that does not, on request, provide evidence the Contracting Authority considers sufficient to demonstrate (i) fulfilment of the Selection Criteria, (ii) the absence of Exclusion Grounds or its reliability despite a relevant Exclusion Ground, (iii) that it is not a prohibited economic operator under Regulation (EU) No 833/2014 (as amended), and (iv) that the origin of any goods is not subject to the prohibitions of that Regulation, will be excluded from further participation. The same applies where such evidence is not provided for a Subcontractor whose capacity is relied on (and, for point (iii), any such Subcontractor whose subcontract exceeds 10% of the value of the Services Contract), unless the Tenderer replaces that Subcontractor with one that meets all relevant requirements.</w:t>
      </w:r>
    </w:p>
    <w:p w14:paraId="1FABF5D6" w14:textId="489F66CA" w:rsidR="785C2A88" w:rsidRDefault="785C2A88" w:rsidP="785C2A88">
      <w:pPr>
        <w:pStyle w:val="Heading2"/>
      </w:pPr>
      <w:r>
        <w:t>3.2 Selection Criteria</w:t>
      </w:r>
    </w:p>
    <w:p w14:paraId="223F41E9" w14:textId="41264679" w:rsidR="785C2A88" w:rsidRDefault="785C2A88" w:rsidP="785C2A88">
      <w:r>
        <w:t>3.2.1 Tenderers will pass or fail each Selection Criterion below and a Tenderer that fails any criterion will be excluded. Tenderers must declare by eESPD that they satisfy each criterion and must provide the specified supporting documentation without delay on request. Where, for a valid reason, a Tenderer cannot provide the specified documentation for economic and financial standing, it must explain why and, if the reason is accepted, provide suitable alternative documentation.</w:t>
      </w:r>
    </w:p>
    <w:p w14:paraId="41D2D489" w14:textId="73D2DE42" w:rsidR="785C2A88" w:rsidRDefault="785C2A88" w:rsidP="785C2A88">
      <w:r>
        <w:t>3.2.2 Economic and financial standing:</w:t>
      </w:r>
    </w:p>
    <w:p w14:paraId="54FFB83C" w14:textId="6E1B2E33" w:rsidR="785C2A88" w:rsidRDefault="785C2A88" w:rsidP="785C2A88">
      <w:pPr>
        <w:pStyle w:val="ListParagraph"/>
      </w:pPr>
      <w:r>
        <w:t>(i) Insurance: Tenderers must confirm that they hold, or will obtain before the Effective Date, the insurances at paragraph 2.14.1. Evidence on request: current certificates, or a letter from the insurer or broker confirming that the required cover is or will be in place.</w:t>
      </w:r>
    </w:p>
    <w:p w14:paraId="2B764DDA" w14:textId="16605257" w:rsidR="785C2A88" w:rsidRDefault="785C2A88" w:rsidP="785C2A88">
      <w:pPr>
        <w:pStyle w:val="ListParagraph"/>
      </w:pPr>
      <w:r>
        <w:t xml:space="preserve">(ii) Minimum turnover: </w:t>
      </w:r>
      <w:r w:rsidR="007B0991" w:rsidRPr="007B0991">
        <w:rPr>
          <w:lang w:val="en-IE"/>
        </w:rPr>
        <w:t>€300,000 during each of the last three years</w:t>
      </w:r>
      <w:r w:rsidRPr="007B0991">
        <w:t>.</w:t>
      </w:r>
      <w:r>
        <w:t xml:space="preserve"> Evidence on request: audited financial statements or a statement of overall turnover and turnover in the area of the Services for the relevant years.</w:t>
      </w:r>
    </w:p>
    <w:p w14:paraId="42C6A17F" w14:textId="6648DDE0" w:rsidR="785C2A88" w:rsidRDefault="785C2A88" w:rsidP="785C2A88">
      <w:r>
        <w:t>3.2.3 Technical and professional ability:</w:t>
      </w:r>
    </w:p>
    <w:p w14:paraId="3E45111F" w14:textId="181D53F2" w:rsidR="785C2A88" w:rsidRDefault="785C2A88" w:rsidP="785C2A88">
      <w:pPr>
        <w:pStyle w:val="ListParagraph"/>
      </w:pPr>
      <w:r>
        <w:t>(i) Statutory audit registration (mandatory): the Tenderer must be a statutory audit firm approved by a Recognised Accountancy Body and entered in the public register of statutory auditors maintained by the Companies Registration Office under Part 27 of the Companies Act 2014, and eligible for appointment as statutory auditor of Oaklee Housing and Acorn Housing. The proposed Engagement Partner (who will sign the auditor’s reports) must be a statutory auditor approved by a Recognised Accountancy Body. Evidence on request: the name of the Recognised Accountancy Body, the firm’s and Engagement Partner’s registration numbers, and confirmation from that body or an extract from the public register.</w:t>
      </w:r>
    </w:p>
    <w:p w14:paraId="7CA396B4" w14:textId="529FF725" w:rsidR="785C2A88" w:rsidRDefault="785C2A88" w:rsidP="785C2A88">
      <w:pPr>
        <w:pStyle w:val="ListParagraph"/>
      </w:pPr>
      <w:r>
        <w:t xml:space="preserve">(ii) Relevant experience: at least </w:t>
      </w:r>
      <w:r w:rsidR="004830A7">
        <w:t>three (3)</w:t>
      </w:r>
      <w:r>
        <w:t xml:space="preserve"> statutory audit engagements in the last three (3) years for entities of comparable nature, scale and complexity to the Group, including </w:t>
      </w:r>
      <w:r>
        <w:lastRenderedPageBreak/>
        <w:t>groups with a parent and subsidiary preparing financial statements under FR</w:t>
      </w:r>
      <w:r w:rsidRPr="001D64D3">
        <w:t>S 102</w:t>
      </w:r>
      <w:r w:rsidR="001D64D3">
        <w:t xml:space="preserve"> along</w:t>
      </w:r>
      <w:r w:rsidRPr="001D64D3">
        <w:t xml:space="preserve"> </w:t>
      </w:r>
      <w:r w:rsidR="001D64D3" w:rsidRPr="001D64D3">
        <w:t>with</w:t>
      </w:r>
      <w:r w:rsidRPr="001D64D3">
        <w:t xml:space="preserve"> experience of Approved Housing Bodies, charities or other public benefit entities</w:t>
      </w:r>
      <w:r w:rsidR="00535378" w:rsidRPr="001D64D3">
        <w:t>.</w:t>
      </w:r>
      <w:r w:rsidR="00535378">
        <w:t xml:space="preserve"> </w:t>
      </w:r>
      <w:r>
        <w:t>Evidence: a list of the principal services provided in the last three years, stating for each the type of client (public or private), the nature and scale of the engagement and the dates, with a client contact for reference.</w:t>
      </w:r>
    </w:p>
    <w:p w14:paraId="45C58AED" w14:textId="56D949B8" w:rsidR="785C2A88" w:rsidRDefault="785C2A88" w:rsidP="785C2A88">
      <w:pPr>
        <w:pStyle w:val="ListParagraph"/>
      </w:pPr>
      <w:r>
        <w:t xml:space="preserve">(iii) Professional qualifications: the Engagement Partner and Audit Manager must each hold a professional accountancy qualification from a Recognised Accountancy Body (or equivalent) and have at least </w:t>
      </w:r>
      <w:r w:rsidR="00AB637A">
        <w:t>10</w:t>
      </w:r>
      <w:r>
        <w:t xml:space="preserve"> years’ post-qualification experience in statutory audit, including group audits. Evidence: curricula vitae.</w:t>
      </w:r>
    </w:p>
    <w:p w14:paraId="56A3E524" w14:textId="7343063A" w:rsidR="785C2A88" w:rsidRDefault="785C2A88" w:rsidP="785C2A88">
      <w:pPr>
        <w:pStyle w:val="ListParagraph"/>
      </w:pPr>
      <w:r>
        <w:t>(iv) Quality management: the Tenderer must operate a system of quality management in accordance with ISQM (Ireland) 1 and be subject to the monitoring regime of its Recognised Accountancy Body. Evidence on request: the date and overall outcome of the firm’s most recent external quality monitoring review.</w:t>
      </w:r>
    </w:p>
    <w:p w14:paraId="1F42EAEF" w14:textId="4876051E" w:rsidR="785C2A88" w:rsidRDefault="785C2A88" w:rsidP="785C2A88">
      <w:pPr>
        <w:pStyle w:val="Heading2"/>
      </w:pPr>
      <w:r>
        <w:t>3.3 Award Criteria and Evaluation</w:t>
      </w:r>
    </w:p>
    <w:p w14:paraId="47F14F88" w14:textId="11F63E32" w:rsidR="785C2A88" w:rsidRDefault="6DF3B8E2" w:rsidP="785C2A88">
      <w:r>
        <w:t>3.3.1 The Services Contract will be awarded to the most economically advantageous tender on the basis of the four award criteria and weightings in the Scoring Matrix below, which reproduces Appendix 1 – Scoring Matrix.</w:t>
      </w:r>
    </w:p>
    <w:tbl>
      <w:tblPr>
        <w:tblStyle w:val="MediumShading1-Accent1"/>
        <w:tblW w:w="0" w:type="auto"/>
        <w:tblLook w:val="04A0" w:firstRow="1" w:lastRow="0" w:firstColumn="1" w:lastColumn="0" w:noHBand="0" w:noVBand="1"/>
      </w:tblPr>
      <w:tblGrid>
        <w:gridCol w:w="550"/>
        <w:gridCol w:w="2250"/>
        <w:gridCol w:w="1150"/>
        <w:gridCol w:w="1200"/>
        <w:gridCol w:w="3920"/>
      </w:tblGrid>
      <w:tr w:rsidR="00E30B5B" w14:paraId="50AA5977" w14:textId="77777777" w:rsidTr="00E30B5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50" w:type="dxa"/>
          </w:tcPr>
          <w:p w14:paraId="4825855A" w14:textId="77777777" w:rsidR="00E30B5B" w:rsidRDefault="00591BEB">
            <w:r>
              <w:rPr>
                <w:sz w:val="18"/>
                <w:szCs w:val="18"/>
              </w:rPr>
              <w:t>No.</w:t>
            </w:r>
          </w:p>
        </w:tc>
        <w:tc>
          <w:tcPr>
            <w:tcW w:w="2250" w:type="dxa"/>
          </w:tcPr>
          <w:p w14:paraId="6279A6EF" w14:textId="77777777" w:rsidR="00E30B5B" w:rsidRDefault="00591BEB">
            <w:pPr>
              <w:cnfStyle w:val="100000000000" w:firstRow="1" w:lastRow="0" w:firstColumn="0" w:lastColumn="0" w:oddVBand="0" w:evenVBand="0" w:oddHBand="0" w:evenHBand="0" w:firstRowFirstColumn="0" w:firstRowLastColumn="0" w:lastRowFirstColumn="0" w:lastRowLastColumn="0"/>
            </w:pPr>
            <w:r>
              <w:rPr>
                <w:sz w:val="18"/>
                <w:szCs w:val="18"/>
              </w:rPr>
              <w:t>Award criterion</w:t>
            </w:r>
          </w:p>
        </w:tc>
        <w:tc>
          <w:tcPr>
            <w:tcW w:w="1150" w:type="dxa"/>
          </w:tcPr>
          <w:p w14:paraId="70060579" w14:textId="77777777" w:rsidR="00E30B5B" w:rsidRDefault="00591BEB">
            <w:pPr>
              <w:cnfStyle w:val="100000000000" w:firstRow="1" w:lastRow="0" w:firstColumn="0" w:lastColumn="0" w:oddVBand="0" w:evenVBand="0" w:oddHBand="0" w:evenHBand="0" w:firstRowFirstColumn="0" w:firstRowLastColumn="0" w:lastRowFirstColumn="0" w:lastRowLastColumn="0"/>
            </w:pPr>
            <w:r>
              <w:rPr>
                <w:sz w:val="18"/>
                <w:szCs w:val="18"/>
              </w:rPr>
              <w:t>Weighting</w:t>
            </w:r>
          </w:p>
        </w:tc>
        <w:tc>
          <w:tcPr>
            <w:tcW w:w="1200" w:type="dxa"/>
          </w:tcPr>
          <w:p w14:paraId="320CED51" w14:textId="77777777" w:rsidR="00E30B5B" w:rsidRDefault="00591BEB">
            <w:pPr>
              <w:cnfStyle w:val="100000000000" w:firstRow="1" w:lastRow="0" w:firstColumn="0" w:lastColumn="0" w:oddVBand="0" w:evenVBand="0" w:oddHBand="0" w:evenHBand="0" w:firstRowFirstColumn="0" w:firstRowLastColumn="0" w:lastRowFirstColumn="0" w:lastRowLastColumn="0"/>
            </w:pPr>
            <w:r>
              <w:rPr>
                <w:sz w:val="18"/>
                <w:szCs w:val="18"/>
              </w:rPr>
              <w:t>Response ref.</w:t>
            </w:r>
          </w:p>
        </w:tc>
        <w:tc>
          <w:tcPr>
            <w:tcW w:w="3920" w:type="dxa"/>
          </w:tcPr>
          <w:p w14:paraId="34F907BB" w14:textId="77777777" w:rsidR="00E30B5B" w:rsidRDefault="00591BEB">
            <w:pPr>
              <w:cnfStyle w:val="100000000000" w:firstRow="1" w:lastRow="0" w:firstColumn="0" w:lastColumn="0" w:oddVBand="0" w:evenVBand="0" w:oddHBand="0" w:evenHBand="0" w:firstRowFirstColumn="0" w:firstRowLastColumn="0" w:lastRowFirstColumn="0" w:lastRowLastColumn="0"/>
            </w:pPr>
            <w:r>
              <w:rPr>
                <w:sz w:val="18"/>
                <w:szCs w:val="18"/>
              </w:rPr>
              <w:t>What the panel will look for</w:t>
            </w:r>
          </w:p>
        </w:tc>
      </w:tr>
      <w:tr w:rsidR="00E30B5B" w14:paraId="37CF6A33" w14:textId="77777777" w:rsidTr="00E30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 w:type="dxa"/>
          </w:tcPr>
          <w:p w14:paraId="3236FD7A" w14:textId="77777777" w:rsidR="00E30B5B" w:rsidRDefault="00591BEB">
            <w:r>
              <w:rPr>
                <w:sz w:val="18"/>
                <w:szCs w:val="18"/>
              </w:rPr>
              <w:t>1</w:t>
            </w:r>
          </w:p>
        </w:tc>
        <w:tc>
          <w:tcPr>
            <w:tcW w:w="2250" w:type="dxa"/>
          </w:tcPr>
          <w:p w14:paraId="02A70398" w14:textId="77777777" w:rsidR="00E30B5B" w:rsidRDefault="00591BEB">
            <w:pPr>
              <w:cnfStyle w:val="000000100000" w:firstRow="0" w:lastRow="0" w:firstColumn="0" w:lastColumn="0" w:oddVBand="0" w:evenVBand="0" w:oddHBand="1" w:evenHBand="0" w:firstRowFirstColumn="0" w:firstRowLastColumn="0" w:lastRowFirstColumn="0" w:lastRowLastColumn="0"/>
            </w:pPr>
            <w:r>
              <w:rPr>
                <w:sz w:val="18"/>
                <w:szCs w:val="18"/>
              </w:rPr>
              <w:t>Audit approach and methodology</w:t>
            </w:r>
          </w:p>
        </w:tc>
        <w:tc>
          <w:tcPr>
            <w:tcW w:w="1150" w:type="dxa"/>
          </w:tcPr>
          <w:p w14:paraId="5C41A2A0" w14:textId="77777777" w:rsidR="00E30B5B" w:rsidRDefault="00591BEB">
            <w:pPr>
              <w:cnfStyle w:val="000000100000" w:firstRow="0" w:lastRow="0" w:firstColumn="0" w:lastColumn="0" w:oddVBand="0" w:evenVBand="0" w:oddHBand="1" w:evenHBand="0" w:firstRowFirstColumn="0" w:firstRowLastColumn="0" w:lastRowFirstColumn="0" w:lastRowLastColumn="0"/>
            </w:pPr>
            <w:r>
              <w:rPr>
                <w:sz w:val="18"/>
                <w:szCs w:val="18"/>
              </w:rPr>
              <w:t>10%</w:t>
            </w:r>
          </w:p>
        </w:tc>
        <w:tc>
          <w:tcPr>
            <w:tcW w:w="1200" w:type="dxa"/>
          </w:tcPr>
          <w:p w14:paraId="5D08CE1C" w14:textId="77777777" w:rsidR="00E30B5B" w:rsidRDefault="00591BEB">
            <w:pPr>
              <w:cnfStyle w:val="000000100000" w:firstRow="0" w:lastRow="0" w:firstColumn="0" w:lastColumn="0" w:oddVBand="0" w:evenVBand="0" w:oddHBand="1" w:evenHBand="0" w:firstRowFirstColumn="0" w:firstRowLastColumn="0" w:lastRowFirstColumn="0" w:lastRowLastColumn="0"/>
            </w:pPr>
            <w:r>
              <w:rPr>
                <w:sz w:val="18"/>
                <w:szCs w:val="18"/>
              </w:rPr>
              <w:t>Q1</w:t>
            </w:r>
          </w:p>
        </w:tc>
        <w:tc>
          <w:tcPr>
            <w:tcW w:w="3920" w:type="dxa"/>
          </w:tcPr>
          <w:p w14:paraId="35D7EDED" w14:textId="77777777" w:rsidR="00E30B5B" w:rsidRDefault="00591BEB">
            <w:pPr>
              <w:cnfStyle w:val="000000100000" w:firstRow="0" w:lastRow="0" w:firstColumn="0" w:lastColumn="0" w:oddVBand="0" w:evenVBand="0" w:oddHBand="1" w:evenHBand="0" w:firstRowFirstColumn="0" w:firstRowLastColumn="0" w:lastRowFirstColumn="0" w:lastRowLastColumn="0"/>
            </w:pPr>
            <w:r>
              <w:rPr>
                <w:sz w:val="18"/>
                <w:szCs w:val="18"/>
              </w:rPr>
              <w:t>Risk-based approach for Group, Oaklee Housing and Acorn Housing; materiality; response to key audit risks; group audit; data analytics/IT audit; first-year transition; FRS 102 amendments; quality control.</w:t>
            </w:r>
          </w:p>
        </w:tc>
      </w:tr>
      <w:tr w:rsidR="00E30B5B" w14:paraId="7EA10B6C" w14:textId="77777777" w:rsidTr="00E30B5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 w:type="dxa"/>
          </w:tcPr>
          <w:p w14:paraId="2B29FCD9" w14:textId="77777777" w:rsidR="00E30B5B" w:rsidRDefault="00591BEB">
            <w:r>
              <w:rPr>
                <w:sz w:val="18"/>
                <w:szCs w:val="18"/>
              </w:rPr>
              <w:t>2</w:t>
            </w:r>
          </w:p>
        </w:tc>
        <w:tc>
          <w:tcPr>
            <w:tcW w:w="2250" w:type="dxa"/>
          </w:tcPr>
          <w:p w14:paraId="04D5CDE7" w14:textId="77777777" w:rsidR="00E30B5B" w:rsidRDefault="00591BEB">
            <w:pPr>
              <w:cnfStyle w:val="000000010000" w:firstRow="0" w:lastRow="0" w:firstColumn="0" w:lastColumn="0" w:oddVBand="0" w:evenVBand="0" w:oddHBand="0" w:evenHBand="1" w:firstRowFirstColumn="0" w:firstRowLastColumn="0" w:lastRowFirstColumn="0" w:lastRowLastColumn="0"/>
            </w:pPr>
            <w:r>
              <w:rPr>
                <w:sz w:val="18"/>
                <w:szCs w:val="18"/>
              </w:rPr>
              <w:t>Proposed team and relevant experience</w:t>
            </w:r>
          </w:p>
        </w:tc>
        <w:tc>
          <w:tcPr>
            <w:tcW w:w="1150" w:type="dxa"/>
          </w:tcPr>
          <w:p w14:paraId="1948CBD2" w14:textId="77777777" w:rsidR="00E30B5B" w:rsidRDefault="00591BEB">
            <w:pPr>
              <w:cnfStyle w:val="000000010000" w:firstRow="0" w:lastRow="0" w:firstColumn="0" w:lastColumn="0" w:oddVBand="0" w:evenVBand="0" w:oddHBand="0" w:evenHBand="1" w:firstRowFirstColumn="0" w:firstRowLastColumn="0" w:lastRowFirstColumn="0" w:lastRowLastColumn="0"/>
            </w:pPr>
            <w:r>
              <w:rPr>
                <w:sz w:val="18"/>
                <w:szCs w:val="18"/>
              </w:rPr>
              <w:t>35%</w:t>
            </w:r>
          </w:p>
        </w:tc>
        <w:tc>
          <w:tcPr>
            <w:tcW w:w="1200" w:type="dxa"/>
          </w:tcPr>
          <w:p w14:paraId="18BFF3E9" w14:textId="77777777" w:rsidR="00E30B5B" w:rsidRDefault="00591BEB">
            <w:pPr>
              <w:cnfStyle w:val="000000010000" w:firstRow="0" w:lastRow="0" w:firstColumn="0" w:lastColumn="0" w:oddVBand="0" w:evenVBand="0" w:oddHBand="0" w:evenHBand="1" w:firstRowFirstColumn="0" w:firstRowLastColumn="0" w:lastRowFirstColumn="0" w:lastRowLastColumn="0"/>
            </w:pPr>
            <w:r>
              <w:rPr>
                <w:sz w:val="18"/>
                <w:szCs w:val="18"/>
              </w:rPr>
              <w:t>Q2</w:t>
            </w:r>
          </w:p>
        </w:tc>
        <w:tc>
          <w:tcPr>
            <w:tcW w:w="3920" w:type="dxa"/>
          </w:tcPr>
          <w:p w14:paraId="16FCE31A" w14:textId="77777777" w:rsidR="00E30B5B" w:rsidRDefault="00591BEB">
            <w:pPr>
              <w:cnfStyle w:val="000000010000" w:firstRow="0" w:lastRow="0" w:firstColumn="0" w:lastColumn="0" w:oddVBand="0" w:evenVBand="0" w:oddHBand="0" w:evenHBand="1" w:firstRowFirstColumn="0" w:firstRowLastColumn="0" w:lastRowFirstColumn="0" w:lastRowLastColumn="0"/>
            </w:pPr>
            <w:r>
              <w:rPr>
                <w:sz w:val="18"/>
                <w:szCs w:val="18"/>
              </w:rPr>
              <w:t>Engagement Partner, Audit Manager and specialists; qualifications; AHB/charity/group audit experience; time commitment; continuity and cover.</w:t>
            </w:r>
          </w:p>
        </w:tc>
      </w:tr>
      <w:tr w:rsidR="00E30B5B" w14:paraId="2EEEF833" w14:textId="77777777" w:rsidTr="00E30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 w:type="dxa"/>
          </w:tcPr>
          <w:p w14:paraId="03402A2B" w14:textId="77777777" w:rsidR="00E30B5B" w:rsidRDefault="00591BEB">
            <w:r>
              <w:rPr>
                <w:sz w:val="18"/>
                <w:szCs w:val="18"/>
              </w:rPr>
              <w:t>3</w:t>
            </w:r>
          </w:p>
        </w:tc>
        <w:tc>
          <w:tcPr>
            <w:tcW w:w="2250" w:type="dxa"/>
          </w:tcPr>
          <w:p w14:paraId="4F9E77E1" w14:textId="77777777" w:rsidR="00E30B5B" w:rsidRDefault="00591BEB">
            <w:pPr>
              <w:cnfStyle w:val="000000100000" w:firstRow="0" w:lastRow="0" w:firstColumn="0" w:lastColumn="0" w:oddVBand="0" w:evenVBand="0" w:oddHBand="1" w:evenHBand="0" w:firstRowFirstColumn="0" w:firstRowLastColumn="0" w:lastRowFirstColumn="0" w:lastRowLastColumn="0"/>
            </w:pPr>
            <w:r>
              <w:rPr>
                <w:sz w:val="18"/>
                <w:szCs w:val="18"/>
              </w:rPr>
              <w:t>Service delivery and understanding of AHB requirements</w:t>
            </w:r>
          </w:p>
        </w:tc>
        <w:tc>
          <w:tcPr>
            <w:tcW w:w="1150" w:type="dxa"/>
          </w:tcPr>
          <w:p w14:paraId="0D69DECA" w14:textId="77777777" w:rsidR="00E30B5B" w:rsidRDefault="00591BEB">
            <w:pPr>
              <w:cnfStyle w:val="000000100000" w:firstRow="0" w:lastRow="0" w:firstColumn="0" w:lastColumn="0" w:oddVBand="0" w:evenVBand="0" w:oddHBand="1" w:evenHBand="0" w:firstRowFirstColumn="0" w:firstRowLastColumn="0" w:lastRowFirstColumn="0" w:lastRowLastColumn="0"/>
            </w:pPr>
            <w:r>
              <w:rPr>
                <w:sz w:val="18"/>
                <w:szCs w:val="18"/>
              </w:rPr>
              <w:t>20%</w:t>
            </w:r>
          </w:p>
        </w:tc>
        <w:tc>
          <w:tcPr>
            <w:tcW w:w="1200" w:type="dxa"/>
          </w:tcPr>
          <w:p w14:paraId="3194B304" w14:textId="77777777" w:rsidR="00E30B5B" w:rsidRDefault="00591BEB">
            <w:pPr>
              <w:cnfStyle w:val="000000100000" w:firstRow="0" w:lastRow="0" w:firstColumn="0" w:lastColumn="0" w:oddVBand="0" w:evenVBand="0" w:oddHBand="1" w:evenHBand="0" w:firstRowFirstColumn="0" w:firstRowLastColumn="0" w:lastRowFirstColumn="0" w:lastRowLastColumn="0"/>
            </w:pPr>
            <w:r>
              <w:rPr>
                <w:sz w:val="18"/>
                <w:szCs w:val="18"/>
              </w:rPr>
              <w:t>Q3</w:t>
            </w:r>
          </w:p>
        </w:tc>
        <w:tc>
          <w:tcPr>
            <w:tcW w:w="3920" w:type="dxa"/>
          </w:tcPr>
          <w:p w14:paraId="30A46CCE" w14:textId="77777777" w:rsidR="00E30B5B" w:rsidRDefault="00591BEB">
            <w:pPr>
              <w:cnfStyle w:val="000000100000" w:firstRow="0" w:lastRow="0" w:firstColumn="0" w:lastColumn="0" w:oddVBand="0" w:evenVBand="0" w:oddHBand="1" w:evenHBand="0" w:firstRowFirstColumn="0" w:firstRowLastColumn="0" w:lastRowFirstColumn="0" w:lastRowLastColumn="0"/>
            </w:pPr>
            <w:r>
              <w:rPr>
                <w:sz w:val="18"/>
                <w:szCs w:val="18"/>
              </w:rPr>
              <w:t>Understanding of AHB sector and statutory, regulatory and funder reporting; annual work plan and timetable; engagement with ARC, Boards and Finance; escalation; management letters.</w:t>
            </w:r>
          </w:p>
        </w:tc>
      </w:tr>
      <w:tr w:rsidR="00E30B5B" w14:paraId="2CDED519" w14:textId="77777777" w:rsidTr="00E30B5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 w:type="dxa"/>
          </w:tcPr>
          <w:p w14:paraId="446F41DB" w14:textId="77777777" w:rsidR="00E30B5B" w:rsidRDefault="00591BEB">
            <w:r>
              <w:rPr>
                <w:sz w:val="18"/>
                <w:szCs w:val="18"/>
              </w:rPr>
              <w:t>4</w:t>
            </w:r>
          </w:p>
        </w:tc>
        <w:tc>
          <w:tcPr>
            <w:tcW w:w="2250" w:type="dxa"/>
          </w:tcPr>
          <w:p w14:paraId="7B3E379C" w14:textId="77777777" w:rsidR="00E30B5B" w:rsidRDefault="00591BEB">
            <w:pPr>
              <w:cnfStyle w:val="000000010000" w:firstRow="0" w:lastRow="0" w:firstColumn="0" w:lastColumn="0" w:oddVBand="0" w:evenVBand="0" w:oddHBand="0" w:evenHBand="1" w:firstRowFirstColumn="0" w:firstRowLastColumn="0" w:lastRowFirstColumn="0" w:lastRowLastColumn="0"/>
            </w:pPr>
            <w:r>
              <w:rPr>
                <w:sz w:val="18"/>
                <w:szCs w:val="18"/>
              </w:rPr>
              <w:t>Price</w:t>
            </w:r>
          </w:p>
        </w:tc>
        <w:tc>
          <w:tcPr>
            <w:tcW w:w="1150" w:type="dxa"/>
          </w:tcPr>
          <w:p w14:paraId="1CE85FB3" w14:textId="77777777" w:rsidR="00E30B5B" w:rsidRDefault="00591BEB">
            <w:pPr>
              <w:cnfStyle w:val="000000010000" w:firstRow="0" w:lastRow="0" w:firstColumn="0" w:lastColumn="0" w:oddVBand="0" w:evenVBand="0" w:oddHBand="0" w:evenHBand="1" w:firstRowFirstColumn="0" w:firstRowLastColumn="0" w:lastRowFirstColumn="0" w:lastRowLastColumn="0"/>
            </w:pPr>
            <w:r>
              <w:rPr>
                <w:sz w:val="18"/>
                <w:szCs w:val="18"/>
              </w:rPr>
              <w:t>35%</w:t>
            </w:r>
          </w:p>
        </w:tc>
        <w:tc>
          <w:tcPr>
            <w:tcW w:w="1200" w:type="dxa"/>
          </w:tcPr>
          <w:p w14:paraId="19AC0B9B" w14:textId="77777777" w:rsidR="00E30B5B" w:rsidRDefault="00591BEB">
            <w:pPr>
              <w:cnfStyle w:val="000000010000" w:firstRow="0" w:lastRow="0" w:firstColumn="0" w:lastColumn="0" w:oddVBand="0" w:evenVBand="0" w:oddHBand="0" w:evenHBand="1" w:firstRowFirstColumn="0" w:firstRowLastColumn="0" w:lastRowFirstColumn="0" w:lastRowLastColumn="0"/>
            </w:pPr>
            <w:r>
              <w:rPr>
                <w:sz w:val="18"/>
                <w:szCs w:val="18"/>
              </w:rPr>
              <w:t>Appendix 2</w:t>
            </w:r>
          </w:p>
        </w:tc>
        <w:tc>
          <w:tcPr>
            <w:tcW w:w="3920" w:type="dxa"/>
          </w:tcPr>
          <w:p w14:paraId="7845E7E9" w14:textId="77777777" w:rsidR="00E30B5B" w:rsidRDefault="00591BEB">
            <w:pPr>
              <w:cnfStyle w:val="000000010000" w:firstRow="0" w:lastRow="0" w:firstColumn="0" w:lastColumn="0" w:oddVBand="0" w:evenVBand="0" w:oddHBand="0" w:evenHBand="1" w:firstRowFirstColumn="0" w:firstRowLastColumn="0" w:lastRowFirstColumn="0" w:lastRowLastColumn="0"/>
            </w:pPr>
            <w:r>
              <w:rPr>
                <w:sz w:val="18"/>
                <w:szCs w:val="18"/>
              </w:rPr>
              <w:t>Total Evaluated Price (fixed fees, all entities, Years 1–4).</w:t>
            </w:r>
          </w:p>
        </w:tc>
      </w:tr>
      <w:tr w:rsidR="00E30B5B" w14:paraId="1AA9FBCD" w14:textId="77777777" w:rsidTr="00E30B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0" w:type="dxa"/>
          </w:tcPr>
          <w:p w14:paraId="7BA1F8DE" w14:textId="77777777" w:rsidR="00E30B5B" w:rsidRDefault="00E30B5B"/>
        </w:tc>
        <w:tc>
          <w:tcPr>
            <w:tcW w:w="2250" w:type="dxa"/>
          </w:tcPr>
          <w:p w14:paraId="0FD56638" w14:textId="77777777" w:rsidR="00E30B5B" w:rsidRDefault="00591BEB">
            <w:pPr>
              <w:cnfStyle w:val="000000100000" w:firstRow="0" w:lastRow="0" w:firstColumn="0" w:lastColumn="0" w:oddVBand="0" w:evenVBand="0" w:oddHBand="1" w:evenHBand="0" w:firstRowFirstColumn="0" w:firstRowLastColumn="0" w:lastRowFirstColumn="0" w:lastRowLastColumn="0"/>
            </w:pPr>
            <w:r>
              <w:rPr>
                <w:b/>
                <w:sz w:val="18"/>
                <w:szCs w:val="18"/>
              </w:rPr>
              <w:t>Total</w:t>
            </w:r>
          </w:p>
        </w:tc>
        <w:tc>
          <w:tcPr>
            <w:tcW w:w="1150" w:type="dxa"/>
          </w:tcPr>
          <w:p w14:paraId="08BF38B5" w14:textId="77777777" w:rsidR="00E30B5B" w:rsidRDefault="00591BEB">
            <w:pPr>
              <w:cnfStyle w:val="000000100000" w:firstRow="0" w:lastRow="0" w:firstColumn="0" w:lastColumn="0" w:oddVBand="0" w:evenVBand="0" w:oddHBand="1" w:evenHBand="0" w:firstRowFirstColumn="0" w:firstRowLastColumn="0" w:lastRowFirstColumn="0" w:lastRowLastColumn="0"/>
            </w:pPr>
            <w:r>
              <w:rPr>
                <w:b/>
                <w:sz w:val="18"/>
                <w:szCs w:val="18"/>
              </w:rPr>
              <w:t>100%</w:t>
            </w:r>
          </w:p>
        </w:tc>
        <w:tc>
          <w:tcPr>
            <w:tcW w:w="1200" w:type="dxa"/>
          </w:tcPr>
          <w:p w14:paraId="2AEF1A5F" w14:textId="77777777" w:rsidR="00E30B5B" w:rsidRDefault="00E30B5B">
            <w:pPr>
              <w:cnfStyle w:val="000000100000" w:firstRow="0" w:lastRow="0" w:firstColumn="0" w:lastColumn="0" w:oddVBand="0" w:evenVBand="0" w:oddHBand="1" w:evenHBand="0" w:firstRowFirstColumn="0" w:firstRowLastColumn="0" w:lastRowFirstColumn="0" w:lastRowLastColumn="0"/>
            </w:pPr>
          </w:p>
        </w:tc>
        <w:tc>
          <w:tcPr>
            <w:tcW w:w="3920" w:type="dxa"/>
          </w:tcPr>
          <w:p w14:paraId="31D38534" w14:textId="77777777" w:rsidR="00E30B5B" w:rsidRDefault="00E30B5B">
            <w:pPr>
              <w:cnfStyle w:val="000000100000" w:firstRow="0" w:lastRow="0" w:firstColumn="0" w:lastColumn="0" w:oddVBand="0" w:evenVBand="0" w:oddHBand="1" w:evenHBand="0" w:firstRowFirstColumn="0" w:firstRowLastColumn="0" w:lastRowFirstColumn="0" w:lastRowLastColumn="0"/>
            </w:pPr>
          </w:p>
        </w:tc>
      </w:tr>
    </w:tbl>
    <w:p w14:paraId="63CE7726" w14:textId="77777777" w:rsidR="00532AEB" w:rsidRDefault="00532AEB" w:rsidP="785C2A88"/>
    <w:p w14:paraId="229D786E" w14:textId="3D1EDB43" w:rsidR="785C2A88" w:rsidRDefault="6DF3B8E2" w:rsidP="785C2A88">
      <w:r>
        <w:t>3.3.2 For each award criterion, the Scoring Matrix sets out its weighting, the part of the Tender in which it is to be addressed (Questions Q1 to Q3 of Appendix 3 – Tender Response Form, or Appendix 2 – Pricing Schedule) and what the evaluation panel will look for. Tenderers should read the Scoring Matrix before preparing their Tender.</w:t>
      </w:r>
    </w:p>
    <w:p w14:paraId="32B36879" w14:textId="6A11E46F" w:rsidR="785C2A88" w:rsidRDefault="6DF3B8E2" w:rsidP="785C2A88">
      <w:r>
        <w:t>3.3.3 Evaluation will proceed in the following stages: a compliance check (paragraph 2.2); exclusion and selection on a pass/fail basis (paragraphs 3.1 and 3.2); independent scoring of the quality criteria (Award Criteria 1 to 3) by each panel member, followed by a moderation meeting to agree consensus scores; price scoring (Award Criterion 4), including review of any abnormally low tender under Regulation 69 of the Regulations; ranking; verification of the highest-ranked Tenderer (paragraph 3.3.5); internal approval, namely a recommendation by the ARC and a decision of the Board of Oaklee Housing; and notification of the outcome through eTenders (paragraph 3.5).</w:t>
      </w:r>
    </w:p>
    <w:p w14:paraId="2F88611C" w14:textId="2B858F4E" w:rsidR="785C2A88" w:rsidRDefault="6DF3B8E2" w:rsidP="785C2A88">
      <w:r>
        <w:lastRenderedPageBreak/>
        <w:t>3.3.4 Panel members will declare that they have no conflict of interest before accessing the Tenders. Any clarification sought during evaluation (paragraph 2.6.3) will be requested and answered in writing through eTenders and may be used only to clarify a Tender, not to change its substance or prices.</w:t>
      </w:r>
    </w:p>
    <w:p w14:paraId="242018AD" w14:textId="17C8C55C" w:rsidR="785C2A88" w:rsidRDefault="6DF3B8E2" w:rsidP="785C2A88">
      <w:r>
        <w:t>3.3.5 Subject to paragraphs 2.1 and 3.5, award of the Services Contract to the highest-ranked Tenderer is conditional on it providing, within seven (7) days of request and to the extent not already provided, the following for itself, the Prime Contractor and any relevant Subcontractor (in accordance with paragraph 3.1): (a) the Declaration at paragraph 4.9; (b) where applicable, evidence of measures demonstrating reliability despite a relevant Exclusion Ground; and (c) any of the supporting documents specified at paragraph 3.2, demonstrating that each entity meets the Selection Criteria and the requirements of paragraph 3.1.1(b) and (c). The Tenderer must also provide its Tax Clearance Access Number and Tax Reference Number (paragraph 2.13), the insurance confirmation required by paragraph 2.14.2 and the written confirmation of independence required by paragraph 4.5.2. If satisfactory evidence is not provided within the period stated, the Contracting Authority may proceed with the next highest-ranked Tenderer.</w:t>
      </w:r>
    </w:p>
    <w:p w14:paraId="14C82FC4" w14:textId="5FB15840" w:rsidR="785C2A88" w:rsidRDefault="785C2A88" w:rsidP="785C2A88">
      <w:pPr>
        <w:pStyle w:val="Heading2"/>
      </w:pPr>
      <w:r>
        <w:t>3.4 Presentation of Proposals</w:t>
      </w:r>
    </w:p>
    <w:p w14:paraId="2F4F3D9B" w14:textId="2FB5DF18" w:rsidR="785C2A88" w:rsidRDefault="785C2A88" w:rsidP="785C2A88">
      <w:r>
        <w:t>3.4.1 Tenderers may be required to present their proposal or attend a clarification meeting, at their own cost (paragraph 2.7). Performance at presentations will not be evaluated. Any presentations or meetings will be used only to clarify Tenders, offered on the same basis to all Tenderers concerned and recorded, and Tenderers may not change their Tender or prices as a result. The proposed Engagement Partner and Audit Manager must attend.</w:t>
      </w:r>
    </w:p>
    <w:p w14:paraId="646AFFF6" w14:textId="7F0E0217" w:rsidR="785C2A88" w:rsidRDefault="785C2A88" w:rsidP="785C2A88">
      <w:pPr>
        <w:pStyle w:val="Heading2"/>
      </w:pPr>
      <w:r>
        <w:t>3.5 Standstill Period</w:t>
      </w:r>
    </w:p>
    <w:p w14:paraId="53A51749" w14:textId="6274AA93" w:rsidR="785C2A88" w:rsidRDefault="785C2A88" w:rsidP="785C2A88">
      <w:r>
        <w:t>3.5.1 Where the European Communities (Public Authorities’ Contracts) (Review Procedures) Regulations 2010 (S.I. No. 130 of 2010), as amended by S.I. No. 192 of 2015 and S.I. No. 327 of 2017 (the “Remedies Regulations”), apply, no contract will be executed or take effect until at least fourteen (14) calendar days after the day on which Tenderers are sent notice of the result of this Competition by electronic means, or sixteen (16) calendar days where notice is sent by other means (the “Standstill Period”). The preferred bidder will be notified of the decision and of the expiry date of the Standstill Period.</w:t>
      </w:r>
    </w:p>
    <w:p w14:paraId="7F486192" w14:textId="7808F87A" w:rsidR="785C2A88" w:rsidRDefault="785C2A88" w:rsidP="785C2A88">
      <w:r>
        <w:t>3.5.2 Notifications will be issued through eTenders and may include the scores of the Tenderer concerned and of the preferred bidder for each award criterion. Following conclusion of the Services Contract, the Contracting Authority will publish contract award information on eTenders within thirty (30) days of award.</w:t>
      </w:r>
    </w:p>
    <w:p w14:paraId="65FBC189" w14:textId="12DFFBAB" w:rsidR="785C2A88" w:rsidRDefault="785C2A88" w:rsidP="785C2A88">
      <w:pPr>
        <w:pStyle w:val="Heading2"/>
      </w:pPr>
      <w:r>
        <w:t>3.6 Return of Signed Contracts</w:t>
      </w:r>
    </w:p>
    <w:p w14:paraId="737AF70D" w14:textId="295421B9" w:rsidR="785C2A88" w:rsidRDefault="785C2A88" w:rsidP="785C2A88">
      <w:r>
        <w:t xml:space="preserve">3.6.1 The successful Tenderer must sign and return the Services Contract and the Confidentiality Agreement, both in duplicate, within </w:t>
      </w:r>
      <w:r w:rsidR="002B699B">
        <w:t>7</w:t>
      </w:r>
      <w:r>
        <w:t xml:space="preserve"> calendar days of expiry of the Standstill Period, unless otherwise notified in writing. A signed Services Contract is not binding on the Contracting Authority until it has also signed it, in accordance with paragraph 2.1.2.</w:t>
      </w:r>
    </w:p>
    <w:p w14:paraId="1AC8C550" w14:textId="4351E2F9" w:rsidR="785C2A88" w:rsidRDefault="785C2A88" w:rsidP="785C2A88">
      <w:r>
        <w:t>3.6.2 If the signed documents are not received within that period, the Contracting Authority may award the Services Contract to the next highest-ranked Tenderer.</w:t>
      </w:r>
    </w:p>
    <w:p w14:paraId="4C5A6FAE" w14:textId="5EFCC663" w:rsidR="785C2A88" w:rsidRDefault="785C2A88" w:rsidP="785C2A88">
      <w:pPr>
        <w:pStyle w:val="Heading1"/>
      </w:pPr>
      <w:r>
        <w:lastRenderedPageBreak/>
        <w:t>Part 4: Specification of Services and Tender Response Requirements</w:t>
      </w:r>
    </w:p>
    <w:p w14:paraId="4E1401CC" w14:textId="4D5B9456" w:rsidR="785C2A88" w:rsidRDefault="785C2A88" w:rsidP="785C2A88">
      <w:pPr>
        <w:pStyle w:val="Heading2"/>
      </w:pPr>
      <w:r>
        <w:t>4.1 Background to the Group</w:t>
      </w:r>
    </w:p>
    <w:p w14:paraId="5C25E724" w14:textId="7729E487" w:rsidR="785C2A88" w:rsidRDefault="785C2A88" w:rsidP="785C2A88">
      <w:r>
        <w:t>4.1.1 Oaklee Housing is an Approved Housing Body regulated by the Approved Housing Bodies Regulatory Authority and a registered charity. It is the parent of the Group and wholly owns Acorn Housing, a designated activity company and registered charity. Oaklee Housing prepares consolidated and parent company financial statements in accordance with the Companies Act 2014, FRS 102 and the Housing SORP; Acorn Housing prepares its financial statements in accordance with the Companies Act 2014 and FRS 102. The Financial Year of each entity ends on 31 December.</w:t>
      </w:r>
    </w:p>
    <w:p w14:paraId="28968EB1" w14:textId="1984FF9A" w:rsidR="785C2A88" w:rsidRDefault="785C2A88" w:rsidP="785C2A88">
      <w:r>
        <w:t>4.1.2 Governance oversight of the external audit rests with the ARC, which reports to the Board of Oaklee Housing. The audit relationship will be managed day to day by the Group’s Finance function, and the Group has an internal audit function whose work the auditor may consider.</w:t>
      </w:r>
    </w:p>
    <w:p w14:paraId="1E386CC6" w14:textId="6F4C4406" w:rsidR="785C2A88" w:rsidRDefault="785C2A88" w:rsidP="785C2A88">
      <w:r>
        <w:t>4.1.3 Key data for the most recent Financial Year will be provided to Tenderers through eTenders.</w:t>
      </w:r>
    </w:p>
    <w:p w14:paraId="6B47ED6E" w14:textId="3F68C7FD" w:rsidR="785C2A88" w:rsidRDefault="785C2A88" w:rsidP="785C2A88">
      <w:pPr>
        <w:pStyle w:val="Heading2"/>
      </w:pPr>
      <w:r>
        <w:t>4.2 Scope of Services</w:t>
      </w:r>
    </w:p>
    <w:p w14:paraId="2208BD7B" w14:textId="1FAB0CB3" w:rsidR="785C2A88" w:rsidRDefault="785C2A88" w:rsidP="785C2A88">
      <w:r>
        <w:t>4.2.1 For each Financial Year in the Term, the successful Tenderer must deliver:</w:t>
      </w:r>
    </w:p>
    <w:p w14:paraId="2D4F4034" w14:textId="2AD9B6CC" w:rsidR="785C2A88" w:rsidRDefault="785C2A88" w:rsidP="785C2A88">
      <w:pPr>
        <w:pStyle w:val="ListBullet"/>
      </w:pPr>
      <w:r>
        <w:t>the statutory audits described at paragraph 1.2, conducted in accordance with the Companies Act 2014 and ISA (Ireland), including the audit of the consolidation and of intra-group balances and transactions;</w:t>
      </w:r>
    </w:p>
    <w:p w14:paraId="3A62D4BE" w14:textId="4B055749" w:rsidR="785C2A88" w:rsidRDefault="785C2A88" w:rsidP="785C2A88">
      <w:pPr>
        <w:pStyle w:val="ListBullet"/>
      </w:pPr>
      <w:r>
        <w:t>an audit plan presented to the ARC, setting out the audit approach, materiality, key audit risks, timetable, team and fees;</w:t>
      </w:r>
    </w:p>
    <w:p w14:paraId="5F3CAAC4" w14:textId="15668142" w:rsidR="785C2A88" w:rsidRDefault="785C2A88" w:rsidP="785C2A88">
      <w:pPr>
        <w:pStyle w:val="ListBullet"/>
      </w:pPr>
      <w:r>
        <w:t>planning, interim (where proposed) and final fieldwork in accordance with the timetable at paragraph 4.4;</w:t>
      </w:r>
    </w:p>
    <w:p w14:paraId="743857B9" w14:textId="1E249CFE" w:rsidR="785C2A88" w:rsidRDefault="785C2A88" w:rsidP="785C2A88">
      <w:pPr>
        <w:pStyle w:val="ListBullet"/>
      </w:pPr>
      <w:r>
        <w:t>signed independent auditor’s reports on the financial statements of Oaklee Housing (consolidated and parent company) and Acorn Housing, including the matters on which the auditor is required to report by exception under the Companies Act 2014;</w:t>
      </w:r>
    </w:p>
    <w:p w14:paraId="70DCD967" w14:textId="4E371993" w:rsidR="785C2A88" w:rsidRDefault="785C2A88" w:rsidP="785C2A88">
      <w:pPr>
        <w:pStyle w:val="ListBullet"/>
      </w:pPr>
      <w:r>
        <w:t>an audit findings (completion) report to the ARC, covering significant risks and judgements, misstatements (adjusted and unadjusted), control deficiencies and confirmation of independence;</w:t>
      </w:r>
    </w:p>
    <w:p w14:paraId="7D15650C" w14:textId="1734F88B" w:rsidR="785C2A88" w:rsidRDefault="785C2A88" w:rsidP="785C2A88">
      <w:pPr>
        <w:pStyle w:val="ListBullet"/>
      </w:pPr>
      <w:r>
        <w:t>a management letter for each entity, agreed with management and with management responses, followed up in the next audit cycle;</w:t>
      </w:r>
    </w:p>
    <w:p w14:paraId="41430F20" w14:textId="3D242F95" w:rsidR="785C2A88" w:rsidRDefault="785C2A88" w:rsidP="785C2A88">
      <w:pPr>
        <w:pStyle w:val="ListBullet"/>
      </w:pPr>
      <w:r>
        <w:t>attendance at ARC meetings (normally at planning and completion) and, on request, at Board meetings and meetings with Finance;</w:t>
      </w:r>
    </w:p>
    <w:p w14:paraId="213DA2F7" w14:textId="70ABD6E4" w:rsidR="785C2A88" w:rsidRDefault="785C2A88" w:rsidP="785C2A88">
      <w:pPr>
        <w:pStyle w:val="ListBullet"/>
      </w:pPr>
      <w:r w:rsidRPr="003908FD">
        <w:t>any separate auditor reports or confirmations required by funders, lenders or regulators;</w:t>
      </w:r>
      <w:r>
        <w:t xml:space="preserve"> and</w:t>
      </w:r>
    </w:p>
    <w:p w14:paraId="54F379A1" w14:textId="2257D814" w:rsidR="785C2A88" w:rsidRDefault="785C2A88" w:rsidP="785C2A88">
      <w:pPr>
        <w:pStyle w:val="ListBullet"/>
      </w:pPr>
      <w:r>
        <w:t>timely advice on technical accounting and reporting matters arising in the course of the audit, consistent with the independence requirements at paragraph 4.5.</w:t>
      </w:r>
    </w:p>
    <w:p w14:paraId="486BB3CF" w14:textId="763220E5" w:rsidR="785C2A88" w:rsidRDefault="785C2A88" w:rsidP="785C2A88">
      <w:r>
        <w:t>4.2.2 First-year audit and transition: the successful Tenderer is responsible for its own transition from the outgoing auditor, including the professional clearance process, review of the predecessor’s working papers as permitted, and the audit of opening balances. Transition costs must be included in the Year 1 fee.</w:t>
      </w:r>
    </w:p>
    <w:p w14:paraId="260CC64D" w14:textId="47E1256E" w:rsidR="785C2A88" w:rsidRDefault="785C2A88" w:rsidP="785C2A88">
      <w:r>
        <w:lastRenderedPageBreak/>
        <w:t>4.2.3 Changes in reporting: the audit approach must address the amendments to FRS 102 effective for accounting periods beginning on or after 1 January 2026 (including the revised requirements for revenue recognition and leases) together with any update to the Housing SORP during the Term.</w:t>
      </w:r>
    </w:p>
    <w:p w14:paraId="1577EE86" w14:textId="4C5AD0E4" w:rsidR="785C2A88" w:rsidRDefault="785C2A88" w:rsidP="785C2A88">
      <w:pPr>
        <w:pStyle w:val="Heading2"/>
      </w:pPr>
      <w:r>
        <w:t>4.3 Key Audit Risk Areas</w:t>
      </w:r>
    </w:p>
    <w:p w14:paraId="484D199F" w14:textId="58153490" w:rsidR="785C2A88" w:rsidRDefault="6DF3B8E2" w:rsidP="785C2A88">
      <w:r>
        <w:t>4.3.1 The following areas are indicative only and are typical of an Approved Housing Body group. Tenderers must use their own judgement and explain in response to Q1 of Appendix 3 how they would identify and respond to the risks of material misstatement for the Group:</w:t>
      </w:r>
    </w:p>
    <w:p w14:paraId="7FCD969D" w14:textId="10BBD078" w:rsidR="785C2A88" w:rsidRDefault="785C2A88" w:rsidP="785C2A88">
      <w:pPr>
        <w:pStyle w:val="ListBullet"/>
      </w:pPr>
      <w:r>
        <w:t>housing properties: capitalisation of development and component costs, depreciation, and impairment or valuation of social housing assets;</w:t>
      </w:r>
    </w:p>
    <w:p w14:paraId="4100765E" w14:textId="69B53691" w:rsidR="785C2A88" w:rsidRDefault="785C2A88" w:rsidP="785C2A88">
      <w:pPr>
        <w:pStyle w:val="ListBullet"/>
      </w:pPr>
      <w:r>
        <w:t>capital grants and State funding, including the Capital Assistance Scheme (CAS), the Capital Advance Leasing Facility (CALF) and payment and availability agreements: recognition, deferral, amortisation and disclosure of contingent repayment obligations;</w:t>
      </w:r>
    </w:p>
    <w:p w14:paraId="30BE6F20" w14:textId="77462757" w:rsidR="785C2A88" w:rsidRDefault="785C2A88" w:rsidP="785C2A88">
      <w:pPr>
        <w:pStyle w:val="ListBullet"/>
      </w:pPr>
      <w:r>
        <w:t>borrowings, including Housing Finance Agency (HFA) and other lender facilities: classification, disclosure and covenant compliance;</w:t>
      </w:r>
    </w:p>
    <w:p w14:paraId="57F0B102" w14:textId="4DC32938" w:rsidR="785C2A88" w:rsidRDefault="785C2A88" w:rsidP="785C2A88">
      <w:pPr>
        <w:pStyle w:val="ListBullet"/>
      </w:pPr>
      <w:r>
        <w:t>rental income and arrears: completeness and accuracy of rents, service charges and voids, and provisions for bad and doubtful debts;</w:t>
      </w:r>
    </w:p>
    <w:p w14:paraId="15B5756C" w14:textId="73A3BFDB" w:rsidR="785C2A88" w:rsidRDefault="785C2A88" w:rsidP="785C2A88">
      <w:pPr>
        <w:pStyle w:val="ListBullet"/>
      </w:pPr>
      <w:r>
        <w:t>going concern and long-term financial planning;</w:t>
      </w:r>
    </w:p>
    <w:p w14:paraId="661DFA79" w14:textId="5866DF70" w:rsidR="785C2A88" w:rsidRDefault="785C2A88" w:rsidP="785C2A88">
      <w:pPr>
        <w:pStyle w:val="ListBullet"/>
      </w:pPr>
      <w:r>
        <w:t>related-party and intra-group transactions, and the consolidation of Acorn Housing;</w:t>
      </w:r>
    </w:p>
    <w:p w14:paraId="7FB68F4B" w14:textId="459C3408" w:rsidR="785C2A88" w:rsidRDefault="785C2A88" w:rsidP="785C2A88">
      <w:pPr>
        <w:pStyle w:val="ListBullet"/>
      </w:pPr>
      <w:r>
        <w:t>IT general controls over the finance, housing management and payroll systems, and the use of data analytics; and</w:t>
      </w:r>
    </w:p>
    <w:p w14:paraId="2B916F92" w14:textId="652C1661" w:rsidR="785C2A88" w:rsidRDefault="785C2A88" w:rsidP="785C2A88">
      <w:pPr>
        <w:pStyle w:val="ListBullet"/>
      </w:pPr>
      <w:r>
        <w:t>the implementation of the FRS 102 amendments referred to at paragraph 4.2.3.</w:t>
      </w:r>
    </w:p>
    <w:p w14:paraId="65C8297B" w14:textId="685119FB" w:rsidR="785C2A88" w:rsidRDefault="785C2A88" w:rsidP="785C2A88">
      <w:pPr>
        <w:pStyle w:val="Heading2"/>
      </w:pPr>
      <w:r>
        <w:t>4.4 Indicative Annual Audit Timetable</w:t>
      </w:r>
    </w:p>
    <w:p w14:paraId="660E04E7" w14:textId="5EB5F26C" w:rsidR="785C2A88" w:rsidRDefault="6DF3B8E2" w:rsidP="785C2A88">
      <w:r>
        <w:t>4.4.1 The indicative annual timetable is set out below. The successful Tenderer will agree a detailed timetable with Finance each year, and Tenderers should comment on its achievability in response to Q3 of Appendix 3.</w:t>
      </w:r>
    </w:p>
    <w:tbl>
      <w:tblPr>
        <w:tblStyle w:val="MediumShading1-Accent1"/>
        <w:tblW w:w="0" w:type="auto"/>
        <w:tblLook w:val="04A0" w:firstRow="1" w:lastRow="0" w:firstColumn="1" w:lastColumn="0" w:noHBand="0" w:noVBand="1"/>
      </w:tblPr>
      <w:tblGrid>
        <w:gridCol w:w="4900"/>
        <w:gridCol w:w="4170"/>
      </w:tblGrid>
      <w:tr w:rsidR="785C2A88" w14:paraId="74576536" w14:textId="77777777" w:rsidTr="785C2A8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900" w:type="dxa"/>
          </w:tcPr>
          <w:p w14:paraId="7B46A03D" w14:textId="621079F2" w:rsidR="785C2A88" w:rsidRDefault="785C2A88">
            <w:r>
              <w:t>Activity</w:t>
            </w:r>
          </w:p>
        </w:tc>
        <w:tc>
          <w:tcPr>
            <w:tcW w:w="4170" w:type="dxa"/>
          </w:tcPr>
          <w:p w14:paraId="70C679BE" w14:textId="5AEE60B6" w:rsidR="785C2A88" w:rsidRDefault="785C2A88">
            <w:pPr>
              <w:cnfStyle w:val="100000000000" w:firstRow="1" w:lastRow="0" w:firstColumn="0" w:lastColumn="0" w:oddVBand="0" w:evenVBand="0" w:oddHBand="0" w:evenHBand="0" w:firstRowFirstColumn="0" w:firstRowLastColumn="0" w:lastRowFirstColumn="0" w:lastRowLastColumn="0"/>
            </w:pPr>
            <w:r>
              <w:t>Indicative timing</w:t>
            </w:r>
          </w:p>
        </w:tc>
      </w:tr>
      <w:tr w:rsidR="785C2A88" w14:paraId="6337E734" w14:textId="77777777" w:rsidTr="785C2A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0" w:type="dxa"/>
          </w:tcPr>
          <w:p w14:paraId="7D010E45" w14:textId="7203C12B" w:rsidR="785C2A88" w:rsidRDefault="785C2A88">
            <w:r>
              <w:t>Audit planning meeting with Finance; audit plan to ARC</w:t>
            </w:r>
          </w:p>
        </w:tc>
        <w:tc>
          <w:tcPr>
            <w:tcW w:w="4170" w:type="dxa"/>
          </w:tcPr>
          <w:p w14:paraId="6950CE33" w14:textId="40C2A62B" w:rsidR="785C2A88" w:rsidRPr="00330229" w:rsidRDefault="007C2CF5">
            <w:pPr>
              <w:cnfStyle w:val="000000100000" w:firstRow="0" w:lastRow="0" w:firstColumn="0" w:lastColumn="0" w:oddVBand="0" w:evenVBand="0" w:oddHBand="1" w:evenHBand="0" w:firstRowFirstColumn="0" w:firstRowLastColumn="0" w:lastRowFirstColumn="0" w:lastRowLastColumn="0"/>
            </w:pPr>
            <w:r w:rsidRPr="00330229">
              <w:rPr>
                <w:lang w:val="en-IE"/>
              </w:rPr>
              <w:t>Q1 of the Financial Year</w:t>
            </w:r>
          </w:p>
        </w:tc>
      </w:tr>
      <w:tr w:rsidR="785C2A88" w14:paraId="319C7822" w14:textId="77777777" w:rsidTr="785C2A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0" w:type="dxa"/>
          </w:tcPr>
          <w:p w14:paraId="6A9EA35D" w14:textId="01F70864" w:rsidR="785C2A88" w:rsidRDefault="785C2A88">
            <w:r>
              <w:t>Interim fieldwork (where proposed)</w:t>
            </w:r>
          </w:p>
        </w:tc>
        <w:tc>
          <w:tcPr>
            <w:tcW w:w="4170" w:type="dxa"/>
          </w:tcPr>
          <w:p w14:paraId="100A7E55" w14:textId="5227E8C1" w:rsidR="785C2A88" w:rsidRPr="00330229" w:rsidRDefault="007C2CF5">
            <w:pPr>
              <w:cnfStyle w:val="000000010000" w:firstRow="0" w:lastRow="0" w:firstColumn="0" w:lastColumn="0" w:oddVBand="0" w:evenVBand="0" w:oddHBand="0" w:evenHBand="1" w:firstRowFirstColumn="0" w:firstRowLastColumn="0" w:lastRowFirstColumn="0" w:lastRowLastColumn="0"/>
            </w:pPr>
            <w:r w:rsidRPr="00330229">
              <w:rPr>
                <w:lang w:val="en-IE"/>
              </w:rPr>
              <w:t>Q1 of the Financial Year</w:t>
            </w:r>
          </w:p>
        </w:tc>
      </w:tr>
      <w:tr w:rsidR="785C2A88" w14:paraId="68E424E6" w14:textId="77777777" w:rsidTr="785C2A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0" w:type="dxa"/>
          </w:tcPr>
          <w:p w14:paraId="660135F2" w14:textId="11EA4F9D" w:rsidR="785C2A88" w:rsidRDefault="785C2A88">
            <w:r>
              <w:t>Draft financial statements and supporting schedules provided by Finance</w:t>
            </w:r>
          </w:p>
        </w:tc>
        <w:tc>
          <w:tcPr>
            <w:tcW w:w="4170" w:type="dxa"/>
          </w:tcPr>
          <w:p w14:paraId="60150603" w14:textId="7C11301D" w:rsidR="785C2A88" w:rsidRPr="00330229" w:rsidRDefault="007C2CF5">
            <w:pPr>
              <w:cnfStyle w:val="000000100000" w:firstRow="0" w:lastRow="0" w:firstColumn="0" w:lastColumn="0" w:oddVBand="0" w:evenVBand="0" w:oddHBand="1" w:evenHBand="0" w:firstRowFirstColumn="0" w:firstRowLastColumn="0" w:lastRowFirstColumn="0" w:lastRowLastColumn="0"/>
            </w:pPr>
            <w:r w:rsidRPr="00330229">
              <w:rPr>
                <w:lang w:val="en-IE"/>
              </w:rPr>
              <w:t>Q1 of the Financial Year</w:t>
            </w:r>
          </w:p>
        </w:tc>
      </w:tr>
      <w:tr w:rsidR="785C2A88" w14:paraId="7DC85760" w14:textId="77777777" w:rsidTr="785C2A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0" w:type="dxa"/>
          </w:tcPr>
          <w:p w14:paraId="14B5FFE0" w14:textId="21DD96D6" w:rsidR="785C2A88" w:rsidRDefault="785C2A88">
            <w:r>
              <w:t>Final audit fieldwork</w:t>
            </w:r>
          </w:p>
        </w:tc>
        <w:tc>
          <w:tcPr>
            <w:tcW w:w="4170" w:type="dxa"/>
          </w:tcPr>
          <w:p w14:paraId="7B575A6B" w14:textId="4D0B7BE2" w:rsidR="785C2A88" w:rsidRPr="00330229" w:rsidRDefault="00CA7E87">
            <w:pPr>
              <w:cnfStyle w:val="000000010000" w:firstRow="0" w:lastRow="0" w:firstColumn="0" w:lastColumn="0" w:oddVBand="0" w:evenVBand="0" w:oddHBand="0" w:evenHBand="1" w:firstRowFirstColumn="0" w:firstRowLastColumn="0" w:lastRowFirstColumn="0" w:lastRowLastColumn="0"/>
            </w:pPr>
            <w:r w:rsidRPr="00330229">
              <w:rPr>
                <w:lang w:val="en-IE"/>
              </w:rPr>
              <w:t>Q1 of the Financial Year</w:t>
            </w:r>
          </w:p>
        </w:tc>
      </w:tr>
      <w:tr w:rsidR="785C2A88" w14:paraId="23B03666" w14:textId="77777777" w:rsidTr="785C2A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0" w:type="dxa"/>
          </w:tcPr>
          <w:p w14:paraId="352D7EC9" w14:textId="31D0DE0F" w:rsidR="785C2A88" w:rsidRDefault="785C2A88">
            <w:r>
              <w:t>Audit findings report and draft management letters to ARC</w:t>
            </w:r>
          </w:p>
        </w:tc>
        <w:tc>
          <w:tcPr>
            <w:tcW w:w="4170" w:type="dxa"/>
          </w:tcPr>
          <w:p w14:paraId="2E400837" w14:textId="5DACA2D3" w:rsidR="785C2A88" w:rsidRPr="00330229" w:rsidRDefault="00CA7E87">
            <w:pPr>
              <w:cnfStyle w:val="000000100000" w:firstRow="0" w:lastRow="0" w:firstColumn="0" w:lastColumn="0" w:oddVBand="0" w:evenVBand="0" w:oddHBand="1" w:evenHBand="0" w:firstRowFirstColumn="0" w:firstRowLastColumn="0" w:lastRowFirstColumn="0" w:lastRowLastColumn="0"/>
            </w:pPr>
            <w:r w:rsidRPr="00330229">
              <w:rPr>
                <w:lang w:val="en-IE"/>
              </w:rPr>
              <w:t>Q</w:t>
            </w:r>
            <w:r w:rsidR="00330229" w:rsidRPr="00330229">
              <w:rPr>
                <w:lang w:val="en-IE"/>
              </w:rPr>
              <w:t>2</w:t>
            </w:r>
            <w:r w:rsidRPr="00330229">
              <w:rPr>
                <w:lang w:val="en-IE"/>
              </w:rPr>
              <w:t xml:space="preserve"> of the Financial Year</w:t>
            </w:r>
          </w:p>
        </w:tc>
      </w:tr>
      <w:tr w:rsidR="785C2A88" w14:paraId="4256E552" w14:textId="77777777" w:rsidTr="785C2A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0" w:type="dxa"/>
          </w:tcPr>
          <w:p w14:paraId="5493DD16" w14:textId="41C42548" w:rsidR="785C2A88" w:rsidRDefault="785C2A88">
            <w:r>
              <w:t>Board approval and signing of the auditor’s reports</w:t>
            </w:r>
          </w:p>
        </w:tc>
        <w:tc>
          <w:tcPr>
            <w:tcW w:w="4170" w:type="dxa"/>
          </w:tcPr>
          <w:p w14:paraId="630F723E" w14:textId="72D1F6B8" w:rsidR="785C2A88" w:rsidRPr="00330229" w:rsidRDefault="00CA7E87">
            <w:pPr>
              <w:cnfStyle w:val="000000010000" w:firstRow="0" w:lastRow="0" w:firstColumn="0" w:lastColumn="0" w:oddVBand="0" w:evenVBand="0" w:oddHBand="0" w:evenHBand="1" w:firstRowFirstColumn="0" w:firstRowLastColumn="0" w:lastRowFirstColumn="0" w:lastRowLastColumn="0"/>
            </w:pPr>
            <w:r w:rsidRPr="00330229">
              <w:rPr>
                <w:lang w:val="en-IE"/>
              </w:rPr>
              <w:t>Q</w:t>
            </w:r>
            <w:r w:rsidR="00330229" w:rsidRPr="00330229">
              <w:rPr>
                <w:lang w:val="en-IE"/>
              </w:rPr>
              <w:t>2</w:t>
            </w:r>
            <w:r w:rsidRPr="00330229">
              <w:rPr>
                <w:lang w:val="en-IE"/>
              </w:rPr>
              <w:t xml:space="preserve"> of the Financial Year</w:t>
            </w:r>
          </w:p>
        </w:tc>
      </w:tr>
      <w:tr w:rsidR="785C2A88" w14:paraId="23AEE493" w14:textId="77777777" w:rsidTr="785C2A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0" w:type="dxa"/>
          </w:tcPr>
          <w:p w14:paraId="1F3EF93A" w14:textId="51B76C81" w:rsidR="785C2A88" w:rsidRDefault="785C2A88">
            <w:r>
              <w:t>Final management letters issued</w:t>
            </w:r>
          </w:p>
        </w:tc>
        <w:tc>
          <w:tcPr>
            <w:tcW w:w="4170" w:type="dxa"/>
          </w:tcPr>
          <w:p w14:paraId="2AA716CA" w14:textId="2EA692AE" w:rsidR="785C2A88" w:rsidRPr="00330229" w:rsidRDefault="00CA7E87">
            <w:pPr>
              <w:cnfStyle w:val="000000100000" w:firstRow="0" w:lastRow="0" w:firstColumn="0" w:lastColumn="0" w:oddVBand="0" w:evenVBand="0" w:oddHBand="1" w:evenHBand="0" w:firstRowFirstColumn="0" w:firstRowLastColumn="0" w:lastRowFirstColumn="0" w:lastRowLastColumn="0"/>
            </w:pPr>
            <w:r w:rsidRPr="00330229">
              <w:rPr>
                <w:lang w:val="en-IE"/>
              </w:rPr>
              <w:t>Q</w:t>
            </w:r>
            <w:r w:rsidR="00330229" w:rsidRPr="00330229">
              <w:rPr>
                <w:lang w:val="en-IE"/>
              </w:rPr>
              <w:t>2</w:t>
            </w:r>
            <w:r w:rsidRPr="00330229">
              <w:rPr>
                <w:lang w:val="en-IE"/>
              </w:rPr>
              <w:t xml:space="preserve"> of the Financial Year</w:t>
            </w:r>
          </w:p>
        </w:tc>
      </w:tr>
    </w:tbl>
    <w:p w14:paraId="35A77BF9" w14:textId="51A72B46" w:rsidR="785C2A88" w:rsidRDefault="785C2A88" w:rsidP="785C2A88">
      <w:pPr>
        <w:pStyle w:val="Heading2"/>
      </w:pPr>
      <w:r>
        <w:t>4.5 Independence and Ethical Requirements</w:t>
      </w:r>
    </w:p>
    <w:p w14:paraId="5F26389A" w14:textId="5B5161CB" w:rsidR="785C2A88" w:rsidRDefault="785C2A88" w:rsidP="785C2A88">
      <w:r>
        <w:t>4.5.1 The successful Tenderer, the Engagement Partner and all team members must comply throughout the Term with the Companies Act 2014, ISA (Ireland) and the Ethical Standard for Auditors (Ireland) issued by the Irish Auditing and Accounting Supervisory Authority (“IAASA”), together with the ethical requirements of its Recognised Accountancy Body.</w:t>
      </w:r>
    </w:p>
    <w:p w14:paraId="160B513F" w14:textId="13B3FA9A" w:rsidR="785C2A88" w:rsidRDefault="785C2A88" w:rsidP="785C2A88">
      <w:r>
        <w:lastRenderedPageBreak/>
        <w:t xml:space="preserve">4.5.2 Before award, the highest-ranked Tenderer must confirm in writing that it is independent of the Group, disclosing any services provided to, and any relationships with, the Group, its directors and senior management in the previous </w:t>
      </w:r>
      <w:r w:rsidR="00BC6BE5">
        <w:t>5</w:t>
      </w:r>
      <w:r>
        <w:t xml:space="preserve"> years, and any safeguards proposed. Independence must be confirmed again in each audit plan and audit findings report.</w:t>
      </w:r>
    </w:p>
    <w:p w14:paraId="54453B27" w14:textId="6174A984" w:rsidR="785C2A88" w:rsidRDefault="785C2A88" w:rsidP="785C2A88">
      <w:r>
        <w:t>4.5.3 The Engagement Partner and other key audit partners are subject to the rotation requirements of the Ethical Standard, and the Contracting Authority must be notified in advance of any planned rotation or change of key personnel.</w:t>
      </w:r>
    </w:p>
    <w:p w14:paraId="5A53F476" w14:textId="75C80C25" w:rsidR="785C2A88" w:rsidRDefault="785C2A88" w:rsidP="785C2A88">
      <w:r>
        <w:t>4.5.4 The successful Tenderer must not provide any non-audit service prohibited by the Ethical Standard. Any other non-audit service to the Group requires the prior approval of the ARC, and any threat to independence arising during the Term must be reported promptly to the ARC.</w:t>
      </w:r>
    </w:p>
    <w:p w14:paraId="508B49A6" w14:textId="681A4F41" w:rsidR="785C2A88" w:rsidRDefault="785C2A88" w:rsidP="785C2A88">
      <w:pPr>
        <w:pStyle w:val="Heading2"/>
      </w:pPr>
      <w:r>
        <w:t>4.6 Tender Response Requirements</w:t>
      </w:r>
    </w:p>
    <w:p w14:paraId="7A67183D" w14:textId="211B9B6A" w:rsidR="785C2A88" w:rsidRDefault="6DF3B8E2" w:rsidP="785C2A88">
      <w:r>
        <w:t>4.6.1 Tenderers must complete Appendix 3 – Tender Response Form, answering questions Q1 to Q3 in order. Each question corresponds to Award Criteria 1 to 3 and will be scored as set out in Appendix 1 – Scoring Matrix.</w:t>
      </w:r>
    </w:p>
    <w:p w14:paraId="735C1730" w14:textId="6A99402C" w:rsidR="785C2A88" w:rsidRDefault="785C2A88" w:rsidP="785C2A88">
      <w:pPr>
        <w:pStyle w:val="Heading2"/>
      </w:pPr>
      <w:r>
        <w:t>4.7 Pricing Requirements</w:t>
      </w:r>
    </w:p>
    <w:p w14:paraId="68AE7C76" w14:textId="5EC975C6" w:rsidR="785C2A88" w:rsidRDefault="6DF3B8E2" w:rsidP="785C2A88">
      <w:r>
        <w:t>4.7.1 Tenderers must complete and sign Appendix 2 – Pricing Schedule. Fees must be fixed fees in euro, exclusive of VAT, for each entity and Financial Year (Years 1–4), inclusive of all expenses and first-year transition costs. The Total Evaluated Price (Years 1–4) will be scored under Award Criterion 4 as set out in Appendix 1. Any assumption that qualifies the fixed fees may render the Tender non-compliant.</w:t>
      </w:r>
    </w:p>
    <w:p w14:paraId="51A4A67A" w14:textId="515720D5" w:rsidR="785C2A88" w:rsidRDefault="785C2A88" w:rsidP="785C2A88">
      <w:pPr>
        <w:pStyle w:val="Heading2"/>
      </w:pPr>
      <w:r>
        <w:t>4.8 Tenderer’s Statement</w:t>
      </w:r>
    </w:p>
    <w:p w14:paraId="5A60AB81" w14:textId="43A1436E" w:rsidR="785C2A88" w:rsidRDefault="785C2A88" w:rsidP="785C2A88">
      <w:r>
        <w:t>4.8.1 The following statement must be reproduced on the Tenderer’s letterhead, signed by a person authorised to bind the Tenderer and returned with the Tender (paragraph 2.3.2):</w:t>
      </w:r>
    </w:p>
    <w:p w14:paraId="645A2F34" w14:textId="6222A365" w:rsidR="785C2A88" w:rsidRDefault="785C2A88" w:rsidP="785C2A88">
      <w:pPr>
        <w:pStyle w:val="ListParagraph"/>
      </w:pPr>
      <w:r>
        <w:t>“We, the undersigned Tenderer, confirm that: (a) we have read, understood and accept all provisions of the RFT for Statutory External Audit Services to the Oaklee Group, including the key terms of the Services Contract at paragraph 4.10, without amendment; (b) our Tender, including our prices, will remain valid for the period stated at paragraph 2.9.3; (c) all information in our Tender is complete, accurate and not misleading; (d) our Tender was prepared independently, without collusion or canvassing; (e) the data protection confirmation at paragraph 2.1.4 is given; (f) we give the insurance confirmations at paragraph 2.14.2; (g) we have disclosed any Registrable Interest or conflict of interest under paragraph 2.11; (h) we can meet the independence requirements at paragraph 4.5; (i) we have assessed our obligations under Regulation (EU) 2022/2560 and [a notification or declaration of foreign financial contributions is / is not] required; and (j) we will comply with paragraph 2.10, including the undertaking at paragraph 2.10.2, and with all applicable tax laws.”</w:t>
      </w:r>
    </w:p>
    <w:tbl>
      <w:tblPr>
        <w:tblStyle w:val="TableGrid"/>
        <w:tblW w:w="0" w:type="auto"/>
        <w:tblLook w:val="04A0" w:firstRow="1" w:lastRow="0" w:firstColumn="1" w:lastColumn="0" w:noHBand="0" w:noVBand="1"/>
      </w:tblPr>
      <w:tblGrid>
        <w:gridCol w:w="3200"/>
        <w:gridCol w:w="5870"/>
      </w:tblGrid>
      <w:tr w:rsidR="785C2A88" w14:paraId="5C9B1548" w14:textId="77777777" w:rsidTr="785C2A88">
        <w:tc>
          <w:tcPr>
            <w:tcW w:w="3200" w:type="dxa"/>
          </w:tcPr>
          <w:p w14:paraId="623F1C80" w14:textId="684F0ADD" w:rsidR="785C2A88" w:rsidRDefault="785C2A88">
            <w:r>
              <w:t>Signed</w:t>
            </w:r>
          </w:p>
        </w:tc>
        <w:tc>
          <w:tcPr>
            <w:tcW w:w="5870" w:type="dxa"/>
          </w:tcPr>
          <w:p w14:paraId="1FAEA1CB" w14:textId="612CF1A1" w:rsidR="785C2A88" w:rsidRDefault="785C2A88">
            <w:r>
              <w:t xml:space="preserve"> </w:t>
            </w:r>
          </w:p>
        </w:tc>
      </w:tr>
      <w:tr w:rsidR="785C2A88" w14:paraId="47072ED1" w14:textId="77777777" w:rsidTr="785C2A88">
        <w:tc>
          <w:tcPr>
            <w:tcW w:w="3200" w:type="dxa"/>
          </w:tcPr>
          <w:p w14:paraId="4D199AF8" w14:textId="78425216" w:rsidR="785C2A88" w:rsidRDefault="785C2A88">
            <w:r>
              <w:t>Name and position</w:t>
            </w:r>
          </w:p>
        </w:tc>
        <w:tc>
          <w:tcPr>
            <w:tcW w:w="5870" w:type="dxa"/>
          </w:tcPr>
          <w:p w14:paraId="2EACD39F" w14:textId="712038DA" w:rsidR="785C2A88" w:rsidRDefault="785C2A88">
            <w:r>
              <w:t xml:space="preserve"> </w:t>
            </w:r>
          </w:p>
        </w:tc>
      </w:tr>
      <w:tr w:rsidR="785C2A88" w14:paraId="38273BB5" w14:textId="77777777" w:rsidTr="785C2A88">
        <w:tc>
          <w:tcPr>
            <w:tcW w:w="3200" w:type="dxa"/>
          </w:tcPr>
          <w:p w14:paraId="72A277ED" w14:textId="0835994F" w:rsidR="785C2A88" w:rsidRDefault="785C2A88">
            <w:r>
              <w:t>For and on behalf of (Tenderer)</w:t>
            </w:r>
          </w:p>
        </w:tc>
        <w:tc>
          <w:tcPr>
            <w:tcW w:w="5870" w:type="dxa"/>
          </w:tcPr>
          <w:p w14:paraId="4CA77585" w14:textId="01138013" w:rsidR="785C2A88" w:rsidRDefault="785C2A88">
            <w:r>
              <w:t xml:space="preserve"> </w:t>
            </w:r>
          </w:p>
        </w:tc>
      </w:tr>
      <w:tr w:rsidR="785C2A88" w14:paraId="6F660A48" w14:textId="77777777" w:rsidTr="785C2A88">
        <w:tc>
          <w:tcPr>
            <w:tcW w:w="3200" w:type="dxa"/>
          </w:tcPr>
          <w:p w14:paraId="38A4D97A" w14:textId="1828E088" w:rsidR="785C2A88" w:rsidRDefault="785C2A88">
            <w:r>
              <w:t>Date</w:t>
            </w:r>
          </w:p>
        </w:tc>
        <w:tc>
          <w:tcPr>
            <w:tcW w:w="5870" w:type="dxa"/>
          </w:tcPr>
          <w:p w14:paraId="7EA2CBA8" w14:textId="1106C74C" w:rsidR="785C2A88" w:rsidRDefault="785C2A88">
            <w:r>
              <w:t xml:space="preserve"> </w:t>
            </w:r>
          </w:p>
        </w:tc>
      </w:tr>
    </w:tbl>
    <w:p w14:paraId="18198CB9" w14:textId="537E3C10" w:rsidR="785C2A88" w:rsidRDefault="785C2A88" w:rsidP="785C2A88">
      <w:pPr>
        <w:pStyle w:val="Heading2"/>
      </w:pPr>
      <w:r>
        <w:lastRenderedPageBreak/>
        <w:t>4.9 Declaration Regarding Exclusion Grounds</w:t>
      </w:r>
    </w:p>
    <w:p w14:paraId="617512C8" w14:textId="75E6B829" w:rsidR="785C2A88" w:rsidRDefault="6DF3B8E2" w:rsidP="785C2A88">
      <w:r>
        <w:t>4.9.1 When requested under paragraph 3.1.5 or 3.3.5, the Tenderer and each relevant entity must provide a signed declaration, on its letterhead, confirming that: (a) none of the mandatory Exclusion Grounds in Regulation 57 of the Regulations applies to it, including convictions for participation in a criminal organisation, corruption, fraud, terrorist offences, money laundering or terrorist financing, child labour or human trafficking, and breach of obligations to pay taxes or social security contributions; (b) none of the discretionary grounds in Regulation 57 applies, including insolvency or analogous proceedings, grave professional misconduct, agreements distorting competition, unresolved conflicts of interest, significant deficiencies in a prior public contract, or misrepresentation; (c) where any ground applies, it has taken measures sufficient to demonstrate its reliability, which it describes; and (d) it is not a prohibited economic operator under Regulation (EU) No 833/2014 (as amended). The Tenderer must provide the supporting evidence of these matters requested by the Contracting Authority.</w:t>
      </w:r>
    </w:p>
    <w:p w14:paraId="6B8B2D60" w14:textId="773927AA" w:rsidR="785C2A88" w:rsidRDefault="785C2A88" w:rsidP="785C2A88">
      <w:pPr>
        <w:pStyle w:val="Heading2"/>
      </w:pPr>
      <w:r>
        <w:t>4.10 Key Terms of the Services Contract</w:t>
      </w:r>
    </w:p>
    <w:p w14:paraId="2177E31F" w14:textId="5BFF5C52" w:rsidR="785C2A88" w:rsidRDefault="785C2A88" w:rsidP="785C2A88">
      <w:r>
        <w:t>4.10.1 The Services Contract will include the following key terms, together with such other terms as are usual for statutory audit services and consistent with this RFT:</w:t>
      </w:r>
    </w:p>
    <w:p w14:paraId="60E85B23" w14:textId="2BBD02F9" w:rsidR="785C2A88" w:rsidRDefault="785C2A88" w:rsidP="785C2A88">
      <w:pPr>
        <w:pStyle w:val="ListParagraph"/>
      </w:pPr>
      <w:r>
        <w:t>(a) Term: the four-year Term at paragraph 1.5, commencing on the Effective Date.</w:t>
      </w:r>
    </w:p>
    <w:p w14:paraId="77B2ED1A" w14:textId="42A82709" w:rsidR="785C2A88" w:rsidRDefault="785C2A88" w:rsidP="785C2A88">
      <w:pPr>
        <w:pStyle w:val="ListParagraph"/>
      </w:pPr>
      <w:r>
        <w:t>(b) Appointment: the Services are subject to the Tenderer’s appointment as statutory auditor of Oaklee Housing and Acorn Housing under the Companies Act 2014; the appointment, re-appointment, removal and resignation of the auditor will be governed by that Act. An engagement letter consistent with ISA (Ireland) and the Services Contract will be agreed each year, and the Services Contract prevails in case of conflict.</w:t>
      </w:r>
    </w:p>
    <w:p w14:paraId="326C52AA" w14:textId="49E9A574" w:rsidR="785C2A88" w:rsidRDefault="6DF3B8E2" w:rsidP="785C2A88">
      <w:pPr>
        <w:pStyle w:val="ListParagraph"/>
      </w:pPr>
      <w:r>
        <w:t xml:space="preserve">(c) Fees and payment: fixed fees per Appendix 2, invoiced in </w:t>
      </w:r>
      <w:r w:rsidR="004856EB">
        <w:t xml:space="preserve">completion </w:t>
      </w:r>
      <w:r>
        <w:t>stages and payable within thirty (30) days of receipt of a valid invoice.</w:t>
      </w:r>
    </w:p>
    <w:p w14:paraId="17B5E0C2" w14:textId="7621A3F7" w:rsidR="785C2A88" w:rsidRDefault="785C2A88" w:rsidP="785C2A88">
      <w:pPr>
        <w:pStyle w:val="ListParagraph"/>
      </w:pPr>
      <w:r>
        <w:t>(d) Personnel: key personnel named in the Tender may be changed only with the Contracting Authority’s prior written consent, which will not be unreasonably withheld, and any replacement must have equivalent experience.</w:t>
      </w:r>
    </w:p>
    <w:p w14:paraId="57BB5CF7" w14:textId="6E95A75C" w:rsidR="785C2A88" w:rsidRDefault="785C2A88" w:rsidP="785C2A88">
      <w:pPr>
        <w:pStyle w:val="ListParagraph"/>
      </w:pPr>
      <w:r>
        <w:t>(e) Confidentiality and data protection: the auditor will keep the Group’s information confidential, subject to its legal and professional obligations, and comply with Data Protection Laws; a data processing agreement under Article 28 of the General Data Protection Regulation will be agreed if the auditor acts as processor.</w:t>
      </w:r>
    </w:p>
    <w:p w14:paraId="2BABF76C" w14:textId="721AD5B0" w:rsidR="785C2A88" w:rsidRDefault="785C2A88" w:rsidP="785C2A88">
      <w:pPr>
        <w:pStyle w:val="ListParagraph"/>
      </w:pPr>
      <w:r>
        <w:t>(f) Insurance and liability: insurances per paragraph 2.14 for the term of the Services Contract</w:t>
      </w:r>
      <w:r w:rsidR="000E6D88">
        <w:t>.</w:t>
      </w:r>
    </w:p>
    <w:p w14:paraId="66BE25F5" w14:textId="56E7DF1C" w:rsidR="785C2A88" w:rsidRDefault="785C2A88" w:rsidP="785C2A88">
      <w:pPr>
        <w:pStyle w:val="ListParagraph"/>
      </w:pPr>
      <w:r>
        <w:t xml:space="preserve">(g) Termination: the Contracting Authority may terminate </w:t>
      </w:r>
      <w:r w:rsidR="00BD3EA5">
        <w:t xml:space="preserve">the contract </w:t>
      </w:r>
      <w:r>
        <w:t xml:space="preserve">for material breach, insolvency, loss of eligibility or independence, or conflict of interest, and otherwise on </w:t>
      </w:r>
      <w:r w:rsidR="00C242FE">
        <w:t xml:space="preserve">thirty (30) </w:t>
      </w:r>
      <w:r w:rsidR="00EF7D1C">
        <w:t>calendar</w:t>
      </w:r>
      <w:r w:rsidR="00C242FE">
        <w:t xml:space="preserve"> </w:t>
      </w:r>
      <w:r w:rsidR="00EF7D1C">
        <w:t>days’ notice</w:t>
      </w:r>
      <w:r>
        <w:t>, subject in each case to the Companies Act 2014 provisions on the removal of auditors.</w:t>
      </w:r>
    </w:p>
    <w:p w14:paraId="1FFDEE5D" w14:textId="783CF909" w:rsidR="785C2A88" w:rsidRDefault="785C2A88" w:rsidP="785C2A88">
      <w:pPr>
        <w:pStyle w:val="ListParagraph"/>
      </w:pPr>
      <w:r>
        <w:t>(h) Governing law: the Services Contract is governed by the laws of Ireland and subject to the exclusive jurisdiction of the Irish courts.</w:t>
      </w:r>
    </w:p>
    <w:sectPr w:rsidR="785C2A88" w:rsidSect="00034616">
      <w:pgSz w:w="11906" w:h="16838"/>
      <w:pgMar w:top="1304" w:right="1418" w:bottom="130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1741E" w14:textId="77777777" w:rsidR="00FB0020" w:rsidRDefault="00FB0020">
      <w:pPr>
        <w:spacing w:after="0" w:line="240" w:lineRule="auto"/>
      </w:pPr>
      <w:r>
        <w:separator/>
      </w:r>
    </w:p>
  </w:endnote>
  <w:endnote w:type="continuationSeparator" w:id="0">
    <w:p w14:paraId="005F1A71" w14:textId="77777777" w:rsidR="00FB0020" w:rsidRDefault="00FB0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C9B03" w14:textId="77777777" w:rsidR="00FB0020" w:rsidRDefault="00FB0020">
      <w:pPr>
        <w:spacing w:after="0" w:line="240" w:lineRule="auto"/>
      </w:pPr>
      <w:r>
        <w:separator/>
      </w:r>
    </w:p>
  </w:footnote>
  <w:footnote w:type="continuationSeparator" w:id="0">
    <w:p w14:paraId="75519760" w14:textId="77777777" w:rsidR="00FB0020" w:rsidRDefault="00FB00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4562235">
    <w:abstractNumId w:val="8"/>
  </w:num>
  <w:num w:numId="2" w16cid:durableId="889027642">
    <w:abstractNumId w:val="6"/>
  </w:num>
  <w:num w:numId="3" w16cid:durableId="1541239461">
    <w:abstractNumId w:val="5"/>
  </w:num>
  <w:num w:numId="4" w16cid:durableId="836186528">
    <w:abstractNumId w:val="4"/>
  </w:num>
  <w:num w:numId="5" w16cid:durableId="30616384">
    <w:abstractNumId w:val="7"/>
  </w:num>
  <w:num w:numId="6" w16cid:durableId="668295745">
    <w:abstractNumId w:val="3"/>
  </w:num>
  <w:num w:numId="7" w16cid:durableId="476650955">
    <w:abstractNumId w:val="2"/>
  </w:num>
  <w:num w:numId="8" w16cid:durableId="561604426">
    <w:abstractNumId w:val="1"/>
  </w:num>
  <w:num w:numId="9" w16cid:durableId="769664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A69"/>
    <w:rsid w:val="00030F16"/>
    <w:rsid w:val="00034616"/>
    <w:rsid w:val="00052E19"/>
    <w:rsid w:val="0006063C"/>
    <w:rsid w:val="0006306B"/>
    <w:rsid w:val="0006755C"/>
    <w:rsid w:val="000A289A"/>
    <w:rsid w:val="000C3A11"/>
    <w:rsid w:val="000D47A9"/>
    <w:rsid w:val="000E1280"/>
    <w:rsid w:val="000E6D88"/>
    <w:rsid w:val="000F569D"/>
    <w:rsid w:val="001209EC"/>
    <w:rsid w:val="0015074B"/>
    <w:rsid w:val="0015142B"/>
    <w:rsid w:val="00162F62"/>
    <w:rsid w:val="001C50AB"/>
    <w:rsid w:val="001D64D3"/>
    <w:rsid w:val="001F30C9"/>
    <w:rsid w:val="0022496C"/>
    <w:rsid w:val="0029639D"/>
    <w:rsid w:val="002A2BC7"/>
    <w:rsid w:val="002B699B"/>
    <w:rsid w:val="002C1C49"/>
    <w:rsid w:val="002D26C2"/>
    <w:rsid w:val="002F6A40"/>
    <w:rsid w:val="00305CAB"/>
    <w:rsid w:val="00313D1B"/>
    <w:rsid w:val="00326F90"/>
    <w:rsid w:val="00330229"/>
    <w:rsid w:val="0033057F"/>
    <w:rsid w:val="00367E2A"/>
    <w:rsid w:val="003908FD"/>
    <w:rsid w:val="003E66D4"/>
    <w:rsid w:val="004255E3"/>
    <w:rsid w:val="004830A7"/>
    <w:rsid w:val="004856EB"/>
    <w:rsid w:val="00493906"/>
    <w:rsid w:val="004A5AAD"/>
    <w:rsid w:val="004A7612"/>
    <w:rsid w:val="004E7200"/>
    <w:rsid w:val="00532AEB"/>
    <w:rsid w:val="00535378"/>
    <w:rsid w:val="005765FA"/>
    <w:rsid w:val="005820B0"/>
    <w:rsid w:val="00591BEB"/>
    <w:rsid w:val="005A2C98"/>
    <w:rsid w:val="0063060E"/>
    <w:rsid w:val="006349AD"/>
    <w:rsid w:val="00665221"/>
    <w:rsid w:val="00700C5A"/>
    <w:rsid w:val="007053A5"/>
    <w:rsid w:val="007254EA"/>
    <w:rsid w:val="00747E51"/>
    <w:rsid w:val="00771530"/>
    <w:rsid w:val="007832C5"/>
    <w:rsid w:val="00791495"/>
    <w:rsid w:val="007A281B"/>
    <w:rsid w:val="007B0991"/>
    <w:rsid w:val="007B6756"/>
    <w:rsid w:val="007C2CF5"/>
    <w:rsid w:val="008163B1"/>
    <w:rsid w:val="00824464"/>
    <w:rsid w:val="008320B3"/>
    <w:rsid w:val="0083396D"/>
    <w:rsid w:val="00887C94"/>
    <w:rsid w:val="008D383E"/>
    <w:rsid w:val="0094086D"/>
    <w:rsid w:val="00953E25"/>
    <w:rsid w:val="00960BA5"/>
    <w:rsid w:val="00995246"/>
    <w:rsid w:val="009A50E9"/>
    <w:rsid w:val="009D48C8"/>
    <w:rsid w:val="009D70CE"/>
    <w:rsid w:val="009F4A30"/>
    <w:rsid w:val="00A13A9C"/>
    <w:rsid w:val="00A73A1E"/>
    <w:rsid w:val="00AA1D8D"/>
    <w:rsid w:val="00AB637A"/>
    <w:rsid w:val="00AC221F"/>
    <w:rsid w:val="00AC4241"/>
    <w:rsid w:val="00AC6653"/>
    <w:rsid w:val="00AD3555"/>
    <w:rsid w:val="00B47730"/>
    <w:rsid w:val="00B55CFE"/>
    <w:rsid w:val="00BC6BE5"/>
    <w:rsid w:val="00BD2C66"/>
    <w:rsid w:val="00BD3EA5"/>
    <w:rsid w:val="00C029C5"/>
    <w:rsid w:val="00C242FE"/>
    <w:rsid w:val="00C66EE6"/>
    <w:rsid w:val="00CA7E87"/>
    <w:rsid w:val="00CB0664"/>
    <w:rsid w:val="00D054ED"/>
    <w:rsid w:val="00D10921"/>
    <w:rsid w:val="00D3784C"/>
    <w:rsid w:val="00D700A7"/>
    <w:rsid w:val="00DB0623"/>
    <w:rsid w:val="00DB3F68"/>
    <w:rsid w:val="00DE24CC"/>
    <w:rsid w:val="00E10A24"/>
    <w:rsid w:val="00E113D8"/>
    <w:rsid w:val="00E30B5B"/>
    <w:rsid w:val="00E46E40"/>
    <w:rsid w:val="00EA14D6"/>
    <w:rsid w:val="00ED50B7"/>
    <w:rsid w:val="00EF7D1C"/>
    <w:rsid w:val="00F24D96"/>
    <w:rsid w:val="00F24E97"/>
    <w:rsid w:val="00FB0020"/>
    <w:rsid w:val="00FB576A"/>
    <w:rsid w:val="00FC693F"/>
    <w:rsid w:val="017FDE63"/>
    <w:rsid w:val="01E841DB"/>
    <w:rsid w:val="0254706F"/>
    <w:rsid w:val="02EB223F"/>
    <w:rsid w:val="031F1DAF"/>
    <w:rsid w:val="063DADFF"/>
    <w:rsid w:val="06449E6D"/>
    <w:rsid w:val="067CAFB0"/>
    <w:rsid w:val="08CBAF58"/>
    <w:rsid w:val="09BD93C1"/>
    <w:rsid w:val="0A2ADE1F"/>
    <w:rsid w:val="0A64A66C"/>
    <w:rsid w:val="0CBEE3F6"/>
    <w:rsid w:val="0D1F5A91"/>
    <w:rsid w:val="0D494062"/>
    <w:rsid w:val="0DB56832"/>
    <w:rsid w:val="0E101661"/>
    <w:rsid w:val="0EB8D527"/>
    <w:rsid w:val="1083D863"/>
    <w:rsid w:val="10919C79"/>
    <w:rsid w:val="109D6575"/>
    <w:rsid w:val="138F1FE3"/>
    <w:rsid w:val="14AF3AA3"/>
    <w:rsid w:val="14B7F157"/>
    <w:rsid w:val="1574BE31"/>
    <w:rsid w:val="164C0AF3"/>
    <w:rsid w:val="18BFE2D9"/>
    <w:rsid w:val="1AC66EFD"/>
    <w:rsid w:val="1AE94E2E"/>
    <w:rsid w:val="1B01F108"/>
    <w:rsid w:val="1C5B7D7B"/>
    <w:rsid w:val="1C805885"/>
    <w:rsid w:val="1E085280"/>
    <w:rsid w:val="1F60B4A8"/>
    <w:rsid w:val="2078F6CE"/>
    <w:rsid w:val="20DF7F58"/>
    <w:rsid w:val="2323B239"/>
    <w:rsid w:val="234764ED"/>
    <w:rsid w:val="23E39680"/>
    <w:rsid w:val="23F89D0E"/>
    <w:rsid w:val="24AEA41F"/>
    <w:rsid w:val="24C63A93"/>
    <w:rsid w:val="27872F19"/>
    <w:rsid w:val="29486B6E"/>
    <w:rsid w:val="2ABF5EAC"/>
    <w:rsid w:val="2D78F1B9"/>
    <w:rsid w:val="2E153A97"/>
    <w:rsid w:val="3248A3DE"/>
    <w:rsid w:val="3260FCCE"/>
    <w:rsid w:val="327CDA4A"/>
    <w:rsid w:val="329D8DF5"/>
    <w:rsid w:val="34BD14F8"/>
    <w:rsid w:val="35BBE49C"/>
    <w:rsid w:val="35BEE188"/>
    <w:rsid w:val="3750D5B9"/>
    <w:rsid w:val="37C76832"/>
    <w:rsid w:val="38A4D9D3"/>
    <w:rsid w:val="398F36E2"/>
    <w:rsid w:val="3A4156BA"/>
    <w:rsid w:val="3A847C41"/>
    <w:rsid w:val="3B960ECF"/>
    <w:rsid w:val="3CA081B5"/>
    <w:rsid w:val="3F1FA610"/>
    <w:rsid w:val="40815BD9"/>
    <w:rsid w:val="41C1FD16"/>
    <w:rsid w:val="42831D6A"/>
    <w:rsid w:val="43739782"/>
    <w:rsid w:val="46CDEF49"/>
    <w:rsid w:val="491E1135"/>
    <w:rsid w:val="4990D774"/>
    <w:rsid w:val="49CEC3C1"/>
    <w:rsid w:val="4A2250AE"/>
    <w:rsid w:val="4C6C6C52"/>
    <w:rsid w:val="4DA29B67"/>
    <w:rsid w:val="4F4004E8"/>
    <w:rsid w:val="51C23ACB"/>
    <w:rsid w:val="521E8873"/>
    <w:rsid w:val="52868506"/>
    <w:rsid w:val="534B5CA2"/>
    <w:rsid w:val="5378DB1F"/>
    <w:rsid w:val="548EC2F2"/>
    <w:rsid w:val="556FDDD8"/>
    <w:rsid w:val="55F35A4E"/>
    <w:rsid w:val="56F4557C"/>
    <w:rsid w:val="585BDDDD"/>
    <w:rsid w:val="588CCCA9"/>
    <w:rsid w:val="5A5C1E6C"/>
    <w:rsid w:val="5B02CFB2"/>
    <w:rsid w:val="5CB8F9D6"/>
    <w:rsid w:val="5E71D787"/>
    <w:rsid w:val="5F7427F7"/>
    <w:rsid w:val="61031A4B"/>
    <w:rsid w:val="61D3F7B4"/>
    <w:rsid w:val="6290892A"/>
    <w:rsid w:val="640F42A2"/>
    <w:rsid w:val="64A2BF3A"/>
    <w:rsid w:val="64E84242"/>
    <w:rsid w:val="667BB961"/>
    <w:rsid w:val="67B0B89B"/>
    <w:rsid w:val="6C05EC23"/>
    <w:rsid w:val="6CDD79EF"/>
    <w:rsid w:val="6CE5119C"/>
    <w:rsid w:val="6CF62EFF"/>
    <w:rsid w:val="6DF3B8E2"/>
    <w:rsid w:val="6E451C03"/>
    <w:rsid w:val="6E88D656"/>
    <w:rsid w:val="6F5CCD6F"/>
    <w:rsid w:val="705C1552"/>
    <w:rsid w:val="71208D33"/>
    <w:rsid w:val="716E40CB"/>
    <w:rsid w:val="73D65FF5"/>
    <w:rsid w:val="74CF7A17"/>
    <w:rsid w:val="75FE3851"/>
    <w:rsid w:val="778C45F5"/>
    <w:rsid w:val="785C2A88"/>
    <w:rsid w:val="787D5E28"/>
    <w:rsid w:val="7977D3BC"/>
    <w:rsid w:val="7BA4FEFE"/>
    <w:rsid w:val="7BE95909"/>
    <w:rsid w:val="7E8804D4"/>
    <w:rsid w:val="7F24B2EF"/>
    <w:rsid w:val="7FC179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B6D2FD0-6959-4745-8DDF-A94C92C84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294A"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3864"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3864"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1F3864"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F1B31"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F1B31"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535353"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1F3864"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535353"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17294A"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1F3864"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1F3864" w:themeColor="accent1"/>
    </w:rPr>
  </w:style>
  <w:style w:type="paragraph" w:styleId="Title">
    <w:name w:val="Title"/>
    <w:basedOn w:val="Normal"/>
    <w:next w:val="Normal"/>
    <w:link w:val="TitleChar"/>
    <w:uiPriority w:val="10"/>
    <w:qFormat/>
    <w:rsid w:val="00FC693F"/>
    <w:pPr>
      <w:pBdr>
        <w:bottom w:val="single" w:sz="8" w:space="4" w:color="1F3864" w:themeColor="accent1"/>
      </w:pBdr>
      <w:spacing w:after="300" w:line="240" w:lineRule="auto"/>
      <w:contextualSpacing/>
    </w:pPr>
    <w:rPr>
      <w:rFonts w:asciiTheme="majorHAnsi" w:eastAsiaTheme="majorEastAsia" w:hAnsiTheme="majorHAnsi" w:cstheme="majorBidi"/>
      <w:color w:val="17294A"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294A"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1F3864"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1F386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1A1A1A" w:themeColor="text1"/>
    </w:rPr>
  </w:style>
  <w:style w:type="character" w:customStyle="1" w:styleId="QuoteChar">
    <w:name w:val="Quote Char"/>
    <w:basedOn w:val="DefaultParagraphFont"/>
    <w:link w:val="Quote"/>
    <w:uiPriority w:val="29"/>
    <w:rsid w:val="00FC693F"/>
    <w:rPr>
      <w:i/>
      <w:iCs/>
      <w:color w:val="1A1A1A"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1F3864"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F1B31"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F1B31"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535353"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1F3864"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535353"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1F386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1F3864" w:themeColor="accent1"/>
      </w:pBdr>
      <w:spacing w:before="200" w:after="280"/>
      <w:ind w:left="936" w:right="936"/>
    </w:pPr>
    <w:rPr>
      <w:b/>
      <w:bCs/>
      <w:i/>
      <w:iCs/>
      <w:color w:val="1F3864" w:themeColor="accent1"/>
    </w:rPr>
  </w:style>
  <w:style w:type="character" w:customStyle="1" w:styleId="IntenseQuoteChar">
    <w:name w:val="Intense Quote Char"/>
    <w:basedOn w:val="DefaultParagraphFont"/>
    <w:link w:val="IntenseQuote"/>
    <w:uiPriority w:val="30"/>
    <w:rsid w:val="00FC693F"/>
    <w:rPr>
      <w:b/>
      <w:bCs/>
      <w:i/>
      <w:iCs/>
      <w:color w:val="1F3864" w:themeColor="accent1"/>
    </w:rPr>
  </w:style>
  <w:style w:type="character" w:styleId="SubtleEmphasis">
    <w:name w:val="Subtle Emphasis"/>
    <w:basedOn w:val="DefaultParagraphFont"/>
    <w:uiPriority w:val="19"/>
    <w:qFormat/>
    <w:rsid w:val="00FC693F"/>
    <w:rPr>
      <w:i/>
      <w:iCs/>
      <w:color w:val="8C8C8C" w:themeColor="text1" w:themeTint="7F"/>
    </w:rPr>
  </w:style>
  <w:style w:type="character" w:styleId="IntenseEmphasis">
    <w:name w:val="Intense Emphasis"/>
    <w:basedOn w:val="DefaultParagraphFont"/>
    <w:uiPriority w:val="21"/>
    <w:qFormat/>
    <w:rsid w:val="00FC693F"/>
    <w:rPr>
      <w:b/>
      <w:bCs/>
      <w:i/>
      <w:iCs/>
      <w:color w:val="1F3864" w:themeColor="accent1"/>
    </w:rPr>
  </w:style>
  <w:style w:type="character" w:styleId="SubtleReference">
    <w:name w:val="Subtle Reference"/>
    <w:basedOn w:val="DefaultParagraphFont"/>
    <w:uiPriority w:val="31"/>
    <w:qFormat/>
    <w:rsid w:val="00FC693F"/>
    <w:rPr>
      <w:smallCaps/>
      <w:color w:val="595959" w:themeColor="accent2"/>
      <w:u w:val="single"/>
    </w:rPr>
  </w:style>
  <w:style w:type="character" w:styleId="IntenseReference">
    <w:name w:val="Intense Reference"/>
    <w:basedOn w:val="DefaultParagraphFont"/>
    <w:uiPriority w:val="32"/>
    <w:qFormat/>
    <w:rsid w:val="00FC693F"/>
    <w:rPr>
      <w:b/>
      <w:bCs/>
      <w:smallCaps/>
      <w:color w:val="595959"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131313" w:themeColor="text1" w:themeShade="BF"/>
    </w:rPr>
    <w:tblPr>
      <w:tblStyleRowBandSize w:val="1"/>
      <w:tblStyleColBandSize w:val="1"/>
      <w:tblBorders>
        <w:top w:val="single" w:sz="8" w:space="0" w:color="1A1A1A" w:themeColor="text1"/>
        <w:bottom w:val="single" w:sz="8" w:space="0" w:color="1A1A1A" w:themeColor="text1"/>
      </w:tblBorders>
    </w:tblPr>
    <w:tblStylePr w:type="firstRow">
      <w:pPr>
        <w:spacing w:before="0" w:after="0" w:line="240" w:lineRule="auto"/>
      </w:pPr>
      <w:rPr>
        <w:b/>
        <w:bCs/>
      </w:rPr>
      <w:tblPr/>
      <w:tcPr>
        <w:tcBorders>
          <w:top w:val="single" w:sz="8" w:space="0" w:color="1A1A1A" w:themeColor="text1"/>
          <w:left w:val="nil"/>
          <w:bottom w:val="single" w:sz="8" w:space="0" w:color="1A1A1A" w:themeColor="text1"/>
          <w:right w:val="nil"/>
          <w:insideH w:val="nil"/>
          <w:insideV w:val="nil"/>
        </w:tcBorders>
      </w:tcPr>
    </w:tblStylePr>
    <w:tblStylePr w:type="lastRow">
      <w:pPr>
        <w:spacing w:before="0" w:after="0" w:line="240" w:lineRule="auto"/>
      </w:pPr>
      <w:rPr>
        <w:b/>
        <w:bCs/>
      </w:rPr>
      <w:tblPr/>
      <w:tcPr>
        <w:tcBorders>
          <w:top w:val="single" w:sz="8" w:space="0" w:color="1A1A1A" w:themeColor="text1"/>
          <w:left w:val="nil"/>
          <w:bottom w:val="single" w:sz="8" w:space="0" w:color="1A1A1A"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C6C6" w:themeFill="text1" w:themeFillTint="3F"/>
      </w:tcPr>
    </w:tblStylePr>
    <w:tblStylePr w:type="band1Horz">
      <w:tblPr/>
      <w:tcPr>
        <w:tcBorders>
          <w:left w:val="nil"/>
          <w:right w:val="nil"/>
          <w:insideH w:val="nil"/>
          <w:insideV w:val="nil"/>
        </w:tcBorders>
        <w:shd w:val="clear" w:color="auto" w:fill="C6C6C6" w:themeFill="text1" w:themeFillTint="3F"/>
      </w:tcPr>
    </w:tblStylePr>
  </w:style>
  <w:style w:type="table" w:styleId="LightShading-Accent1">
    <w:name w:val="Light Shading Accent 1"/>
    <w:basedOn w:val="TableNormal"/>
    <w:uiPriority w:val="60"/>
    <w:rsid w:val="00FC693F"/>
    <w:pPr>
      <w:spacing w:after="0" w:line="240" w:lineRule="auto"/>
    </w:pPr>
    <w:rPr>
      <w:color w:val="17294A" w:themeColor="accent1" w:themeShade="BF"/>
    </w:rPr>
    <w:tblPr>
      <w:tblStyleRowBandSize w:val="1"/>
      <w:tblStyleColBandSize w:val="1"/>
      <w:tblBorders>
        <w:top w:val="single" w:sz="8" w:space="0" w:color="1F3864" w:themeColor="accent1"/>
        <w:bottom w:val="single" w:sz="8" w:space="0" w:color="1F3864" w:themeColor="accent1"/>
      </w:tblBorders>
    </w:tblPr>
    <w:tblStylePr w:type="firstRow">
      <w:pPr>
        <w:spacing w:before="0" w:after="0" w:line="240" w:lineRule="auto"/>
      </w:pPr>
      <w:rPr>
        <w:b/>
        <w:bCs/>
      </w:rPr>
      <w:tblPr/>
      <w:tcPr>
        <w:tcBorders>
          <w:top w:val="single" w:sz="8" w:space="0" w:color="1F3864" w:themeColor="accent1"/>
          <w:left w:val="nil"/>
          <w:bottom w:val="single" w:sz="8" w:space="0" w:color="1F3864" w:themeColor="accent1"/>
          <w:right w:val="nil"/>
          <w:insideH w:val="nil"/>
          <w:insideV w:val="nil"/>
        </w:tcBorders>
      </w:tcPr>
    </w:tblStylePr>
    <w:tblStylePr w:type="lastRow">
      <w:pPr>
        <w:spacing w:before="0" w:after="0" w:line="240" w:lineRule="auto"/>
      </w:pPr>
      <w:rPr>
        <w:b/>
        <w:bCs/>
      </w:rPr>
      <w:tblPr/>
      <w:tcPr>
        <w:tcBorders>
          <w:top w:val="single" w:sz="8" w:space="0" w:color="1F3864" w:themeColor="accent1"/>
          <w:left w:val="nil"/>
          <w:bottom w:val="single" w:sz="8" w:space="0" w:color="1F386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C9E8" w:themeFill="accent1" w:themeFillTint="3F"/>
      </w:tcPr>
    </w:tblStylePr>
    <w:tblStylePr w:type="band1Horz">
      <w:tblPr/>
      <w:tcPr>
        <w:tcBorders>
          <w:left w:val="nil"/>
          <w:right w:val="nil"/>
          <w:insideH w:val="nil"/>
          <w:insideV w:val="nil"/>
        </w:tcBorders>
        <w:shd w:val="clear" w:color="auto" w:fill="B7C9E8" w:themeFill="accent1" w:themeFillTint="3F"/>
      </w:tcPr>
    </w:tblStylePr>
  </w:style>
  <w:style w:type="table" w:styleId="LightShading-Accent2">
    <w:name w:val="Light Shading Accent 2"/>
    <w:basedOn w:val="TableNormal"/>
    <w:uiPriority w:val="60"/>
    <w:rsid w:val="00FC693F"/>
    <w:pPr>
      <w:spacing w:after="0" w:line="240" w:lineRule="auto"/>
    </w:pPr>
    <w:rPr>
      <w:color w:val="424242" w:themeColor="accent2" w:themeShade="BF"/>
    </w:rPr>
    <w:tblPr>
      <w:tblStyleRowBandSize w:val="1"/>
      <w:tblStyleColBandSize w:val="1"/>
      <w:tblBorders>
        <w:top w:val="single" w:sz="8" w:space="0" w:color="595959" w:themeColor="accent2"/>
        <w:bottom w:val="single" w:sz="8" w:space="0" w:color="595959" w:themeColor="accent2"/>
      </w:tblBorders>
    </w:tblPr>
    <w:tblStylePr w:type="firstRow">
      <w:pPr>
        <w:spacing w:before="0" w:after="0" w:line="240" w:lineRule="auto"/>
      </w:pPr>
      <w:rPr>
        <w:b/>
        <w:bCs/>
      </w:rPr>
      <w:tblPr/>
      <w:tcPr>
        <w:tcBorders>
          <w:top w:val="single" w:sz="8" w:space="0" w:color="595959" w:themeColor="accent2"/>
          <w:left w:val="nil"/>
          <w:bottom w:val="single" w:sz="8" w:space="0" w:color="595959" w:themeColor="accent2"/>
          <w:right w:val="nil"/>
          <w:insideH w:val="nil"/>
          <w:insideV w:val="nil"/>
        </w:tcBorders>
      </w:tcPr>
    </w:tblStylePr>
    <w:tblStylePr w:type="lastRow">
      <w:pPr>
        <w:spacing w:before="0" w:after="0" w:line="240" w:lineRule="auto"/>
      </w:pPr>
      <w:rPr>
        <w:b/>
        <w:bCs/>
      </w:rPr>
      <w:tblPr/>
      <w:tcPr>
        <w:tcBorders>
          <w:top w:val="single" w:sz="8" w:space="0" w:color="595959" w:themeColor="accent2"/>
          <w:left w:val="nil"/>
          <w:bottom w:val="single" w:sz="8" w:space="0" w:color="59595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2" w:themeFillTint="3F"/>
      </w:tcPr>
    </w:tblStylePr>
    <w:tblStylePr w:type="band1Horz">
      <w:tblPr/>
      <w:tcPr>
        <w:tcBorders>
          <w:left w:val="nil"/>
          <w:right w:val="nil"/>
          <w:insideH w:val="nil"/>
          <w:insideV w:val="nil"/>
        </w:tcBorders>
        <w:shd w:val="clear" w:color="auto" w:fill="D5D5D5" w:themeFill="accent2" w:themeFillTint="3F"/>
      </w:tcPr>
    </w:tblStylePr>
  </w:style>
  <w:style w:type="table" w:styleId="LightShading-Accent3">
    <w:name w:val="Light Shading Accent 3"/>
    <w:basedOn w:val="TableNormal"/>
    <w:uiPriority w:val="60"/>
    <w:rsid w:val="00FC693F"/>
    <w:pPr>
      <w:spacing w:after="0" w:line="240" w:lineRule="auto"/>
    </w:pPr>
    <w:rPr>
      <w:color w:val="17294A" w:themeColor="accent3" w:themeShade="BF"/>
    </w:rPr>
    <w:tblPr>
      <w:tblStyleRowBandSize w:val="1"/>
      <w:tblStyleColBandSize w:val="1"/>
      <w:tblBorders>
        <w:top w:val="single" w:sz="8" w:space="0" w:color="1F3864" w:themeColor="accent3"/>
        <w:bottom w:val="single" w:sz="8" w:space="0" w:color="1F3864" w:themeColor="accent3"/>
      </w:tblBorders>
    </w:tblPr>
    <w:tblStylePr w:type="firstRow">
      <w:pPr>
        <w:spacing w:before="0" w:after="0" w:line="240" w:lineRule="auto"/>
      </w:pPr>
      <w:rPr>
        <w:b/>
        <w:bCs/>
      </w:rPr>
      <w:tblPr/>
      <w:tcPr>
        <w:tcBorders>
          <w:top w:val="single" w:sz="8" w:space="0" w:color="1F3864" w:themeColor="accent3"/>
          <w:left w:val="nil"/>
          <w:bottom w:val="single" w:sz="8" w:space="0" w:color="1F3864" w:themeColor="accent3"/>
          <w:right w:val="nil"/>
          <w:insideH w:val="nil"/>
          <w:insideV w:val="nil"/>
        </w:tcBorders>
      </w:tcPr>
    </w:tblStylePr>
    <w:tblStylePr w:type="lastRow">
      <w:pPr>
        <w:spacing w:before="0" w:after="0" w:line="240" w:lineRule="auto"/>
      </w:pPr>
      <w:rPr>
        <w:b/>
        <w:bCs/>
      </w:rPr>
      <w:tblPr/>
      <w:tcPr>
        <w:tcBorders>
          <w:top w:val="single" w:sz="8" w:space="0" w:color="1F3864" w:themeColor="accent3"/>
          <w:left w:val="nil"/>
          <w:bottom w:val="single" w:sz="8" w:space="0" w:color="1F386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C9E8" w:themeFill="accent3" w:themeFillTint="3F"/>
      </w:tcPr>
    </w:tblStylePr>
    <w:tblStylePr w:type="band1Horz">
      <w:tblPr/>
      <w:tcPr>
        <w:tcBorders>
          <w:left w:val="nil"/>
          <w:right w:val="nil"/>
          <w:insideH w:val="nil"/>
          <w:insideV w:val="nil"/>
        </w:tcBorders>
        <w:shd w:val="clear" w:color="auto" w:fill="B7C9E8" w:themeFill="accent3" w:themeFillTint="3F"/>
      </w:tcPr>
    </w:tblStylePr>
  </w:style>
  <w:style w:type="table" w:styleId="LightShading-Accent4">
    <w:name w:val="Light Shading Accent 4"/>
    <w:basedOn w:val="TableNormal"/>
    <w:uiPriority w:val="60"/>
    <w:rsid w:val="00FC693F"/>
    <w:pPr>
      <w:spacing w:after="0" w:line="240" w:lineRule="auto"/>
    </w:pPr>
    <w:rPr>
      <w:color w:val="17294A" w:themeColor="accent4" w:themeShade="BF"/>
    </w:rPr>
    <w:tblPr>
      <w:tblStyleRowBandSize w:val="1"/>
      <w:tblStyleColBandSize w:val="1"/>
      <w:tblBorders>
        <w:top w:val="single" w:sz="8" w:space="0" w:color="1F3864" w:themeColor="accent4"/>
        <w:bottom w:val="single" w:sz="8" w:space="0" w:color="1F3864" w:themeColor="accent4"/>
      </w:tblBorders>
    </w:tblPr>
    <w:tblStylePr w:type="firstRow">
      <w:pPr>
        <w:spacing w:before="0" w:after="0" w:line="240" w:lineRule="auto"/>
      </w:pPr>
      <w:rPr>
        <w:b/>
        <w:bCs/>
      </w:rPr>
      <w:tblPr/>
      <w:tcPr>
        <w:tcBorders>
          <w:top w:val="single" w:sz="8" w:space="0" w:color="1F3864" w:themeColor="accent4"/>
          <w:left w:val="nil"/>
          <w:bottom w:val="single" w:sz="8" w:space="0" w:color="1F3864" w:themeColor="accent4"/>
          <w:right w:val="nil"/>
          <w:insideH w:val="nil"/>
          <w:insideV w:val="nil"/>
        </w:tcBorders>
      </w:tcPr>
    </w:tblStylePr>
    <w:tblStylePr w:type="lastRow">
      <w:pPr>
        <w:spacing w:before="0" w:after="0" w:line="240" w:lineRule="auto"/>
      </w:pPr>
      <w:rPr>
        <w:b/>
        <w:bCs/>
      </w:rPr>
      <w:tblPr/>
      <w:tcPr>
        <w:tcBorders>
          <w:top w:val="single" w:sz="8" w:space="0" w:color="1F3864" w:themeColor="accent4"/>
          <w:left w:val="nil"/>
          <w:bottom w:val="single" w:sz="8" w:space="0" w:color="1F386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C9E8" w:themeFill="accent4" w:themeFillTint="3F"/>
      </w:tcPr>
    </w:tblStylePr>
    <w:tblStylePr w:type="band1Horz">
      <w:tblPr/>
      <w:tcPr>
        <w:tcBorders>
          <w:left w:val="nil"/>
          <w:right w:val="nil"/>
          <w:insideH w:val="nil"/>
          <w:insideV w:val="nil"/>
        </w:tcBorders>
        <w:shd w:val="clear" w:color="auto" w:fill="B7C9E8" w:themeFill="accent4" w:themeFillTint="3F"/>
      </w:tcPr>
    </w:tblStylePr>
  </w:style>
  <w:style w:type="table" w:styleId="LightShading-Accent5">
    <w:name w:val="Light Shading Accent 5"/>
    <w:basedOn w:val="TableNormal"/>
    <w:uiPriority w:val="60"/>
    <w:rsid w:val="00FC693F"/>
    <w:pPr>
      <w:spacing w:after="0" w:line="240" w:lineRule="auto"/>
    </w:pPr>
    <w:rPr>
      <w:color w:val="17294A" w:themeColor="accent5" w:themeShade="BF"/>
    </w:rPr>
    <w:tblPr>
      <w:tblStyleRowBandSize w:val="1"/>
      <w:tblStyleColBandSize w:val="1"/>
      <w:tblBorders>
        <w:top w:val="single" w:sz="8" w:space="0" w:color="1F3864" w:themeColor="accent5"/>
        <w:bottom w:val="single" w:sz="8" w:space="0" w:color="1F3864" w:themeColor="accent5"/>
      </w:tblBorders>
    </w:tblPr>
    <w:tblStylePr w:type="firstRow">
      <w:pPr>
        <w:spacing w:before="0" w:after="0" w:line="240" w:lineRule="auto"/>
      </w:pPr>
      <w:rPr>
        <w:b/>
        <w:bCs/>
      </w:rPr>
      <w:tblPr/>
      <w:tcPr>
        <w:tcBorders>
          <w:top w:val="single" w:sz="8" w:space="0" w:color="1F3864" w:themeColor="accent5"/>
          <w:left w:val="nil"/>
          <w:bottom w:val="single" w:sz="8" w:space="0" w:color="1F3864" w:themeColor="accent5"/>
          <w:right w:val="nil"/>
          <w:insideH w:val="nil"/>
          <w:insideV w:val="nil"/>
        </w:tcBorders>
      </w:tcPr>
    </w:tblStylePr>
    <w:tblStylePr w:type="lastRow">
      <w:pPr>
        <w:spacing w:before="0" w:after="0" w:line="240" w:lineRule="auto"/>
      </w:pPr>
      <w:rPr>
        <w:b/>
        <w:bCs/>
      </w:rPr>
      <w:tblPr/>
      <w:tcPr>
        <w:tcBorders>
          <w:top w:val="single" w:sz="8" w:space="0" w:color="1F3864" w:themeColor="accent5"/>
          <w:left w:val="nil"/>
          <w:bottom w:val="single" w:sz="8" w:space="0" w:color="1F38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C9E8" w:themeFill="accent5" w:themeFillTint="3F"/>
      </w:tcPr>
    </w:tblStylePr>
    <w:tblStylePr w:type="band1Horz">
      <w:tblPr/>
      <w:tcPr>
        <w:tcBorders>
          <w:left w:val="nil"/>
          <w:right w:val="nil"/>
          <w:insideH w:val="nil"/>
          <w:insideV w:val="nil"/>
        </w:tcBorders>
        <w:shd w:val="clear" w:color="auto" w:fill="B7C9E8" w:themeFill="accent5" w:themeFillTint="3F"/>
      </w:tcPr>
    </w:tblStylePr>
  </w:style>
  <w:style w:type="table" w:styleId="LightShading-Accent6">
    <w:name w:val="Light Shading Accent 6"/>
    <w:basedOn w:val="TableNormal"/>
    <w:uiPriority w:val="60"/>
    <w:rsid w:val="00FC693F"/>
    <w:pPr>
      <w:spacing w:after="0" w:line="240" w:lineRule="auto"/>
    </w:pPr>
    <w:rPr>
      <w:color w:val="17294A" w:themeColor="accent6" w:themeShade="BF"/>
    </w:rPr>
    <w:tblPr>
      <w:tblStyleRowBandSize w:val="1"/>
      <w:tblStyleColBandSize w:val="1"/>
      <w:tblBorders>
        <w:top w:val="single" w:sz="8" w:space="0" w:color="1F3864" w:themeColor="accent6"/>
        <w:bottom w:val="single" w:sz="8" w:space="0" w:color="1F3864" w:themeColor="accent6"/>
      </w:tblBorders>
    </w:tblPr>
    <w:tblStylePr w:type="firstRow">
      <w:pPr>
        <w:spacing w:before="0" w:after="0" w:line="240" w:lineRule="auto"/>
      </w:pPr>
      <w:rPr>
        <w:b/>
        <w:bCs/>
      </w:rPr>
      <w:tblPr/>
      <w:tcPr>
        <w:tcBorders>
          <w:top w:val="single" w:sz="8" w:space="0" w:color="1F3864" w:themeColor="accent6"/>
          <w:left w:val="nil"/>
          <w:bottom w:val="single" w:sz="8" w:space="0" w:color="1F3864" w:themeColor="accent6"/>
          <w:right w:val="nil"/>
          <w:insideH w:val="nil"/>
          <w:insideV w:val="nil"/>
        </w:tcBorders>
      </w:tcPr>
    </w:tblStylePr>
    <w:tblStylePr w:type="lastRow">
      <w:pPr>
        <w:spacing w:before="0" w:after="0" w:line="240" w:lineRule="auto"/>
      </w:pPr>
      <w:rPr>
        <w:b/>
        <w:bCs/>
      </w:rPr>
      <w:tblPr/>
      <w:tcPr>
        <w:tcBorders>
          <w:top w:val="single" w:sz="8" w:space="0" w:color="1F3864" w:themeColor="accent6"/>
          <w:left w:val="nil"/>
          <w:bottom w:val="single" w:sz="8" w:space="0" w:color="1F386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C9E8" w:themeFill="accent6" w:themeFillTint="3F"/>
      </w:tcPr>
    </w:tblStylePr>
    <w:tblStylePr w:type="band1Horz">
      <w:tblPr/>
      <w:tcPr>
        <w:tcBorders>
          <w:left w:val="nil"/>
          <w:right w:val="nil"/>
          <w:insideH w:val="nil"/>
          <w:insideV w:val="nil"/>
        </w:tcBorders>
        <w:shd w:val="clear" w:color="auto" w:fill="B7C9E8"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1A1A1A" w:themeColor="text1"/>
        <w:left w:val="single" w:sz="8" w:space="0" w:color="1A1A1A" w:themeColor="text1"/>
        <w:bottom w:val="single" w:sz="8" w:space="0" w:color="1A1A1A" w:themeColor="text1"/>
        <w:right w:val="single" w:sz="8" w:space="0" w:color="1A1A1A" w:themeColor="text1"/>
      </w:tblBorders>
    </w:tblPr>
    <w:tblStylePr w:type="firstRow">
      <w:pPr>
        <w:spacing w:before="0" w:after="0" w:line="240" w:lineRule="auto"/>
      </w:pPr>
      <w:rPr>
        <w:b/>
        <w:bCs/>
        <w:color w:val="FFFFFF" w:themeColor="background1"/>
      </w:rPr>
      <w:tblPr/>
      <w:tcPr>
        <w:shd w:val="clear" w:color="auto" w:fill="1A1A1A" w:themeFill="text1"/>
      </w:tcPr>
    </w:tblStylePr>
    <w:tblStylePr w:type="lastRow">
      <w:pPr>
        <w:spacing w:before="0" w:after="0" w:line="240" w:lineRule="auto"/>
      </w:pPr>
      <w:rPr>
        <w:b/>
        <w:bCs/>
      </w:rPr>
      <w:tblPr/>
      <w:tcPr>
        <w:tcBorders>
          <w:top w:val="double" w:sz="6" w:space="0" w:color="1A1A1A" w:themeColor="text1"/>
          <w:left w:val="single" w:sz="8" w:space="0" w:color="1A1A1A" w:themeColor="text1"/>
          <w:bottom w:val="single" w:sz="8" w:space="0" w:color="1A1A1A" w:themeColor="text1"/>
          <w:right w:val="single" w:sz="8" w:space="0" w:color="1A1A1A" w:themeColor="text1"/>
        </w:tcBorders>
      </w:tcPr>
    </w:tblStylePr>
    <w:tblStylePr w:type="firstCol">
      <w:rPr>
        <w:b/>
        <w:bCs/>
      </w:rPr>
    </w:tblStylePr>
    <w:tblStylePr w:type="lastCol">
      <w:rPr>
        <w:b/>
        <w:bCs/>
      </w:rPr>
    </w:tblStylePr>
    <w:tblStylePr w:type="band1Vert">
      <w:tblPr/>
      <w:tcPr>
        <w:tcBorders>
          <w:top w:val="single" w:sz="8" w:space="0" w:color="1A1A1A" w:themeColor="text1"/>
          <w:left w:val="single" w:sz="8" w:space="0" w:color="1A1A1A" w:themeColor="text1"/>
          <w:bottom w:val="single" w:sz="8" w:space="0" w:color="1A1A1A" w:themeColor="text1"/>
          <w:right w:val="single" w:sz="8" w:space="0" w:color="1A1A1A" w:themeColor="text1"/>
        </w:tcBorders>
      </w:tcPr>
    </w:tblStylePr>
    <w:tblStylePr w:type="band1Horz">
      <w:tblPr/>
      <w:tcPr>
        <w:tcBorders>
          <w:top w:val="single" w:sz="8" w:space="0" w:color="1A1A1A" w:themeColor="text1"/>
          <w:left w:val="single" w:sz="8" w:space="0" w:color="1A1A1A" w:themeColor="text1"/>
          <w:bottom w:val="single" w:sz="8" w:space="0" w:color="1A1A1A" w:themeColor="text1"/>
          <w:right w:val="single" w:sz="8" w:space="0" w:color="1A1A1A"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F3864" w:themeColor="accent1"/>
        <w:left w:val="single" w:sz="8" w:space="0" w:color="1F3864" w:themeColor="accent1"/>
        <w:bottom w:val="single" w:sz="8" w:space="0" w:color="1F3864" w:themeColor="accent1"/>
        <w:right w:val="single" w:sz="8" w:space="0" w:color="1F3864" w:themeColor="accent1"/>
      </w:tblBorders>
    </w:tblPr>
    <w:tblStylePr w:type="firstRow">
      <w:pPr>
        <w:spacing w:before="0" w:after="0" w:line="240" w:lineRule="auto"/>
      </w:pPr>
      <w:rPr>
        <w:b/>
        <w:bCs/>
        <w:color w:val="FFFFFF" w:themeColor="background1"/>
      </w:rPr>
      <w:tblPr/>
      <w:tcPr>
        <w:shd w:val="clear" w:color="auto" w:fill="1F3864" w:themeFill="accent1"/>
      </w:tcPr>
    </w:tblStylePr>
    <w:tblStylePr w:type="lastRow">
      <w:pPr>
        <w:spacing w:before="0" w:after="0" w:line="240" w:lineRule="auto"/>
      </w:pPr>
      <w:rPr>
        <w:b/>
        <w:bCs/>
      </w:rPr>
      <w:tblPr/>
      <w:tcPr>
        <w:tcBorders>
          <w:top w:val="double" w:sz="6" w:space="0" w:color="1F3864" w:themeColor="accent1"/>
          <w:left w:val="single" w:sz="8" w:space="0" w:color="1F3864" w:themeColor="accent1"/>
          <w:bottom w:val="single" w:sz="8" w:space="0" w:color="1F3864" w:themeColor="accent1"/>
          <w:right w:val="single" w:sz="8" w:space="0" w:color="1F3864" w:themeColor="accent1"/>
        </w:tcBorders>
      </w:tcPr>
    </w:tblStylePr>
    <w:tblStylePr w:type="firstCol">
      <w:rPr>
        <w:b/>
        <w:bCs/>
      </w:rPr>
    </w:tblStylePr>
    <w:tblStylePr w:type="lastCol">
      <w:rPr>
        <w:b/>
        <w:bCs/>
      </w:rPr>
    </w:tblStylePr>
    <w:tblStylePr w:type="band1Vert">
      <w:tblPr/>
      <w:tcPr>
        <w:tcBorders>
          <w:top w:val="single" w:sz="8" w:space="0" w:color="1F3864" w:themeColor="accent1"/>
          <w:left w:val="single" w:sz="8" w:space="0" w:color="1F3864" w:themeColor="accent1"/>
          <w:bottom w:val="single" w:sz="8" w:space="0" w:color="1F3864" w:themeColor="accent1"/>
          <w:right w:val="single" w:sz="8" w:space="0" w:color="1F3864" w:themeColor="accent1"/>
        </w:tcBorders>
      </w:tcPr>
    </w:tblStylePr>
    <w:tblStylePr w:type="band1Horz">
      <w:tblPr/>
      <w:tcPr>
        <w:tcBorders>
          <w:top w:val="single" w:sz="8" w:space="0" w:color="1F3864" w:themeColor="accent1"/>
          <w:left w:val="single" w:sz="8" w:space="0" w:color="1F3864" w:themeColor="accent1"/>
          <w:bottom w:val="single" w:sz="8" w:space="0" w:color="1F3864" w:themeColor="accent1"/>
          <w:right w:val="single" w:sz="8" w:space="0" w:color="1F386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595959" w:themeColor="accent2"/>
        <w:left w:val="single" w:sz="8" w:space="0" w:color="595959" w:themeColor="accent2"/>
        <w:bottom w:val="single" w:sz="8" w:space="0" w:color="595959" w:themeColor="accent2"/>
        <w:right w:val="single" w:sz="8" w:space="0" w:color="595959" w:themeColor="accent2"/>
      </w:tblBorders>
    </w:tblPr>
    <w:tblStylePr w:type="firstRow">
      <w:pPr>
        <w:spacing w:before="0" w:after="0" w:line="240" w:lineRule="auto"/>
      </w:pPr>
      <w:rPr>
        <w:b/>
        <w:bCs/>
        <w:color w:val="FFFFFF" w:themeColor="background1"/>
      </w:rPr>
      <w:tblPr/>
      <w:tcPr>
        <w:shd w:val="clear" w:color="auto" w:fill="595959" w:themeFill="accent2"/>
      </w:tcPr>
    </w:tblStylePr>
    <w:tblStylePr w:type="lastRow">
      <w:pPr>
        <w:spacing w:before="0" w:after="0" w:line="240" w:lineRule="auto"/>
      </w:pPr>
      <w:rPr>
        <w:b/>
        <w:bCs/>
      </w:rPr>
      <w:tblPr/>
      <w:tcPr>
        <w:tcBorders>
          <w:top w:val="double" w:sz="6" w:space="0" w:color="595959" w:themeColor="accent2"/>
          <w:left w:val="single" w:sz="8" w:space="0" w:color="595959" w:themeColor="accent2"/>
          <w:bottom w:val="single" w:sz="8" w:space="0" w:color="595959" w:themeColor="accent2"/>
          <w:right w:val="single" w:sz="8" w:space="0" w:color="595959" w:themeColor="accent2"/>
        </w:tcBorders>
      </w:tcPr>
    </w:tblStylePr>
    <w:tblStylePr w:type="firstCol">
      <w:rPr>
        <w:b/>
        <w:bCs/>
      </w:rPr>
    </w:tblStylePr>
    <w:tblStylePr w:type="lastCol">
      <w:rPr>
        <w:b/>
        <w:bCs/>
      </w:rPr>
    </w:tblStylePr>
    <w:tblStylePr w:type="band1Vert">
      <w:tblPr/>
      <w:tcPr>
        <w:tcBorders>
          <w:top w:val="single" w:sz="8" w:space="0" w:color="595959" w:themeColor="accent2"/>
          <w:left w:val="single" w:sz="8" w:space="0" w:color="595959" w:themeColor="accent2"/>
          <w:bottom w:val="single" w:sz="8" w:space="0" w:color="595959" w:themeColor="accent2"/>
          <w:right w:val="single" w:sz="8" w:space="0" w:color="595959" w:themeColor="accent2"/>
        </w:tcBorders>
      </w:tcPr>
    </w:tblStylePr>
    <w:tblStylePr w:type="band1Horz">
      <w:tblPr/>
      <w:tcPr>
        <w:tcBorders>
          <w:top w:val="single" w:sz="8" w:space="0" w:color="595959" w:themeColor="accent2"/>
          <w:left w:val="single" w:sz="8" w:space="0" w:color="595959" w:themeColor="accent2"/>
          <w:bottom w:val="single" w:sz="8" w:space="0" w:color="595959" w:themeColor="accent2"/>
          <w:right w:val="single" w:sz="8" w:space="0" w:color="595959"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F3864" w:themeColor="accent3"/>
        <w:left w:val="single" w:sz="8" w:space="0" w:color="1F3864" w:themeColor="accent3"/>
        <w:bottom w:val="single" w:sz="8" w:space="0" w:color="1F3864" w:themeColor="accent3"/>
        <w:right w:val="single" w:sz="8" w:space="0" w:color="1F3864" w:themeColor="accent3"/>
      </w:tblBorders>
    </w:tblPr>
    <w:tblStylePr w:type="firstRow">
      <w:pPr>
        <w:spacing w:before="0" w:after="0" w:line="240" w:lineRule="auto"/>
      </w:pPr>
      <w:rPr>
        <w:b/>
        <w:bCs/>
        <w:color w:val="FFFFFF" w:themeColor="background1"/>
      </w:rPr>
      <w:tblPr/>
      <w:tcPr>
        <w:shd w:val="clear" w:color="auto" w:fill="1F3864" w:themeFill="accent3"/>
      </w:tcPr>
    </w:tblStylePr>
    <w:tblStylePr w:type="lastRow">
      <w:pPr>
        <w:spacing w:before="0" w:after="0" w:line="240" w:lineRule="auto"/>
      </w:pPr>
      <w:rPr>
        <w:b/>
        <w:bCs/>
      </w:rPr>
      <w:tblPr/>
      <w:tcPr>
        <w:tcBorders>
          <w:top w:val="double" w:sz="6" w:space="0" w:color="1F3864" w:themeColor="accent3"/>
          <w:left w:val="single" w:sz="8" w:space="0" w:color="1F3864" w:themeColor="accent3"/>
          <w:bottom w:val="single" w:sz="8" w:space="0" w:color="1F3864" w:themeColor="accent3"/>
          <w:right w:val="single" w:sz="8" w:space="0" w:color="1F3864" w:themeColor="accent3"/>
        </w:tcBorders>
      </w:tcPr>
    </w:tblStylePr>
    <w:tblStylePr w:type="firstCol">
      <w:rPr>
        <w:b/>
        <w:bCs/>
      </w:rPr>
    </w:tblStylePr>
    <w:tblStylePr w:type="lastCol">
      <w:rPr>
        <w:b/>
        <w:bCs/>
      </w:rPr>
    </w:tblStylePr>
    <w:tblStylePr w:type="band1Vert">
      <w:tblPr/>
      <w:tcPr>
        <w:tcBorders>
          <w:top w:val="single" w:sz="8" w:space="0" w:color="1F3864" w:themeColor="accent3"/>
          <w:left w:val="single" w:sz="8" w:space="0" w:color="1F3864" w:themeColor="accent3"/>
          <w:bottom w:val="single" w:sz="8" w:space="0" w:color="1F3864" w:themeColor="accent3"/>
          <w:right w:val="single" w:sz="8" w:space="0" w:color="1F3864" w:themeColor="accent3"/>
        </w:tcBorders>
      </w:tcPr>
    </w:tblStylePr>
    <w:tblStylePr w:type="band1Horz">
      <w:tblPr/>
      <w:tcPr>
        <w:tcBorders>
          <w:top w:val="single" w:sz="8" w:space="0" w:color="1F3864" w:themeColor="accent3"/>
          <w:left w:val="single" w:sz="8" w:space="0" w:color="1F3864" w:themeColor="accent3"/>
          <w:bottom w:val="single" w:sz="8" w:space="0" w:color="1F3864" w:themeColor="accent3"/>
          <w:right w:val="single" w:sz="8" w:space="0" w:color="1F386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1F3864" w:themeColor="accent4"/>
        <w:left w:val="single" w:sz="8" w:space="0" w:color="1F3864" w:themeColor="accent4"/>
        <w:bottom w:val="single" w:sz="8" w:space="0" w:color="1F3864" w:themeColor="accent4"/>
        <w:right w:val="single" w:sz="8" w:space="0" w:color="1F3864" w:themeColor="accent4"/>
      </w:tblBorders>
    </w:tblPr>
    <w:tblStylePr w:type="firstRow">
      <w:pPr>
        <w:spacing w:before="0" w:after="0" w:line="240" w:lineRule="auto"/>
      </w:pPr>
      <w:rPr>
        <w:b/>
        <w:bCs/>
        <w:color w:val="FFFFFF" w:themeColor="background1"/>
      </w:rPr>
      <w:tblPr/>
      <w:tcPr>
        <w:shd w:val="clear" w:color="auto" w:fill="1F3864" w:themeFill="accent4"/>
      </w:tcPr>
    </w:tblStylePr>
    <w:tblStylePr w:type="lastRow">
      <w:pPr>
        <w:spacing w:before="0" w:after="0" w:line="240" w:lineRule="auto"/>
      </w:pPr>
      <w:rPr>
        <w:b/>
        <w:bCs/>
      </w:rPr>
      <w:tblPr/>
      <w:tcPr>
        <w:tcBorders>
          <w:top w:val="double" w:sz="6" w:space="0" w:color="1F3864" w:themeColor="accent4"/>
          <w:left w:val="single" w:sz="8" w:space="0" w:color="1F3864" w:themeColor="accent4"/>
          <w:bottom w:val="single" w:sz="8" w:space="0" w:color="1F3864" w:themeColor="accent4"/>
          <w:right w:val="single" w:sz="8" w:space="0" w:color="1F3864" w:themeColor="accent4"/>
        </w:tcBorders>
      </w:tcPr>
    </w:tblStylePr>
    <w:tblStylePr w:type="firstCol">
      <w:rPr>
        <w:b/>
        <w:bCs/>
      </w:rPr>
    </w:tblStylePr>
    <w:tblStylePr w:type="lastCol">
      <w:rPr>
        <w:b/>
        <w:bCs/>
      </w:rPr>
    </w:tblStylePr>
    <w:tblStylePr w:type="band1Vert">
      <w:tblPr/>
      <w:tcPr>
        <w:tcBorders>
          <w:top w:val="single" w:sz="8" w:space="0" w:color="1F3864" w:themeColor="accent4"/>
          <w:left w:val="single" w:sz="8" w:space="0" w:color="1F3864" w:themeColor="accent4"/>
          <w:bottom w:val="single" w:sz="8" w:space="0" w:color="1F3864" w:themeColor="accent4"/>
          <w:right w:val="single" w:sz="8" w:space="0" w:color="1F3864" w:themeColor="accent4"/>
        </w:tcBorders>
      </w:tcPr>
    </w:tblStylePr>
    <w:tblStylePr w:type="band1Horz">
      <w:tblPr/>
      <w:tcPr>
        <w:tcBorders>
          <w:top w:val="single" w:sz="8" w:space="0" w:color="1F3864" w:themeColor="accent4"/>
          <w:left w:val="single" w:sz="8" w:space="0" w:color="1F3864" w:themeColor="accent4"/>
          <w:bottom w:val="single" w:sz="8" w:space="0" w:color="1F3864" w:themeColor="accent4"/>
          <w:right w:val="single" w:sz="8" w:space="0" w:color="1F3864"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1F3864" w:themeColor="accent5"/>
        <w:left w:val="single" w:sz="8" w:space="0" w:color="1F3864" w:themeColor="accent5"/>
        <w:bottom w:val="single" w:sz="8" w:space="0" w:color="1F3864" w:themeColor="accent5"/>
        <w:right w:val="single" w:sz="8" w:space="0" w:color="1F3864" w:themeColor="accent5"/>
      </w:tblBorders>
    </w:tblPr>
    <w:tblStylePr w:type="firstRow">
      <w:pPr>
        <w:spacing w:before="0" w:after="0" w:line="240" w:lineRule="auto"/>
      </w:pPr>
      <w:rPr>
        <w:b/>
        <w:bCs/>
        <w:color w:val="FFFFFF" w:themeColor="background1"/>
      </w:rPr>
      <w:tblPr/>
      <w:tcPr>
        <w:shd w:val="clear" w:color="auto" w:fill="1F3864" w:themeFill="accent5"/>
      </w:tcPr>
    </w:tblStylePr>
    <w:tblStylePr w:type="lastRow">
      <w:pPr>
        <w:spacing w:before="0" w:after="0" w:line="240" w:lineRule="auto"/>
      </w:pPr>
      <w:rPr>
        <w:b/>
        <w:bCs/>
      </w:rPr>
      <w:tblPr/>
      <w:tcPr>
        <w:tcBorders>
          <w:top w:val="double" w:sz="6" w:space="0" w:color="1F3864" w:themeColor="accent5"/>
          <w:left w:val="single" w:sz="8" w:space="0" w:color="1F3864" w:themeColor="accent5"/>
          <w:bottom w:val="single" w:sz="8" w:space="0" w:color="1F3864" w:themeColor="accent5"/>
          <w:right w:val="single" w:sz="8" w:space="0" w:color="1F3864" w:themeColor="accent5"/>
        </w:tcBorders>
      </w:tcPr>
    </w:tblStylePr>
    <w:tblStylePr w:type="firstCol">
      <w:rPr>
        <w:b/>
        <w:bCs/>
      </w:rPr>
    </w:tblStylePr>
    <w:tblStylePr w:type="lastCol">
      <w:rPr>
        <w:b/>
        <w:bCs/>
      </w:rPr>
    </w:tblStylePr>
    <w:tblStylePr w:type="band1Vert">
      <w:tblPr/>
      <w:tcPr>
        <w:tcBorders>
          <w:top w:val="single" w:sz="8" w:space="0" w:color="1F3864" w:themeColor="accent5"/>
          <w:left w:val="single" w:sz="8" w:space="0" w:color="1F3864" w:themeColor="accent5"/>
          <w:bottom w:val="single" w:sz="8" w:space="0" w:color="1F3864" w:themeColor="accent5"/>
          <w:right w:val="single" w:sz="8" w:space="0" w:color="1F3864" w:themeColor="accent5"/>
        </w:tcBorders>
      </w:tcPr>
    </w:tblStylePr>
    <w:tblStylePr w:type="band1Horz">
      <w:tblPr/>
      <w:tcPr>
        <w:tcBorders>
          <w:top w:val="single" w:sz="8" w:space="0" w:color="1F3864" w:themeColor="accent5"/>
          <w:left w:val="single" w:sz="8" w:space="0" w:color="1F3864" w:themeColor="accent5"/>
          <w:bottom w:val="single" w:sz="8" w:space="0" w:color="1F3864" w:themeColor="accent5"/>
          <w:right w:val="single" w:sz="8" w:space="0" w:color="1F3864"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1F3864" w:themeColor="accent6"/>
        <w:left w:val="single" w:sz="8" w:space="0" w:color="1F3864" w:themeColor="accent6"/>
        <w:bottom w:val="single" w:sz="8" w:space="0" w:color="1F3864" w:themeColor="accent6"/>
        <w:right w:val="single" w:sz="8" w:space="0" w:color="1F3864" w:themeColor="accent6"/>
      </w:tblBorders>
    </w:tblPr>
    <w:tblStylePr w:type="firstRow">
      <w:pPr>
        <w:spacing w:before="0" w:after="0" w:line="240" w:lineRule="auto"/>
      </w:pPr>
      <w:rPr>
        <w:b/>
        <w:bCs/>
        <w:color w:val="FFFFFF" w:themeColor="background1"/>
      </w:rPr>
      <w:tblPr/>
      <w:tcPr>
        <w:shd w:val="clear" w:color="auto" w:fill="1F3864" w:themeFill="accent6"/>
      </w:tcPr>
    </w:tblStylePr>
    <w:tblStylePr w:type="lastRow">
      <w:pPr>
        <w:spacing w:before="0" w:after="0" w:line="240" w:lineRule="auto"/>
      </w:pPr>
      <w:rPr>
        <w:b/>
        <w:bCs/>
      </w:rPr>
      <w:tblPr/>
      <w:tcPr>
        <w:tcBorders>
          <w:top w:val="double" w:sz="6" w:space="0" w:color="1F3864" w:themeColor="accent6"/>
          <w:left w:val="single" w:sz="8" w:space="0" w:color="1F3864" w:themeColor="accent6"/>
          <w:bottom w:val="single" w:sz="8" w:space="0" w:color="1F3864" w:themeColor="accent6"/>
          <w:right w:val="single" w:sz="8" w:space="0" w:color="1F3864" w:themeColor="accent6"/>
        </w:tcBorders>
      </w:tcPr>
    </w:tblStylePr>
    <w:tblStylePr w:type="firstCol">
      <w:rPr>
        <w:b/>
        <w:bCs/>
      </w:rPr>
    </w:tblStylePr>
    <w:tblStylePr w:type="lastCol">
      <w:rPr>
        <w:b/>
        <w:bCs/>
      </w:rPr>
    </w:tblStylePr>
    <w:tblStylePr w:type="band1Vert">
      <w:tblPr/>
      <w:tcPr>
        <w:tcBorders>
          <w:top w:val="single" w:sz="8" w:space="0" w:color="1F3864" w:themeColor="accent6"/>
          <w:left w:val="single" w:sz="8" w:space="0" w:color="1F3864" w:themeColor="accent6"/>
          <w:bottom w:val="single" w:sz="8" w:space="0" w:color="1F3864" w:themeColor="accent6"/>
          <w:right w:val="single" w:sz="8" w:space="0" w:color="1F3864" w:themeColor="accent6"/>
        </w:tcBorders>
      </w:tcPr>
    </w:tblStylePr>
    <w:tblStylePr w:type="band1Horz">
      <w:tblPr/>
      <w:tcPr>
        <w:tcBorders>
          <w:top w:val="single" w:sz="8" w:space="0" w:color="1F3864" w:themeColor="accent6"/>
          <w:left w:val="single" w:sz="8" w:space="0" w:color="1F3864" w:themeColor="accent6"/>
          <w:bottom w:val="single" w:sz="8" w:space="0" w:color="1F3864" w:themeColor="accent6"/>
          <w:right w:val="single" w:sz="8" w:space="0" w:color="1F3864"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1A1A1A" w:themeColor="text1"/>
        <w:left w:val="single" w:sz="8" w:space="0" w:color="1A1A1A" w:themeColor="text1"/>
        <w:bottom w:val="single" w:sz="8" w:space="0" w:color="1A1A1A" w:themeColor="text1"/>
        <w:right w:val="single" w:sz="8" w:space="0" w:color="1A1A1A" w:themeColor="text1"/>
        <w:insideH w:val="single" w:sz="8" w:space="0" w:color="1A1A1A" w:themeColor="text1"/>
        <w:insideV w:val="single" w:sz="8" w:space="0" w:color="1A1A1A"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1A1A" w:themeColor="text1"/>
          <w:left w:val="single" w:sz="8" w:space="0" w:color="1A1A1A" w:themeColor="text1"/>
          <w:bottom w:val="single" w:sz="18" w:space="0" w:color="1A1A1A" w:themeColor="text1"/>
          <w:right w:val="single" w:sz="8" w:space="0" w:color="1A1A1A" w:themeColor="text1"/>
          <w:insideH w:val="nil"/>
          <w:insideV w:val="single" w:sz="8" w:space="0" w:color="1A1A1A"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1A1A" w:themeColor="text1"/>
          <w:left w:val="single" w:sz="8" w:space="0" w:color="1A1A1A" w:themeColor="text1"/>
          <w:bottom w:val="single" w:sz="8" w:space="0" w:color="1A1A1A" w:themeColor="text1"/>
          <w:right w:val="single" w:sz="8" w:space="0" w:color="1A1A1A" w:themeColor="text1"/>
          <w:insideH w:val="nil"/>
          <w:insideV w:val="single" w:sz="8" w:space="0" w:color="1A1A1A"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1A1A" w:themeColor="text1"/>
          <w:left w:val="single" w:sz="8" w:space="0" w:color="1A1A1A" w:themeColor="text1"/>
          <w:bottom w:val="single" w:sz="8" w:space="0" w:color="1A1A1A" w:themeColor="text1"/>
          <w:right w:val="single" w:sz="8" w:space="0" w:color="1A1A1A" w:themeColor="text1"/>
        </w:tcBorders>
      </w:tcPr>
    </w:tblStylePr>
    <w:tblStylePr w:type="band1Vert">
      <w:tblPr/>
      <w:tcPr>
        <w:tcBorders>
          <w:top w:val="single" w:sz="8" w:space="0" w:color="1A1A1A" w:themeColor="text1"/>
          <w:left w:val="single" w:sz="8" w:space="0" w:color="1A1A1A" w:themeColor="text1"/>
          <w:bottom w:val="single" w:sz="8" w:space="0" w:color="1A1A1A" w:themeColor="text1"/>
          <w:right w:val="single" w:sz="8" w:space="0" w:color="1A1A1A" w:themeColor="text1"/>
        </w:tcBorders>
        <w:shd w:val="clear" w:color="auto" w:fill="C6C6C6" w:themeFill="text1" w:themeFillTint="3F"/>
      </w:tcPr>
    </w:tblStylePr>
    <w:tblStylePr w:type="band1Horz">
      <w:tblPr/>
      <w:tcPr>
        <w:tcBorders>
          <w:top w:val="single" w:sz="8" w:space="0" w:color="1A1A1A" w:themeColor="text1"/>
          <w:left w:val="single" w:sz="8" w:space="0" w:color="1A1A1A" w:themeColor="text1"/>
          <w:bottom w:val="single" w:sz="8" w:space="0" w:color="1A1A1A" w:themeColor="text1"/>
          <w:right w:val="single" w:sz="8" w:space="0" w:color="1A1A1A" w:themeColor="text1"/>
          <w:insideV w:val="single" w:sz="8" w:space="0" w:color="1A1A1A" w:themeColor="text1"/>
        </w:tcBorders>
        <w:shd w:val="clear" w:color="auto" w:fill="C6C6C6" w:themeFill="text1" w:themeFillTint="3F"/>
      </w:tcPr>
    </w:tblStylePr>
    <w:tblStylePr w:type="band2Horz">
      <w:tblPr/>
      <w:tcPr>
        <w:tcBorders>
          <w:top w:val="single" w:sz="8" w:space="0" w:color="1A1A1A" w:themeColor="text1"/>
          <w:left w:val="single" w:sz="8" w:space="0" w:color="1A1A1A" w:themeColor="text1"/>
          <w:bottom w:val="single" w:sz="8" w:space="0" w:color="1A1A1A" w:themeColor="text1"/>
          <w:right w:val="single" w:sz="8" w:space="0" w:color="1A1A1A" w:themeColor="text1"/>
          <w:insideV w:val="single" w:sz="8" w:space="0" w:color="1A1A1A"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F3864" w:themeColor="accent1"/>
        <w:left w:val="single" w:sz="8" w:space="0" w:color="1F3864" w:themeColor="accent1"/>
        <w:bottom w:val="single" w:sz="8" w:space="0" w:color="1F3864" w:themeColor="accent1"/>
        <w:right w:val="single" w:sz="8" w:space="0" w:color="1F3864" w:themeColor="accent1"/>
        <w:insideH w:val="single" w:sz="8" w:space="0" w:color="1F3864" w:themeColor="accent1"/>
        <w:insideV w:val="single" w:sz="8" w:space="0" w:color="1F386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F3864" w:themeColor="accent1"/>
          <w:left w:val="single" w:sz="8" w:space="0" w:color="1F3864" w:themeColor="accent1"/>
          <w:bottom w:val="single" w:sz="18" w:space="0" w:color="1F3864" w:themeColor="accent1"/>
          <w:right w:val="single" w:sz="8" w:space="0" w:color="1F3864" w:themeColor="accent1"/>
          <w:insideH w:val="nil"/>
          <w:insideV w:val="single" w:sz="8" w:space="0" w:color="1F386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F3864" w:themeColor="accent1"/>
          <w:left w:val="single" w:sz="8" w:space="0" w:color="1F3864" w:themeColor="accent1"/>
          <w:bottom w:val="single" w:sz="8" w:space="0" w:color="1F3864" w:themeColor="accent1"/>
          <w:right w:val="single" w:sz="8" w:space="0" w:color="1F3864" w:themeColor="accent1"/>
          <w:insideH w:val="nil"/>
          <w:insideV w:val="single" w:sz="8" w:space="0" w:color="1F386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F3864" w:themeColor="accent1"/>
          <w:left w:val="single" w:sz="8" w:space="0" w:color="1F3864" w:themeColor="accent1"/>
          <w:bottom w:val="single" w:sz="8" w:space="0" w:color="1F3864" w:themeColor="accent1"/>
          <w:right w:val="single" w:sz="8" w:space="0" w:color="1F3864" w:themeColor="accent1"/>
        </w:tcBorders>
      </w:tcPr>
    </w:tblStylePr>
    <w:tblStylePr w:type="band1Vert">
      <w:tblPr/>
      <w:tcPr>
        <w:tcBorders>
          <w:top w:val="single" w:sz="8" w:space="0" w:color="1F3864" w:themeColor="accent1"/>
          <w:left w:val="single" w:sz="8" w:space="0" w:color="1F3864" w:themeColor="accent1"/>
          <w:bottom w:val="single" w:sz="8" w:space="0" w:color="1F3864" w:themeColor="accent1"/>
          <w:right w:val="single" w:sz="8" w:space="0" w:color="1F3864" w:themeColor="accent1"/>
        </w:tcBorders>
        <w:shd w:val="clear" w:color="auto" w:fill="B7C9E8" w:themeFill="accent1" w:themeFillTint="3F"/>
      </w:tcPr>
    </w:tblStylePr>
    <w:tblStylePr w:type="band1Horz">
      <w:tblPr/>
      <w:tcPr>
        <w:tcBorders>
          <w:top w:val="single" w:sz="8" w:space="0" w:color="1F3864" w:themeColor="accent1"/>
          <w:left w:val="single" w:sz="8" w:space="0" w:color="1F3864" w:themeColor="accent1"/>
          <w:bottom w:val="single" w:sz="8" w:space="0" w:color="1F3864" w:themeColor="accent1"/>
          <w:right w:val="single" w:sz="8" w:space="0" w:color="1F3864" w:themeColor="accent1"/>
          <w:insideV w:val="single" w:sz="8" w:space="0" w:color="1F3864" w:themeColor="accent1"/>
        </w:tcBorders>
        <w:shd w:val="clear" w:color="auto" w:fill="B7C9E8" w:themeFill="accent1" w:themeFillTint="3F"/>
      </w:tcPr>
    </w:tblStylePr>
    <w:tblStylePr w:type="band2Horz">
      <w:tblPr/>
      <w:tcPr>
        <w:tcBorders>
          <w:top w:val="single" w:sz="8" w:space="0" w:color="1F3864" w:themeColor="accent1"/>
          <w:left w:val="single" w:sz="8" w:space="0" w:color="1F3864" w:themeColor="accent1"/>
          <w:bottom w:val="single" w:sz="8" w:space="0" w:color="1F3864" w:themeColor="accent1"/>
          <w:right w:val="single" w:sz="8" w:space="0" w:color="1F3864" w:themeColor="accent1"/>
          <w:insideV w:val="single" w:sz="8" w:space="0" w:color="1F386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595959" w:themeColor="accent2"/>
        <w:left w:val="single" w:sz="8" w:space="0" w:color="595959" w:themeColor="accent2"/>
        <w:bottom w:val="single" w:sz="8" w:space="0" w:color="595959" w:themeColor="accent2"/>
        <w:right w:val="single" w:sz="8" w:space="0" w:color="595959" w:themeColor="accent2"/>
        <w:insideH w:val="single" w:sz="8" w:space="0" w:color="595959" w:themeColor="accent2"/>
        <w:insideV w:val="single" w:sz="8" w:space="0" w:color="59595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2"/>
          <w:left w:val="single" w:sz="8" w:space="0" w:color="595959" w:themeColor="accent2"/>
          <w:bottom w:val="single" w:sz="18" w:space="0" w:color="595959" w:themeColor="accent2"/>
          <w:right w:val="single" w:sz="8" w:space="0" w:color="595959" w:themeColor="accent2"/>
          <w:insideH w:val="nil"/>
          <w:insideV w:val="single" w:sz="8" w:space="0" w:color="59595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2"/>
          <w:left w:val="single" w:sz="8" w:space="0" w:color="595959" w:themeColor="accent2"/>
          <w:bottom w:val="single" w:sz="8" w:space="0" w:color="595959" w:themeColor="accent2"/>
          <w:right w:val="single" w:sz="8" w:space="0" w:color="595959" w:themeColor="accent2"/>
          <w:insideH w:val="nil"/>
          <w:insideV w:val="single" w:sz="8" w:space="0" w:color="59595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2"/>
          <w:left w:val="single" w:sz="8" w:space="0" w:color="595959" w:themeColor="accent2"/>
          <w:bottom w:val="single" w:sz="8" w:space="0" w:color="595959" w:themeColor="accent2"/>
          <w:right w:val="single" w:sz="8" w:space="0" w:color="595959" w:themeColor="accent2"/>
        </w:tcBorders>
      </w:tcPr>
    </w:tblStylePr>
    <w:tblStylePr w:type="band1Vert">
      <w:tblPr/>
      <w:tcPr>
        <w:tcBorders>
          <w:top w:val="single" w:sz="8" w:space="0" w:color="595959" w:themeColor="accent2"/>
          <w:left w:val="single" w:sz="8" w:space="0" w:color="595959" w:themeColor="accent2"/>
          <w:bottom w:val="single" w:sz="8" w:space="0" w:color="595959" w:themeColor="accent2"/>
          <w:right w:val="single" w:sz="8" w:space="0" w:color="595959" w:themeColor="accent2"/>
        </w:tcBorders>
        <w:shd w:val="clear" w:color="auto" w:fill="D5D5D5" w:themeFill="accent2" w:themeFillTint="3F"/>
      </w:tcPr>
    </w:tblStylePr>
    <w:tblStylePr w:type="band1Horz">
      <w:tblPr/>
      <w:tcPr>
        <w:tcBorders>
          <w:top w:val="single" w:sz="8" w:space="0" w:color="595959" w:themeColor="accent2"/>
          <w:left w:val="single" w:sz="8" w:space="0" w:color="595959" w:themeColor="accent2"/>
          <w:bottom w:val="single" w:sz="8" w:space="0" w:color="595959" w:themeColor="accent2"/>
          <w:right w:val="single" w:sz="8" w:space="0" w:color="595959" w:themeColor="accent2"/>
          <w:insideV w:val="single" w:sz="8" w:space="0" w:color="595959" w:themeColor="accent2"/>
        </w:tcBorders>
        <w:shd w:val="clear" w:color="auto" w:fill="D5D5D5" w:themeFill="accent2" w:themeFillTint="3F"/>
      </w:tcPr>
    </w:tblStylePr>
    <w:tblStylePr w:type="band2Horz">
      <w:tblPr/>
      <w:tcPr>
        <w:tcBorders>
          <w:top w:val="single" w:sz="8" w:space="0" w:color="595959" w:themeColor="accent2"/>
          <w:left w:val="single" w:sz="8" w:space="0" w:color="595959" w:themeColor="accent2"/>
          <w:bottom w:val="single" w:sz="8" w:space="0" w:color="595959" w:themeColor="accent2"/>
          <w:right w:val="single" w:sz="8" w:space="0" w:color="595959" w:themeColor="accent2"/>
          <w:insideV w:val="single" w:sz="8" w:space="0" w:color="595959"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F3864" w:themeColor="accent3"/>
        <w:left w:val="single" w:sz="8" w:space="0" w:color="1F3864" w:themeColor="accent3"/>
        <w:bottom w:val="single" w:sz="8" w:space="0" w:color="1F3864" w:themeColor="accent3"/>
        <w:right w:val="single" w:sz="8" w:space="0" w:color="1F3864" w:themeColor="accent3"/>
        <w:insideH w:val="single" w:sz="8" w:space="0" w:color="1F3864" w:themeColor="accent3"/>
        <w:insideV w:val="single" w:sz="8" w:space="0" w:color="1F386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F3864" w:themeColor="accent3"/>
          <w:left w:val="single" w:sz="8" w:space="0" w:color="1F3864" w:themeColor="accent3"/>
          <w:bottom w:val="single" w:sz="18" w:space="0" w:color="1F3864" w:themeColor="accent3"/>
          <w:right w:val="single" w:sz="8" w:space="0" w:color="1F3864" w:themeColor="accent3"/>
          <w:insideH w:val="nil"/>
          <w:insideV w:val="single" w:sz="8" w:space="0" w:color="1F386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F3864" w:themeColor="accent3"/>
          <w:left w:val="single" w:sz="8" w:space="0" w:color="1F3864" w:themeColor="accent3"/>
          <w:bottom w:val="single" w:sz="8" w:space="0" w:color="1F3864" w:themeColor="accent3"/>
          <w:right w:val="single" w:sz="8" w:space="0" w:color="1F3864" w:themeColor="accent3"/>
          <w:insideH w:val="nil"/>
          <w:insideV w:val="single" w:sz="8" w:space="0" w:color="1F386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F3864" w:themeColor="accent3"/>
          <w:left w:val="single" w:sz="8" w:space="0" w:color="1F3864" w:themeColor="accent3"/>
          <w:bottom w:val="single" w:sz="8" w:space="0" w:color="1F3864" w:themeColor="accent3"/>
          <w:right w:val="single" w:sz="8" w:space="0" w:color="1F3864" w:themeColor="accent3"/>
        </w:tcBorders>
      </w:tcPr>
    </w:tblStylePr>
    <w:tblStylePr w:type="band1Vert">
      <w:tblPr/>
      <w:tcPr>
        <w:tcBorders>
          <w:top w:val="single" w:sz="8" w:space="0" w:color="1F3864" w:themeColor="accent3"/>
          <w:left w:val="single" w:sz="8" w:space="0" w:color="1F3864" w:themeColor="accent3"/>
          <w:bottom w:val="single" w:sz="8" w:space="0" w:color="1F3864" w:themeColor="accent3"/>
          <w:right w:val="single" w:sz="8" w:space="0" w:color="1F3864" w:themeColor="accent3"/>
        </w:tcBorders>
        <w:shd w:val="clear" w:color="auto" w:fill="B7C9E8" w:themeFill="accent3" w:themeFillTint="3F"/>
      </w:tcPr>
    </w:tblStylePr>
    <w:tblStylePr w:type="band1Horz">
      <w:tblPr/>
      <w:tcPr>
        <w:tcBorders>
          <w:top w:val="single" w:sz="8" w:space="0" w:color="1F3864" w:themeColor="accent3"/>
          <w:left w:val="single" w:sz="8" w:space="0" w:color="1F3864" w:themeColor="accent3"/>
          <w:bottom w:val="single" w:sz="8" w:space="0" w:color="1F3864" w:themeColor="accent3"/>
          <w:right w:val="single" w:sz="8" w:space="0" w:color="1F3864" w:themeColor="accent3"/>
          <w:insideV w:val="single" w:sz="8" w:space="0" w:color="1F3864" w:themeColor="accent3"/>
        </w:tcBorders>
        <w:shd w:val="clear" w:color="auto" w:fill="B7C9E8" w:themeFill="accent3" w:themeFillTint="3F"/>
      </w:tcPr>
    </w:tblStylePr>
    <w:tblStylePr w:type="band2Horz">
      <w:tblPr/>
      <w:tcPr>
        <w:tcBorders>
          <w:top w:val="single" w:sz="8" w:space="0" w:color="1F3864" w:themeColor="accent3"/>
          <w:left w:val="single" w:sz="8" w:space="0" w:color="1F3864" w:themeColor="accent3"/>
          <w:bottom w:val="single" w:sz="8" w:space="0" w:color="1F3864" w:themeColor="accent3"/>
          <w:right w:val="single" w:sz="8" w:space="0" w:color="1F3864" w:themeColor="accent3"/>
          <w:insideV w:val="single" w:sz="8" w:space="0" w:color="1F386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1F3864" w:themeColor="accent4"/>
        <w:left w:val="single" w:sz="8" w:space="0" w:color="1F3864" w:themeColor="accent4"/>
        <w:bottom w:val="single" w:sz="8" w:space="0" w:color="1F3864" w:themeColor="accent4"/>
        <w:right w:val="single" w:sz="8" w:space="0" w:color="1F3864" w:themeColor="accent4"/>
        <w:insideH w:val="single" w:sz="8" w:space="0" w:color="1F3864" w:themeColor="accent4"/>
        <w:insideV w:val="single" w:sz="8" w:space="0" w:color="1F386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F3864" w:themeColor="accent4"/>
          <w:left w:val="single" w:sz="8" w:space="0" w:color="1F3864" w:themeColor="accent4"/>
          <w:bottom w:val="single" w:sz="18" w:space="0" w:color="1F3864" w:themeColor="accent4"/>
          <w:right w:val="single" w:sz="8" w:space="0" w:color="1F3864" w:themeColor="accent4"/>
          <w:insideH w:val="nil"/>
          <w:insideV w:val="single" w:sz="8" w:space="0" w:color="1F386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F3864" w:themeColor="accent4"/>
          <w:left w:val="single" w:sz="8" w:space="0" w:color="1F3864" w:themeColor="accent4"/>
          <w:bottom w:val="single" w:sz="8" w:space="0" w:color="1F3864" w:themeColor="accent4"/>
          <w:right w:val="single" w:sz="8" w:space="0" w:color="1F3864" w:themeColor="accent4"/>
          <w:insideH w:val="nil"/>
          <w:insideV w:val="single" w:sz="8" w:space="0" w:color="1F386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F3864" w:themeColor="accent4"/>
          <w:left w:val="single" w:sz="8" w:space="0" w:color="1F3864" w:themeColor="accent4"/>
          <w:bottom w:val="single" w:sz="8" w:space="0" w:color="1F3864" w:themeColor="accent4"/>
          <w:right w:val="single" w:sz="8" w:space="0" w:color="1F3864" w:themeColor="accent4"/>
        </w:tcBorders>
      </w:tcPr>
    </w:tblStylePr>
    <w:tblStylePr w:type="band1Vert">
      <w:tblPr/>
      <w:tcPr>
        <w:tcBorders>
          <w:top w:val="single" w:sz="8" w:space="0" w:color="1F3864" w:themeColor="accent4"/>
          <w:left w:val="single" w:sz="8" w:space="0" w:color="1F3864" w:themeColor="accent4"/>
          <w:bottom w:val="single" w:sz="8" w:space="0" w:color="1F3864" w:themeColor="accent4"/>
          <w:right w:val="single" w:sz="8" w:space="0" w:color="1F3864" w:themeColor="accent4"/>
        </w:tcBorders>
        <w:shd w:val="clear" w:color="auto" w:fill="B7C9E8" w:themeFill="accent4" w:themeFillTint="3F"/>
      </w:tcPr>
    </w:tblStylePr>
    <w:tblStylePr w:type="band1Horz">
      <w:tblPr/>
      <w:tcPr>
        <w:tcBorders>
          <w:top w:val="single" w:sz="8" w:space="0" w:color="1F3864" w:themeColor="accent4"/>
          <w:left w:val="single" w:sz="8" w:space="0" w:color="1F3864" w:themeColor="accent4"/>
          <w:bottom w:val="single" w:sz="8" w:space="0" w:color="1F3864" w:themeColor="accent4"/>
          <w:right w:val="single" w:sz="8" w:space="0" w:color="1F3864" w:themeColor="accent4"/>
          <w:insideV w:val="single" w:sz="8" w:space="0" w:color="1F3864" w:themeColor="accent4"/>
        </w:tcBorders>
        <w:shd w:val="clear" w:color="auto" w:fill="B7C9E8" w:themeFill="accent4" w:themeFillTint="3F"/>
      </w:tcPr>
    </w:tblStylePr>
    <w:tblStylePr w:type="band2Horz">
      <w:tblPr/>
      <w:tcPr>
        <w:tcBorders>
          <w:top w:val="single" w:sz="8" w:space="0" w:color="1F3864" w:themeColor="accent4"/>
          <w:left w:val="single" w:sz="8" w:space="0" w:color="1F3864" w:themeColor="accent4"/>
          <w:bottom w:val="single" w:sz="8" w:space="0" w:color="1F3864" w:themeColor="accent4"/>
          <w:right w:val="single" w:sz="8" w:space="0" w:color="1F3864" w:themeColor="accent4"/>
          <w:insideV w:val="single" w:sz="8" w:space="0" w:color="1F3864"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1F3864" w:themeColor="accent5"/>
        <w:left w:val="single" w:sz="8" w:space="0" w:color="1F3864" w:themeColor="accent5"/>
        <w:bottom w:val="single" w:sz="8" w:space="0" w:color="1F3864" w:themeColor="accent5"/>
        <w:right w:val="single" w:sz="8" w:space="0" w:color="1F3864" w:themeColor="accent5"/>
        <w:insideH w:val="single" w:sz="8" w:space="0" w:color="1F3864" w:themeColor="accent5"/>
        <w:insideV w:val="single" w:sz="8" w:space="0" w:color="1F38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F3864" w:themeColor="accent5"/>
          <w:left w:val="single" w:sz="8" w:space="0" w:color="1F3864" w:themeColor="accent5"/>
          <w:bottom w:val="single" w:sz="18" w:space="0" w:color="1F3864" w:themeColor="accent5"/>
          <w:right w:val="single" w:sz="8" w:space="0" w:color="1F3864" w:themeColor="accent5"/>
          <w:insideH w:val="nil"/>
          <w:insideV w:val="single" w:sz="8" w:space="0" w:color="1F38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F3864" w:themeColor="accent5"/>
          <w:left w:val="single" w:sz="8" w:space="0" w:color="1F3864" w:themeColor="accent5"/>
          <w:bottom w:val="single" w:sz="8" w:space="0" w:color="1F3864" w:themeColor="accent5"/>
          <w:right w:val="single" w:sz="8" w:space="0" w:color="1F3864" w:themeColor="accent5"/>
          <w:insideH w:val="nil"/>
          <w:insideV w:val="single" w:sz="8" w:space="0" w:color="1F38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F3864" w:themeColor="accent5"/>
          <w:left w:val="single" w:sz="8" w:space="0" w:color="1F3864" w:themeColor="accent5"/>
          <w:bottom w:val="single" w:sz="8" w:space="0" w:color="1F3864" w:themeColor="accent5"/>
          <w:right w:val="single" w:sz="8" w:space="0" w:color="1F3864" w:themeColor="accent5"/>
        </w:tcBorders>
      </w:tcPr>
    </w:tblStylePr>
    <w:tblStylePr w:type="band1Vert">
      <w:tblPr/>
      <w:tcPr>
        <w:tcBorders>
          <w:top w:val="single" w:sz="8" w:space="0" w:color="1F3864" w:themeColor="accent5"/>
          <w:left w:val="single" w:sz="8" w:space="0" w:color="1F3864" w:themeColor="accent5"/>
          <w:bottom w:val="single" w:sz="8" w:space="0" w:color="1F3864" w:themeColor="accent5"/>
          <w:right w:val="single" w:sz="8" w:space="0" w:color="1F3864" w:themeColor="accent5"/>
        </w:tcBorders>
        <w:shd w:val="clear" w:color="auto" w:fill="B7C9E8" w:themeFill="accent5" w:themeFillTint="3F"/>
      </w:tcPr>
    </w:tblStylePr>
    <w:tblStylePr w:type="band1Horz">
      <w:tblPr/>
      <w:tcPr>
        <w:tcBorders>
          <w:top w:val="single" w:sz="8" w:space="0" w:color="1F3864" w:themeColor="accent5"/>
          <w:left w:val="single" w:sz="8" w:space="0" w:color="1F3864" w:themeColor="accent5"/>
          <w:bottom w:val="single" w:sz="8" w:space="0" w:color="1F3864" w:themeColor="accent5"/>
          <w:right w:val="single" w:sz="8" w:space="0" w:color="1F3864" w:themeColor="accent5"/>
          <w:insideV w:val="single" w:sz="8" w:space="0" w:color="1F3864" w:themeColor="accent5"/>
        </w:tcBorders>
        <w:shd w:val="clear" w:color="auto" w:fill="B7C9E8" w:themeFill="accent5" w:themeFillTint="3F"/>
      </w:tcPr>
    </w:tblStylePr>
    <w:tblStylePr w:type="band2Horz">
      <w:tblPr/>
      <w:tcPr>
        <w:tcBorders>
          <w:top w:val="single" w:sz="8" w:space="0" w:color="1F3864" w:themeColor="accent5"/>
          <w:left w:val="single" w:sz="8" w:space="0" w:color="1F3864" w:themeColor="accent5"/>
          <w:bottom w:val="single" w:sz="8" w:space="0" w:color="1F3864" w:themeColor="accent5"/>
          <w:right w:val="single" w:sz="8" w:space="0" w:color="1F3864" w:themeColor="accent5"/>
          <w:insideV w:val="single" w:sz="8" w:space="0" w:color="1F3864"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1F3864" w:themeColor="accent6"/>
        <w:left w:val="single" w:sz="8" w:space="0" w:color="1F3864" w:themeColor="accent6"/>
        <w:bottom w:val="single" w:sz="8" w:space="0" w:color="1F3864" w:themeColor="accent6"/>
        <w:right w:val="single" w:sz="8" w:space="0" w:color="1F3864" w:themeColor="accent6"/>
        <w:insideH w:val="single" w:sz="8" w:space="0" w:color="1F3864" w:themeColor="accent6"/>
        <w:insideV w:val="single" w:sz="8" w:space="0" w:color="1F386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F3864" w:themeColor="accent6"/>
          <w:left w:val="single" w:sz="8" w:space="0" w:color="1F3864" w:themeColor="accent6"/>
          <w:bottom w:val="single" w:sz="18" w:space="0" w:color="1F3864" w:themeColor="accent6"/>
          <w:right w:val="single" w:sz="8" w:space="0" w:color="1F3864" w:themeColor="accent6"/>
          <w:insideH w:val="nil"/>
          <w:insideV w:val="single" w:sz="8" w:space="0" w:color="1F386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F3864" w:themeColor="accent6"/>
          <w:left w:val="single" w:sz="8" w:space="0" w:color="1F3864" w:themeColor="accent6"/>
          <w:bottom w:val="single" w:sz="8" w:space="0" w:color="1F3864" w:themeColor="accent6"/>
          <w:right w:val="single" w:sz="8" w:space="0" w:color="1F3864" w:themeColor="accent6"/>
          <w:insideH w:val="nil"/>
          <w:insideV w:val="single" w:sz="8" w:space="0" w:color="1F386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F3864" w:themeColor="accent6"/>
          <w:left w:val="single" w:sz="8" w:space="0" w:color="1F3864" w:themeColor="accent6"/>
          <w:bottom w:val="single" w:sz="8" w:space="0" w:color="1F3864" w:themeColor="accent6"/>
          <w:right w:val="single" w:sz="8" w:space="0" w:color="1F3864" w:themeColor="accent6"/>
        </w:tcBorders>
      </w:tcPr>
    </w:tblStylePr>
    <w:tblStylePr w:type="band1Vert">
      <w:tblPr/>
      <w:tcPr>
        <w:tcBorders>
          <w:top w:val="single" w:sz="8" w:space="0" w:color="1F3864" w:themeColor="accent6"/>
          <w:left w:val="single" w:sz="8" w:space="0" w:color="1F3864" w:themeColor="accent6"/>
          <w:bottom w:val="single" w:sz="8" w:space="0" w:color="1F3864" w:themeColor="accent6"/>
          <w:right w:val="single" w:sz="8" w:space="0" w:color="1F3864" w:themeColor="accent6"/>
        </w:tcBorders>
        <w:shd w:val="clear" w:color="auto" w:fill="B7C9E8" w:themeFill="accent6" w:themeFillTint="3F"/>
      </w:tcPr>
    </w:tblStylePr>
    <w:tblStylePr w:type="band1Horz">
      <w:tblPr/>
      <w:tcPr>
        <w:tcBorders>
          <w:top w:val="single" w:sz="8" w:space="0" w:color="1F3864" w:themeColor="accent6"/>
          <w:left w:val="single" w:sz="8" w:space="0" w:color="1F3864" w:themeColor="accent6"/>
          <w:bottom w:val="single" w:sz="8" w:space="0" w:color="1F3864" w:themeColor="accent6"/>
          <w:right w:val="single" w:sz="8" w:space="0" w:color="1F3864" w:themeColor="accent6"/>
          <w:insideV w:val="single" w:sz="8" w:space="0" w:color="1F3864" w:themeColor="accent6"/>
        </w:tcBorders>
        <w:shd w:val="clear" w:color="auto" w:fill="B7C9E8" w:themeFill="accent6" w:themeFillTint="3F"/>
      </w:tcPr>
    </w:tblStylePr>
    <w:tblStylePr w:type="band2Horz">
      <w:tblPr/>
      <w:tcPr>
        <w:tcBorders>
          <w:top w:val="single" w:sz="8" w:space="0" w:color="1F3864" w:themeColor="accent6"/>
          <w:left w:val="single" w:sz="8" w:space="0" w:color="1F3864" w:themeColor="accent6"/>
          <w:bottom w:val="single" w:sz="8" w:space="0" w:color="1F3864" w:themeColor="accent6"/>
          <w:right w:val="single" w:sz="8" w:space="0" w:color="1F3864" w:themeColor="accent6"/>
          <w:insideV w:val="single" w:sz="8" w:space="0" w:color="1F3864"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535353" w:themeColor="text1" w:themeTint="BF"/>
        <w:left w:val="single" w:sz="8" w:space="0" w:color="535353" w:themeColor="text1" w:themeTint="BF"/>
        <w:bottom w:val="single" w:sz="8" w:space="0" w:color="535353" w:themeColor="text1" w:themeTint="BF"/>
        <w:right w:val="single" w:sz="8" w:space="0" w:color="535353" w:themeColor="text1" w:themeTint="BF"/>
        <w:insideH w:val="single" w:sz="8" w:space="0" w:color="535353" w:themeColor="text1" w:themeTint="BF"/>
      </w:tblBorders>
    </w:tblPr>
    <w:tblStylePr w:type="firstRow">
      <w:pPr>
        <w:spacing w:before="0" w:after="0" w:line="240" w:lineRule="auto"/>
      </w:pPr>
      <w:rPr>
        <w:b/>
        <w:bCs/>
        <w:color w:val="FFFFFF" w:themeColor="background1"/>
      </w:rPr>
      <w:tblPr/>
      <w:tcPr>
        <w:tcBorders>
          <w:top w:val="single" w:sz="8" w:space="0" w:color="535353" w:themeColor="text1" w:themeTint="BF"/>
          <w:left w:val="single" w:sz="8" w:space="0" w:color="535353" w:themeColor="text1" w:themeTint="BF"/>
          <w:bottom w:val="single" w:sz="8" w:space="0" w:color="535353" w:themeColor="text1" w:themeTint="BF"/>
          <w:right w:val="single" w:sz="8" w:space="0" w:color="535353" w:themeColor="text1" w:themeTint="BF"/>
          <w:insideH w:val="nil"/>
          <w:insideV w:val="nil"/>
        </w:tcBorders>
        <w:shd w:val="clear" w:color="auto" w:fill="1A1A1A" w:themeFill="text1"/>
      </w:tcPr>
    </w:tblStylePr>
    <w:tblStylePr w:type="lastRow">
      <w:pPr>
        <w:spacing w:before="0" w:after="0" w:line="240" w:lineRule="auto"/>
      </w:pPr>
      <w:rPr>
        <w:b/>
        <w:bCs/>
      </w:rPr>
      <w:tblPr/>
      <w:tcPr>
        <w:tcBorders>
          <w:top w:val="double" w:sz="6" w:space="0" w:color="535353" w:themeColor="text1" w:themeTint="BF"/>
          <w:left w:val="single" w:sz="8" w:space="0" w:color="535353" w:themeColor="text1" w:themeTint="BF"/>
          <w:bottom w:val="single" w:sz="8" w:space="0" w:color="535353" w:themeColor="text1" w:themeTint="BF"/>
          <w:right w:val="single" w:sz="8" w:space="0" w:color="535353" w:themeColor="text1" w:themeTint="BF"/>
          <w:insideH w:val="nil"/>
          <w:insideV w:val="nil"/>
        </w:tcBorders>
      </w:tcPr>
    </w:tblStylePr>
    <w:tblStylePr w:type="firstCol">
      <w:rPr>
        <w:b/>
        <w:bCs/>
      </w:rPr>
    </w:tblStylePr>
    <w:tblStylePr w:type="lastCol">
      <w:rPr>
        <w:b/>
        <w:bCs/>
      </w:rPr>
    </w:tblStylePr>
    <w:tblStylePr w:type="band1Vert">
      <w:tblPr/>
      <w:tcPr>
        <w:shd w:val="clear" w:color="auto" w:fill="C6C6C6" w:themeFill="text1" w:themeFillTint="3F"/>
      </w:tcPr>
    </w:tblStylePr>
    <w:tblStylePr w:type="band1Horz">
      <w:tblPr/>
      <w:tcPr>
        <w:tcBorders>
          <w:insideH w:val="nil"/>
          <w:insideV w:val="nil"/>
        </w:tcBorders>
        <w:shd w:val="clear" w:color="auto" w:fill="C6C6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3560AC" w:themeColor="accent1" w:themeTint="BF"/>
        <w:left w:val="single" w:sz="8" w:space="0" w:color="3560AC" w:themeColor="accent1" w:themeTint="BF"/>
        <w:bottom w:val="single" w:sz="8" w:space="0" w:color="3560AC" w:themeColor="accent1" w:themeTint="BF"/>
        <w:right w:val="single" w:sz="8" w:space="0" w:color="3560AC" w:themeColor="accent1" w:themeTint="BF"/>
        <w:insideH w:val="single" w:sz="8" w:space="0" w:color="3560AC" w:themeColor="accent1" w:themeTint="BF"/>
      </w:tblBorders>
    </w:tblPr>
    <w:tblStylePr w:type="firstRow">
      <w:pPr>
        <w:spacing w:before="0" w:after="0" w:line="240" w:lineRule="auto"/>
      </w:pPr>
      <w:rPr>
        <w:b/>
        <w:bCs/>
        <w:color w:val="FFFFFF" w:themeColor="background1"/>
      </w:rPr>
      <w:tblPr/>
      <w:tcPr>
        <w:tcBorders>
          <w:top w:val="single" w:sz="8" w:space="0" w:color="3560AC" w:themeColor="accent1" w:themeTint="BF"/>
          <w:left w:val="single" w:sz="8" w:space="0" w:color="3560AC" w:themeColor="accent1" w:themeTint="BF"/>
          <w:bottom w:val="single" w:sz="8" w:space="0" w:color="3560AC" w:themeColor="accent1" w:themeTint="BF"/>
          <w:right w:val="single" w:sz="8" w:space="0" w:color="3560AC" w:themeColor="accent1" w:themeTint="BF"/>
          <w:insideH w:val="nil"/>
          <w:insideV w:val="nil"/>
        </w:tcBorders>
        <w:shd w:val="clear" w:color="auto" w:fill="1F3864" w:themeFill="accent1"/>
      </w:tcPr>
    </w:tblStylePr>
    <w:tblStylePr w:type="lastRow">
      <w:pPr>
        <w:spacing w:before="0" w:after="0" w:line="240" w:lineRule="auto"/>
      </w:pPr>
      <w:rPr>
        <w:b/>
        <w:bCs/>
      </w:rPr>
      <w:tblPr/>
      <w:tcPr>
        <w:tcBorders>
          <w:top w:val="double" w:sz="6" w:space="0" w:color="3560AC" w:themeColor="accent1" w:themeTint="BF"/>
          <w:left w:val="single" w:sz="8" w:space="0" w:color="3560AC" w:themeColor="accent1" w:themeTint="BF"/>
          <w:bottom w:val="single" w:sz="8" w:space="0" w:color="3560AC" w:themeColor="accent1" w:themeTint="BF"/>
          <w:right w:val="single" w:sz="8" w:space="0" w:color="3560A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7C9E8" w:themeFill="accent1" w:themeFillTint="3F"/>
      </w:tcPr>
    </w:tblStylePr>
    <w:tblStylePr w:type="band1Horz">
      <w:tblPr/>
      <w:tcPr>
        <w:tcBorders>
          <w:insideH w:val="nil"/>
          <w:insideV w:val="nil"/>
        </w:tcBorders>
        <w:shd w:val="clear" w:color="auto" w:fill="B7C9E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828282" w:themeColor="accent2" w:themeTint="BF"/>
        <w:left w:val="single" w:sz="8" w:space="0" w:color="828282" w:themeColor="accent2" w:themeTint="BF"/>
        <w:bottom w:val="single" w:sz="8" w:space="0" w:color="828282" w:themeColor="accent2" w:themeTint="BF"/>
        <w:right w:val="single" w:sz="8" w:space="0" w:color="828282" w:themeColor="accent2" w:themeTint="BF"/>
        <w:insideH w:val="single" w:sz="8" w:space="0" w:color="828282" w:themeColor="accent2" w:themeTint="BF"/>
      </w:tblBorders>
    </w:tblPr>
    <w:tblStylePr w:type="firstRow">
      <w:pPr>
        <w:spacing w:before="0" w:after="0" w:line="240" w:lineRule="auto"/>
      </w:pPr>
      <w:rPr>
        <w:b/>
        <w:bCs/>
        <w:color w:val="FFFFFF" w:themeColor="background1"/>
      </w:rPr>
      <w:tblPr/>
      <w:tcPr>
        <w:tcBorders>
          <w:top w:val="single" w:sz="8" w:space="0" w:color="828282" w:themeColor="accent2" w:themeTint="BF"/>
          <w:left w:val="single" w:sz="8" w:space="0" w:color="828282" w:themeColor="accent2" w:themeTint="BF"/>
          <w:bottom w:val="single" w:sz="8" w:space="0" w:color="828282" w:themeColor="accent2" w:themeTint="BF"/>
          <w:right w:val="single" w:sz="8" w:space="0" w:color="828282" w:themeColor="accent2" w:themeTint="BF"/>
          <w:insideH w:val="nil"/>
          <w:insideV w:val="nil"/>
        </w:tcBorders>
        <w:shd w:val="clear" w:color="auto" w:fill="595959" w:themeFill="accent2"/>
      </w:tcPr>
    </w:tblStylePr>
    <w:tblStylePr w:type="lastRow">
      <w:pPr>
        <w:spacing w:before="0" w:after="0" w:line="240" w:lineRule="auto"/>
      </w:pPr>
      <w:rPr>
        <w:b/>
        <w:bCs/>
      </w:rPr>
      <w:tblPr/>
      <w:tcPr>
        <w:tcBorders>
          <w:top w:val="double" w:sz="6" w:space="0" w:color="828282" w:themeColor="accent2" w:themeTint="BF"/>
          <w:left w:val="single" w:sz="8" w:space="0" w:color="828282" w:themeColor="accent2" w:themeTint="BF"/>
          <w:bottom w:val="single" w:sz="8" w:space="0" w:color="828282" w:themeColor="accent2" w:themeTint="BF"/>
          <w:right w:val="single" w:sz="8" w:space="0" w:color="8282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2" w:themeFillTint="3F"/>
      </w:tcPr>
    </w:tblStylePr>
    <w:tblStylePr w:type="band1Horz">
      <w:tblPr/>
      <w:tcPr>
        <w:tcBorders>
          <w:insideH w:val="nil"/>
          <w:insideV w:val="nil"/>
        </w:tcBorders>
        <w:shd w:val="clear" w:color="auto" w:fill="D5D5D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3560AC" w:themeColor="accent3" w:themeTint="BF"/>
        <w:left w:val="single" w:sz="8" w:space="0" w:color="3560AC" w:themeColor="accent3" w:themeTint="BF"/>
        <w:bottom w:val="single" w:sz="8" w:space="0" w:color="3560AC" w:themeColor="accent3" w:themeTint="BF"/>
        <w:right w:val="single" w:sz="8" w:space="0" w:color="3560AC" w:themeColor="accent3" w:themeTint="BF"/>
        <w:insideH w:val="single" w:sz="8" w:space="0" w:color="3560AC" w:themeColor="accent3" w:themeTint="BF"/>
      </w:tblBorders>
    </w:tblPr>
    <w:tblStylePr w:type="firstRow">
      <w:pPr>
        <w:spacing w:before="0" w:after="0" w:line="240" w:lineRule="auto"/>
      </w:pPr>
      <w:rPr>
        <w:b/>
        <w:bCs/>
        <w:color w:val="FFFFFF" w:themeColor="background1"/>
      </w:rPr>
      <w:tblPr/>
      <w:tcPr>
        <w:tcBorders>
          <w:top w:val="single" w:sz="8" w:space="0" w:color="3560AC" w:themeColor="accent3" w:themeTint="BF"/>
          <w:left w:val="single" w:sz="8" w:space="0" w:color="3560AC" w:themeColor="accent3" w:themeTint="BF"/>
          <w:bottom w:val="single" w:sz="8" w:space="0" w:color="3560AC" w:themeColor="accent3" w:themeTint="BF"/>
          <w:right w:val="single" w:sz="8" w:space="0" w:color="3560AC" w:themeColor="accent3" w:themeTint="BF"/>
          <w:insideH w:val="nil"/>
          <w:insideV w:val="nil"/>
        </w:tcBorders>
        <w:shd w:val="clear" w:color="auto" w:fill="1F3864" w:themeFill="accent3"/>
      </w:tcPr>
    </w:tblStylePr>
    <w:tblStylePr w:type="lastRow">
      <w:pPr>
        <w:spacing w:before="0" w:after="0" w:line="240" w:lineRule="auto"/>
      </w:pPr>
      <w:rPr>
        <w:b/>
        <w:bCs/>
      </w:rPr>
      <w:tblPr/>
      <w:tcPr>
        <w:tcBorders>
          <w:top w:val="double" w:sz="6" w:space="0" w:color="3560AC" w:themeColor="accent3" w:themeTint="BF"/>
          <w:left w:val="single" w:sz="8" w:space="0" w:color="3560AC" w:themeColor="accent3" w:themeTint="BF"/>
          <w:bottom w:val="single" w:sz="8" w:space="0" w:color="3560AC" w:themeColor="accent3" w:themeTint="BF"/>
          <w:right w:val="single" w:sz="8" w:space="0" w:color="3560AC" w:themeColor="accent3" w:themeTint="BF"/>
          <w:insideH w:val="nil"/>
          <w:insideV w:val="nil"/>
        </w:tcBorders>
      </w:tcPr>
    </w:tblStylePr>
    <w:tblStylePr w:type="firstCol">
      <w:rPr>
        <w:b/>
        <w:bCs/>
      </w:rPr>
    </w:tblStylePr>
    <w:tblStylePr w:type="lastCol">
      <w:rPr>
        <w:b/>
        <w:bCs/>
      </w:rPr>
    </w:tblStylePr>
    <w:tblStylePr w:type="band1Vert">
      <w:tblPr/>
      <w:tcPr>
        <w:shd w:val="clear" w:color="auto" w:fill="B7C9E8" w:themeFill="accent3" w:themeFillTint="3F"/>
      </w:tcPr>
    </w:tblStylePr>
    <w:tblStylePr w:type="band1Horz">
      <w:tblPr/>
      <w:tcPr>
        <w:tcBorders>
          <w:insideH w:val="nil"/>
          <w:insideV w:val="nil"/>
        </w:tcBorders>
        <w:shd w:val="clear" w:color="auto" w:fill="B7C9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560AC" w:themeColor="accent4" w:themeTint="BF"/>
        <w:left w:val="single" w:sz="8" w:space="0" w:color="3560AC" w:themeColor="accent4" w:themeTint="BF"/>
        <w:bottom w:val="single" w:sz="8" w:space="0" w:color="3560AC" w:themeColor="accent4" w:themeTint="BF"/>
        <w:right w:val="single" w:sz="8" w:space="0" w:color="3560AC" w:themeColor="accent4" w:themeTint="BF"/>
        <w:insideH w:val="single" w:sz="8" w:space="0" w:color="3560AC" w:themeColor="accent4" w:themeTint="BF"/>
      </w:tblBorders>
    </w:tblPr>
    <w:tblStylePr w:type="firstRow">
      <w:pPr>
        <w:spacing w:before="0" w:after="0" w:line="240" w:lineRule="auto"/>
      </w:pPr>
      <w:rPr>
        <w:b/>
        <w:bCs/>
        <w:color w:val="FFFFFF" w:themeColor="background1"/>
      </w:rPr>
      <w:tblPr/>
      <w:tcPr>
        <w:tcBorders>
          <w:top w:val="single" w:sz="8" w:space="0" w:color="3560AC" w:themeColor="accent4" w:themeTint="BF"/>
          <w:left w:val="single" w:sz="8" w:space="0" w:color="3560AC" w:themeColor="accent4" w:themeTint="BF"/>
          <w:bottom w:val="single" w:sz="8" w:space="0" w:color="3560AC" w:themeColor="accent4" w:themeTint="BF"/>
          <w:right w:val="single" w:sz="8" w:space="0" w:color="3560AC" w:themeColor="accent4" w:themeTint="BF"/>
          <w:insideH w:val="nil"/>
          <w:insideV w:val="nil"/>
        </w:tcBorders>
        <w:shd w:val="clear" w:color="auto" w:fill="1F3864" w:themeFill="accent4"/>
      </w:tcPr>
    </w:tblStylePr>
    <w:tblStylePr w:type="lastRow">
      <w:pPr>
        <w:spacing w:before="0" w:after="0" w:line="240" w:lineRule="auto"/>
      </w:pPr>
      <w:rPr>
        <w:b/>
        <w:bCs/>
      </w:rPr>
      <w:tblPr/>
      <w:tcPr>
        <w:tcBorders>
          <w:top w:val="double" w:sz="6" w:space="0" w:color="3560AC" w:themeColor="accent4" w:themeTint="BF"/>
          <w:left w:val="single" w:sz="8" w:space="0" w:color="3560AC" w:themeColor="accent4" w:themeTint="BF"/>
          <w:bottom w:val="single" w:sz="8" w:space="0" w:color="3560AC" w:themeColor="accent4" w:themeTint="BF"/>
          <w:right w:val="single" w:sz="8" w:space="0" w:color="3560AC" w:themeColor="accent4" w:themeTint="BF"/>
          <w:insideH w:val="nil"/>
          <w:insideV w:val="nil"/>
        </w:tcBorders>
      </w:tcPr>
    </w:tblStylePr>
    <w:tblStylePr w:type="firstCol">
      <w:rPr>
        <w:b/>
        <w:bCs/>
      </w:rPr>
    </w:tblStylePr>
    <w:tblStylePr w:type="lastCol">
      <w:rPr>
        <w:b/>
        <w:bCs/>
      </w:rPr>
    </w:tblStylePr>
    <w:tblStylePr w:type="band1Vert">
      <w:tblPr/>
      <w:tcPr>
        <w:shd w:val="clear" w:color="auto" w:fill="B7C9E8" w:themeFill="accent4" w:themeFillTint="3F"/>
      </w:tcPr>
    </w:tblStylePr>
    <w:tblStylePr w:type="band1Horz">
      <w:tblPr/>
      <w:tcPr>
        <w:tcBorders>
          <w:insideH w:val="nil"/>
          <w:insideV w:val="nil"/>
        </w:tcBorders>
        <w:shd w:val="clear" w:color="auto" w:fill="B7C9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3560AC" w:themeColor="accent5" w:themeTint="BF"/>
        <w:left w:val="single" w:sz="8" w:space="0" w:color="3560AC" w:themeColor="accent5" w:themeTint="BF"/>
        <w:bottom w:val="single" w:sz="8" w:space="0" w:color="3560AC" w:themeColor="accent5" w:themeTint="BF"/>
        <w:right w:val="single" w:sz="8" w:space="0" w:color="3560AC" w:themeColor="accent5" w:themeTint="BF"/>
        <w:insideH w:val="single" w:sz="8" w:space="0" w:color="3560AC" w:themeColor="accent5" w:themeTint="BF"/>
      </w:tblBorders>
    </w:tblPr>
    <w:tblStylePr w:type="firstRow">
      <w:pPr>
        <w:spacing w:before="0" w:after="0" w:line="240" w:lineRule="auto"/>
      </w:pPr>
      <w:rPr>
        <w:b/>
        <w:bCs/>
        <w:color w:val="FFFFFF" w:themeColor="background1"/>
      </w:rPr>
      <w:tblPr/>
      <w:tcPr>
        <w:tcBorders>
          <w:top w:val="single" w:sz="8" w:space="0" w:color="3560AC" w:themeColor="accent5" w:themeTint="BF"/>
          <w:left w:val="single" w:sz="8" w:space="0" w:color="3560AC" w:themeColor="accent5" w:themeTint="BF"/>
          <w:bottom w:val="single" w:sz="8" w:space="0" w:color="3560AC" w:themeColor="accent5" w:themeTint="BF"/>
          <w:right w:val="single" w:sz="8" w:space="0" w:color="3560AC" w:themeColor="accent5" w:themeTint="BF"/>
          <w:insideH w:val="nil"/>
          <w:insideV w:val="nil"/>
        </w:tcBorders>
        <w:shd w:val="clear" w:color="auto" w:fill="1F3864" w:themeFill="accent5"/>
      </w:tcPr>
    </w:tblStylePr>
    <w:tblStylePr w:type="lastRow">
      <w:pPr>
        <w:spacing w:before="0" w:after="0" w:line="240" w:lineRule="auto"/>
      </w:pPr>
      <w:rPr>
        <w:b/>
        <w:bCs/>
      </w:rPr>
      <w:tblPr/>
      <w:tcPr>
        <w:tcBorders>
          <w:top w:val="double" w:sz="6" w:space="0" w:color="3560AC" w:themeColor="accent5" w:themeTint="BF"/>
          <w:left w:val="single" w:sz="8" w:space="0" w:color="3560AC" w:themeColor="accent5" w:themeTint="BF"/>
          <w:bottom w:val="single" w:sz="8" w:space="0" w:color="3560AC" w:themeColor="accent5" w:themeTint="BF"/>
          <w:right w:val="single" w:sz="8" w:space="0" w:color="3560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B7C9E8" w:themeFill="accent5" w:themeFillTint="3F"/>
      </w:tcPr>
    </w:tblStylePr>
    <w:tblStylePr w:type="band1Horz">
      <w:tblPr/>
      <w:tcPr>
        <w:tcBorders>
          <w:insideH w:val="nil"/>
          <w:insideV w:val="nil"/>
        </w:tcBorders>
        <w:shd w:val="clear" w:color="auto" w:fill="B7C9E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3560AC" w:themeColor="accent6" w:themeTint="BF"/>
        <w:left w:val="single" w:sz="8" w:space="0" w:color="3560AC" w:themeColor="accent6" w:themeTint="BF"/>
        <w:bottom w:val="single" w:sz="8" w:space="0" w:color="3560AC" w:themeColor="accent6" w:themeTint="BF"/>
        <w:right w:val="single" w:sz="8" w:space="0" w:color="3560AC" w:themeColor="accent6" w:themeTint="BF"/>
        <w:insideH w:val="single" w:sz="8" w:space="0" w:color="3560AC" w:themeColor="accent6" w:themeTint="BF"/>
      </w:tblBorders>
    </w:tblPr>
    <w:tblStylePr w:type="firstRow">
      <w:pPr>
        <w:spacing w:before="0" w:after="0" w:line="240" w:lineRule="auto"/>
      </w:pPr>
      <w:rPr>
        <w:b/>
        <w:bCs/>
        <w:color w:val="FFFFFF" w:themeColor="background1"/>
      </w:rPr>
      <w:tblPr/>
      <w:tcPr>
        <w:tcBorders>
          <w:top w:val="single" w:sz="8" w:space="0" w:color="3560AC" w:themeColor="accent6" w:themeTint="BF"/>
          <w:left w:val="single" w:sz="8" w:space="0" w:color="3560AC" w:themeColor="accent6" w:themeTint="BF"/>
          <w:bottom w:val="single" w:sz="8" w:space="0" w:color="3560AC" w:themeColor="accent6" w:themeTint="BF"/>
          <w:right w:val="single" w:sz="8" w:space="0" w:color="3560AC" w:themeColor="accent6" w:themeTint="BF"/>
          <w:insideH w:val="nil"/>
          <w:insideV w:val="nil"/>
        </w:tcBorders>
        <w:shd w:val="clear" w:color="auto" w:fill="1F3864" w:themeFill="accent6"/>
      </w:tcPr>
    </w:tblStylePr>
    <w:tblStylePr w:type="lastRow">
      <w:pPr>
        <w:spacing w:before="0" w:after="0" w:line="240" w:lineRule="auto"/>
      </w:pPr>
      <w:rPr>
        <w:b/>
        <w:bCs/>
      </w:rPr>
      <w:tblPr/>
      <w:tcPr>
        <w:tcBorders>
          <w:top w:val="double" w:sz="6" w:space="0" w:color="3560AC" w:themeColor="accent6" w:themeTint="BF"/>
          <w:left w:val="single" w:sz="8" w:space="0" w:color="3560AC" w:themeColor="accent6" w:themeTint="BF"/>
          <w:bottom w:val="single" w:sz="8" w:space="0" w:color="3560AC" w:themeColor="accent6" w:themeTint="BF"/>
          <w:right w:val="single" w:sz="8" w:space="0" w:color="3560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B7C9E8" w:themeFill="accent6" w:themeFillTint="3F"/>
      </w:tcPr>
    </w:tblStylePr>
    <w:tblStylePr w:type="band1Horz">
      <w:tblPr/>
      <w:tcPr>
        <w:tcBorders>
          <w:insideH w:val="nil"/>
          <w:insideV w:val="nil"/>
        </w:tcBorders>
        <w:shd w:val="clear" w:color="auto" w:fill="B7C9E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1A1A"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A1A1A" w:themeFill="text1"/>
      </w:tcPr>
    </w:tblStylePr>
    <w:tblStylePr w:type="lastCol">
      <w:rPr>
        <w:b/>
        <w:bCs/>
        <w:color w:val="FFFFFF" w:themeColor="background1"/>
      </w:rPr>
      <w:tblPr/>
      <w:tcPr>
        <w:tcBorders>
          <w:left w:val="nil"/>
          <w:right w:val="nil"/>
          <w:insideH w:val="nil"/>
          <w:insideV w:val="nil"/>
        </w:tcBorders>
        <w:shd w:val="clear" w:color="auto" w:fill="1A1A1A"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F386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F3864" w:themeFill="accent1"/>
      </w:tcPr>
    </w:tblStylePr>
    <w:tblStylePr w:type="lastCol">
      <w:rPr>
        <w:b/>
        <w:bCs/>
        <w:color w:val="FFFFFF" w:themeColor="background1"/>
      </w:rPr>
      <w:tblPr/>
      <w:tcPr>
        <w:tcBorders>
          <w:left w:val="nil"/>
          <w:right w:val="nil"/>
          <w:insideH w:val="nil"/>
          <w:insideV w:val="nil"/>
        </w:tcBorders>
        <w:shd w:val="clear" w:color="auto" w:fill="1F386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2"/>
      </w:tcPr>
    </w:tblStylePr>
    <w:tblStylePr w:type="lastCol">
      <w:rPr>
        <w:b/>
        <w:bCs/>
        <w:color w:val="FFFFFF" w:themeColor="background1"/>
      </w:rPr>
      <w:tblPr/>
      <w:tcPr>
        <w:tcBorders>
          <w:left w:val="nil"/>
          <w:right w:val="nil"/>
          <w:insideH w:val="nil"/>
          <w:insideV w:val="nil"/>
        </w:tcBorders>
        <w:shd w:val="clear" w:color="auto" w:fill="59595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F386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F3864" w:themeFill="accent3"/>
      </w:tcPr>
    </w:tblStylePr>
    <w:tblStylePr w:type="lastCol">
      <w:rPr>
        <w:b/>
        <w:bCs/>
        <w:color w:val="FFFFFF" w:themeColor="background1"/>
      </w:rPr>
      <w:tblPr/>
      <w:tcPr>
        <w:tcBorders>
          <w:left w:val="nil"/>
          <w:right w:val="nil"/>
          <w:insideH w:val="nil"/>
          <w:insideV w:val="nil"/>
        </w:tcBorders>
        <w:shd w:val="clear" w:color="auto" w:fill="1F386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F386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F3864" w:themeFill="accent4"/>
      </w:tcPr>
    </w:tblStylePr>
    <w:tblStylePr w:type="lastCol">
      <w:rPr>
        <w:b/>
        <w:bCs/>
        <w:color w:val="FFFFFF" w:themeColor="background1"/>
      </w:rPr>
      <w:tblPr/>
      <w:tcPr>
        <w:tcBorders>
          <w:left w:val="nil"/>
          <w:right w:val="nil"/>
          <w:insideH w:val="nil"/>
          <w:insideV w:val="nil"/>
        </w:tcBorders>
        <w:shd w:val="clear" w:color="auto" w:fill="1F386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F38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F3864" w:themeFill="accent5"/>
      </w:tcPr>
    </w:tblStylePr>
    <w:tblStylePr w:type="lastCol">
      <w:rPr>
        <w:b/>
        <w:bCs/>
        <w:color w:val="FFFFFF" w:themeColor="background1"/>
      </w:rPr>
      <w:tblPr/>
      <w:tcPr>
        <w:tcBorders>
          <w:left w:val="nil"/>
          <w:right w:val="nil"/>
          <w:insideH w:val="nil"/>
          <w:insideV w:val="nil"/>
        </w:tcBorders>
        <w:shd w:val="clear" w:color="auto" w:fill="1F38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F386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F3864" w:themeFill="accent6"/>
      </w:tcPr>
    </w:tblStylePr>
    <w:tblStylePr w:type="lastCol">
      <w:rPr>
        <w:b/>
        <w:bCs/>
        <w:color w:val="FFFFFF" w:themeColor="background1"/>
      </w:rPr>
      <w:tblPr/>
      <w:tcPr>
        <w:tcBorders>
          <w:left w:val="nil"/>
          <w:right w:val="nil"/>
          <w:insideH w:val="nil"/>
          <w:insideV w:val="nil"/>
        </w:tcBorders>
        <w:shd w:val="clear" w:color="auto" w:fill="1F386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1A1A1A" w:themeColor="text1"/>
    </w:rPr>
    <w:tblPr>
      <w:tblStyleRowBandSize w:val="1"/>
      <w:tblStyleColBandSize w:val="1"/>
      <w:tblBorders>
        <w:top w:val="single" w:sz="8" w:space="0" w:color="1A1A1A" w:themeColor="text1"/>
        <w:bottom w:val="single" w:sz="8" w:space="0" w:color="1A1A1A" w:themeColor="text1"/>
      </w:tblBorders>
    </w:tblPr>
    <w:tblStylePr w:type="firstRow">
      <w:rPr>
        <w:rFonts w:asciiTheme="majorHAnsi" w:eastAsiaTheme="majorEastAsia" w:hAnsiTheme="majorHAnsi" w:cstheme="majorBidi"/>
      </w:rPr>
      <w:tblPr/>
      <w:tcPr>
        <w:tcBorders>
          <w:top w:val="nil"/>
          <w:bottom w:val="single" w:sz="8" w:space="0" w:color="1A1A1A" w:themeColor="text1"/>
        </w:tcBorders>
      </w:tcPr>
    </w:tblStylePr>
    <w:tblStylePr w:type="lastRow">
      <w:rPr>
        <w:b/>
        <w:bCs/>
        <w:color w:val="1F3864" w:themeColor="text2"/>
      </w:rPr>
      <w:tblPr/>
      <w:tcPr>
        <w:tcBorders>
          <w:top w:val="single" w:sz="8" w:space="0" w:color="1A1A1A" w:themeColor="text1"/>
          <w:bottom w:val="single" w:sz="8" w:space="0" w:color="1A1A1A" w:themeColor="text1"/>
        </w:tcBorders>
      </w:tcPr>
    </w:tblStylePr>
    <w:tblStylePr w:type="firstCol">
      <w:rPr>
        <w:b/>
        <w:bCs/>
      </w:rPr>
    </w:tblStylePr>
    <w:tblStylePr w:type="lastCol">
      <w:rPr>
        <w:b/>
        <w:bCs/>
      </w:rPr>
      <w:tblPr/>
      <w:tcPr>
        <w:tcBorders>
          <w:top w:val="single" w:sz="8" w:space="0" w:color="1A1A1A" w:themeColor="text1"/>
          <w:bottom w:val="single" w:sz="8" w:space="0" w:color="1A1A1A" w:themeColor="text1"/>
        </w:tcBorders>
      </w:tcPr>
    </w:tblStylePr>
    <w:tblStylePr w:type="band1Vert">
      <w:tblPr/>
      <w:tcPr>
        <w:shd w:val="clear" w:color="auto" w:fill="C6C6C6" w:themeFill="text1" w:themeFillTint="3F"/>
      </w:tcPr>
    </w:tblStylePr>
    <w:tblStylePr w:type="band1Horz">
      <w:tblPr/>
      <w:tcPr>
        <w:shd w:val="clear" w:color="auto" w:fill="C6C6C6" w:themeFill="text1" w:themeFillTint="3F"/>
      </w:tcPr>
    </w:tblStylePr>
  </w:style>
  <w:style w:type="table" w:styleId="MediumList1-Accent1">
    <w:name w:val="Medium List 1 Accent 1"/>
    <w:basedOn w:val="TableNormal"/>
    <w:uiPriority w:val="65"/>
    <w:rsid w:val="00CB0664"/>
    <w:pPr>
      <w:spacing w:after="0" w:line="240" w:lineRule="auto"/>
    </w:pPr>
    <w:rPr>
      <w:color w:val="1A1A1A" w:themeColor="text1"/>
    </w:rPr>
    <w:tblPr>
      <w:tblStyleRowBandSize w:val="1"/>
      <w:tblStyleColBandSize w:val="1"/>
      <w:tblBorders>
        <w:top w:val="single" w:sz="8" w:space="0" w:color="1F3864" w:themeColor="accent1"/>
        <w:bottom w:val="single" w:sz="8" w:space="0" w:color="1F3864" w:themeColor="accent1"/>
      </w:tblBorders>
    </w:tblPr>
    <w:tblStylePr w:type="firstRow">
      <w:rPr>
        <w:rFonts w:asciiTheme="majorHAnsi" w:eastAsiaTheme="majorEastAsia" w:hAnsiTheme="majorHAnsi" w:cstheme="majorBidi"/>
      </w:rPr>
      <w:tblPr/>
      <w:tcPr>
        <w:tcBorders>
          <w:top w:val="nil"/>
          <w:bottom w:val="single" w:sz="8" w:space="0" w:color="1F3864" w:themeColor="accent1"/>
        </w:tcBorders>
      </w:tcPr>
    </w:tblStylePr>
    <w:tblStylePr w:type="lastRow">
      <w:rPr>
        <w:b/>
        <w:bCs/>
        <w:color w:val="1F3864" w:themeColor="text2"/>
      </w:rPr>
      <w:tblPr/>
      <w:tcPr>
        <w:tcBorders>
          <w:top w:val="single" w:sz="8" w:space="0" w:color="1F3864" w:themeColor="accent1"/>
          <w:bottom w:val="single" w:sz="8" w:space="0" w:color="1F3864" w:themeColor="accent1"/>
        </w:tcBorders>
      </w:tcPr>
    </w:tblStylePr>
    <w:tblStylePr w:type="firstCol">
      <w:rPr>
        <w:b/>
        <w:bCs/>
      </w:rPr>
    </w:tblStylePr>
    <w:tblStylePr w:type="lastCol">
      <w:rPr>
        <w:b/>
        <w:bCs/>
      </w:rPr>
      <w:tblPr/>
      <w:tcPr>
        <w:tcBorders>
          <w:top w:val="single" w:sz="8" w:space="0" w:color="1F3864" w:themeColor="accent1"/>
          <w:bottom w:val="single" w:sz="8" w:space="0" w:color="1F3864" w:themeColor="accent1"/>
        </w:tcBorders>
      </w:tcPr>
    </w:tblStylePr>
    <w:tblStylePr w:type="band1Vert">
      <w:tblPr/>
      <w:tcPr>
        <w:shd w:val="clear" w:color="auto" w:fill="B7C9E8" w:themeFill="accent1" w:themeFillTint="3F"/>
      </w:tcPr>
    </w:tblStylePr>
    <w:tblStylePr w:type="band1Horz">
      <w:tblPr/>
      <w:tcPr>
        <w:shd w:val="clear" w:color="auto" w:fill="B7C9E8" w:themeFill="accent1" w:themeFillTint="3F"/>
      </w:tcPr>
    </w:tblStylePr>
  </w:style>
  <w:style w:type="table" w:styleId="MediumList1-Accent2">
    <w:name w:val="Medium List 1 Accent 2"/>
    <w:basedOn w:val="TableNormal"/>
    <w:uiPriority w:val="65"/>
    <w:rsid w:val="00CB0664"/>
    <w:pPr>
      <w:spacing w:after="0" w:line="240" w:lineRule="auto"/>
    </w:pPr>
    <w:rPr>
      <w:color w:val="1A1A1A" w:themeColor="text1"/>
    </w:rPr>
    <w:tblPr>
      <w:tblStyleRowBandSize w:val="1"/>
      <w:tblStyleColBandSize w:val="1"/>
      <w:tblBorders>
        <w:top w:val="single" w:sz="8" w:space="0" w:color="595959" w:themeColor="accent2"/>
        <w:bottom w:val="single" w:sz="8" w:space="0" w:color="595959" w:themeColor="accent2"/>
      </w:tblBorders>
    </w:tblPr>
    <w:tblStylePr w:type="firstRow">
      <w:rPr>
        <w:rFonts w:asciiTheme="majorHAnsi" w:eastAsiaTheme="majorEastAsia" w:hAnsiTheme="majorHAnsi" w:cstheme="majorBidi"/>
      </w:rPr>
      <w:tblPr/>
      <w:tcPr>
        <w:tcBorders>
          <w:top w:val="nil"/>
          <w:bottom w:val="single" w:sz="8" w:space="0" w:color="595959" w:themeColor="accent2"/>
        </w:tcBorders>
      </w:tcPr>
    </w:tblStylePr>
    <w:tblStylePr w:type="lastRow">
      <w:rPr>
        <w:b/>
        <w:bCs/>
        <w:color w:val="1F3864" w:themeColor="text2"/>
      </w:rPr>
      <w:tblPr/>
      <w:tcPr>
        <w:tcBorders>
          <w:top w:val="single" w:sz="8" w:space="0" w:color="595959" w:themeColor="accent2"/>
          <w:bottom w:val="single" w:sz="8" w:space="0" w:color="595959" w:themeColor="accent2"/>
        </w:tcBorders>
      </w:tcPr>
    </w:tblStylePr>
    <w:tblStylePr w:type="firstCol">
      <w:rPr>
        <w:b/>
        <w:bCs/>
      </w:rPr>
    </w:tblStylePr>
    <w:tblStylePr w:type="lastCol">
      <w:rPr>
        <w:b/>
        <w:bCs/>
      </w:rPr>
      <w:tblPr/>
      <w:tcPr>
        <w:tcBorders>
          <w:top w:val="single" w:sz="8" w:space="0" w:color="595959" w:themeColor="accent2"/>
          <w:bottom w:val="single" w:sz="8" w:space="0" w:color="595959" w:themeColor="accent2"/>
        </w:tcBorders>
      </w:tcPr>
    </w:tblStylePr>
    <w:tblStylePr w:type="band1Vert">
      <w:tblPr/>
      <w:tcPr>
        <w:shd w:val="clear" w:color="auto" w:fill="D5D5D5" w:themeFill="accent2" w:themeFillTint="3F"/>
      </w:tcPr>
    </w:tblStylePr>
    <w:tblStylePr w:type="band1Horz">
      <w:tblPr/>
      <w:tcPr>
        <w:shd w:val="clear" w:color="auto" w:fill="D5D5D5" w:themeFill="accent2" w:themeFillTint="3F"/>
      </w:tcPr>
    </w:tblStylePr>
  </w:style>
  <w:style w:type="table" w:styleId="MediumList1-Accent3">
    <w:name w:val="Medium List 1 Accent 3"/>
    <w:basedOn w:val="TableNormal"/>
    <w:uiPriority w:val="65"/>
    <w:rsid w:val="00CB0664"/>
    <w:pPr>
      <w:spacing w:after="0" w:line="240" w:lineRule="auto"/>
    </w:pPr>
    <w:rPr>
      <w:color w:val="1A1A1A" w:themeColor="text1"/>
    </w:rPr>
    <w:tblPr>
      <w:tblStyleRowBandSize w:val="1"/>
      <w:tblStyleColBandSize w:val="1"/>
      <w:tblBorders>
        <w:top w:val="single" w:sz="8" w:space="0" w:color="1F3864" w:themeColor="accent3"/>
        <w:bottom w:val="single" w:sz="8" w:space="0" w:color="1F3864" w:themeColor="accent3"/>
      </w:tblBorders>
    </w:tblPr>
    <w:tblStylePr w:type="firstRow">
      <w:rPr>
        <w:rFonts w:asciiTheme="majorHAnsi" w:eastAsiaTheme="majorEastAsia" w:hAnsiTheme="majorHAnsi" w:cstheme="majorBidi"/>
      </w:rPr>
      <w:tblPr/>
      <w:tcPr>
        <w:tcBorders>
          <w:top w:val="nil"/>
          <w:bottom w:val="single" w:sz="8" w:space="0" w:color="1F3864" w:themeColor="accent3"/>
        </w:tcBorders>
      </w:tcPr>
    </w:tblStylePr>
    <w:tblStylePr w:type="lastRow">
      <w:rPr>
        <w:b/>
        <w:bCs/>
        <w:color w:val="1F3864" w:themeColor="text2"/>
      </w:rPr>
      <w:tblPr/>
      <w:tcPr>
        <w:tcBorders>
          <w:top w:val="single" w:sz="8" w:space="0" w:color="1F3864" w:themeColor="accent3"/>
          <w:bottom w:val="single" w:sz="8" w:space="0" w:color="1F3864" w:themeColor="accent3"/>
        </w:tcBorders>
      </w:tcPr>
    </w:tblStylePr>
    <w:tblStylePr w:type="firstCol">
      <w:rPr>
        <w:b/>
        <w:bCs/>
      </w:rPr>
    </w:tblStylePr>
    <w:tblStylePr w:type="lastCol">
      <w:rPr>
        <w:b/>
        <w:bCs/>
      </w:rPr>
      <w:tblPr/>
      <w:tcPr>
        <w:tcBorders>
          <w:top w:val="single" w:sz="8" w:space="0" w:color="1F3864" w:themeColor="accent3"/>
          <w:bottom w:val="single" w:sz="8" w:space="0" w:color="1F3864" w:themeColor="accent3"/>
        </w:tcBorders>
      </w:tcPr>
    </w:tblStylePr>
    <w:tblStylePr w:type="band1Vert">
      <w:tblPr/>
      <w:tcPr>
        <w:shd w:val="clear" w:color="auto" w:fill="B7C9E8" w:themeFill="accent3" w:themeFillTint="3F"/>
      </w:tcPr>
    </w:tblStylePr>
    <w:tblStylePr w:type="band1Horz">
      <w:tblPr/>
      <w:tcPr>
        <w:shd w:val="clear" w:color="auto" w:fill="B7C9E8" w:themeFill="accent3" w:themeFillTint="3F"/>
      </w:tcPr>
    </w:tblStylePr>
  </w:style>
  <w:style w:type="table" w:styleId="MediumList1-Accent4">
    <w:name w:val="Medium List 1 Accent 4"/>
    <w:basedOn w:val="TableNormal"/>
    <w:uiPriority w:val="65"/>
    <w:rsid w:val="00CB0664"/>
    <w:pPr>
      <w:spacing w:after="0" w:line="240" w:lineRule="auto"/>
    </w:pPr>
    <w:rPr>
      <w:color w:val="1A1A1A" w:themeColor="text1"/>
    </w:rPr>
    <w:tblPr>
      <w:tblStyleRowBandSize w:val="1"/>
      <w:tblStyleColBandSize w:val="1"/>
      <w:tblBorders>
        <w:top w:val="single" w:sz="8" w:space="0" w:color="1F3864" w:themeColor="accent4"/>
        <w:bottom w:val="single" w:sz="8" w:space="0" w:color="1F3864" w:themeColor="accent4"/>
      </w:tblBorders>
    </w:tblPr>
    <w:tblStylePr w:type="firstRow">
      <w:rPr>
        <w:rFonts w:asciiTheme="majorHAnsi" w:eastAsiaTheme="majorEastAsia" w:hAnsiTheme="majorHAnsi" w:cstheme="majorBidi"/>
      </w:rPr>
      <w:tblPr/>
      <w:tcPr>
        <w:tcBorders>
          <w:top w:val="nil"/>
          <w:bottom w:val="single" w:sz="8" w:space="0" w:color="1F3864" w:themeColor="accent4"/>
        </w:tcBorders>
      </w:tcPr>
    </w:tblStylePr>
    <w:tblStylePr w:type="lastRow">
      <w:rPr>
        <w:b/>
        <w:bCs/>
        <w:color w:val="1F3864" w:themeColor="text2"/>
      </w:rPr>
      <w:tblPr/>
      <w:tcPr>
        <w:tcBorders>
          <w:top w:val="single" w:sz="8" w:space="0" w:color="1F3864" w:themeColor="accent4"/>
          <w:bottom w:val="single" w:sz="8" w:space="0" w:color="1F3864" w:themeColor="accent4"/>
        </w:tcBorders>
      </w:tcPr>
    </w:tblStylePr>
    <w:tblStylePr w:type="firstCol">
      <w:rPr>
        <w:b/>
        <w:bCs/>
      </w:rPr>
    </w:tblStylePr>
    <w:tblStylePr w:type="lastCol">
      <w:rPr>
        <w:b/>
        <w:bCs/>
      </w:rPr>
      <w:tblPr/>
      <w:tcPr>
        <w:tcBorders>
          <w:top w:val="single" w:sz="8" w:space="0" w:color="1F3864" w:themeColor="accent4"/>
          <w:bottom w:val="single" w:sz="8" w:space="0" w:color="1F3864" w:themeColor="accent4"/>
        </w:tcBorders>
      </w:tcPr>
    </w:tblStylePr>
    <w:tblStylePr w:type="band1Vert">
      <w:tblPr/>
      <w:tcPr>
        <w:shd w:val="clear" w:color="auto" w:fill="B7C9E8" w:themeFill="accent4" w:themeFillTint="3F"/>
      </w:tcPr>
    </w:tblStylePr>
    <w:tblStylePr w:type="band1Horz">
      <w:tblPr/>
      <w:tcPr>
        <w:shd w:val="clear" w:color="auto" w:fill="B7C9E8" w:themeFill="accent4" w:themeFillTint="3F"/>
      </w:tcPr>
    </w:tblStylePr>
  </w:style>
  <w:style w:type="table" w:styleId="MediumList1-Accent5">
    <w:name w:val="Medium List 1 Accent 5"/>
    <w:basedOn w:val="TableNormal"/>
    <w:uiPriority w:val="65"/>
    <w:rsid w:val="00CB0664"/>
    <w:pPr>
      <w:spacing w:after="0" w:line="240" w:lineRule="auto"/>
    </w:pPr>
    <w:rPr>
      <w:color w:val="1A1A1A" w:themeColor="text1"/>
    </w:rPr>
    <w:tblPr>
      <w:tblStyleRowBandSize w:val="1"/>
      <w:tblStyleColBandSize w:val="1"/>
      <w:tblBorders>
        <w:top w:val="single" w:sz="8" w:space="0" w:color="1F3864" w:themeColor="accent5"/>
        <w:bottom w:val="single" w:sz="8" w:space="0" w:color="1F3864" w:themeColor="accent5"/>
      </w:tblBorders>
    </w:tblPr>
    <w:tblStylePr w:type="firstRow">
      <w:rPr>
        <w:rFonts w:asciiTheme="majorHAnsi" w:eastAsiaTheme="majorEastAsia" w:hAnsiTheme="majorHAnsi" w:cstheme="majorBidi"/>
      </w:rPr>
      <w:tblPr/>
      <w:tcPr>
        <w:tcBorders>
          <w:top w:val="nil"/>
          <w:bottom w:val="single" w:sz="8" w:space="0" w:color="1F3864" w:themeColor="accent5"/>
        </w:tcBorders>
      </w:tcPr>
    </w:tblStylePr>
    <w:tblStylePr w:type="lastRow">
      <w:rPr>
        <w:b/>
        <w:bCs/>
        <w:color w:val="1F3864" w:themeColor="text2"/>
      </w:rPr>
      <w:tblPr/>
      <w:tcPr>
        <w:tcBorders>
          <w:top w:val="single" w:sz="8" w:space="0" w:color="1F3864" w:themeColor="accent5"/>
          <w:bottom w:val="single" w:sz="8" w:space="0" w:color="1F3864" w:themeColor="accent5"/>
        </w:tcBorders>
      </w:tcPr>
    </w:tblStylePr>
    <w:tblStylePr w:type="firstCol">
      <w:rPr>
        <w:b/>
        <w:bCs/>
      </w:rPr>
    </w:tblStylePr>
    <w:tblStylePr w:type="lastCol">
      <w:rPr>
        <w:b/>
        <w:bCs/>
      </w:rPr>
      <w:tblPr/>
      <w:tcPr>
        <w:tcBorders>
          <w:top w:val="single" w:sz="8" w:space="0" w:color="1F3864" w:themeColor="accent5"/>
          <w:bottom w:val="single" w:sz="8" w:space="0" w:color="1F3864" w:themeColor="accent5"/>
        </w:tcBorders>
      </w:tcPr>
    </w:tblStylePr>
    <w:tblStylePr w:type="band1Vert">
      <w:tblPr/>
      <w:tcPr>
        <w:shd w:val="clear" w:color="auto" w:fill="B7C9E8" w:themeFill="accent5" w:themeFillTint="3F"/>
      </w:tcPr>
    </w:tblStylePr>
    <w:tblStylePr w:type="band1Horz">
      <w:tblPr/>
      <w:tcPr>
        <w:shd w:val="clear" w:color="auto" w:fill="B7C9E8" w:themeFill="accent5" w:themeFillTint="3F"/>
      </w:tcPr>
    </w:tblStylePr>
  </w:style>
  <w:style w:type="table" w:styleId="MediumList1-Accent6">
    <w:name w:val="Medium List 1 Accent 6"/>
    <w:basedOn w:val="TableNormal"/>
    <w:uiPriority w:val="65"/>
    <w:rsid w:val="00CB0664"/>
    <w:pPr>
      <w:spacing w:after="0" w:line="240" w:lineRule="auto"/>
    </w:pPr>
    <w:rPr>
      <w:color w:val="1A1A1A" w:themeColor="text1"/>
    </w:rPr>
    <w:tblPr>
      <w:tblStyleRowBandSize w:val="1"/>
      <w:tblStyleColBandSize w:val="1"/>
      <w:tblBorders>
        <w:top w:val="single" w:sz="8" w:space="0" w:color="1F3864" w:themeColor="accent6"/>
        <w:bottom w:val="single" w:sz="8" w:space="0" w:color="1F3864" w:themeColor="accent6"/>
      </w:tblBorders>
    </w:tblPr>
    <w:tblStylePr w:type="firstRow">
      <w:rPr>
        <w:rFonts w:asciiTheme="majorHAnsi" w:eastAsiaTheme="majorEastAsia" w:hAnsiTheme="majorHAnsi" w:cstheme="majorBidi"/>
      </w:rPr>
      <w:tblPr/>
      <w:tcPr>
        <w:tcBorders>
          <w:top w:val="nil"/>
          <w:bottom w:val="single" w:sz="8" w:space="0" w:color="1F3864" w:themeColor="accent6"/>
        </w:tcBorders>
      </w:tcPr>
    </w:tblStylePr>
    <w:tblStylePr w:type="lastRow">
      <w:rPr>
        <w:b/>
        <w:bCs/>
        <w:color w:val="1F3864" w:themeColor="text2"/>
      </w:rPr>
      <w:tblPr/>
      <w:tcPr>
        <w:tcBorders>
          <w:top w:val="single" w:sz="8" w:space="0" w:color="1F3864" w:themeColor="accent6"/>
          <w:bottom w:val="single" w:sz="8" w:space="0" w:color="1F3864" w:themeColor="accent6"/>
        </w:tcBorders>
      </w:tcPr>
    </w:tblStylePr>
    <w:tblStylePr w:type="firstCol">
      <w:rPr>
        <w:b/>
        <w:bCs/>
      </w:rPr>
    </w:tblStylePr>
    <w:tblStylePr w:type="lastCol">
      <w:rPr>
        <w:b/>
        <w:bCs/>
      </w:rPr>
      <w:tblPr/>
      <w:tcPr>
        <w:tcBorders>
          <w:top w:val="single" w:sz="8" w:space="0" w:color="1F3864" w:themeColor="accent6"/>
          <w:bottom w:val="single" w:sz="8" w:space="0" w:color="1F3864" w:themeColor="accent6"/>
        </w:tcBorders>
      </w:tcPr>
    </w:tblStylePr>
    <w:tblStylePr w:type="band1Vert">
      <w:tblPr/>
      <w:tcPr>
        <w:shd w:val="clear" w:color="auto" w:fill="B7C9E8" w:themeFill="accent6" w:themeFillTint="3F"/>
      </w:tcPr>
    </w:tblStylePr>
    <w:tblStylePr w:type="band1Horz">
      <w:tblPr/>
      <w:tcPr>
        <w:shd w:val="clear" w:color="auto" w:fill="B7C9E8"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A1A1A" w:themeColor="text1"/>
        <w:left w:val="single" w:sz="8" w:space="0" w:color="1A1A1A" w:themeColor="text1"/>
        <w:bottom w:val="single" w:sz="8" w:space="0" w:color="1A1A1A" w:themeColor="text1"/>
        <w:right w:val="single" w:sz="8" w:space="0" w:color="1A1A1A" w:themeColor="text1"/>
      </w:tblBorders>
    </w:tblPr>
    <w:tblStylePr w:type="firstRow">
      <w:rPr>
        <w:sz w:val="24"/>
        <w:szCs w:val="24"/>
      </w:rPr>
      <w:tblPr/>
      <w:tcPr>
        <w:tcBorders>
          <w:top w:val="nil"/>
          <w:left w:val="nil"/>
          <w:bottom w:val="single" w:sz="24" w:space="0" w:color="1A1A1A" w:themeColor="text1"/>
          <w:right w:val="nil"/>
          <w:insideH w:val="nil"/>
          <w:insideV w:val="nil"/>
        </w:tcBorders>
        <w:shd w:val="clear" w:color="auto" w:fill="FFFFFF" w:themeFill="background1"/>
      </w:tcPr>
    </w:tblStylePr>
    <w:tblStylePr w:type="lastRow">
      <w:tblPr/>
      <w:tcPr>
        <w:tcBorders>
          <w:top w:val="single" w:sz="8" w:space="0" w:color="1A1A1A"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1A1A" w:themeColor="text1"/>
          <w:insideH w:val="nil"/>
          <w:insideV w:val="nil"/>
        </w:tcBorders>
        <w:shd w:val="clear" w:color="auto" w:fill="FFFFFF" w:themeFill="background1"/>
      </w:tcPr>
    </w:tblStylePr>
    <w:tblStylePr w:type="lastCol">
      <w:tblPr/>
      <w:tcPr>
        <w:tcBorders>
          <w:top w:val="nil"/>
          <w:left w:val="single" w:sz="8" w:space="0" w:color="1A1A1A"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6C6C6" w:themeFill="text1" w:themeFillTint="3F"/>
      </w:tcPr>
    </w:tblStylePr>
    <w:tblStylePr w:type="band1Horz">
      <w:tblPr/>
      <w:tcPr>
        <w:tcBorders>
          <w:top w:val="nil"/>
          <w:bottom w:val="nil"/>
          <w:insideH w:val="nil"/>
          <w:insideV w:val="nil"/>
        </w:tcBorders>
        <w:shd w:val="clear" w:color="auto" w:fill="C6C6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F3864" w:themeColor="accent1"/>
        <w:left w:val="single" w:sz="8" w:space="0" w:color="1F3864" w:themeColor="accent1"/>
        <w:bottom w:val="single" w:sz="8" w:space="0" w:color="1F3864" w:themeColor="accent1"/>
        <w:right w:val="single" w:sz="8" w:space="0" w:color="1F3864" w:themeColor="accent1"/>
      </w:tblBorders>
    </w:tblPr>
    <w:tblStylePr w:type="firstRow">
      <w:rPr>
        <w:sz w:val="24"/>
        <w:szCs w:val="24"/>
      </w:rPr>
      <w:tblPr/>
      <w:tcPr>
        <w:tcBorders>
          <w:top w:val="nil"/>
          <w:left w:val="nil"/>
          <w:bottom w:val="single" w:sz="24" w:space="0" w:color="1F3864" w:themeColor="accent1"/>
          <w:right w:val="nil"/>
          <w:insideH w:val="nil"/>
          <w:insideV w:val="nil"/>
        </w:tcBorders>
        <w:shd w:val="clear" w:color="auto" w:fill="FFFFFF" w:themeFill="background1"/>
      </w:tcPr>
    </w:tblStylePr>
    <w:tblStylePr w:type="lastRow">
      <w:tblPr/>
      <w:tcPr>
        <w:tcBorders>
          <w:top w:val="single" w:sz="8" w:space="0" w:color="1F386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F3864" w:themeColor="accent1"/>
          <w:insideH w:val="nil"/>
          <w:insideV w:val="nil"/>
        </w:tcBorders>
        <w:shd w:val="clear" w:color="auto" w:fill="FFFFFF" w:themeFill="background1"/>
      </w:tcPr>
    </w:tblStylePr>
    <w:tblStylePr w:type="lastCol">
      <w:tblPr/>
      <w:tcPr>
        <w:tcBorders>
          <w:top w:val="nil"/>
          <w:left w:val="single" w:sz="8" w:space="0" w:color="1F386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C9E8" w:themeFill="accent1" w:themeFillTint="3F"/>
      </w:tcPr>
    </w:tblStylePr>
    <w:tblStylePr w:type="band1Horz">
      <w:tblPr/>
      <w:tcPr>
        <w:tcBorders>
          <w:top w:val="nil"/>
          <w:bottom w:val="nil"/>
          <w:insideH w:val="nil"/>
          <w:insideV w:val="nil"/>
        </w:tcBorders>
        <w:shd w:val="clear" w:color="auto" w:fill="B7C9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595959" w:themeColor="accent2"/>
        <w:left w:val="single" w:sz="8" w:space="0" w:color="595959" w:themeColor="accent2"/>
        <w:bottom w:val="single" w:sz="8" w:space="0" w:color="595959" w:themeColor="accent2"/>
        <w:right w:val="single" w:sz="8" w:space="0" w:color="595959" w:themeColor="accent2"/>
      </w:tblBorders>
    </w:tblPr>
    <w:tblStylePr w:type="firstRow">
      <w:rPr>
        <w:sz w:val="24"/>
        <w:szCs w:val="24"/>
      </w:rPr>
      <w:tblPr/>
      <w:tcPr>
        <w:tcBorders>
          <w:top w:val="nil"/>
          <w:left w:val="nil"/>
          <w:bottom w:val="single" w:sz="24" w:space="0" w:color="595959" w:themeColor="accent2"/>
          <w:right w:val="nil"/>
          <w:insideH w:val="nil"/>
          <w:insideV w:val="nil"/>
        </w:tcBorders>
        <w:shd w:val="clear" w:color="auto" w:fill="FFFFFF" w:themeFill="background1"/>
      </w:tcPr>
    </w:tblStylePr>
    <w:tblStylePr w:type="lastRow">
      <w:tblPr/>
      <w:tcPr>
        <w:tcBorders>
          <w:top w:val="single" w:sz="8" w:space="0" w:color="59595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2"/>
          <w:insideH w:val="nil"/>
          <w:insideV w:val="nil"/>
        </w:tcBorders>
        <w:shd w:val="clear" w:color="auto" w:fill="FFFFFF" w:themeFill="background1"/>
      </w:tcPr>
    </w:tblStylePr>
    <w:tblStylePr w:type="lastCol">
      <w:tblPr/>
      <w:tcPr>
        <w:tcBorders>
          <w:top w:val="nil"/>
          <w:left w:val="single" w:sz="8" w:space="0" w:color="59595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2" w:themeFillTint="3F"/>
      </w:tcPr>
    </w:tblStylePr>
    <w:tblStylePr w:type="band1Horz">
      <w:tblPr/>
      <w:tcPr>
        <w:tcBorders>
          <w:top w:val="nil"/>
          <w:bottom w:val="nil"/>
          <w:insideH w:val="nil"/>
          <w:insideV w:val="nil"/>
        </w:tcBorders>
        <w:shd w:val="clear" w:color="auto" w:fill="D5D5D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F3864" w:themeColor="accent3"/>
        <w:left w:val="single" w:sz="8" w:space="0" w:color="1F3864" w:themeColor="accent3"/>
        <w:bottom w:val="single" w:sz="8" w:space="0" w:color="1F3864" w:themeColor="accent3"/>
        <w:right w:val="single" w:sz="8" w:space="0" w:color="1F3864" w:themeColor="accent3"/>
      </w:tblBorders>
    </w:tblPr>
    <w:tblStylePr w:type="firstRow">
      <w:rPr>
        <w:sz w:val="24"/>
        <w:szCs w:val="24"/>
      </w:rPr>
      <w:tblPr/>
      <w:tcPr>
        <w:tcBorders>
          <w:top w:val="nil"/>
          <w:left w:val="nil"/>
          <w:bottom w:val="single" w:sz="24" w:space="0" w:color="1F3864" w:themeColor="accent3"/>
          <w:right w:val="nil"/>
          <w:insideH w:val="nil"/>
          <w:insideV w:val="nil"/>
        </w:tcBorders>
        <w:shd w:val="clear" w:color="auto" w:fill="FFFFFF" w:themeFill="background1"/>
      </w:tcPr>
    </w:tblStylePr>
    <w:tblStylePr w:type="lastRow">
      <w:tblPr/>
      <w:tcPr>
        <w:tcBorders>
          <w:top w:val="single" w:sz="8" w:space="0" w:color="1F386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F3864" w:themeColor="accent3"/>
          <w:insideH w:val="nil"/>
          <w:insideV w:val="nil"/>
        </w:tcBorders>
        <w:shd w:val="clear" w:color="auto" w:fill="FFFFFF" w:themeFill="background1"/>
      </w:tcPr>
    </w:tblStylePr>
    <w:tblStylePr w:type="lastCol">
      <w:tblPr/>
      <w:tcPr>
        <w:tcBorders>
          <w:top w:val="nil"/>
          <w:left w:val="single" w:sz="8" w:space="0" w:color="1F386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C9E8" w:themeFill="accent3" w:themeFillTint="3F"/>
      </w:tcPr>
    </w:tblStylePr>
    <w:tblStylePr w:type="band1Horz">
      <w:tblPr/>
      <w:tcPr>
        <w:tcBorders>
          <w:top w:val="nil"/>
          <w:bottom w:val="nil"/>
          <w:insideH w:val="nil"/>
          <w:insideV w:val="nil"/>
        </w:tcBorders>
        <w:shd w:val="clear" w:color="auto" w:fill="B7C9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F3864" w:themeColor="accent4"/>
        <w:left w:val="single" w:sz="8" w:space="0" w:color="1F3864" w:themeColor="accent4"/>
        <w:bottom w:val="single" w:sz="8" w:space="0" w:color="1F3864" w:themeColor="accent4"/>
        <w:right w:val="single" w:sz="8" w:space="0" w:color="1F3864" w:themeColor="accent4"/>
      </w:tblBorders>
    </w:tblPr>
    <w:tblStylePr w:type="firstRow">
      <w:rPr>
        <w:sz w:val="24"/>
        <w:szCs w:val="24"/>
      </w:rPr>
      <w:tblPr/>
      <w:tcPr>
        <w:tcBorders>
          <w:top w:val="nil"/>
          <w:left w:val="nil"/>
          <w:bottom w:val="single" w:sz="24" w:space="0" w:color="1F3864" w:themeColor="accent4"/>
          <w:right w:val="nil"/>
          <w:insideH w:val="nil"/>
          <w:insideV w:val="nil"/>
        </w:tcBorders>
        <w:shd w:val="clear" w:color="auto" w:fill="FFFFFF" w:themeFill="background1"/>
      </w:tcPr>
    </w:tblStylePr>
    <w:tblStylePr w:type="lastRow">
      <w:tblPr/>
      <w:tcPr>
        <w:tcBorders>
          <w:top w:val="single" w:sz="8" w:space="0" w:color="1F386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F3864" w:themeColor="accent4"/>
          <w:insideH w:val="nil"/>
          <w:insideV w:val="nil"/>
        </w:tcBorders>
        <w:shd w:val="clear" w:color="auto" w:fill="FFFFFF" w:themeFill="background1"/>
      </w:tcPr>
    </w:tblStylePr>
    <w:tblStylePr w:type="lastCol">
      <w:tblPr/>
      <w:tcPr>
        <w:tcBorders>
          <w:top w:val="nil"/>
          <w:left w:val="single" w:sz="8" w:space="0" w:color="1F386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C9E8" w:themeFill="accent4" w:themeFillTint="3F"/>
      </w:tcPr>
    </w:tblStylePr>
    <w:tblStylePr w:type="band1Horz">
      <w:tblPr/>
      <w:tcPr>
        <w:tcBorders>
          <w:top w:val="nil"/>
          <w:bottom w:val="nil"/>
          <w:insideH w:val="nil"/>
          <w:insideV w:val="nil"/>
        </w:tcBorders>
        <w:shd w:val="clear" w:color="auto" w:fill="B7C9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F3864" w:themeColor="accent5"/>
        <w:left w:val="single" w:sz="8" w:space="0" w:color="1F3864" w:themeColor="accent5"/>
        <w:bottom w:val="single" w:sz="8" w:space="0" w:color="1F3864" w:themeColor="accent5"/>
        <w:right w:val="single" w:sz="8" w:space="0" w:color="1F3864" w:themeColor="accent5"/>
      </w:tblBorders>
    </w:tblPr>
    <w:tblStylePr w:type="firstRow">
      <w:rPr>
        <w:sz w:val="24"/>
        <w:szCs w:val="24"/>
      </w:rPr>
      <w:tblPr/>
      <w:tcPr>
        <w:tcBorders>
          <w:top w:val="nil"/>
          <w:left w:val="nil"/>
          <w:bottom w:val="single" w:sz="24" w:space="0" w:color="1F3864" w:themeColor="accent5"/>
          <w:right w:val="nil"/>
          <w:insideH w:val="nil"/>
          <w:insideV w:val="nil"/>
        </w:tcBorders>
        <w:shd w:val="clear" w:color="auto" w:fill="FFFFFF" w:themeFill="background1"/>
      </w:tcPr>
    </w:tblStylePr>
    <w:tblStylePr w:type="lastRow">
      <w:tblPr/>
      <w:tcPr>
        <w:tcBorders>
          <w:top w:val="single" w:sz="8" w:space="0" w:color="1F38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F3864" w:themeColor="accent5"/>
          <w:insideH w:val="nil"/>
          <w:insideV w:val="nil"/>
        </w:tcBorders>
        <w:shd w:val="clear" w:color="auto" w:fill="FFFFFF" w:themeFill="background1"/>
      </w:tcPr>
    </w:tblStylePr>
    <w:tblStylePr w:type="lastCol">
      <w:tblPr/>
      <w:tcPr>
        <w:tcBorders>
          <w:top w:val="nil"/>
          <w:left w:val="single" w:sz="8" w:space="0" w:color="1F38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C9E8" w:themeFill="accent5" w:themeFillTint="3F"/>
      </w:tcPr>
    </w:tblStylePr>
    <w:tblStylePr w:type="band1Horz">
      <w:tblPr/>
      <w:tcPr>
        <w:tcBorders>
          <w:top w:val="nil"/>
          <w:bottom w:val="nil"/>
          <w:insideH w:val="nil"/>
          <w:insideV w:val="nil"/>
        </w:tcBorders>
        <w:shd w:val="clear" w:color="auto" w:fill="B7C9E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F3864" w:themeColor="accent6"/>
        <w:left w:val="single" w:sz="8" w:space="0" w:color="1F3864" w:themeColor="accent6"/>
        <w:bottom w:val="single" w:sz="8" w:space="0" w:color="1F3864" w:themeColor="accent6"/>
        <w:right w:val="single" w:sz="8" w:space="0" w:color="1F3864" w:themeColor="accent6"/>
      </w:tblBorders>
    </w:tblPr>
    <w:tblStylePr w:type="firstRow">
      <w:rPr>
        <w:sz w:val="24"/>
        <w:szCs w:val="24"/>
      </w:rPr>
      <w:tblPr/>
      <w:tcPr>
        <w:tcBorders>
          <w:top w:val="nil"/>
          <w:left w:val="nil"/>
          <w:bottom w:val="single" w:sz="24" w:space="0" w:color="1F3864" w:themeColor="accent6"/>
          <w:right w:val="nil"/>
          <w:insideH w:val="nil"/>
          <w:insideV w:val="nil"/>
        </w:tcBorders>
        <w:shd w:val="clear" w:color="auto" w:fill="FFFFFF" w:themeFill="background1"/>
      </w:tcPr>
    </w:tblStylePr>
    <w:tblStylePr w:type="lastRow">
      <w:tblPr/>
      <w:tcPr>
        <w:tcBorders>
          <w:top w:val="single" w:sz="8" w:space="0" w:color="1F386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F3864" w:themeColor="accent6"/>
          <w:insideH w:val="nil"/>
          <w:insideV w:val="nil"/>
        </w:tcBorders>
        <w:shd w:val="clear" w:color="auto" w:fill="FFFFFF" w:themeFill="background1"/>
      </w:tcPr>
    </w:tblStylePr>
    <w:tblStylePr w:type="lastCol">
      <w:tblPr/>
      <w:tcPr>
        <w:tcBorders>
          <w:top w:val="nil"/>
          <w:left w:val="single" w:sz="8" w:space="0" w:color="1F386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C9E8" w:themeFill="accent6" w:themeFillTint="3F"/>
      </w:tcPr>
    </w:tblStylePr>
    <w:tblStylePr w:type="band1Horz">
      <w:tblPr/>
      <w:tcPr>
        <w:tcBorders>
          <w:top w:val="nil"/>
          <w:bottom w:val="nil"/>
          <w:insideH w:val="nil"/>
          <w:insideV w:val="nil"/>
        </w:tcBorders>
        <w:shd w:val="clear" w:color="auto" w:fill="B7C9E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535353" w:themeColor="text1" w:themeTint="BF"/>
        <w:left w:val="single" w:sz="8" w:space="0" w:color="535353" w:themeColor="text1" w:themeTint="BF"/>
        <w:bottom w:val="single" w:sz="8" w:space="0" w:color="535353" w:themeColor="text1" w:themeTint="BF"/>
        <w:right w:val="single" w:sz="8" w:space="0" w:color="535353" w:themeColor="text1" w:themeTint="BF"/>
        <w:insideH w:val="single" w:sz="8" w:space="0" w:color="535353" w:themeColor="text1" w:themeTint="BF"/>
        <w:insideV w:val="single" w:sz="8" w:space="0" w:color="535353" w:themeColor="text1" w:themeTint="BF"/>
      </w:tblBorders>
    </w:tblPr>
    <w:tcPr>
      <w:shd w:val="clear" w:color="auto" w:fill="C6C6C6" w:themeFill="text1" w:themeFillTint="3F"/>
    </w:tcPr>
    <w:tblStylePr w:type="firstRow">
      <w:rPr>
        <w:b/>
        <w:bCs/>
      </w:rPr>
    </w:tblStylePr>
    <w:tblStylePr w:type="lastRow">
      <w:rPr>
        <w:b/>
        <w:bCs/>
      </w:rPr>
      <w:tblPr/>
      <w:tcPr>
        <w:tcBorders>
          <w:top w:val="single" w:sz="18" w:space="0" w:color="535353" w:themeColor="text1" w:themeTint="BF"/>
        </w:tcBorders>
      </w:tcPr>
    </w:tblStylePr>
    <w:tblStylePr w:type="firstCol">
      <w:rPr>
        <w:b/>
        <w:bCs/>
      </w:rPr>
    </w:tblStylePr>
    <w:tblStylePr w:type="lastCol">
      <w:rPr>
        <w:b/>
        <w:bCs/>
      </w:rPr>
    </w:tblStylePr>
    <w:tblStylePr w:type="band1Vert">
      <w:tblPr/>
      <w:tcPr>
        <w:shd w:val="clear" w:color="auto" w:fill="8C8C8C" w:themeFill="text1" w:themeFillTint="7F"/>
      </w:tcPr>
    </w:tblStylePr>
    <w:tblStylePr w:type="band1Horz">
      <w:tblPr/>
      <w:tcPr>
        <w:shd w:val="clear" w:color="auto" w:fill="8C8C8C"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3560AC" w:themeColor="accent1" w:themeTint="BF"/>
        <w:left w:val="single" w:sz="8" w:space="0" w:color="3560AC" w:themeColor="accent1" w:themeTint="BF"/>
        <w:bottom w:val="single" w:sz="8" w:space="0" w:color="3560AC" w:themeColor="accent1" w:themeTint="BF"/>
        <w:right w:val="single" w:sz="8" w:space="0" w:color="3560AC" w:themeColor="accent1" w:themeTint="BF"/>
        <w:insideH w:val="single" w:sz="8" w:space="0" w:color="3560AC" w:themeColor="accent1" w:themeTint="BF"/>
        <w:insideV w:val="single" w:sz="8" w:space="0" w:color="3560AC" w:themeColor="accent1" w:themeTint="BF"/>
      </w:tblBorders>
    </w:tblPr>
    <w:tcPr>
      <w:shd w:val="clear" w:color="auto" w:fill="B7C9E8" w:themeFill="accent1" w:themeFillTint="3F"/>
    </w:tcPr>
    <w:tblStylePr w:type="firstRow">
      <w:rPr>
        <w:b/>
        <w:bCs/>
      </w:rPr>
    </w:tblStylePr>
    <w:tblStylePr w:type="lastRow">
      <w:rPr>
        <w:b/>
        <w:bCs/>
      </w:rPr>
      <w:tblPr/>
      <w:tcPr>
        <w:tcBorders>
          <w:top w:val="single" w:sz="18" w:space="0" w:color="3560AC" w:themeColor="accent1" w:themeTint="BF"/>
        </w:tcBorders>
      </w:tcPr>
    </w:tblStylePr>
    <w:tblStylePr w:type="firstCol">
      <w:rPr>
        <w:b/>
        <w:bCs/>
      </w:rPr>
    </w:tblStylePr>
    <w:tblStylePr w:type="lastCol">
      <w:rPr>
        <w:b/>
        <w:bCs/>
      </w:rPr>
    </w:tblStylePr>
    <w:tblStylePr w:type="band1Vert">
      <w:tblPr/>
      <w:tcPr>
        <w:shd w:val="clear" w:color="auto" w:fill="6E92D2" w:themeFill="accent1" w:themeFillTint="7F"/>
      </w:tcPr>
    </w:tblStylePr>
    <w:tblStylePr w:type="band1Horz">
      <w:tblPr/>
      <w:tcPr>
        <w:shd w:val="clear" w:color="auto" w:fill="6E92D2"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828282" w:themeColor="accent2" w:themeTint="BF"/>
        <w:left w:val="single" w:sz="8" w:space="0" w:color="828282" w:themeColor="accent2" w:themeTint="BF"/>
        <w:bottom w:val="single" w:sz="8" w:space="0" w:color="828282" w:themeColor="accent2" w:themeTint="BF"/>
        <w:right w:val="single" w:sz="8" w:space="0" w:color="828282" w:themeColor="accent2" w:themeTint="BF"/>
        <w:insideH w:val="single" w:sz="8" w:space="0" w:color="828282" w:themeColor="accent2" w:themeTint="BF"/>
        <w:insideV w:val="single" w:sz="8" w:space="0" w:color="828282" w:themeColor="accent2" w:themeTint="BF"/>
      </w:tblBorders>
    </w:tblPr>
    <w:tcPr>
      <w:shd w:val="clear" w:color="auto" w:fill="D5D5D5" w:themeFill="accent2" w:themeFillTint="3F"/>
    </w:tcPr>
    <w:tblStylePr w:type="firstRow">
      <w:rPr>
        <w:b/>
        <w:bCs/>
      </w:rPr>
    </w:tblStylePr>
    <w:tblStylePr w:type="lastRow">
      <w:rPr>
        <w:b/>
        <w:bCs/>
      </w:rPr>
      <w:tblPr/>
      <w:tcPr>
        <w:tcBorders>
          <w:top w:val="single" w:sz="18" w:space="0" w:color="828282" w:themeColor="accent2" w:themeTint="BF"/>
        </w:tcBorders>
      </w:tcPr>
    </w:tblStylePr>
    <w:tblStylePr w:type="firstCol">
      <w:rPr>
        <w:b/>
        <w:bCs/>
      </w:rPr>
    </w:tblStylePr>
    <w:tblStylePr w:type="lastCol">
      <w:rPr>
        <w:b/>
        <w:bCs/>
      </w:rPr>
    </w:tblStylePr>
    <w:tblStylePr w:type="band1Vert">
      <w:tblPr/>
      <w:tcPr>
        <w:shd w:val="clear" w:color="auto" w:fill="ACACAC" w:themeFill="accent2" w:themeFillTint="7F"/>
      </w:tcPr>
    </w:tblStylePr>
    <w:tblStylePr w:type="band1Horz">
      <w:tblPr/>
      <w:tcPr>
        <w:shd w:val="clear" w:color="auto" w:fill="ACACAC"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3560AC" w:themeColor="accent3" w:themeTint="BF"/>
        <w:left w:val="single" w:sz="8" w:space="0" w:color="3560AC" w:themeColor="accent3" w:themeTint="BF"/>
        <w:bottom w:val="single" w:sz="8" w:space="0" w:color="3560AC" w:themeColor="accent3" w:themeTint="BF"/>
        <w:right w:val="single" w:sz="8" w:space="0" w:color="3560AC" w:themeColor="accent3" w:themeTint="BF"/>
        <w:insideH w:val="single" w:sz="8" w:space="0" w:color="3560AC" w:themeColor="accent3" w:themeTint="BF"/>
        <w:insideV w:val="single" w:sz="8" w:space="0" w:color="3560AC" w:themeColor="accent3" w:themeTint="BF"/>
      </w:tblBorders>
    </w:tblPr>
    <w:tcPr>
      <w:shd w:val="clear" w:color="auto" w:fill="B7C9E8" w:themeFill="accent3" w:themeFillTint="3F"/>
    </w:tcPr>
    <w:tblStylePr w:type="firstRow">
      <w:rPr>
        <w:b/>
        <w:bCs/>
      </w:rPr>
    </w:tblStylePr>
    <w:tblStylePr w:type="lastRow">
      <w:rPr>
        <w:b/>
        <w:bCs/>
      </w:rPr>
      <w:tblPr/>
      <w:tcPr>
        <w:tcBorders>
          <w:top w:val="single" w:sz="18" w:space="0" w:color="3560AC" w:themeColor="accent3" w:themeTint="BF"/>
        </w:tcBorders>
      </w:tcPr>
    </w:tblStylePr>
    <w:tblStylePr w:type="firstCol">
      <w:rPr>
        <w:b/>
        <w:bCs/>
      </w:rPr>
    </w:tblStylePr>
    <w:tblStylePr w:type="lastCol">
      <w:rPr>
        <w:b/>
        <w:bCs/>
      </w:rPr>
    </w:tblStylePr>
    <w:tblStylePr w:type="band1Vert">
      <w:tblPr/>
      <w:tcPr>
        <w:shd w:val="clear" w:color="auto" w:fill="6E92D2" w:themeFill="accent3" w:themeFillTint="7F"/>
      </w:tcPr>
    </w:tblStylePr>
    <w:tblStylePr w:type="band1Horz">
      <w:tblPr/>
      <w:tcPr>
        <w:shd w:val="clear" w:color="auto" w:fill="6E9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560AC" w:themeColor="accent4" w:themeTint="BF"/>
        <w:left w:val="single" w:sz="8" w:space="0" w:color="3560AC" w:themeColor="accent4" w:themeTint="BF"/>
        <w:bottom w:val="single" w:sz="8" w:space="0" w:color="3560AC" w:themeColor="accent4" w:themeTint="BF"/>
        <w:right w:val="single" w:sz="8" w:space="0" w:color="3560AC" w:themeColor="accent4" w:themeTint="BF"/>
        <w:insideH w:val="single" w:sz="8" w:space="0" w:color="3560AC" w:themeColor="accent4" w:themeTint="BF"/>
        <w:insideV w:val="single" w:sz="8" w:space="0" w:color="3560AC" w:themeColor="accent4" w:themeTint="BF"/>
      </w:tblBorders>
    </w:tblPr>
    <w:tcPr>
      <w:shd w:val="clear" w:color="auto" w:fill="B7C9E8" w:themeFill="accent4" w:themeFillTint="3F"/>
    </w:tcPr>
    <w:tblStylePr w:type="firstRow">
      <w:rPr>
        <w:b/>
        <w:bCs/>
      </w:rPr>
    </w:tblStylePr>
    <w:tblStylePr w:type="lastRow">
      <w:rPr>
        <w:b/>
        <w:bCs/>
      </w:rPr>
      <w:tblPr/>
      <w:tcPr>
        <w:tcBorders>
          <w:top w:val="single" w:sz="18" w:space="0" w:color="3560AC" w:themeColor="accent4" w:themeTint="BF"/>
        </w:tcBorders>
      </w:tcPr>
    </w:tblStylePr>
    <w:tblStylePr w:type="firstCol">
      <w:rPr>
        <w:b/>
        <w:bCs/>
      </w:rPr>
    </w:tblStylePr>
    <w:tblStylePr w:type="lastCol">
      <w:rPr>
        <w:b/>
        <w:bCs/>
      </w:rPr>
    </w:tblStylePr>
    <w:tblStylePr w:type="band1Vert">
      <w:tblPr/>
      <w:tcPr>
        <w:shd w:val="clear" w:color="auto" w:fill="6E92D2" w:themeFill="accent4" w:themeFillTint="7F"/>
      </w:tcPr>
    </w:tblStylePr>
    <w:tblStylePr w:type="band1Horz">
      <w:tblPr/>
      <w:tcPr>
        <w:shd w:val="clear" w:color="auto" w:fill="6E92D2"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3560AC" w:themeColor="accent5" w:themeTint="BF"/>
        <w:left w:val="single" w:sz="8" w:space="0" w:color="3560AC" w:themeColor="accent5" w:themeTint="BF"/>
        <w:bottom w:val="single" w:sz="8" w:space="0" w:color="3560AC" w:themeColor="accent5" w:themeTint="BF"/>
        <w:right w:val="single" w:sz="8" w:space="0" w:color="3560AC" w:themeColor="accent5" w:themeTint="BF"/>
        <w:insideH w:val="single" w:sz="8" w:space="0" w:color="3560AC" w:themeColor="accent5" w:themeTint="BF"/>
        <w:insideV w:val="single" w:sz="8" w:space="0" w:color="3560AC" w:themeColor="accent5" w:themeTint="BF"/>
      </w:tblBorders>
    </w:tblPr>
    <w:tcPr>
      <w:shd w:val="clear" w:color="auto" w:fill="B7C9E8" w:themeFill="accent5" w:themeFillTint="3F"/>
    </w:tcPr>
    <w:tblStylePr w:type="firstRow">
      <w:rPr>
        <w:b/>
        <w:bCs/>
      </w:rPr>
    </w:tblStylePr>
    <w:tblStylePr w:type="lastRow">
      <w:rPr>
        <w:b/>
        <w:bCs/>
      </w:rPr>
      <w:tblPr/>
      <w:tcPr>
        <w:tcBorders>
          <w:top w:val="single" w:sz="18" w:space="0" w:color="3560AC" w:themeColor="accent5" w:themeTint="BF"/>
        </w:tcBorders>
      </w:tcPr>
    </w:tblStylePr>
    <w:tblStylePr w:type="firstCol">
      <w:rPr>
        <w:b/>
        <w:bCs/>
      </w:rPr>
    </w:tblStylePr>
    <w:tblStylePr w:type="lastCol">
      <w:rPr>
        <w:b/>
        <w:bCs/>
      </w:rPr>
    </w:tblStylePr>
    <w:tblStylePr w:type="band1Vert">
      <w:tblPr/>
      <w:tcPr>
        <w:shd w:val="clear" w:color="auto" w:fill="6E92D2" w:themeFill="accent5" w:themeFillTint="7F"/>
      </w:tcPr>
    </w:tblStylePr>
    <w:tblStylePr w:type="band1Horz">
      <w:tblPr/>
      <w:tcPr>
        <w:shd w:val="clear" w:color="auto" w:fill="6E92D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3560AC" w:themeColor="accent6" w:themeTint="BF"/>
        <w:left w:val="single" w:sz="8" w:space="0" w:color="3560AC" w:themeColor="accent6" w:themeTint="BF"/>
        <w:bottom w:val="single" w:sz="8" w:space="0" w:color="3560AC" w:themeColor="accent6" w:themeTint="BF"/>
        <w:right w:val="single" w:sz="8" w:space="0" w:color="3560AC" w:themeColor="accent6" w:themeTint="BF"/>
        <w:insideH w:val="single" w:sz="8" w:space="0" w:color="3560AC" w:themeColor="accent6" w:themeTint="BF"/>
        <w:insideV w:val="single" w:sz="8" w:space="0" w:color="3560AC" w:themeColor="accent6" w:themeTint="BF"/>
      </w:tblBorders>
    </w:tblPr>
    <w:tcPr>
      <w:shd w:val="clear" w:color="auto" w:fill="B7C9E8" w:themeFill="accent6" w:themeFillTint="3F"/>
    </w:tcPr>
    <w:tblStylePr w:type="firstRow">
      <w:rPr>
        <w:b/>
        <w:bCs/>
      </w:rPr>
    </w:tblStylePr>
    <w:tblStylePr w:type="lastRow">
      <w:rPr>
        <w:b/>
        <w:bCs/>
      </w:rPr>
      <w:tblPr/>
      <w:tcPr>
        <w:tcBorders>
          <w:top w:val="single" w:sz="18" w:space="0" w:color="3560AC" w:themeColor="accent6" w:themeTint="BF"/>
        </w:tcBorders>
      </w:tcPr>
    </w:tblStylePr>
    <w:tblStylePr w:type="firstCol">
      <w:rPr>
        <w:b/>
        <w:bCs/>
      </w:rPr>
    </w:tblStylePr>
    <w:tblStylePr w:type="lastCol">
      <w:rPr>
        <w:b/>
        <w:bCs/>
      </w:rPr>
    </w:tblStylePr>
    <w:tblStylePr w:type="band1Vert">
      <w:tblPr/>
      <w:tcPr>
        <w:shd w:val="clear" w:color="auto" w:fill="6E92D2" w:themeFill="accent6" w:themeFillTint="7F"/>
      </w:tcPr>
    </w:tblStylePr>
    <w:tblStylePr w:type="band1Horz">
      <w:tblPr/>
      <w:tcPr>
        <w:shd w:val="clear" w:color="auto" w:fill="6E92D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A1A1A" w:themeColor="text1"/>
        <w:left w:val="single" w:sz="8" w:space="0" w:color="1A1A1A" w:themeColor="text1"/>
        <w:bottom w:val="single" w:sz="8" w:space="0" w:color="1A1A1A" w:themeColor="text1"/>
        <w:right w:val="single" w:sz="8" w:space="0" w:color="1A1A1A" w:themeColor="text1"/>
        <w:insideH w:val="single" w:sz="8" w:space="0" w:color="1A1A1A" w:themeColor="text1"/>
        <w:insideV w:val="single" w:sz="8" w:space="0" w:color="1A1A1A" w:themeColor="text1"/>
      </w:tblBorders>
    </w:tblPr>
    <w:tcPr>
      <w:shd w:val="clear" w:color="auto" w:fill="C6C6C6" w:themeFill="text1" w:themeFillTint="3F"/>
    </w:tcPr>
    <w:tblStylePr w:type="firstRow">
      <w:rPr>
        <w:b/>
        <w:bCs/>
        <w:color w:val="1A1A1A" w:themeColor="text1"/>
      </w:rPr>
      <w:tblPr/>
      <w:tcPr>
        <w:shd w:val="clear" w:color="auto" w:fill="E8E8E8" w:themeFill="text1" w:themeFillTint="19"/>
      </w:tcPr>
    </w:tblStylePr>
    <w:tblStylePr w:type="lastRow">
      <w:rPr>
        <w:b/>
        <w:bCs/>
        <w:color w:val="1A1A1A" w:themeColor="text1"/>
      </w:rPr>
      <w:tblPr/>
      <w:tcPr>
        <w:tcBorders>
          <w:top w:val="single" w:sz="12" w:space="0" w:color="1A1A1A" w:themeColor="text1"/>
          <w:left w:val="nil"/>
          <w:bottom w:val="nil"/>
          <w:right w:val="nil"/>
          <w:insideH w:val="nil"/>
          <w:insideV w:val="nil"/>
        </w:tcBorders>
        <w:shd w:val="clear" w:color="auto" w:fill="FFFFFF" w:themeFill="background1"/>
      </w:tcPr>
    </w:tblStylePr>
    <w:tblStylePr w:type="firstCol">
      <w:rPr>
        <w:b/>
        <w:bCs/>
        <w:color w:val="1A1A1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A1A1A" w:themeColor="text1"/>
      </w:rPr>
      <w:tblPr/>
      <w:tcPr>
        <w:tcBorders>
          <w:top w:val="nil"/>
          <w:left w:val="nil"/>
          <w:bottom w:val="nil"/>
          <w:right w:val="nil"/>
          <w:insideH w:val="nil"/>
          <w:insideV w:val="nil"/>
        </w:tcBorders>
        <w:shd w:val="clear" w:color="auto" w:fill="D1D1D1" w:themeFill="text1" w:themeFillTint="33"/>
      </w:tcPr>
    </w:tblStylePr>
    <w:tblStylePr w:type="band1Vert">
      <w:tblPr/>
      <w:tcPr>
        <w:shd w:val="clear" w:color="auto" w:fill="8C8C8C" w:themeFill="text1" w:themeFillTint="7F"/>
      </w:tcPr>
    </w:tblStylePr>
    <w:tblStylePr w:type="band1Horz">
      <w:tblPr/>
      <w:tcPr>
        <w:tcBorders>
          <w:insideH w:val="single" w:sz="6" w:space="0" w:color="1A1A1A" w:themeColor="text1"/>
          <w:insideV w:val="single" w:sz="6" w:space="0" w:color="1A1A1A" w:themeColor="text1"/>
        </w:tcBorders>
        <w:shd w:val="clear" w:color="auto" w:fill="8C8C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F3864" w:themeColor="accent1"/>
        <w:left w:val="single" w:sz="8" w:space="0" w:color="1F3864" w:themeColor="accent1"/>
        <w:bottom w:val="single" w:sz="8" w:space="0" w:color="1F3864" w:themeColor="accent1"/>
        <w:right w:val="single" w:sz="8" w:space="0" w:color="1F3864" w:themeColor="accent1"/>
        <w:insideH w:val="single" w:sz="8" w:space="0" w:color="1F3864" w:themeColor="accent1"/>
        <w:insideV w:val="single" w:sz="8" w:space="0" w:color="1F3864" w:themeColor="accent1"/>
      </w:tblBorders>
    </w:tblPr>
    <w:tcPr>
      <w:shd w:val="clear" w:color="auto" w:fill="B7C9E8" w:themeFill="accent1" w:themeFillTint="3F"/>
    </w:tcPr>
    <w:tblStylePr w:type="firstRow">
      <w:rPr>
        <w:b/>
        <w:bCs/>
        <w:color w:val="1A1A1A" w:themeColor="text1"/>
      </w:rPr>
      <w:tblPr/>
      <w:tcPr>
        <w:shd w:val="clear" w:color="auto" w:fill="E2E9F6" w:themeFill="accent1" w:themeFillTint="19"/>
      </w:tcPr>
    </w:tblStylePr>
    <w:tblStylePr w:type="lastRow">
      <w:rPr>
        <w:b/>
        <w:bCs/>
        <w:color w:val="1A1A1A" w:themeColor="text1"/>
      </w:rPr>
      <w:tblPr/>
      <w:tcPr>
        <w:tcBorders>
          <w:top w:val="single" w:sz="12" w:space="0" w:color="1A1A1A" w:themeColor="text1"/>
          <w:left w:val="nil"/>
          <w:bottom w:val="nil"/>
          <w:right w:val="nil"/>
          <w:insideH w:val="nil"/>
          <w:insideV w:val="nil"/>
        </w:tcBorders>
        <w:shd w:val="clear" w:color="auto" w:fill="FFFFFF" w:themeFill="background1"/>
      </w:tcPr>
    </w:tblStylePr>
    <w:tblStylePr w:type="firstCol">
      <w:rPr>
        <w:b/>
        <w:bCs/>
        <w:color w:val="1A1A1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A1A1A" w:themeColor="text1"/>
      </w:rPr>
      <w:tblPr/>
      <w:tcPr>
        <w:tcBorders>
          <w:top w:val="nil"/>
          <w:left w:val="nil"/>
          <w:bottom w:val="nil"/>
          <w:right w:val="nil"/>
          <w:insideH w:val="nil"/>
          <w:insideV w:val="nil"/>
        </w:tcBorders>
        <w:shd w:val="clear" w:color="auto" w:fill="C5D3ED" w:themeFill="accent1" w:themeFillTint="33"/>
      </w:tcPr>
    </w:tblStylePr>
    <w:tblStylePr w:type="band1Vert">
      <w:tblPr/>
      <w:tcPr>
        <w:shd w:val="clear" w:color="auto" w:fill="6E92D2" w:themeFill="accent1" w:themeFillTint="7F"/>
      </w:tcPr>
    </w:tblStylePr>
    <w:tblStylePr w:type="band1Horz">
      <w:tblPr/>
      <w:tcPr>
        <w:tcBorders>
          <w:insideH w:val="single" w:sz="6" w:space="0" w:color="1F3864" w:themeColor="accent1"/>
          <w:insideV w:val="single" w:sz="6" w:space="0" w:color="1F3864" w:themeColor="accent1"/>
        </w:tcBorders>
        <w:shd w:val="clear" w:color="auto" w:fill="6E92D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595959" w:themeColor="accent2"/>
        <w:left w:val="single" w:sz="8" w:space="0" w:color="595959" w:themeColor="accent2"/>
        <w:bottom w:val="single" w:sz="8" w:space="0" w:color="595959" w:themeColor="accent2"/>
        <w:right w:val="single" w:sz="8" w:space="0" w:color="595959" w:themeColor="accent2"/>
        <w:insideH w:val="single" w:sz="8" w:space="0" w:color="595959" w:themeColor="accent2"/>
        <w:insideV w:val="single" w:sz="8" w:space="0" w:color="595959" w:themeColor="accent2"/>
      </w:tblBorders>
    </w:tblPr>
    <w:tcPr>
      <w:shd w:val="clear" w:color="auto" w:fill="D5D5D5" w:themeFill="accent2" w:themeFillTint="3F"/>
    </w:tcPr>
    <w:tblStylePr w:type="firstRow">
      <w:rPr>
        <w:b/>
        <w:bCs/>
        <w:color w:val="1A1A1A" w:themeColor="text1"/>
      </w:rPr>
      <w:tblPr/>
      <w:tcPr>
        <w:shd w:val="clear" w:color="auto" w:fill="EEEEEE" w:themeFill="accent2" w:themeFillTint="19"/>
      </w:tcPr>
    </w:tblStylePr>
    <w:tblStylePr w:type="lastRow">
      <w:rPr>
        <w:b/>
        <w:bCs/>
        <w:color w:val="1A1A1A" w:themeColor="text1"/>
      </w:rPr>
      <w:tblPr/>
      <w:tcPr>
        <w:tcBorders>
          <w:top w:val="single" w:sz="12" w:space="0" w:color="1A1A1A" w:themeColor="text1"/>
          <w:left w:val="nil"/>
          <w:bottom w:val="nil"/>
          <w:right w:val="nil"/>
          <w:insideH w:val="nil"/>
          <w:insideV w:val="nil"/>
        </w:tcBorders>
        <w:shd w:val="clear" w:color="auto" w:fill="FFFFFF" w:themeFill="background1"/>
      </w:tcPr>
    </w:tblStylePr>
    <w:tblStylePr w:type="firstCol">
      <w:rPr>
        <w:b/>
        <w:bCs/>
        <w:color w:val="1A1A1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A1A1A" w:themeColor="text1"/>
      </w:rPr>
      <w:tblPr/>
      <w:tcPr>
        <w:tcBorders>
          <w:top w:val="nil"/>
          <w:left w:val="nil"/>
          <w:bottom w:val="nil"/>
          <w:right w:val="nil"/>
          <w:insideH w:val="nil"/>
          <w:insideV w:val="nil"/>
        </w:tcBorders>
        <w:shd w:val="clear" w:color="auto" w:fill="DDDDDD" w:themeFill="accent2" w:themeFillTint="33"/>
      </w:tcPr>
    </w:tblStylePr>
    <w:tblStylePr w:type="band1Vert">
      <w:tblPr/>
      <w:tcPr>
        <w:shd w:val="clear" w:color="auto" w:fill="ACACAC" w:themeFill="accent2" w:themeFillTint="7F"/>
      </w:tcPr>
    </w:tblStylePr>
    <w:tblStylePr w:type="band1Horz">
      <w:tblPr/>
      <w:tcPr>
        <w:tcBorders>
          <w:insideH w:val="single" w:sz="6" w:space="0" w:color="595959" w:themeColor="accent2"/>
          <w:insideV w:val="single" w:sz="6" w:space="0" w:color="595959" w:themeColor="accent2"/>
        </w:tcBorders>
        <w:shd w:val="clear" w:color="auto" w:fill="ACACA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F3864" w:themeColor="accent3"/>
        <w:left w:val="single" w:sz="8" w:space="0" w:color="1F3864" w:themeColor="accent3"/>
        <w:bottom w:val="single" w:sz="8" w:space="0" w:color="1F3864" w:themeColor="accent3"/>
        <w:right w:val="single" w:sz="8" w:space="0" w:color="1F3864" w:themeColor="accent3"/>
        <w:insideH w:val="single" w:sz="8" w:space="0" w:color="1F3864" w:themeColor="accent3"/>
        <w:insideV w:val="single" w:sz="8" w:space="0" w:color="1F3864" w:themeColor="accent3"/>
      </w:tblBorders>
    </w:tblPr>
    <w:tcPr>
      <w:shd w:val="clear" w:color="auto" w:fill="B7C9E8" w:themeFill="accent3" w:themeFillTint="3F"/>
    </w:tcPr>
    <w:tblStylePr w:type="firstRow">
      <w:rPr>
        <w:b/>
        <w:bCs/>
        <w:color w:val="1A1A1A" w:themeColor="text1"/>
      </w:rPr>
      <w:tblPr/>
      <w:tcPr>
        <w:shd w:val="clear" w:color="auto" w:fill="E2E9F6" w:themeFill="accent3" w:themeFillTint="19"/>
      </w:tcPr>
    </w:tblStylePr>
    <w:tblStylePr w:type="lastRow">
      <w:rPr>
        <w:b/>
        <w:bCs/>
        <w:color w:val="1A1A1A" w:themeColor="text1"/>
      </w:rPr>
      <w:tblPr/>
      <w:tcPr>
        <w:tcBorders>
          <w:top w:val="single" w:sz="12" w:space="0" w:color="1A1A1A" w:themeColor="text1"/>
          <w:left w:val="nil"/>
          <w:bottom w:val="nil"/>
          <w:right w:val="nil"/>
          <w:insideH w:val="nil"/>
          <w:insideV w:val="nil"/>
        </w:tcBorders>
        <w:shd w:val="clear" w:color="auto" w:fill="FFFFFF" w:themeFill="background1"/>
      </w:tcPr>
    </w:tblStylePr>
    <w:tblStylePr w:type="firstCol">
      <w:rPr>
        <w:b/>
        <w:bCs/>
        <w:color w:val="1A1A1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A1A1A" w:themeColor="text1"/>
      </w:rPr>
      <w:tblPr/>
      <w:tcPr>
        <w:tcBorders>
          <w:top w:val="nil"/>
          <w:left w:val="nil"/>
          <w:bottom w:val="nil"/>
          <w:right w:val="nil"/>
          <w:insideH w:val="nil"/>
          <w:insideV w:val="nil"/>
        </w:tcBorders>
        <w:shd w:val="clear" w:color="auto" w:fill="C5D3ED" w:themeFill="accent3" w:themeFillTint="33"/>
      </w:tcPr>
    </w:tblStylePr>
    <w:tblStylePr w:type="band1Vert">
      <w:tblPr/>
      <w:tcPr>
        <w:shd w:val="clear" w:color="auto" w:fill="6E92D2" w:themeFill="accent3" w:themeFillTint="7F"/>
      </w:tcPr>
    </w:tblStylePr>
    <w:tblStylePr w:type="band1Horz">
      <w:tblPr/>
      <w:tcPr>
        <w:tcBorders>
          <w:insideH w:val="single" w:sz="6" w:space="0" w:color="1F3864" w:themeColor="accent3"/>
          <w:insideV w:val="single" w:sz="6" w:space="0" w:color="1F3864" w:themeColor="accent3"/>
        </w:tcBorders>
        <w:shd w:val="clear" w:color="auto" w:fill="6E9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F3864" w:themeColor="accent4"/>
        <w:left w:val="single" w:sz="8" w:space="0" w:color="1F3864" w:themeColor="accent4"/>
        <w:bottom w:val="single" w:sz="8" w:space="0" w:color="1F3864" w:themeColor="accent4"/>
        <w:right w:val="single" w:sz="8" w:space="0" w:color="1F3864" w:themeColor="accent4"/>
        <w:insideH w:val="single" w:sz="8" w:space="0" w:color="1F3864" w:themeColor="accent4"/>
        <w:insideV w:val="single" w:sz="8" w:space="0" w:color="1F3864" w:themeColor="accent4"/>
      </w:tblBorders>
    </w:tblPr>
    <w:tcPr>
      <w:shd w:val="clear" w:color="auto" w:fill="B7C9E8" w:themeFill="accent4" w:themeFillTint="3F"/>
    </w:tcPr>
    <w:tblStylePr w:type="firstRow">
      <w:rPr>
        <w:b/>
        <w:bCs/>
        <w:color w:val="1A1A1A" w:themeColor="text1"/>
      </w:rPr>
      <w:tblPr/>
      <w:tcPr>
        <w:shd w:val="clear" w:color="auto" w:fill="E2E9F6" w:themeFill="accent4" w:themeFillTint="19"/>
      </w:tcPr>
    </w:tblStylePr>
    <w:tblStylePr w:type="lastRow">
      <w:rPr>
        <w:b/>
        <w:bCs/>
        <w:color w:val="1A1A1A" w:themeColor="text1"/>
      </w:rPr>
      <w:tblPr/>
      <w:tcPr>
        <w:tcBorders>
          <w:top w:val="single" w:sz="12" w:space="0" w:color="1A1A1A" w:themeColor="text1"/>
          <w:left w:val="nil"/>
          <w:bottom w:val="nil"/>
          <w:right w:val="nil"/>
          <w:insideH w:val="nil"/>
          <w:insideV w:val="nil"/>
        </w:tcBorders>
        <w:shd w:val="clear" w:color="auto" w:fill="FFFFFF" w:themeFill="background1"/>
      </w:tcPr>
    </w:tblStylePr>
    <w:tblStylePr w:type="firstCol">
      <w:rPr>
        <w:b/>
        <w:bCs/>
        <w:color w:val="1A1A1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A1A1A" w:themeColor="text1"/>
      </w:rPr>
      <w:tblPr/>
      <w:tcPr>
        <w:tcBorders>
          <w:top w:val="nil"/>
          <w:left w:val="nil"/>
          <w:bottom w:val="nil"/>
          <w:right w:val="nil"/>
          <w:insideH w:val="nil"/>
          <w:insideV w:val="nil"/>
        </w:tcBorders>
        <w:shd w:val="clear" w:color="auto" w:fill="C5D3ED" w:themeFill="accent4" w:themeFillTint="33"/>
      </w:tcPr>
    </w:tblStylePr>
    <w:tblStylePr w:type="band1Vert">
      <w:tblPr/>
      <w:tcPr>
        <w:shd w:val="clear" w:color="auto" w:fill="6E92D2" w:themeFill="accent4" w:themeFillTint="7F"/>
      </w:tcPr>
    </w:tblStylePr>
    <w:tblStylePr w:type="band1Horz">
      <w:tblPr/>
      <w:tcPr>
        <w:tcBorders>
          <w:insideH w:val="single" w:sz="6" w:space="0" w:color="1F3864" w:themeColor="accent4"/>
          <w:insideV w:val="single" w:sz="6" w:space="0" w:color="1F3864" w:themeColor="accent4"/>
        </w:tcBorders>
        <w:shd w:val="clear" w:color="auto" w:fill="6E92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F3864" w:themeColor="accent5"/>
        <w:left w:val="single" w:sz="8" w:space="0" w:color="1F3864" w:themeColor="accent5"/>
        <w:bottom w:val="single" w:sz="8" w:space="0" w:color="1F3864" w:themeColor="accent5"/>
        <w:right w:val="single" w:sz="8" w:space="0" w:color="1F3864" w:themeColor="accent5"/>
        <w:insideH w:val="single" w:sz="8" w:space="0" w:color="1F3864" w:themeColor="accent5"/>
        <w:insideV w:val="single" w:sz="8" w:space="0" w:color="1F3864" w:themeColor="accent5"/>
      </w:tblBorders>
    </w:tblPr>
    <w:tcPr>
      <w:shd w:val="clear" w:color="auto" w:fill="B7C9E8" w:themeFill="accent5" w:themeFillTint="3F"/>
    </w:tcPr>
    <w:tblStylePr w:type="firstRow">
      <w:rPr>
        <w:b/>
        <w:bCs/>
        <w:color w:val="1A1A1A" w:themeColor="text1"/>
      </w:rPr>
      <w:tblPr/>
      <w:tcPr>
        <w:shd w:val="clear" w:color="auto" w:fill="E2E9F6" w:themeFill="accent5" w:themeFillTint="19"/>
      </w:tcPr>
    </w:tblStylePr>
    <w:tblStylePr w:type="lastRow">
      <w:rPr>
        <w:b/>
        <w:bCs/>
        <w:color w:val="1A1A1A" w:themeColor="text1"/>
      </w:rPr>
      <w:tblPr/>
      <w:tcPr>
        <w:tcBorders>
          <w:top w:val="single" w:sz="12" w:space="0" w:color="1A1A1A" w:themeColor="text1"/>
          <w:left w:val="nil"/>
          <w:bottom w:val="nil"/>
          <w:right w:val="nil"/>
          <w:insideH w:val="nil"/>
          <w:insideV w:val="nil"/>
        </w:tcBorders>
        <w:shd w:val="clear" w:color="auto" w:fill="FFFFFF" w:themeFill="background1"/>
      </w:tcPr>
    </w:tblStylePr>
    <w:tblStylePr w:type="firstCol">
      <w:rPr>
        <w:b/>
        <w:bCs/>
        <w:color w:val="1A1A1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A1A1A" w:themeColor="text1"/>
      </w:rPr>
      <w:tblPr/>
      <w:tcPr>
        <w:tcBorders>
          <w:top w:val="nil"/>
          <w:left w:val="nil"/>
          <w:bottom w:val="nil"/>
          <w:right w:val="nil"/>
          <w:insideH w:val="nil"/>
          <w:insideV w:val="nil"/>
        </w:tcBorders>
        <w:shd w:val="clear" w:color="auto" w:fill="C5D3ED" w:themeFill="accent5" w:themeFillTint="33"/>
      </w:tcPr>
    </w:tblStylePr>
    <w:tblStylePr w:type="band1Vert">
      <w:tblPr/>
      <w:tcPr>
        <w:shd w:val="clear" w:color="auto" w:fill="6E92D2" w:themeFill="accent5" w:themeFillTint="7F"/>
      </w:tcPr>
    </w:tblStylePr>
    <w:tblStylePr w:type="band1Horz">
      <w:tblPr/>
      <w:tcPr>
        <w:tcBorders>
          <w:insideH w:val="single" w:sz="6" w:space="0" w:color="1F3864" w:themeColor="accent5"/>
          <w:insideV w:val="single" w:sz="6" w:space="0" w:color="1F3864" w:themeColor="accent5"/>
        </w:tcBorders>
        <w:shd w:val="clear" w:color="auto" w:fill="6E92D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1A1A1A" w:themeColor="text1"/>
    </w:rPr>
    <w:tblPr>
      <w:tblStyleRowBandSize w:val="1"/>
      <w:tblStyleColBandSize w:val="1"/>
      <w:tblBorders>
        <w:top w:val="single" w:sz="8" w:space="0" w:color="1F3864" w:themeColor="accent6"/>
        <w:left w:val="single" w:sz="8" w:space="0" w:color="1F3864" w:themeColor="accent6"/>
        <w:bottom w:val="single" w:sz="8" w:space="0" w:color="1F3864" w:themeColor="accent6"/>
        <w:right w:val="single" w:sz="8" w:space="0" w:color="1F3864" w:themeColor="accent6"/>
        <w:insideH w:val="single" w:sz="8" w:space="0" w:color="1F3864" w:themeColor="accent6"/>
        <w:insideV w:val="single" w:sz="8" w:space="0" w:color="1F3864" w:themeColor="accent6"/>
      </w:tblBorders>
    </w:tblPr>
    <w:tcPr>
      <w:shd w:val="clear" w:color="auto" w:fill="B7C9E8" w:themeFill="accent6" w:themeFillTint="3F"/>
    </w:tcPr>
    <w:tblStylePr w:type="firstRow">
      <w:rPr>
        <w:b/>
        <w:bCs/>
        <w:color w:val="1A1A1A" w:themeColor="text1"/>
      </w:rPr>
      <w:tblPr/>
      <w:tcPr>
        <w:shd w:val="clear" w:color="auto" w:fill="E2E9F6" w:themeFill="accent6" w:themeFillTint="19"/>
      </w:tcPr>
    </w:tblStylePr>
    <w:tblStylePr w:type="lastRow">
      <w:rPr>
        <w:b/>
        <w:bCs/>
        <w:color w:val="1A1A1A" w:themeColor="text1"/>
      </w:rPr>
      <w:tblPr/>
      <w:tcPr>
        <w:tcBorders>
          <w:top w:val="single" w:sz="12" w:space="0" w:color="1A1A1A" w:themeColor="text1"/>
          <w:left w:val="nil"/>
          <w:bottom w:val="nil"/>
          <w:right w:val="nil"/>
          <w:insideH w:val="nil"/>
          <w:insideV w:val="nil"/>
        </w:tcBorders>
        <w:shd w:val="clear" w:color="auto" w:fill="FFFFFF" w:themeFill="background1"/>
      </w:tcPr>
    </w:tblStylePr>
    <w:tblStylePr w:type="firstCol">
      <w:rPr>
        <w:b/>
        <w:bCs/>
        <w:color w:val="1A1A1A"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1A1A1A" w:themeColor="text1"/>
      </w:rPr>
      <w:tblPr/>
      <w:tcPr>
        <w:tcBorders>
          <w:top w:val="nil"/>
          <w:left w:val="nil"/>
          <w:bottom w:val="nil"/>
          <w:right w:val="nil"/>
          <w:insideH w:val="nil"/>
          <w:insideV w:val="nil"/>
        </w:tcBorders>
        <w:shd w:val="clear" w:color="auto" w:fill="C5D3ED" w:themeFill="accent6" w:themeFillTint="33"/>
      </w:tcPr>
    </w:tblStylePr>
    <w:tblStylePr w:type="band1Vert">
      <w:tblPr/>
      <w:tcPr>
        <w:shd w:val="clear" w:color="auto" w:fill="6E92D2" w:themeFill="accent6" w:themeFillTint="7F"/>
      </w:tcPr>
    </w:tblStylePr>
    <w:tblStylePr w:type="band1Horz">
      <w:tblPr/>
      <w:tcPr>
        <w:tcBorders>
          <w:insideH w:val="single" w:sz="6" w:space="0" w:color="1F3864" w:themeColor="accent6"/>
          <w:insideV w:val="single" w:sz="6" w:space="0" w:color="1F3864" w:themeColor="accent6"/>
        </w:tcBorders>
        <w:shd w:val="clear" w:color="auto" w:fill="6E92D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C6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1A1A"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1A1A"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1A1A"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1A1A"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C8C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C8C8C"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C9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F386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F386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F386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F386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92D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92D2"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C9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F386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F386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F386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F386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9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9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C9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F386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F386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F386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F386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92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92D2"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C9E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F38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F38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F38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F38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92D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92D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C9E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F386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F386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F386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F386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E92D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E92D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1A1A1A" w:themeFill="text1"/>
    </w:tcPr>
    <w:tblStylePr w:type="firstRow">
      <w:rPr>
        <w:b/>
        <w:bCs/>
      </w:rPr>
      <w:tblPr/>
      <w:tcPr>
        <w:tcBorders>
          <w:top w:val="nil"/>
          <w:left w:val="nil"/>
          <w:bottom w:val="single" w:sz="18" w:space="0" w:color="FFFFFF" w:themeColor="background1"/>
          <w:right w:val="nil"/>
          <w:insideH w:val="nil"/>
          <w:insideV w:val="nil"/>
        </w:tcBorders>
        <w:shd w:val="clear" w:color="auto" w:fill="1A1A1A" w:themeFill="text1"/>
      </w:tcPr>
    </w:tblStylePr>
    <w:tblStylePr w:type="lastRow">
      <w:tblPr/>
      <w:tcPr>
        <w:tcBorders>
          <w:top w:val="single" w:sz="18" w:space="0" w:color="FFFFFF" w:themeColor="background1"/>
          <w:left w:val="nil"/>
          <w:bottom w:val="nil"/>
          <w:right w:val="nil"/>
          <w:insideH w:val="nil"/>
          <w:insideV w:val="nil"/>
        </w:tcBorders>
        <w:shd w:val="clear" w:color="auto" w:fill="0C0C0C"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31313"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31313" w:themeFill="text1" w:themeFillShade="BF"/>
      </w:tcPr>
    </w:tblStylePr>
    <w:tblStylePr w:type="band1Vert">
      <w:tblPr/>
      <w:tcPr>
        <w:tcBorders>
          <w:top w:val="nil"/>
          <w:left w:val="nil"/>
          <w:bottom w:val="nil"/>
          <w:right w:val="nil"/>
          <w:insideH w:val="nil"/>
          <w:insideV w:val="nil"/>
        </w:tcBorders>
        <w:shd w:val="clear" w:color="auto" w:fill="131313" w:themeFill="text1" w:themeFillShade="BF"/>
      </w:tcPr>
    </w:tblStylePr>
    <w:tblStylePr w:type="band1Horz">
      <w:tblPr/>
      <w:tcPr>
        <w:tcBorders>
          <w:top w:val="nil"/>
          <w:left w:val="nil"/>
          <w:bottom w:val="nil"/>
          <w:right w:val="nil"/>
          <w:insideH w:val="nil"/>
          <w:insideV w:val="nil"/>
        </w:tcBorders>
        <w:shd w:val="clear" w:color="auto" w:fill="131313"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F386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1A1A1A" w:themeFill="text1"/>
      </w:tcPr>
    </w:tblStylePr>
    <w:tblStylePr w:type="lastRow">
      <w:tblPr/>
      <w:tcPr>
        <w:tcBorders>
          <w:top w:val="single" w:sz="18" w:space="0" w:color="FFFFFF" w:themeColor="background1"/>
          <w:left w:val="nil"/>
          <w:bottom w:val="nil"/>
          <w:right w:val="nil"/>
          <w:insideH w:val="nil"/>
          <w:insideV w:val="nil"/>
        </w:tcBorders>
        <w:shd w:val="clear" w:color="auto" w:fill="0F1B3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294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294A" w:themeFill="accent1" w:themeFillShade="BF"/>
      </w:tcPr>
    </w:tblStylePr>
    <w:tblStylePr w:type="band1Vert">
      <w:tblPr/>
      <w:tcPr>
        <w:tcBorders>
          <w:top w:val="nil"/>
          <w:left w:val="nil"/>
          <w:bottom w:val="nil"/>
          <w:right w:val="nil"/>
          <w:insideH w:val="nil"/>
          <w:insideV w:val="nil"/>
        </w:tcBorders>
        <w:shd w:val="clear" w:color="auto" w:fill="17294A" w:themeFill="accent1" w:themeFillShade="BF"/>
      </w:tcPr>
    </w:tblStylePr>
    <w:tblStylePr w:type="band1Horz">
      <w:tblPr/>
      <w:tcPr>
        <w:tcBorders>
          <w:top w:val="nil"/>
          <w:left w:val="nil"/>
          <w:bottom w:val="nil"/>
          <w:right w:val="nil"/>
          <w:insideH w:val="nil"/>
          <w:insideV w:val="nil"/>
        </w:tcBorders>
        <w:shd w:val="clear" w:color="auto" w:fill="17294A"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59595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1A1A1A"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2" w:themeFillShade="BF"/>
      </w:tcPr>
    </w:tblStylePr>
    <w:tblStylePr w:type="band1Vert">
      <w:tblPr/>
      <w:tcPr>
        <w:tcBorders>
          <w:top w:val="nil"/>
          <w:left w:val="nil"/>
          <w:bottom w:val="nil"/>
          <w:right w:val="nil"/>
          <w:insideH w:val="nil"/>
          <w:insideV w:val="nil"/>
        </w:tcBorders>
        <w:shd w:val="clear" w:color="auto" w:fill="424242" w:themeFill="accent2" w:themeFillShade="BF"/>
      </w:tcPr>
    </w:tblStylePr>
    <w:tblStylePr w:type="band1Horz">
      <w:tblPr/>
      <w:tcPr>
        <w:tcBorders>
          <w:top w:val="nil"/>
          <w:left w:val="nil"/>
          <w:bottom w:val="nil"/>
          <w:right w:val="nil"/>
          <w:insideH w:val="nil"/>
          <w:insideV w:val="nil"/>
        </w:tcBorders>
        <w:shd w:val="clear" w:color="auto" w:fill="424242"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F386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1A1A1A" w:themeFill="text1"/>
      </w:tcPr>
    </w:tblStylePr>
    <w:tblStylePr w:type="lastRow">
      <w:tblPr/>
      <w:tcPr>
        <w:tcBorders>
          <w:top w:val="single" w:sz="18" w:space="0" w:color="FFFFFF" w:themeColor="background1"/>
          <w:left w:val="nil"/>
          <w:bottom w:val="nil"/>
          <w:right w:val="nil"/>
          <w:insideH w:val="nil"/>
          <w:insideV w:val="nil"/>
        </w:tcBorders>
        <w:shd w:val="clear" w:color="auto" w:fill="0F1B3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294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294A" w:themeFill="accent3" w:themeFillShade="BF"/>
      </w:tcPr>
    </w:tblStylePr>
    <w:tblStylePr w:type="band1Vert">
      <w:tblPr/>
      <w:tcPr>
        <w:tcBorders>
          <w:top w:val="nil"/>
          <w:left w:val="nil"/>
          <w:bottom w:val="nil"/>
          <w:right w:val="nil"/>
          <w:insideH w:val="nil"/>
          <w:insideV w:val="nil"/>
        </w:tcBorders>
        <w:shd w:val="clear" w:color="auto" w:fill="17294A" w:themeFill="accent3" w:themeFillShade="BF"/>
      </w:tcPr>
    </w:tblStylePr>
    <w:tblStylePr w:type="band1Horz">
      <w:tblPr/>
      <w:tcPr>
        <w:tcBorders>
          <w:top w:val="nil"/>
          <w:left w:val="nil"/>
          <w:bottom w:val="nil"/>
          <w:right w:val="nil"/>
          <w:insideH w:val="nil"/>
          <w:insideV w:val="nil"/>
        </w:tcBorders>
        <w:shd w:val="clear" w:color="auto" w:fill="17294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1F386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1A1A1A" w:themeFill="text1"/>
      </w:tcPr>
    </w:tblStylePr>
    <w:tblStylePr w:type="lastRow">
      <w:tblPr/>
      <w:tcPr>
        <w:tcBorders>
          <w:top w:val="single" w:sz="18" w:space="0" w:color="FFFFFF" w:themeColor="background1"/>
          <w:left w:val="nil"/>
          <w:bottom w:val="nil"/>
          <w:right w:val="nil"/>
          <w:insideH w:val="nil"/>
          <w:insideV w:val="nil"/>
        </w:tcBorders>
        <w:shd w:val="clear" w:color="auto" w:fill="0F1B3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294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294A" w:themeFill="accent4" w:themeFillShade="BF"/>
      </w:tcPr>
    </w:tblStylePr>
    <w:tblStylePr w:type="band1Vert">
      <w:tblPr/>
      <w:tcPr>
        <w:tcBorders>
          <w:top w:val="nil"/>
          <w:left w:val="nil"/>
          <w:bottom w:val="nil"/>
          <w:right w:val="nil"/>
          <w:insideH w:val="nil"/>
          <w:insideV w:val="nil"/>
        </w:tcBorders>
        <w:shd w:val="clear" w:color="auto" w:fill="17294A" w:themeFill="accent4" w:themeFillShade="BF"/>
      </w:tcPr>
    </w:tblStylePr>
    <w:tblStylePr w:type="band1Horz">
      <w:tblPr/>
      <w:tcPr>
        <w:tcBorders>
          <w:top w:val="nil"/>
          <w:left w:val="nil"/>
          <w:bottom w:val="nil"/>
          <w:right w:val="nil"/>
          <w:insideH w:val="nil"/>
          <w:insideV w:val="nil"/>
        </w:tcBorders>
        <w:shd w:val="clear" w:color="auto" w:fill="17294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1F38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1A1A1A" w:themeFill="text1"/>
      </w:tcPr>
    </w:tblStylePr>
    <w:tblStylePr w:type="lastRow">
      <w:tblPr/>
      <w:tcPr>
        <w:tcBorders>
          <w:top w:val="single" w:sz="18" w:space="0" w:color="FFFFFF" w:themeColor="background1"/>
          <w:left w:val="nil"/>
          <w:bottom w:val="nil"/>
          <w:right w:val="nil"/>
          <w:insideH w:val="nil"/>
          <w:insideV w:val="nil"/>
        </w:tcBorders>
        <w:shd w:val="clear" w:color="auto" w:fill="0F1B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729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7294A" w:themeFill="accent5" w:themeFillShade="BF"/>
      </w:tcPr>
    </w:tblStylePr>
    <w:tblStylePr w:type="band1Vert">
      <w:tblPr/>
      <w:tcPr>
        <w:tcBorders>
          <w:top w:val="nil"/>
          <w:left w:val="nil"/>
          <w:bottom w:val="nil"/>
          <w:right w:val="nil"/>
          <w:insideH w:val="nil"/>
          <w:insideV w:val="nil"/>
        </w:tcBorders>
        <w:shd w:val="clear" w:color="auto" w:fill="17294A" w:themeFill="accent5" w:themeFillShade="BF"/>
      </w:tcPr>
    </w:tblStylePr>
    <w:tblStylePr w:type="band1Horz">
      <w:tblPr/>
      <w:tcPr>
        <w:tcBorders>
          <w:top w:val="nil"/>
          <w:left w:val="nil"/>
          <w:bottom w:val="nil"/>
          <w:right w:val="nil"/>
          <w:insideH w:val="nil"/>
          <w:insideV w:val="nil"/>
        </w:tcBorders>
        <w:shd w:val="clear" w:color="auto" w:fill="17294A"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1F386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1A1A1A" w:themeFill="text1"/>
      </w:tcPr>
    </w:tblStylePr>
    <w:tblStylePr w:type="lastRow">
      <w:tblPr/>
      <w:tcPr>
        <w:tcBorders>
          <w:top w:val="single" w:sz="18" w:space="0" w:color="FFFFFF" w:themeColor="background1"/>
          <w:left w:val="nil"/>
          <w:bottom w:val="nil"/>
          <w:right w:val="nil"/>
          <w:insideH w:val="nil"/>
          <w:insideV w:val="nil"/>
        </w:tcBorders>
        <w:shd w:val="clear" w:color="auto" w:fill="0F1B31"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7294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7294A" w:themeFill="accent6" w:themeFillShade="BF"/>
      </w:tcPr>
    </w:tblStylePr>
    <w:tblStylePr w:type="band1Vert">
      <w:tblPr/>
      <w:tcPr>
        <w:tcBorders>
          <w:top w:val="nil"/>
          <w:left w:val="nil"/>
          <w:bottom w:val="nil"/>
          <w:right w:val="nil"/>
          <w:insideH w:val="nil"/>
          <w:insideV w:val="nil"/>
        </w:tcBorders>
        <w:shd w:val="clear" w:color="auto" w:fill="17294A" w:themeFill="accent6" w:themeFillShade="BF"/>
      </w:tcPr>
    </w:tblStylePr>
    <w:tblStylePr w:type="band1Horz">
      <w:tblPr/>
      <w:tcPr>
        <w:tcBorders>
          <w:top w:val="nil"/>
          <w:left w:val="nil"/>
          <w:bottom w:val="nil"/>
          <w:right w:val="nil"/>
          <w:insideH w:val="nil"/>
          <w:insideV w:val="nil"/>
        </w:tcBorders>
        <w:shd w:val="clear" w:color="auto" w:fill="17294A" w:themeFill="accent6" w:themeFillShade="BF"/>
      </w:tcPr>
    </w:tblStylePr>
  </w:style>
  <w:style w:type="table" w:styleId="ColourfulShading">
    <w:name w:val="Colorful Shading"/>
    <w:basedOn w:val="TableNormal"/>
    <w:uiPriority w:val="71"/>
    <w:rsid w:val="00CB0664"/>
    <w:pPr>
      <w:spacing w:after="0" w:line="240" w:lineRule="auto"/>
    </w:pPr>
    <w:rPr>
      <w:color w:val="1A1A1A" w:themeColor="text1"/>
    </w:rPr>
    <w:tblPr>
      <w:tblStyleRowBandSize w:val="1"/>
      <w:tblStyleColBandSize w:val="1"/>
      <w:tblBorders>
        <w:top w:val="single" w:sz="24" w:space="0" w:color="595959" w:themeColor="accent2"/>
        <w:left w:val="single" w:sz="4" w:space="0" w:color="1A1A1A" w:themeColor="text1"/>
        <w:bottom w:val="single" w:sz="4" w:space="0" w:color="1A1A1A" w:themeColor="text1"/>
        <w:right w:val="single" w:sz="4" w:space="0" w:color="1A1A1A" w:themeColor="text1"/>
        <w:insideH w:val="single" w:sz="4" w:space="0" w:color="FFFFFF" w:themeColor="background1"/>
        <w:insideV w:val="single" w:sz="4" w:space="0" w:color="FFFFFF" w:themeColor="background1"/>
      </w:tblBorders>
    </w:tblPr>
    <w:tcPr>
      <w:shd w:val="clear" w:color="auto" w:fill="E8E8E8" w:themeFill="text1" w:themeFillTint="19"/>
    </w:tcPr>
    <w:tblStylePr w:type="firstRow">
      <w:rPr>
        <w:b/>
        <w:bCs/>
      </w:rPr>
      <w:tblPr/>
      <w:tcPr>
        <w:tcBorders>
          <w:top w:val="nil"/>
          <w:left w:val="nil"/>
          <w:bottom w:val="single" w:sz="24" w:space="0" w:color="5959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0F0F" w:themeFill="text1" w:themeFillShade="99"/>
      </w:tcPr>
    </w:tblStylePr>
    <w:tblStylePr w:type="firstCol">
      <w:rPr>
        <w:color w:val="FFFFFF" w:themeColor="background1"/>
      </w:rPr>
      <w:tblPr/>
      <w:tcPr>
        <w:tcBorders>
          <w:top w:val="nil"/>
          <w:left w:val="nil"/>
          <w:bottom w:val="nil"/>
          <w:right w:val="nil"/>
          <w:insideH w:val="single" w:sz="4" w:space="0" w:color="0F0F0F" w:themeColor="text1" w:themeShade="99"/>
          <w:insideV w:val="nil"/>
        </w:tcBorders>
        <w:shd w:val="clear" w:color="auto" w:fill="0F0F0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31313" w:themeFill="text1" w:themeFillShade="BF"/>
      </w:tcPr>
    </w:tblStylePr>
    <w:tblStylePr w:type="band1Vert">
      <w:tblPr/>
      <w:tcPr>
        <w:shd w:val="clear" w:color="auto" w:fill="A3A3A3" w:themeFill="text1" w:themeFillTint="66"/>
      </w:tcPr>
    </w:tblStylePr>
    <w:tblStylePr w:type="band1Horz">
      <w:tblPr/>
      <w:tcPr>
        <w:shd w:val="clear" w:color="auto" w:fill="8C8C8C" w:themeFill="text1" w:themeFillTint="7F"/>
      </w:tcPr>
    </w:tblStylePr>
    <w:tblStylePr w:type="neCell">
      <w:rPr>
        <w:color w:val="1A1A1A" w:themeColor="text1"/>
      </w:rPr>
    </w:tblStylePr>
    <w:tblStylePr w:type="nwCell">
      <w:rPr>
        <w:color w:val="1A1A1A" w:themeColor="text1"/>
      </w:rPr>
    </w:tblStylePr>
  </w:style>
  <w:style w:type="table" w:styleId="ColourfulShadingAccent1">
    <w:name w:val="Colorful Shading Accent 1"/>
    <w:basedOn w:val="TableNormal"/>
    <w:uiPriority w:val="71"/>
    <w:rsid w:val="00CB0664"/>
    <w:pPr>
      <w:spacing w:after="0" w:line="240" w:lineRule="auto"/>
    </w:pPr>
    <w:rPr>
      <w:color w:val="1A1A1A" w:themeColor="text1"/>
    </w:rPr>
    <w:tblPr>
      <w:tblStyleRowBandSize w:val="1"/>
      <w:tblStyleColBandSize w:val="1"/>
      <w:tblBorders>
        <w:top w:val="single" w:sz="24" w:space="0" w:color="595959" w:themeColor="accent2"/>
        <w:left w:val="single" w:sz="4" w:space="0" w:color="1F3864" w:themeColor="accent1"/>
        <w:bottom w:val="single" w:sz="4" w:space="0" w:color="1F3864" w:themeColor="accent1"/>
        <w:right w:val="single" w:sz="4" w:space="0" w:color="1F3864" w:themeColor="accent1"/>
        <w:insideH w:val="single" w:sz="4" w:space="0" w:color="FFFFFF" w:themeColor="background1"/>
        <w:insideV w:val="single" w:sz="4" w:space="0" w:color="FFFFFF" w:themeColor="background1"/>
      </w:tblBorders>
    </w:tblPr>
    <w:tcPr>
      <w:shd w:val="clear" w:color="auto" w:fill="E2E9F6" w:themeFill="accent1" w:themeFillTint="19"/>
    </w:tcPr>
    <w:tblStylePr w:type="firstRow">
      <w:rPr>
        <w:b/>
        <w:bCs/>
      </w:rPr>
      <w:tblPr/>
      <w:tcPr>
        <w:tcBorders>
          <w:top w:val="nil"/>
          <w:left w:val="nil"/>
          <w:bottom w:val="single" w:sz="24" w:space="0" w:color="5959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13B" w:themeFill="accent1" w:themeFillShade="99"/>
      </w:tcPr>
    </w:tblStylePr>
    <w:tblStylePr w:type="firstCol">
      <w:rPr>
        <w:color w:val="FFFFFF" w:themeColor="background1"/>
      </w:rPr>
      <w:tblPr/>
      <w:tcPr>
        <w:tcBorders>
          <w:top w:val="nil"/>
          <w:left w:val="nil"/>
          <w:bottom w:val="nil"/>
          <w:right w:val="nil"/>
          <w:insideH w:val="single" w:sz="4" w:space="0" w:color="12213B" w:themeColor="accent1" w:themeShade="99"/>
          <w:insideV w:val="nil"/>
        </w:tcBorders>
        <w:shd w:val="clear" w:color="auto" w:fill="12213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2213B" w:themeFill="accent1" w:themeFillShade="99"/>
      </w:tcPr>
    </w:tblStylePr>
    <w:tblStylePr w:type="band1Vert">
      <w:tblPr/>
      <w:tcPr>
        <w:shd w:val="clear" w:color="auto" w:fill="8BA8DB" w:themeFill="accent1" w:themeFillTint="66"/>
      </w:tcPr>
    </w:tblStylePr>
    <w:tblStylePr w:type="band1Horz">
      <w:tblPr/>
      <w:tcPr>
        <w:shd w:val="clear" w:color="auto" w:fill="6E92D2" w:themeFill="accent1" w:themeFillTint="7F"/>
      </w:tcPr>
    </w:tblStylePr>
    <w:tblStylePr w:type="neCell">
      <w:rPr>
        <w:color w:val="1A1A1A" w:themeColor="text1"/>
      </w:rPr>
    </w:tblStylePr>
    <w:tblStylePr w:type="nwCell">
      <w:rPr>
        <w:color w:val="1A1A1A" w:themeColor="text1"/>
      </w:rPr>
    </w:tblStylePr>
  </w:style>
  <w:style w:type="table" w:styleId="ColourfulShadingAccent2">
    <w:name w:val="Colorful Shading Accent 2"/>
    <w:basedOn w:val="TableNormal"/>
    <w:uiPriority w:val="71"/>
    <w:rsid w:val="00CB0664"/>
    <w:pPr>
      <w:spacing w:after="0" w:line="240" w:lineRule="auto"/>
    </w:pPr>
    <w:rPr>
      <w:color w:val="1A1A1A" w:themeColor="text1"/>
    </w:rPr>
    <w:tblPr>
      <w:tblStyleRowBandSize w:val="1"/>
      <w:tblStyleColBandSize w:val="1"/>
      <w:tblBorders>
        <w:top w:val="single" w:sz="24" w:space="0" w:color="595959" w:themeColor="accent2"/>
        <w:left w:val="single" w:sz="4" w:space="0" w:color="595959" w:themeColor="accent2"/>
        <w:bottom w:val="single" w:sz="4" w:space="0" w:color="595959" w:themeColor="accent2"/>
        <w:right w:val="single" w:sz="4" w:space="0" w:color="595959" w:themeColor="accent2"/>
        <w:insideH w:val="single" w:sz="4" w:space="0" w:color="FFFFFF" w:themeColor="background1"/>
        <w:insideV w:val="single" w:sz="4" w:space="0" w:color="FFFFFF" w:themeColor="background1"/>
      </w:tblBorders>
    </w:tblPr>
    <w:tcPr>
      <w:shd w:val="clear" w:color="auto" w:fill="EEEEEE" w:themeFill="accent2" w:themeFillTint="19"/>
    </w:tcPr>
    <w:tblStylePr w:type="firstRow">
      <w:rPr>
        <w:b/>
        <w:bCs/>
      </w:rPr>
      <w:tblPr/>
      <w:tcPr>
        <w:tcBorders>
          <w:top w:val="nil"/>
          <w:left w:val="nil"/>
          <w:bottom w:val="single" w:sz="24" w:space="0" w:color="5959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2" w:themeFillShade="99"/>
      </w:tcPr>
    </w:tblStylePr>
    <w:tblStylePr w:type="firstCol">
      <w:rPr>
        <w:color w:val="FFFFFF" w:themeColor="background1"/>
      </w:rPr>
      <w:tblPr/>
      <w:tcPr>
        <w:tcBorders>
          <w:top w:val="nil"/>
          <w:left w:val="nil"/>
          <w:bottom w:val="nil"/>
          <w:right w:val="nil"/>
          <w:insideH w:val="single" w:sz="4" w:space="0" w:color="353535" w:themeColor="accent2" w:themeShade="99"/>
          <w:insideV w:val="nil"/>
        </w:tcBorders>
        <w:shd w:val="clear" w:color="auto" w:fill="35353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2" w:themeFillShade="99"/>
      </w:tcPr>
    </w:tblStylePr>
    <w:tblStylePr w:type="band1Vert">
      <w:tblPr/>
      <w:tcPr>
        <w:shd w:val="clear" w:color="auto" w:fill="BCBCBC" w:themeFill="accent2" w:themeFillTint="66"/>
      </w:tcPr>
    </w:tblStylePr>
    <w:tblStylePr w:type="band1Horz">
      <w:tblPr/>
      <w:tcPr>
        <w:shd w:val="clear" w:color="auto" w:fill="ACACAC" w:themeFill="accent2" w:themeFillTint="7F"/>
      </w:tcPr>
    </w:tblStylePr>
    <w:tblStylePr w:type="neCell">
      <w:rPr>
        <w:color w:val="1A1A1A" w:themeColor="text1"/>
      </w:rPr>
    </w:tblStylePr>
    <w:tblStylePr w:type="nwCell">
      <w:rPr>
        <w:color w:val="1A1A1A" w:themeColor="text1"/>
      </w:rPr>
    </w:tblStylePr>
  </w:style>
  <w:style w:type="table" w:styleId="ColourfulShadingAccent3">
    <w:name w:val="Colorful Shading Accent 3"/>
    <w:basedOn w:val="TableNormal"/>
    <w:uiPriority w:val="71"/>
    <w:rsid w:val="00CB0664"/>
    <w:pPr>
      <w:spacing w:after="0" w:line="240" w:lineRule="auto"/>
    </w:pPr>
    <w:rPr>
      <w:color w:val="1A1A1A" w:themeColor="text1"/>
    </w:rPr>
    <w:tblPr>
      <w:tblStyleRowBandSize w:val="1"/>
      <w:tblStyleColBandSize w:val="1"/>
      <w:tblBorders>
        <w:top w:val="single" w:sz="24" w:space="0" w:color="1F3864" w:themeColor="accent4"/>
        <w:left w:val="single" w:sz="4" w:space="0" w:color="1F3864" w:themeColor="accent3"/>
        <w:bottom w:val="single" w:sz="4" w:space="0" w:color="1F3864" w:themeColor="accent3"/>
        <w:right w:val="single" w:sz="4" w:space="0" w:color="1F3864" w:themeColor="accent3"/>
        <w:insideH w:val="single" w:sz="4" w:space="0" w:color="FFFFFF" w:themeColor="background1"/>
        <w:insideV w:val="single" w:sz="4" w:space="0" w:color="FFFFFF" w:themeColor="background1"/>
      </w:tblBorders>
    </w:tblPr>
    <w:tcPr>
      <w:shd w:val="clear" w:color="auto" w:fill="E2E9F6" w:themeFill="accent3" w:themeFillTint="19"/>
    </w:tcPr>
    <w:tblStylePr w:type="firstRow">
      <w:rPr>
        <w:b/>
        <w:bCs/>
      </w:rPr>
      <w:tblPr/>
      <w:tcPr>
        <w:tcBorders>
          <w:top w:val="nil"/>
          <w:left w:val="nil"/>
          <w:bottom w:val="single" w:sz="24" w:space="0" w:color="1F386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13B" w:themeFill="accent3" w:themeFillShade="99"/>
      </w:tcPr>
    </w:tblStylePr>
    <w:tblStylePr w:type="firstCol">
      <w:rPr>
        <w:color w:val="FFFFFF" w:themeColor="background1"/>
      </w:rPr>
      <w:tblPr/>
      <w:tcPr>
        <w:tcBorders>
          <w:top w:val="nil"/>
          <w:left w:val="nil"/>
          <w:bottom w:val="nil"/>
          <w:right w:val="nil"/>
          <w:insideH w:val="single" w:sz="4" w:space="0" w:color="12213B" w:themeColor="accent3" w:themeShade="99"/>
          <w:insideV w:val="nil"/>
        </w:tcBorders>
        <w:shd w:val="clear" w:color="auto" w:fill="12213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2213B" w:themeFill="accent3" w:themeFillShade="99"/>
      </w:tcPr>
    </w:tblStylePr>
    <w:tblStylePr w:type="band1Vert">
      <w:tblPr/>
      <w:tcPr>
        <w:shd w:val="clear" w:color="auto" w:fill="8BA8DB" w:themeFill="accent3" w:themeFillTint="66"/>
      </w:tcPr>
    </w:tblStylePr>
    <w:tblStylePr w:type="band1Horz">
      <w:tblPr/>
      <w:tcPr>
        <w:shd w:val="clear" w:color="auto" w:fill="6E92D2" w:themeFill="accent3" w:themeFillTint="7F"/>
      </w:tcPr>
    </w:tblStylePr>
  </w:style>
  <w:style w:type="table" w:styleId="ColourfulShadingAccent4">
    <w:name w:val="Colorful Shading Accent 4"/>
    <w:basedOn w:val="TableNormal"/>
    <w:uiPriority w:val="71"/>
    <w:rsid w:val="00CB0664"/>
    <w:pPr>
      <w:spacing w:after="0" w:line="240" w:lineRule="auto"/>
    </w:pPr>
    <w:rPr>
      <w:color w:val="1A1A1A" w:themeColor="text1"/>
    </w:rPr>
    <w:tblPr>
      <w:tblStyleRowBandSize w:val="1"/>
      <w:tblStyleColBandSize w:val="1"/>
      <w:tblBorders>
        <w:top w:val="single" w:sz="24" w:space="0" w:color="1F3864" w:themeColor="accent3"/>
        <w:left w:val="single" w:sz="4" w:space="0" w:color="1F3864" w:themeColor="accent4"/>
        <w:bottom w:val="single" w:sz="4" w:space="0" w:color="1F3864" w:themeColor="accent4"/>
        <w:right w:val="single" w:sz="4" w:space="0" w:color="1F3864" w:themeColor="accent4"/>
        <w:insideH w:val="single" w:sz="4" w:space="0" w:color="FFFFFF" w:themeColor="background1"/>
        <w:insideV w:val="single" w:sz="4" w:space="0" w:color="FFFFFF" w:themeColor="background1"/>
      </w:tblBorders>
    </w:tblPr>
    <w:tcPr>
      <w:shd w:val="clear" w:color="auto" w:fill="E2E9F6" w:themeFill="accent4" w:themeFillTint="19"/>
    </w:tcPr>
    <w:tblStylePr w:type="firstRow">
      <w:rPr>
        <w:b/>
        <w:bCs/>
      </w:rPr>
      <w:tblPr/>
      <w:tcPr>
        <w:tcBorders>
          <w:top w:val="nil"/>
          <w:left w:val="nil"/>
          <w:bottom w:val="single" w:sz="24" w:space="0" w:color="1F386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13B" w:themeFill="accent4" w:themeFillShade="99"/>
      </w:tcPr>
    </w:tblStylePr>
    <w:tblStylePr w:type="firstCol">
      <w:rPr>
        <w:color w:val="FFFFFF" w:themeColor="background1"/>
      </w:rPr>
      <w:tblPr/>
      <w:tcPr>
        <w:tcBorders>
          <w:top w:val="nil"/>
          <w:left w:val="nil"/>
          <w:bottom w:val="nil"/>
          <w:right w:val="nil"/>
          <w:insideH w:val="single" w:sz="4" w:space="0" w:color="12213B" w:themeColor="accent4" w:themeShade="99"/>
          <w:insideV w:val="nil"/>
        </w:tcBorders>
        <w:shd w:val="clear" w:color="auto" w:fill="1221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2213B" w:themeFill="accent4" w:themeFillShade="99"/>
      </w:tcPr>
    </w:tblStylePr>
    <w:tblStylePr w:type="band1Vert">
      <w:tblPr/>
      <w:tcPr>
        <w:shd w:val="clear" w:color="auto" w:fill="8BA8DB" w:themeFill="accent4" w:themeFillTint="66"/>
      </w:tcPr>
    </w:tblStylePr>
    <w:tblStylePr w:type="band1Horz">
      <w:tblPr/>
      <w:tcPr>
        <w:shd w:val="clear" w:color="auto" w:fill="6E92D2" w:themeFill="accent4" w:themeFillTint="7F"/>
      </w:tcPr>
    </w:tblStylePr>
    <w:tblStylePr w:type="neCell">
      <w:rPr>
        <w:color w:val="1A1A1A" w:themeColor="text1"/>
      </w:rPr>
    </w:tblStylePr>
    <w:tblStylePr w:type="nwCell">
      <w:rPr>
        <w:color w:val="1A1A1A" w:themeColor="text1"/>
      </w:rPr>
    </w:tblStylePr>
  </w:style>
  <w:style w:type="table" w:styleId="ColourfulShadingAccent5">
    <w:name w:val="Colorful Shading Accent 5"/>
    <w:basedOn w:val="TableNormal"/>
    <w:uiPriority w:val="71"/>
    <w:rsid w:val="00CB0664"/>
    <w:pPr>
      <w:spacing w:after="0" w:line="240" w:lineRule="auto"/>
    </w:pPr>
    <w:rPr>
      <w:color w:val="1A1A1A" w:themeColor="text1"/>
    </w:rPr>
    <w:tblPr>
      <w:tblStyleRowBandSize w:val="1"/>
      <w:tblStyleColBandSize w:val="1"/>
      <w:tblBorders>
        <w:top w:val="single" w:sz="24" w:space="0" w:color="1F3864" w:themeColor="accent6"/>
        <w:left w:val="single" w:sz="4" w:space="0" w:color="1F3864" w:themeColor="accent5"/>
        <w:bottom w:val="single" w:sz="4" w:space="0" w:color="1F3864" w:themeColor="accent5"/>
        <w:right w:val="single" w:sz="4" w:space="0" w:color="1F3864" w:themeColor="accent5"/>
        <w:insideH w:val="single" w:sz="4" w:space="0" w:color="FFFFFF" w:themeColor="background1"/>
        <w:insideV w:val="single" w:sz="4" w:space="0" w:color="FFFFFF" w:themeColor="background1"/>
      </w:tblBorders>
    </w:tblPr>
    <w:tcPr>
      <w:shd w:val="clear" w:color="auto" w:fill="E2E9F6" w:themeFill="accent5" w:themeFillTint="19"/>
    </w:tcPr>
    <w:tblStylePr w:type="firstRow">
      <w:rPr>
        <w:b/>
        <w:bCs/>
      </w:rPr>
      <w:tblPr/>
      <w:tcPr>
        <w:tcBorders>
          <w:top w:val="nil"/>
          <w:left w:val="nil"/>
          <w:bottom w:val="single" w:sz="24" w:space="0" w:color="1F386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13B" w:themeFill="accent5" w:themeFillShade="99"/>
      </w:tcPr>
    </w:tblStylePr>
    <w:tblStylePr w:type="firstCol">
      <w:rPr>
        <w:color w:val="FFFFFF" w:themeColor="background1"/>
      </w:rPr>
      <w:tblPr/>
      <w:tcPr>
        <w:tcBorders>
          <w:top w:val="nil"/>
          <w:left w:val="nil"/>
          <w:bottom w:val="nil"/>
          <w:right w:val="nil"/>
          <w:insideH w:val="single" w:sz="4" w:space="0" w:color="12213B" w:themeColor="accent5" w:themeShade="99"/>
          <w:insideV w:val="nil"/>
        </w:tcBorders>
        <w:shd w:val="clear" w:color="auto" w:fill="1221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2213B" w:themeFill="accent5" w:themeFillShade="99"/>
      </w:tcPr>
    </w:tblStylePr>
    <w:tblStylePr w:type="band1Vert">
      <w:tblPr/>
      <w:tcPr>
        <w:shd w:val="clear" w:color="auto" w:fill="8BA8DB" w:themeFill="accent5" w:themeFillTint="66"/>
      </w:tcPr>
    </w:tblStylePr>
    <w:tblStylePr w:type="band1Horz">
      <w:tblPr/>
      <w:tcPr>
        <w:shd w:val="clear" w:color="auto" w:fill="6E92D2" w:themeFill="accent5" w:themeFillTint="7F"/>
      </w:tcPr>
    </w:tblStylePr>
    <w:tblStylePr w:type="neCell">
      <w:rPr>
        <w:color w:val="1A1A1A" w:themeColor="text1"/>
      </w:rPr>
    </w:tblStylePr>
    <w:tblStylePr w:type="nwCell">
      <w:rPr>
        <w:color w:val="1A1A1A" w:themeColor="text1"/>
      </w:rPr>
    </w:tblStylePr>
  </w:style>
  <w:style w:type="table" w:styleId="ColourfulShadingAccent6">
    <w:name w:val="Colorful Shading Accent 6"/>
    <w:basedOn w:val="TableNormal"/>
    <w:uiPriority w:val="71"/>
    <w:rsid w:val="00CB0664"/>
    <w:pPr>
      <w:spacing w:after="0" w:line="240" w:lineRule="auto"/>
    </w:pPr>
    <w:rPr>
      <w:color w:val="1A1A1A" w:themeColor="text1"/>
    </w:rPr>
    <w:tblPr>
      <w:tblStyleRowBandSize w:val="1"/>
      <w:tblStyleColBandSize w:val="1"/>
      <w:tblBorders>
        <w:top w:val="single" w:sz="24" w:space="0" w:color="1F3864" w:themeColor="accent5"/>
        <w:left w:val="single" w:sz="4" w:space="0" w:color="1F3864" w:themeColor="accent6"/>
        <w:bottom w:val="single" w:sz="4" w:space="0" w:color="1F3864" w:themeColor="accent6"/>
        <w:right w:val="single" w:sz="4" w:space="0" w:color="1F3864" w:themeColor="accent6"/>
        <w:insideH w:val="single" w:sz="4" w:space="0" w:color="FFFFFF" w:themeColor="background1"/>
        <w:insideV w:val="single" w:sz="4" w:space="0" w:color="FFFFFF" w:themeColor="background1"/>
      </w:tblBorders>
    </w:tblPr>
    <w:tcPr>
      <w:shd w:val="clear" w:color="auto" w:fill="E2E9F6" w:themeFill="accent6" w:themeFillTint="19"/>
    </w:tcPr>
    <w:tblStylePr w:type="firstRow">
      <w:rPr>
        <w:b/>
        <w:bCs/>
      </w:rPr>
      <w:tblPr/>
      <w:tcPr>
        <w:tcBorders>
          <w:top w:val="nil"/>
          <w:left w:val="nil"/>
          <w:bottom w:val="single" w:sz="24" w:space="0" w:color="1F38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13B" w:themeFill="accent6" w:themeFillShade="99"/>
      </w:tcPr>
    </w:tblStylePr>
    <w:tblStylePr w:type="firstCol">
      <w:rPr>
        <w:color w:val="FFFFFF" w:themeColor="background1"/>
      </w:rPr>
      <w:tblPr/>
      <w:tcPr>
        <w:tcBorders>
          <w:top w:val="nil"/>
          <w:left w:val="nil"/>
          <w:bottom w:val="nil"/>
          <w:right w:val="nil"/>
          <w:insideH w:val="single" w:sz="4" w:space="0" w:color="12213B" w:themeColor="accent6" w:themeShade="99"/>
          <w:insideV w:val="nil"/>
        </w:tcBorders>
        <w:shd w:val="clear" w:color="auto" w:fill="12213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13B" w:themeFill="accent6" w:themeFillShade="99"/>
      </w:tcPr>
    </w:tblStylePr>
    <w:tblStylePr w:type="band1Vert">
      <w:tblPr/>
      <w:tcPr>
        <w:shd w:val="clear" w:color="auto" w:fill="8BA8DB" w:themeFill="accent6" w:themeFillTint="66"/>
      </w:tcPr>
    </w:tblStylePr>
    <w:tblStylePr w:type="band1Horz">
      <w:tblPr/>
      <w:tcPr>
        <w:shd w:val="clear" w:color="auto" w:fill="6E92D2" w:themeFill="accent6" w:themeFillTint="7F"/>
      </w:tcPr>
    </w:tblStylePr>
    <w:tblStylePr w:type="neCell">
      <w:rPr>
        <w:color w:val="1A1A1A" w:themeColor="text1"/>
      </w:rPr>
    </w:tblStylePr>
    <w:tblStylePr w:type="nwCell">
      <w:rPr>
        <w:color w:val="1A1A1A" w:themeColor="text1"/>
      </w:rPr>
    </w:tblStylePr>
  </w:style>
  <w:style w:type="table" w:styleId="ColourfulList">
    <w:name w:val="Colorful List"/>
    <w:basedOn w:val="TableNormal"/>
    <w:uiPriority w:val="72"/>
    <w:rsid w:val="00CB0664"/>
    <w:pPr>
      <w:spacing w:after="0" w:line="240" w:lineRule="auto"/>
    </w:pPr>
    <w:rPr>
      <w:color w:val="1A1A1A" w:themeColor="text1"/>
    </w:rPr>
    <w:tblPr>
      <w:tblStyleRowBandSize w:val="1"/>
      <w:tblStyleColBandSize w:val="1"/>
    </w:tblPr>
    <w:tcPr>
      <w:shd w:val="clear" w:color="auto" w:fill="E8E8E8" w:themeFill="text1" w:themeFillTint="19"/>
    </w:tcPr>
    <w:tblStylePr w:type="firstRow">
      <w:rPr>
        <w:b/>
        <w:bCs/>
        <w:color w:val="FFFFFF" w:themeColor="background1"/>
      </w:rPr>
      <w:tblPr/>
      <w:tcPr>
        <w:tcBorders>
          <w:bottom w:val="single" w:sz="12" w:space="0" w:color="FFFFFF" w:themeColor="background1"/>
        </w:tcBorders>
        <w:shd w:val="clear" w:color="auto" w:fill="474747" w:themeFill="accent2" w:themeFillShade="CC"/>
      </w:tcPr>
    </w:tblStylePr>
    <w:tblStylePr w:type="lastRow">
      <w:rPr>
        <w:b/>
        <w:bCs/>
        <w:color w:val="474747" w:themeColor="accent2" w:themeShade="CC"/>
      </w:rPr>
      <w:tblPr/>
      <w:tcPr>
        <w:tcBorders>
          <w:top w:val="single" w:sz="12" w:space="0" w:color="1A1A1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C6C6" w:themeFill="text1" w:themeFillTint="3F"/>
      </w:tcPr>
    </w:tblStylePr>
    <w:tblStylePr w:type="band1Horz">
      <w:tblPr/>
      <w:tcPr>
        <w:shd w:val="clear" w:color="auto" w:fill="D1D1D1" w:themeFill="text1" w:themeFillTint="33"/>
      </w:tcPr>
    </w:tblStylePr>
  </w:style>
  <w:style w:type="table" w:styleId="ColourfulListAccent1">
    <w:name w:val="Colorful List Accent 1"/>
    <w:basedOn w:val="TableNormal"/>
    <w:uiPriority w:val="72"/>
    <w:rsid w:val="00CB0664"/>
    <w:pPr>
      <w:spacing w:after="0" w:line="240" w:lineRule="auto"/>
    </w:pPr>
    <w:rPr>
      <w:color w:val="1A1A1A" w:themeColor="text1"/>
    </w:rPr>
    <w:tblPr>
      <w:tblStyleRowBandSize w:val="1"/>
      <w:tblStyleColBandSize w:val="1"/>
    </w:tblPr>
    <w:tcPr>
      <w:shd w:val="clear" w:color="auto" w:fill="E2E9F6" w:themeFill="accent1" w:themeFillTint="19"/>
    </w:tcPr>
    <w:tblStylePr w:type="firstRow">
      <w:rPr>
        <w:b/>
        <w:bCs/>
        <w:color w:val="FFFFFF" w:themeColor="background1"/>
      </w:rPr>
      <w:tblPr/>
      <w:tcPr>
        <w:tcBorders>
          <w:bottom w:val="single" w:sz="12" w:space="0" w:color="FFFFFF" w:themeColor="background1"/>
        </w:tcBorders>
        <w:shd w:val="clear" w:color="auto" w:fill="474747" w:themeFill="accent2" w:themeFillShade="CC"/>
      </w:tcPr>
    </w:tblStylePr>
    <w:tblStylePr w:type="lastRow">
      <w:rPr>
        <w:b/>
        <w:bCs/>
        <w:color w:val="474747" w:themeColor="accent2" w:themeShade="CC"/>
      </w:rPr>
      <w:tblPr/>
      <w:tcPr>
        <w:tcBorders>
          <w:top w:val="single" w:sz="12" w:space="0" w:color="1A1A1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C9E8" w:themeFill="accent1" w:themeFillTint="3F"/>
      </w:tcPr>
    </w:tblStylePr>
    <w:tblStylePr w:type="band1Horz">
      <w:tblPr/>
      <w:tcPr>
        <w:shd w:val="clear" w:color="auto" w:fill="C5D3ED" w:themeFill="accent1" w:themeFillTint="33"/>
      </w:tcPr>
    </w:tblStylePr>
  </w:style>
  <w:style w:type="table" w:styleId="ColourfulListAccent2">
    <w:name w:val="Colorful List Accent 2"/>
    <w:basedOn w:val="TableNormal"/>
    <w:uiPriority w:val="72"/>
    <w:rsid w:val="00CB0664"/>
    <w:pPr>
      <w:spacing w:after="0" w:line="240" w:lineRule="auto"/>
    </w:pPr>
    <w:rPr>
      <w:color w:val="1A1A1A" w:themeColor="text1"/>
    </w:rPr>
    <w:tblPr>
      <w:tblStyleRowBandSize w:val="1"/>
      <w:tblStyleColBandSize w:val="1"/>
    </w:tblPr>
    <w:tcPr>
      <w:shd w:val="clear" w:color="auto" w:fill="EEEEEE" w:themeFill="accent2" w:themeFillTint="19"/>
    </w:tcPr>
    <w:tblStylePr w:type="firstRow">
      <w:rPr>
        <w:b/>
        <w:bCs/>
        <w:color w:val="FFFFFF" w:themeColor="background1"/>
      </w:rPr>
      <w:tblPr/>
      <w:tcPr>
        <w:tcBorders>
          <w:bottom w:val="single" w:sz="12" w:space="0" w:color="FFFFFF" w:themeColor="background1"/>
        </w:tcBorders>
        <w:shd w:val="clear" w:color="auto" w:fill="474747" w:themeFill="accent2" w:themeFillShade="CC"/>
      </w:tcPr>
    </w:tblStylePr>
    <w:tblStylePr w:type="lastRow">
      <w:rPr>
        <w:b/>
        <w:bCs/>
        <w:color w:val="474747" w:themeColor="accent2" w:themeShade="CC"/>
      </w:rPr>
      <w:tblPr/>
      <w:tcPr>
        <w:tcBorders>
          <w:top w:val="single" w:sz="12" w:space="0" w:color="1A1A1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2" w:themeFillTint="3F"/>
      </w:tcPr>
    </w:tblStylePr>
    <w:tblStylePr w:type="band1Horz">
      <w:tblPr/>
      <w:tcPr>
        <w:shd w:val="clear" w:color="auto" w:fill="DDDDDD" w:themeFill="accent2" w:themeFillTint="33"/>
      </w:tcPr>
    </w:tblStylePr>
  </w:style>
  <w:style w:type="table" w:styleId="ColourfulListAccent3">
    <w:name w:val="Colorful List Accent 3"/>
    <w:basedOn w:val="TableNormal"/>
    <w:uiPriority w:val="72"/>
    <w:rsid w:val="00CB0664"/>
    <w:pPr>
      <w:spacing w:after="0" w:line="240" w:lineRule="auto"/>
    </w:pPr>
    <w:rPr>
      <w:color w:val="1A1A1A" w:themeColor="text1"/>
    </w:rPr>
    <w:tblPr>
      <w:tblStyleRowBandSize w:val="1"/>
      <w:tblStyleColBandSize w:val="1"/>
    </w:tblPr>
    <w:tcPr>
      <w:shd w:val="clear" w:color="auto" w:fill="E2E9F6" w:themeFill="accent3" w:themeFillTint="19"/>
    </w:tcPr>
    <w:tblStylePr w:type="firstRow">
      <w:rPr>
        <w:b/>
        <w:bCs/>
        <w:color w:val="FFFFFF" w:themeColor="background1"/>
      </w:rPr>
      <w:tblPr/>
      <w:tcPr>
        <w:tcBorders>
          <w:bottom w:val="single" w:sz="12" w:space="0" w:color="FFFFFF" w:themeColor="background1"/>
        </w:tcBorders>
        <w:shd w:val="clear" w:color="auto" w:fill="182C4F" w:themeFill="accent4" w:themeFillShade="CC"/>
      </w:tcPr>
    </w:tblStylePr>
    <w:tblStylePr w:type="lastRow">
      <w:rPr>
        <w:b/>
        <w:bCs/>
        <w:color w:val="182C4F" w:themeColor="accent4" w:themeShade="CC"/>
      </w:rPr>
      <w:tblPr/>
      <w:tcPr>
        <w:tcBorders>
          <w:top w:val="single" w:sz="12" w:space="0" w:color="1A1A1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C9E8" w:themeFill="accent3" w:themeFillTint="3F"/>
      </w:tcPr>
    </w:tblStylePr>
    <w:tblStylePr w:type="band1Horz">
      <w:tblPr/>
      <w:tcPr>
        <w:shd w:val="clear" w:color="auto" w:fill="C5D3ED" w:themeFill="accent3" w:themeFillTint="33"/>
      </w:tcPr>
    </w:tblStylePr>
  </w:style>
  <w:style w:type="table" w:styleId="ColourfulListAccent4">
    <w:name w:val="Colorful List Accent 4"/>
    <w:basedOn w:val="TableNormal"/>
    <w:uiPriority w:val="72"/>
    <w:rsid w:val="00CB0664"/>
    <w:pPr>
      <w:spacing w:after="0" w:line="240" w:lineRule="auto"/>
    </w:pPr>
    <w:rPr>
      <w:color w:val="1A1A1A" w:themeColor="text1"/>
    </w:rPr>
    <w:tblPr>
      <w:tblStyleRowBandSize w:val="1"/>
      <w:tblStyleColBandSize w:val="1"/>
    </w:tblPr>
    <w:tcPr>
      <w:shd w:val="clear" w:color="auto" w:fill="E2E9F6" w:themeFill="accent4" w:themeFillTint="19"/>
    </w:tcPr>
    <w:tblStylePr w:type="firstRow">
      <w:rPr>
        <w:b/>
        <w:bCs/>
        <w:color w:val="FFFFFF" w:themeColor="background1"/>
      </w:rPr>
      <w:tblPr/>
      <w:tcPr>
        <w:tcBorders>
          <w:bottom w:val="single" w:sz="12" w:space="0" w:color="FFFFFF" w:themeColor="background1"/>
        </w:tcBorders>
        <w:shd w:val="clear" w:color="auto" w:fill="182C4F" w:themeFill="accent3" w:themeFillShade="CC"/>
      </w:tcPr>
    </w:tblStylePr>
    <w:tblStylePr w:type="lastRow">
      <w:rPr>
        <w:b/>
        <w:bCs/>
        <w:color w:val="182C4F" w:themeColor="accent3" w:themeShade="CC"/>
      </w:rPr>
      <w:tblPr/>
      <w:tcPr>
        <w:tcBorders>
          <w:top w:val="single" w:sz="12" w:space="0" w:color="1A1A1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C9E8" w:themeFill="accent4" w:themeFillTint="3F"/>
      </w:tcPr>
    </w:tblStylePr>
    <w:tblStylePr w:type="band1Horz">
      <w:tblPr/>
      <w:tcPr>
        <w:shd w:val="clear" w:color="auto" w:fill="C5D3ED" w:themeFill="accent4" w:themeFillTint="33"/>
      </w:tcPr>
    </w:tblStylePr>
  </w:style>
  <w:style w:type="table" w:styleId="ColourfulListAccent5">
    <w:name w:val="Colorful List Accent 5"/>
    <w:basedOn w:val="TableNormal"/>
    <w:uiPriority w:val="72"/>
    <w:rsid w:val="00CB0664"/>
    <w:pPr>
      <w:spacing w:after="0" w:line="240" w:lineRule="auto"/>
    </w:pPr>
    <w:rPr>
      <w:color w:val="1A1A1A" w:themeColor="text1"/>
    </w:rPr>
    <w:tblPr>
      <w:tblStyleRowBandSize w:val="1"/>
      <w:tblStyleColBandSize w:val="1"/>
    </w:tblPr>
    <w:tcPr>
      <w:shd w:val="clear" w:color="auto" w:fill="E2E9F6" w:themeFill="accent5" w:themeFillTint="19"/>
    </w:tcPr>
    <w:tblStylePr w:type="firstRow">
      <w:rPr>
        <w:b/>
        <w:bCs/>
        <w:color w:val="FFFFFF" w:themeColor="background1"/>
      </w:rPr>
      <w:tblPr/>
      <w:tcPr>
        <w:tcBorders>
          <w:bottom w:val="single" w:sz="12" w:space="0" w:color="FFFFFF" w:themeColor="background1"/>
        </w:tcBorders>
        <w:shd w:val="clear" w:color="auto" w:fill="182C4F" w:themeFill="accent6" w:themeFillShade="CC"/>
      </w:tcPr>
    </w:tblStylePr>
    <w:tblStylePr w:type="lastRow">
      <w:rPr>
        <w:b/>
        <w:bCs/>
        <w:color w:val="182C4F" w:themeColor="accent6" w:themeShade="CC"/>
      </w:rPr>
      <w:tblPr/>
      <w:tcPr>
        <w:tcBorders>
          <w:top w:val="single" w:sz="12" w:space="0" w:color="1A1A1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C9E8" w:themeFill="accent5" w:themeFillTint="3F"/>
      </w:tcPr>
    </w:tblStylePr>
    <w:tblStylePr w:type="band1Horz">
      <w:tblPr/>
      <w:tcPr>
        <w:shd w:val="clear" w:color="auto" w:fill="C5D3ED" w:themeFill="accent5" w:themeFillTint="33"/>
      </w:tcPr>
    </w:tblStylePr>
  </w:style>
  <w:style w:type="table" w:styleId="ColourfulListAccent6">
    <w:name w:val="Colorful List Accent 6"/>
    <w:basedOn w:val="TableNormal"/>
    <w:uiPriority w:val="72"/>
    <w:rsid w:val="00CB0664"/>
    <w:pPr>
      <w:spacing w:after="0" w:line="240" w:lineRule="auto"/>
    </w:pPr>
    <w:rPr>
      <w:color w:val="1A1A1A" w:themeColor="text1"/>
    </w:rPr>
    <w:tblPr>
      <w:tblStyleRowBandSize w:val="1"/>
      <w:tblStyleColBandSize w:val="1"/>
    </w:tblPr>
    <w:tcPr>
      <w:shd w:val="clear" w:color="auto" w:fill="E2E9F6" w:themeFill="accent6" w:themeFillTint="19"/>
    </w:tcPr>
    <w:tblStylePr w:type="firstRow">
      <w:rPr>
        <w:b/>
        <w:bCs/>
        <w:color w:val="FFFFFF" w:themeColor="background1"/>
      </w:rPr>
      <w:tblPr/>
      <w:tcPr>
        <w:tcBorders>
          <w:bottom w:val="single" w:sz="12" w:space="0" w:color="FFFFFF" w:themeColor="background1"/>
        </w:tcBorders>
        <w:shd w:val="clear" w:color="auto" w:fill="182C4F" w:themeFill="accent5" w:themeFillShade="CC"/>
      </w:tcPr>
    </w:tblStylePr>
    <w:tblStylePr w:type="lastRow">
      <w:rPr>
        <w:b/>
        <w:bCs/>
        <w:color w:val="182C4F" w:themeColor="accent5" w:themeShade="CC"/>
      </w:rPr>
      <w:tblPr/>
      <w:tcPr>
        <w:tcBorders>
          <w:top w:val="single" w:sz="12" w:space="0" w:color="1A1A1A"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C9E8" w:themeFill="accent6" w:themeFillTint="3F"/>
      </w:tcPr>
    </w:tblStylePr>
    <w:tblStylePr w:type="band1Horz">
      <w:tblPr/>
      <w:tcPr>
        <w:shd w:val="clear" w:color="auto" w:fill="C5D3ED" w:themeFill="accent6" w:themeFillTint="33"/>
      </w:tcPr>
    </w:tblStylePr>
  </w:style>
  <w:style w:type="table" w:styleId="ColourfulGrid">
    <w:name w:val="Colorful Grid"/>
    <w:basedOn w:val="TableNormal"/>
    <w:uiPriority w:val="73"/>
    <w:rsid w:val="00CB0664"/>
    <w:pPr>
      <w:spacing w:after="0" w:line="240" w:lineRule="auto"/>
    </w:pPr>
    <w:rPr>
      <w:color w:val="1A1A1A" w:themeColor="text1"/>
    </w:rPr>
    <w:tblPr>
      <w:tblStyleRowBandSize w:val="1"/>
      <w:tblStyleColBandSize w:val="1"/>
      <w:tblBorders>
        <w:insideH w:val="single" w:sz="4" w:space="0" w:color="FFFFFF" w:themeColor="background1"/>
      </w:tblBorders>
    </w:tblPr>
    <w:tcPr>
      <w:shd w:val="clear" w:color="auto" w:fill="D1D1D1" w:themeFill="text1" w:themeFillTint="33"/>
    </w:tcPr>
    <w:tblStylePr w:type="firstRow">
      <w:rPr>
        <w:b/>
        <w:bCs/>
      </w:rPr>
      <w:tblPr/>
      <w:tcPr>
        <w:shd w:val="clear" w:color="auto" w:fill="A3A3A3" w:themeFill="text1" w:themeFillTint="66"/>
      </w:tcPr>
    </w:tblStylePr>
    <w:tblStylePr w:type="lastRow">
      <w:rPr>
        <w:b/>
        <w:bCs/>
        <w:color w:val="1A1A1A" w:themeColor="text1"/>
      </w:rPr>
      <w:tblPr/>
      <w:tcPr>
        <w:shd w:val="clear" w:color="auto" w:fill="A3A3A3" w:themeFill="text1" w:themeFillTint="66"/>
      </w:tcPr>
    </w:tblStylePr>
    <w:tblStylePr w:type="firstCol">
      <w:rPr>
        <w:color w:val="FFFFFF" w:themeColor="background1"/>
      </w:rPr>
      <w:tblPr/>
      <w:tcPr>
        <w:shd w:val="clear" w:color="auto" w:fill="131313" w:themeFill="text1" w:themeFillShade="BF"/>
      </w:tcPr>
    </w:tblStylePr>
    <w:tblStylePr w:type="lastCol">
      <w:rPr>
        <w:color w:val="FFFFFF" w:themeColor="background1"/>
      </w:rPr>
      <w:tblPr/>
      <w:tcPr>
        <w:shd w:val="clear" w:color="auto" w:fill="131313" w:themeFill="text1" w:themeFillShade="BF"/>
      </w:tcPr>
    </w:tblStylePr>
    <w:tblStylePr w:type="band1Vert">
      <w:tblPr/>
      <w:tcPr>
        <w:shd w:val="clear" w:color="auto" w:fill="8C8C8C" w:themeFill="text1" w:themeFillTint="7F"/>
      </w:tcPr>
    </w:tblStylePr>
    <w:tblStylePr w:type="band1Horz">
      <w:tblPr/>
      <w:tcPr>
        <w:shd w:val="clear" w:color="auto" w:fill="8C8C8C" w:themeFill="text1" w:themeFillTint="7F"/>
      </w:tcPr>
    </w:tblStylePr>
  </w:style>
  <w:style w:type="table" w:styleId="ColourfulGridAccent1">
    <w:name w:val="Colorful Grid Accent 1"/>
    <w:basedOn w:val="TableNormal"/>
    <w:uiPriority w:val="73"/>
    <w:rsid w:val="00CB0664"/>
    <w:pPr>
      <w:spacing w:after="0" w:line="240" w:lineRule="auto"/>
    </w:pPr>
    <w:rPr>
      <w:color w:val="1A1A1A" w:themeColor="text1"/>
    </w:rPr>
    <w:tblPr>
      <w:tblStyleRowBandSize w:val="1"/>
      <w:tblStyleColBandSize w:val="1"/>
      <w:tblBorders>
        <w:insideH w:val="single" w:sz="4" w:space="0" w:color="FFFFFF" w:themeColor="background1"/>
      </w:tblBorders>
    </w:tblPr>
    <w:tcPr>
      <w:shd w:val="clear" w:color="auto" w:fill="C5D3ED" w:themeFill="accent1" w:themeFillTint="33"/>
    </w:tcPr>
    <w:tblStylePr w:type="firstRow">
      <w:rPr>
        <w:b/>
        <w:bCs/>
      </w:rPr>
      <w:tblPr/>
      <w:tcPr>
        <w:shd w:val="clear" w:color="auto" w:fill="8BA8DB" w:themeFill="accent1" w:themeFillTint="66"/>
      </w:tcPr>
    </w:tblStylePr>
    <w:tblStylePr w:type="lastRow">
      <w:rPr>
        <w:b/>
        <w:bCs/>
        <w:color w:val="1A1A1A" w:themeColor="text1"/>
      </w:rPr>
      <w:tblPr/>
      <w:tcPr>
        <w:shd w:val="clear" w:color="auto" w:fill="8BA8DB" w:themeFill="accent1" w:themeFillTint="66"/>
      </w:tcPr>
    </w:tblStylePr>
    <w:tblStylePr w:type="firstCol">
      <w:rPr>
        <w:color w:val="FFFFFF" w:themeColor="background1"/>
      </w:rPr>
      <w:tblPr/>
      <w:tcPr>
        <w:shd w:val="clear" w:color="auto" w:fill="17294A" w:themeFill="accent1" w:themeFillShade="BF"/>
      </w:tcPr>
    </w:tblStylePr>
    <w:tblStylePr w:type="lastCol">
      <w:rPr>
        <w:color w:val="FFFFFF" w:themeColor="background1"/>
      </w:rPr>
      <w:tblPr/>
      <w:tcPr>
        <w:shd w:val="clear" w:color="auto" w:fill="17294A" w:themeFill="accent1" w:themeFillShade="BF"/>
      </w:tcPr>
    </w:tblStylePr>
    <w:tblStylePr w:type="band1Vert">
      <w:tblPr/>
      <w:tcPr>
        <w:shd w:val="clear" w:color="auto" w:fill="6E92D2" w:themeFill="accent1" w:themeFillTint="7F"/>
      </w:tcPr>
    </w:tblStylePr>
    <w:tblStylePr w:type="band1Horz">
      <w:tblPr/>
      <w:tcPr>
        <w:shd w:val="clear" w:color="auto" w:fill="6E92D2" w:themeFill="accent1" w:themeFillTint="7F"/>
      </w:tcPr>
    </w:tblStylePr>
  </w:style>
  <w:style w:type="table" w:styleId="ColourfulGridAccent2">
    <w:name w:val="Colorful Grid Accent 2"/>
    <w:basedOn w:val="TableNormal"/>
    <w:uiPriority w:val="73"/>
    <w:rsid w:val="00CB0664"/>
    <w:pPr>
      <w:spacing w:after="0" w:line="240" w:lineRule="auto"/>
    </w:pPr>
    <w:rPr>
      <w:color w:val="1A1A1A" w:themeColor="text1"/>
    </w:rPr>
    <w:tblPr>
      <w:tblStyleRowBandSize w:val="1"/>
      <w:tblStyleColBandSize w:val="1"/>
      <w:tblBorders>
        <w:insideH w:val="single" w:sz="4" w:space="0" w:color="FFFFFF" w:themeColor="background1"/>
      </w:tblBorders>
    </w:tblPr>
    <w:tcPr>
      <w:shd w:val="clear" w:color="auto" w:fill="DDDDDD" w:themeFill="accent2" w:themeFillTint="33"/>
    </w:tcPr>
    <w:tblStylePr w:type="firstRow">
      <w:rPr>
        <w:b/>
        <w:bCs/>
      </w:rPr>
      <w:tblPr/>
      <w:tcPr>
        <w:shd w:val="clear" w:color="auto" w:fill="BCBCBC" w:themeFill="accent2" w:themeFillTint="66"/>
      </w:tcPr>
    </w:tblStylePr>
    <w:tblStylePr w:type="lastRow">
      <w:rPr>
        <w:b/>
        <w:bCs/>
        <w:color w:val="1A1A1A" w:themeColor="text1"/>
      </w:rPr>
      <w:tblPr/>
      <w:tcPr>
        <w:shd w:val="clear" w:color="auto" w:fill="BCBCBC" w:themeFill="accent2" w:themeFillTint="66"/>
      </w:tcPr>
    </w:tblStylePr>
    <w:tblStylePr w:type="firstCol">
      <w:rPr>
        <w:color w:val="FFFFFF" w:themeColor="background1"/>
      </w:rPr>
      <w:tblPr/>
      <w:tcPr>
        <w:shd w:val="clear" w:color="auto" w:fill="424242" w:themeFill="accent2" w:themeFillShade="BF"/>
      </w:tcPr>
    </w:tblStylePr>
    <w:tblStylePr w:type="lastCol">
      <w:rPr>
        <w:color w:val="FFFFFF" w:themeColor="background1"/>
      </w:rPr>
      <w:tblPr/>
      <w:tcPr>
        <w:shd w:val="clear" w:color="auto" w:fill="424242" w:themeFill="accent2" w:themeFillShade="BF"/>
      </w:tcPr>
    </w:tblStylePr>
    <w:tblStylePr w:type="band1Vert">
      <w:tblPr/>
      <w:tcPr>
        <w:shd w:val="clear" w:color="auto" w:fill="ACACAC" w:themeFill="accent2" w:themeFillTint="7F"/>
      </w:tcPr>
    </w:tblStylePr>
    <w:tblStylePr w:type="band1Horz">
      <w:tblPr/>
      <w:tcPr>
        <w:shd w:val="clear" w:color="auto" w:fill="ACACAC" w:themeFill="accent2" w:themeFillTint="7F"/>
      </w:tcPr>
    </w:tblStylePr>
  </w:style>
  <w:style w:type="table" w:styleId="ColourfulGridAccent3">
    <w:name w:val="Colorful Grid Accent 3"/>
    <w:basedOn w:val="TableNormal"/>
    <w:uiPriority w:val="73"/>
    <w:rsid w:val="00CB0664"/>
    <w:pPr>
      <w:spacing w:after="0" w:line="240" w:lineRule="auto"/>
    </w:pPr>
    <w:rPr>
      <w:color w:val="1A1A1A" w:themeColor="text1"/>
    </w:rPr>
    <w:tblPr>
      <w:tblStyleRowBandSize w:val="1"/>
      <w:tblStyleColBandSize w:val="1"/>
      <w:tblBorders>
        <w:insideH w:val="single" w:sz="4" w:space="0" w:color="FFFFFF" w:themeColor="background1"/>
      </w:tblBorders>
    </w:tblPr>
    <w:tcPr>
      <w:shd w:val="clear" w:color="auto" w:fill="C5D3ED" w:themeFill="accent3" w:themeFillTint="33"/>
    </w:tcPr>
    <w:tblStylePr w:type="firstRow">
      <w:rPr>
        <w:b/>
        <w:bCs/>
      </w:rPr>
      <w:tblPr/>
      <w:tcPr>
        <w:shd w:val="clear" w:color="auto" w:fill="8BA8DB" w:themeFill="accent3" w:themeFillTint="66"/>
      </w:tcPr>
    </w:tblStylePr>
    <w:tblStylePr w:type="lastRow">
      <w:rPr>
        <w:b/>
        <w:bCs/>
        <w:color w:val="1A1A1A" w:themeColor="text1"/>
      </w:rPr>
      <w:tblPr/>
      <w:tcPr>
        <w:shd w:val="clear" w:color="auto" w:fill="8BA8DB" w:themeFill="accent3" w:themeFillTint="66"/>
      </w:tcPr>
    </w:tblStylePr>
    <w:tblStylePr w:type="firstCol">
      <w:rPr>
        <w:color w:val="FFFFFF" w:themeColor="background1"/>
      </w:rPr>
      <w:tblPr/>
      <w:tcPr>
        <w:shd w:val="clear" w:color="auto" w:fill="17294A" w:themeFill="accent3" w:themeFillShade="BF"/>
      </w:tcPr>
    </w:tblStylePr>
    <w:tblStylePr w:type="lastCol">
      <w:rPr>
        <w:color w:val="FFFFFF" w:themeColor="background1"/>
      </w:rPr>
      <w:tblPr/>
      <w:tcPr>
        <w:shd w:val="clear" w:color="auto" w:fill="17294A" w:themeFill="accent3" w:themeFillShade="BF"/>
      </w:tcPr>
    </w:tblStylePr>
    <w:tblStylePr w:type="band1Vert">
      <w:tblPr/>
      <w:tcPr>
        <w:shd w:val="clear" w:color="auto" w:fill="6E92D2" w:themeFill="accent3" w:themeFillTint="7F"/>
      </w:tcPr>
    </w:tblStylePr>
    <w:tblStylePr w:type="band1Horz">
      <w:tblPr/>
      <w:tcPr>
        <w:shd w:val="clear" w:color="auto" w:fill="6E92D2" w:themeFill="accent3" w:themeFillTint="7F"/>
      </w:tcPr>
    </w:tblStylePr>
  </w:style>
  <w:style w:type="table" w:styleId="ColourfulGridAccent4">
    <w:name w:val="Colorful Grid Accent 4"/>
    <w:basedOn w:val="TableNormal"/>
    <w:uiPriority w:val="73"/>
    <w:rsid w:val="00CB0664"/>
    <w:pPr>
      <w:spacing w:after="0" w:line="240" w:lineRule="auto"/>
    </w:pPr>
    <w:rPr>
      <w:color w:val="1A1A1A" w:themeColor="text1"/>
    </w:rPr>
    <w:tblPr>
      <w:tblStyleRowBandSize w:val="1"/>
      <w:tblStyleColBandSize w:val="1"/>
      <w:tblBorders>
        <w:insideH w:val="single" w:sz="4" w:space="0" w:color="FFFFFF" w:themeColor="background1"/>
      </w:tblBorders>
    </w:tblPr>
    <w:tcPr>
      <w:shd w:val="clear" w:color="auto" w:fill="C5D3ED" w:themeFill="accent4" w:themeFillTint="33"/>
    </w:tcPr>
    <w:tblStylePr w:type="firstRow">
      <w:rPr>
        <w:b/>
        <w:bCs/>
      </w:rPr>
      <w:tblPr/>
      <w:tcPr>
        <w:shd w:val="clear" w:color="auto" w:fill="8BA8DB" w:themeFill="accent4" w:themeFillTint="66"/>
      </w:tcPr>
    </w:tblStylePr>
    <w:tblStylePr w:type="lastRow">
      <w:rPr>
        <w:b/>
        <w:bCs/>
        <w:color w:val="1A1A1A" w:themeColor="text1"/>
      </w:rPr>
      <w:tblPr/>
      <w:tcPr>
        <w:shd w:val="clear" w:color="auto" w:fill="8BA8DB" w:themeFill="accent4" w:themeFillTint="66"/>
      </w:tcPr>
    </w:tblStylePr>
    <w:tblStylePr w:type="firstCol">
      <w:rPr>
        <w:color w:val="FFFFFF" w:themeColor="background1"/>
      </w:rPr>
      <w:tblPr/>
      <w:tcPr>
        <w:shd w:val="clear" w:color="auto" w:fill="17294A" w:themeFill="accent4" w:themeFillShade="BF"/>
      </w:tcPr>
    </w:tblStylePr>
    <w:tblStylePr w:type="lastCol">
      <w:rPr>
        <w:color w:val="FFFFFF" w:themeColor="background1"/>
      </w:rPr>
      <w:tblPr/>
      <w:tcPr>
        <w:shd w:val="clear" w:color="auto" w:fill="17294A" w:themeFill="accent4" w:themeFillShade="BF"/>
      </w:tcPr>
    </w:tblStylePr>
    <w:tblStylePr w:type="band1Vert">
      <w:tblPr/>
      <w:tcPr>
        <w:shd w:val="clear" w:color="auto" w:fill="6E92D2" w:themeFill="accent4" w:themeFillTint="7F"/>
      </w:tcPr>
    </w:tblStylePr>
    <w:tblStylePr w:type="band1Horz">
      <w:tblPr/>
      <w:tcPr>
        <w:shd w:val="clear" w:color="auto" w:fill="6E92D2" w:themeFill="accent4" w:themeFillTint="7F"/>
      </w:tcPr>
    </w:tblStylePr>
  </w:style>
  <w:style w:type="table" w:styleId="ColourfulGridAccent5">
    <w:name w:val="Colorful Grid Accent 5"/>
    <w:basedOn w:val="TableNormal"/>
    <w:uiPriority w:val="73"/>
    <w:rsid w:val="00CB0664"/>
    <w:pPr>
      <w:spacing w:after="0" w:line="240" w:lineRule="auto"/>
    </w:pPr>
    <w:rPr>
      <w:color w:val="1A1A1A" w:themeColor="text1"/>
    </w:rPr>
    <w:tblPr>
      <w:tblStyleRowBandSize w:val="1"/>
      <w:tblStyleColBandSize w:val="1"/>
      <w:tblBorders>
        <w:insideH w:val="single" w:sz="4" w:space="0" w:color="FFFFFF" w:themeColor="background1"/>
      </w:tblBorders>
    </w:tblPr>
    <w:tcPr>
      <w:shd w:val="clear" w:color="auto" w:fill="C5D3ED" w:themeFill="accent5" w:themeFillTint="33"/>
    </w:tcPr>
    <w:tblStylePr w:type="firstRow">
      <w:rPr>
        <w:b/>
        <w:bCs/>
      </w:rPr>
      <w:tblPr/>
      <w:tcPr>
        <w:shd w:val="clear" w:color="auto" w:fill="8BA8DB" w:themeFill="accent5" w:themeFillTint="66"/>
      </w:tcPr>
    </w:tblStylePr>
    <w:tblStylePr w:type="lastRow">
      <w:rPr>
        <w:b/>
        <w:bCs/>
        <w:color w:val="1A1A1A" w:themeColor="text1"/>
      </w:rPr>
      <w:tblPr/>
      <w:tcPr>
        <w:shd w:val="clear" w:color="auto" w:fill="8BA8DB" w:themeFill="accent5" w:themeFillTint="66"/>
      </w:tcPr>
    </w:tblStylePr>
    <w:tblStylePr w:type="firstCol">
      <w:rPr>
        <w:color w:val="FFFFFF" w:themeColor="background1"/>
      </w:rPr>
      <w:tblPr/>
      <w:tcPr>
        <w:shd w:val="clear" w:color="auto" w:fill="17294A" w:themeFill="accent5" w:themeFillShade="BF"/>
      </w:tcPr>
    </w:tblStylePr>
    <w:tblStylePr w:type="lastCol">
      <w:rPr>
        <w:color w:val="FFFFFF" w:themeColor="background1"/>
      </w:rPr>
      <w:tblPr/>
      <w:tcPr>
        <w:shd w:val="clear" w:color="auto" w:fill="17294A" w:themeFill="accent5" w:themeFillShade="BF"/>
      </w:tcPr>
    </w:tblStylePr>
    <w:tblStylePr w:type="band1Vert">
      <w:tblPr/>
      <w:tcPr>
        <w:shd w:val="clear" w:color="auto" w:fill="6E92D2" w:themeFill="accent5" w:themeFillTint="7F"/>
      </w:tcPr>
    </w:tblStylePr>
    <w:tblStylePr w:type="band1Horz">
      <w:tblPr/>
      <w:tcPr>
        <w:shd w:val="clear" w:color="auto" w:fill="6E92D2" w:themeFill="accent5" w:themeFillTint="7F"/>
      </w:tcPr>
    </w:tblStylePr>
  </w:style>
  <w:style w:type="table" w:styleId="ColourfulGridAccent6">
    <w:name w:val="Colorful Grid Accent 6"/>
    <w:basedOn w:val="TableNormal"/>
    <w:uiPriority w:val="73"/>
    <w:rsid w:val="00CB0664"/>
    <w:pPr>
      <w:spacing w:after="0" w:line="240" w:lineRule="auto"/>
    </w:pPr>
    <w:rPr>
      <w:color w:val="1A1A1A" w:themeColor="text1"/>
    </w:rPr>
    <w:tblPr>
      <w:tblStyleRowBandSize w:val="1"/>
      <w:tblStyleColBandSize w:val="1"/>
      <w:tblBorders>
        <w:insideH w:val="single" w:sz="4" w:space="0" w:color="FFFFFF" w:themeColor="background1"/>
      </w:tblBorders>
    </w:tblPr>
    <w:tcPr>
      <w:shd w:val="clear" w:color="auto" w:fill="C5D3ED" w:themeFill="accent6" w:themeFillTint="33"/>
    </w:tcPr>
    <w:tblStylePr w:type="firstRow">
      <w:rPr>
        <w:b/>
        <w:bCs/>
      </w:rPr>
      <w:tblPr/>
      <w:tcPr>
        <w:shd w:val="clear" w:color="auto" w:fill="8BA8DB" w:themeFill="accent6" w:themeFillTint="66"/>
      </w:tcPr>
    </w:tblStylePr>
    <w:tblStylePr w:type="lastRow">
      <w:rPr>
        <w:b/>
        <w:bCs/>
        <w:color w:val="1A1A1A" w:themeColor="text1"/>
      </w:rPr>
      <w:tblPr/>
      <w:tcPr>
        <w:shd w:val="clear" w:color="auto" w:fill="8BA8DB" w:themeFill="accent6" w:themeFillTint="66"/>
      </w:tcPr>
    </w:tblStylePr>
    <w:tblStylePr w:type="firstCol">
      <w:rPr>
        <w:color w:val="FFFFFF" w:themeColor="background1"/>
      </w:rPr>
      <w:tblPr/>
      <w:tcPr>
        <w:shd w:val="clear" w:color="auto" w:fill="17294A" w:themeFill="accent6" w:themeFillShade="BF"/>
      </w:tcPr>
    </w:tblStylePr>
    <w:tblStylePr w:type="lastCol">
      <w:rPr>
        <w:color w:val="FFFFFF" w:themeColor="background1"/>
      </w:rPr>
      <w:tblPr/>
      <w:tcPr>
        <w:shd w:val="clear" w:color="auto" w:fill="17294A" w:themeFill="accent6" w:themeFillShade="BF"/>
      </w:tcPr>
    </w:tblStylePr>
    <w:tblStylePr w:type="band1Vert">
      <w:tblPr/>
      <w:tcPr>
        <w:shd w:val="clear" w:color="auto" w:fill="6E92D2" w:themeFill="accent6" w:themeFillTint="7F"/>
      </w:tcPr>
    </w:tblStylePr>
    <w:tblStylePr w:type="band1Horz">
      <w:tblPr/>
      <w:tcPr>
        <w:shd w:val="clear" w:color="auto" w:fill="6E92D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Custom 1F3864">
      <a:dk1>
        <a:srgbClr val="1A1A1A"/>
      </a:dk1>
      <a:lt1>
        <a:srgbClr val="FFFFFF"/>
      </a:lt1>
      <a:dk2>
        <a:srgbClr val="1F3864"/>
      </a:dk2>
      <a:lt2>
        <a:srgbClr val="EEECE1"/>
      </a:lt2>
      <a:accent1>
        <a:srgbClr val="1F3864"/>
      </a:accent1>
      <a:accent2>
        <a:srgbClr val="595959"/>
      </a:accent2>
      <a:accent3>
        <a:srgbClr val="1F3864"/>
      </a:accent3>
      <a:accent4>
        <a:srgbClr val="1F3864"/>
      </a:accent4>
      <a:accent5>
        <a:srgbClr val="1F3864"/>
      </a:accent5>
      <a:accent6>
        <a:srgbClr val="1F3864"/>
      </a:accent6>
      <a:hlink>
        <a:srgbClr val="1F3864"/>
      </a:hlink>
      <a:folHlink>
        <a:srgbClr val="595959"/>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51D0B616CDE4C855D9153E0C5CE6B" ma:contentTypeVersion="9" ma:contentTypeDescription="Create a new document." ma:contentTypeScope="" ma:versionID="5e0a2ab56d7889040f1d56454fcfcefa">
  <xsd:schema xmlns:xsd="http://www.w3.org/2001/XMLSchema" xmlns:xs="http://www.w3.org/2001/XMLSchema" xmlns:p="http://schemas.microsoft.com/office/2006/metadata/properties" xmlns:ns2="ca200eee-9e3c-40fe-adb9-903101a026d7" xmlns:ns3="5428bf05-0f45-46d8-9436-8c3c211633bf" targetNamespace="http://schemas.microsoft.com/office/2006/metadata/properties" ma:root="true" ma:fieldsID="95858385a3bc556b18bd77f2b986443e" ns2:_="" ns3:_="">
    <xsd:import namespace="ca200eee-9e3c-40fe-adb9-903101a026d7"/>
    <xsd:import namespace="5428bf05-0f45-46d8-9436-8c3c211633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00eee-9e3c-40fe-adb9-903101a026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3b8753-5a76-45f7-a47f-79836582b28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28bf05-0f45-46d8-9436-8c3c211633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c6c93e5-3c2e-47c9-83a9-61af3f5a4906}" ma:internalName="TaxCatchAll" ma:showField="CatchAllData" ma:web="5428bf05-0f45-46d8-9436-8c3c211633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428bf05-0f45-46d8-9436-8c3c211633bf" xsi:nil="true"/>
    <lcf76f155ced4ddcb4097134ff3c332f xmlns="ca200eee-9e3c-40fe-adb9-903101a026d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24DEC-8092-4CFB-B8AA-0775980AC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00eee-9e3c-40fe-adb9-903101a026d7"/>
    <ds:schemaRef ds:uri="5428bf05-0f45-46d8-9436-8c3c211633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FCF07A-ABEC-4342-AB59-E00959F5727F}">
  <ds:schemaRefs>
    <ds:schemaRef ds:uri="http://schemas.microsoft.com/sharepoint/v3/contenttype/forms"/>
  </ds:schemaRefs>
</ds:datastoreItem>
</file>

<file path=customXml/itemProps3.xml><?xml version="1.0" encoding="utf-8"?>
<ds:datastoreItem xmlns:ds="http://schemas.openxmlformats.org/officeDocument/2006/customXml" ds:itemID="{E8109C2E-2A9D-496B-8C5E-4C028EA9C0AB}">
  <ds:schemaRefs>
    <ds:schemaRef ds:uri="http://schemas.microsoft.com/office/2006/metadata/properties"/>
    <ds:schemaRef ds:uri="http://schemas.microsoft.com/office/infopath/2007/PartnerControls"/>
    <ds:schemaRef ds:uri="5428bf05-0f45-46d8-9436-8c3c211633bf"/>
    <ds:schemaRef ds:uri="ca200eee-9e3c-40fe-adb9-903101a026d7"/>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15</Pages>
  <Words>6584</Words>
  <Characters>37531</Characters>
  <Application>Microsoft Office Word</Application>
  <DocSecurity>0</DocSecurity>
  <Lines>312</Lines>
  <Paragraphs>88</Paragraphs>
  <ScaleCrop>false</ScaleCrop>
  <Manager/>
  <Company/>
  <LinksUpToDate>false</LinksUpToDate>
  <CharactersWithSpaces>44027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Sankalp Dolas</cp:lastModifiedBy>
  <cp:revision>99</cp:revision>
  <dcterms:created xsi:type="dcterms:W3CDTF">2026-10-14T15:15:00Z</dcterms:created>
  <dcterms:modified xsi:type="dcterms:W3CDTF">2026-10-27T14:58:00Z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0x01010088251D0B616CDE4C855D9153E0C5CE6B</vt:lpwstr>
  </property>
  <property fmtid="{D5CDD505-2E9C-101B-9397-08002B2CF9AE}" pid="3" name="docLang">
    <vt:lpwstr>en</vt:lpwstr>
  </property>
  <property fmtid="{D5CDD505-2E9C-101B-9397-08002B2CF9AE}" pid="4" name="MediaServiceImageTags">
    <vt:lpwstr/>
  </property>
</Properties>
</file>