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540"/>
        <w:tblW w:w="10206" w:type="dxa"/>
        <w:tblLayout w:type="fixed"/>
        <w:tblCellMar>
          <w:top w:w="85" w:type="dxa"/>
          <w:bottom w:w="85" w:type="dxa"/>
        </w:tblCellMar>
        <w:tblLook w:val="04A0" w:firstRow="1" w:lastRow="0" w:firstColumn="1" w:lastColumn="0" w:noHBand="0" w:noVBand="1"/>
      </w:tblPr>
      <w:tblGrid>
        <w:gridCol w:w="704"/>
        <w:gridCol w:w="4683"/>
        <w:gridCol w:w="4819"/>
      </w:tblGrid>
      <w:tr w:rsidR="006F61E9" w:rsidRPr="002B6111" w14:paraId="5740AAE6" w14:textId="77777777" w:rsidTr="004B5D9E">
        <w:trPr>
          <w:trHeight w:val="20"/>
          <w:tblHeader/>
        </w:trPr>
        <w:tc>
          <w:tcPr>
            <w:tcW w:w="10206" w:type="dxa"/>
            <w:gridSpan w:val="3"/>
            <w:tcBorders>
              <w:top w:val="nil"/>
              <w:left w:val="nil"/>
              <w:right w:val="nil"/>
            </w:tcBorders>
            <w:shd w:val="clear" w:color="auto" w:fill="FFFFFF" w:themeFill="background1"/>
            <w:vAlign w:val="center"/>
          </w:tcPr>
          <w:p w14:paraId="6B91E665" w14:textId="7A4F6478" w:rsidR="006F61E9" w:rsidRPr="002B6111" w:rsidRDefault="003705D1" w:rsidP="00CD32AE">
            <w:pPr>
              <w:spacing w:before="120" w:after="120"/>
              <w:rPr>
                <w:rFonts w:cstheme="minorHAnsi"/>
                <w:b/>
                <w:caps/>
                <w:sz w:val="28"/>
                <w:szCs w:val="28"/>
              </w:rPr>
            </w:pPr>
            <w:r w:rsidRPr="002B6111">
              <w:rPr>
                <w:rFonts w:cstheme="minorHAnsi"/>
                <w:b/>
                <w:caps/>
                <w:sz w:val="28"/>
                <w:szCs w:val="28"/>
              </w:rPr>
              <w:t xml:space="preserve">Question &amp; Answers - </w:t>
            </w:r>
            <w:r w:rsidR="00E75C93" w:rsidRPr="002B6111">
              <w:rPr>
                <w:rFonts w:cstheme="minorHAnsi"/>
                <w:b/>
                <w:caps/>
                <w:sz w:val="28"/>
                <w:szCs w:val="28"/>
              </w:rPr>
              <w:t xml:space="preserve">dated </w:t>
            </w:r>
            <w:r w:rsidR="00B906EB">
              <w:rPr>
                <w:rFonts w:cstheme="minorHAnsi"/>
                <w:b/>
                <w:caps/>
                <w:sz w:val="28"/>
                <w:szCs w:val="28"/>
              </w:rPr>
              <w:t>22</w:t>
            </w:r>
            <w:r w:rsidR="00364D1B" w:rsidRPr="002B6111">
              <w:rPr>
                <w:rFonts w:cstheme="minorHAnsi"/>
                <w:b/>
                <w:caps/>
                <w:sz w:val="28"/>
                <w:szCs w:val="28"/>
              </w:rPr>
              <w:t>/</w:t>
            </w:r>
            <w:r w:rsidR="00CD32AE">
              <w:rPr>
                <w:rFonts w:cstheme="minorHAnsi"/>
                <w:b/>
                <w:caps/>
                <w:sz w:val="28"/>
                <w:szCs w:val="28"/>
              </w:rPr>
              <w:t>10</w:t>
            </w:r>
            <w:r w:rsidR="00364D1B" w:rsidRPr="002B6111">
              <w:rPr>
                <w:rFonts w:cstheme="minorHAnsi"/>
                <w:b/>
                <w:caps/>
                <w:sz w:val="28"/>
                <w:szCs w:val="28"/>
              </w:rPr>
              <w:t>/2026</w:t>
            </w:r>
          </w:p>
        </w:tc>
      </w:tr>
      <w:tr w:rsidR="009E42B6" w:rsidRPr="002B6111" w14:paraId="6B9779F8" w14:textId="77777777" w:rsidTr="004B5D9E">
        <w:trPr>
          <w:trHeight w:val="20"/>
          <w:tblHeader/>
        </w:trPr>
        <w:tc>
          <w:tcPr>
            <w:tcW w:w="10206" w:type="dxa"/>
            <w:gridSpan w:val="3"/>
            <w:shd w:val="clear" w:color="auto" w:fill="1F3864" w:themeFill="accent1" w:themeFillShade="80"/>
            <w:vAlign w:val="center"/>
          </w:tcPr>
          <w:p w14:paraId="1A207E3C" w14:textId="68FCBABD" w:rsidR="009E42B6" w:rsidRPr="002B6111" w:rsidRDefault="006B2EA6" w:rsidP="00CD32AE">
            <w:pPr>
              <w:spacing w:before="120" w:after="120"/>
              <w:jc w:val="center"/>
              <w:rPr>
                <w:rFonts w:cstheme="minorHAnsi"/>
                <w:b/>
                <w:color w:val="FFFFFF" w:themeColor="background1"/>
                <w:sz w:val="28"/>
                <w:szCs w:val="28"/>
              </w:rPr>
            </w:pPr>
            <w:bookmarkStart w:id="0" w:name="_Hlk63691768"/>
            <w:r w:rsidRPr="002B6111">
              <w:rPr>
                <w:rFonts w:cstheme="minorHAnsi"/>
                <w:b/>
                <w:color w:val="FFFFFF" w:themeColor="background1"/>
                <w:sz w:val="28"/>
                <w:szCs w:val="28"/>
              </w:rPr>
              <w:t xml:space="preserve">CFT </w:t>
            </w:r>
            <w:r w:rsidRPr="002B6111">
              <w:rPr>
                <w:rFonts w:cstheme="minorHAnsi"/>
                <w:sz w:val="28"/>
                <w:szCs w:val="28"/>
              </w:rPr>
              <w:t>dated</w:t>
            </w:r>
            <w:r w:rsidR="00447146" w:rsidRPr="002B6111">
              <w:rPr>
                <w:rFonts w:cstheme="minorHAnsi"/>
                <w:b/>
                <w:color w:val="FFFFFF" w:themeColor="background1"/>
                <w:sz w:val="28"/>
                <w:szCs w:val="28"/>
              </w:rPr>
              <w:t xml:space="preserve"> </w:t>
            </w:r>
            <w:r w:rsidR="00CD32AE">
              <w:rPr>
                <w:rFonts w:cstheme="minorHAnsi"/>
                <w:b/>
                <w:color w:val="FFFFFF" w:themeColor="background1"/>
                <w:sz w:val="28"/>
                <w:szCs w:val="28"/>
              </w:rPr>
              <w:t>6</w:t>
            </w:r>
            <w:r w:rsidR="00074CCB" w:rsidRPr="002B6111">
              <w:rPr>
                <w:rFonts w:cstheme="minorHAnsi"/>
                <w:b/>
                <w:color w:val="FFFFFF" w:themeColor="background1"/>
                <w:sz w:val="28"/>
                <w:szCs w:val="28"/>
                <w:vertAlign w:val="superscript"/>
              </w:rPr>
              <w:t>th</w:t>
            </w:r>
            <w:r w:rsidR="00074CCB" w:rsidRPr="002B6111">
              <w:rPr>
                <w:rFonts w:cstheme="minorHAnsi"/>
                <w:b/>
                <w:color w:val="FFFFFF" w:themeColor="background1"/>
                <w:sz w:val="28"/>
                <w:szCs w:val="28"/>
              </w:rPr>
              <w:t xml:space="preserve"> </w:t>
            </w:r>
            <w:r w:rsidR="00CD32AE">
              <w:rPr>
                <w:rFonts w:cstheme="minorHAnsi"/>
                <w:b/>
                <w:color w:val="FFFFFF" w:themeColor="background1"/>
                <w:sz w:val="28"/>
                <w:szCs w:val="28"/>
              </w:rPr>
              <w:t>October</w:t>
            </w:r>
            <w:r w:rsidR="00011D61" w:rsidRPr="002B6111">
              <w:rPr>
                <w:rFonts w:cstheme="minorHAnsi"/>
                <w:b/>
                <w:color w:val="FFFFFF" w:themeColor="background1"/>
                <w:sz w:val="28"/>
                <w:szCs w:val="28"/>
              </w:rPr>
              <w:t>2</w:t>
            </w:r>
            <w:r w:rsidR="00447146" w:rsidRPr="002B6111">
              <w:rPr>
                <w:rFonts w:cstheme="minorHAnsi"/>
                <w:b/>
                <w:color w:val="FFFFFF" w:themeColor="background1"/>
                <w:sz w:val="28"/>
                <w:szCs w:val="28"/>
              </w:rPr>
              <w:t>02</w:t>
            </w:r>
            <w:r w:rsidR="00011D61" w:rsidRPr="002B6111">
              <w:rPr>
                <w:rFonts w:cstheme="minorHAnsi"/>
                <w:b/>
                <w:color w:val="FFFFFF" w:themeColor="background1"/>
                <w:sz w:val="28"/>
                <w:szCs w:val="28"/>
              </w:rPr>
              <w:t>6</w:t>
            </w:r>
            <w:r w:rsidR="00447146" w:rsidRPr="002B6111">
              <w:rPr>
                <w:rFonts w:cstheme="minorHAnsi"/>
                <w:b/>
                <w:color w:val="FFFFFF" w:themeColor="background1"/>
                <w:sz w:val="28"/>
                <w:szCs w:val="28"/>
              </w:rPr>
              <w:t xml:space="preserve"> </w:t>
            </w:r>
            <w:r w:rsidR="00011D61" w:rsidRPr="002B6111">
              <w:rPr>
                <w:rFonts w:cstheme="minorHAnsi"/>
                <w:b/>
                <w:color w:val="FFFFFF" w:themeColor="background1"/>
                <w:sz w:val="28"/>
                <w:szCs w:val="28"/>
              </w:rPr>
              <w:t xml:space="preserve">  </w:t>
            </w:r>
            <w:r w:rsidR="00CD32AE" w:rsidRPr="00CD32AE">
              <w:rPr>
                <w:rFonts w:cstheme="minorHAnsi"/>
                <w:b/>
                <w:color w:val="FFFFFF" w:themeColor="background1"/>
                <w:sz w:val="28"/>
                <w:szCs w:val="28"/>
              </w:rPr>
              <w:t xml:space="preserve"> Provision of an Economic and system impact evaluation of Research Ireland Funding </w:t>
            </w:r>
            <w:proofErr w:type="gramStart"/>
            <w:r w:rsidR="00CD32AE" w:rsidRPr="00CD32AE">
              <w:rPr>
                <w:rFonts w:cstheme="minorHAnsi"/>
                <w:b/>
                <w:color w:val="FFFFFF" w:themeColor="background1"/>
                <w:sz w:val="28"/>
                <w:szCs w:val="28"/>
              </w:rPr>
              <w:t>For</w:t>
            </w:r>
            <w:proofErr w:type="gramEnd"/>
            <w:r w:rsidR="00CD32AE" w:rsidRPr="00CD32AE">
              <w:rPr>
                <w:rFonts w:cstheme="minorHAnsi"/>
                <w:b/>
                <w:color w:val="FFFFFF" w:themeColor="background1"/>
                <w:sz w:val="28"/>
                <w:szCs w:val="28"/>
              </w:rPr>
              <w:t xml:space="preserve"> Research Ireland</w:t>
            </w:r>
            <w:r w:rsidR="00011D61" w:rsidRPr="002B6111">
              <w:rPr>
                <w:rFonts w:cstheme="minorHAnsi"/>
                <w:b/>
                <w:color w:val="FFFFFF" w:themeColor="background1"/>
                <w:sz w:val="28"/>
                <w:szCs w:val="28"/>
              </w:rPr>
              <w:t xml:space="preserve"> (</w:t>
            </w:r>
            <w:r w:rsidR="00CD32AE" w:rsidRPr="00CD32AE">
              <w:rPr>
                <w:rFonts w:cstheme="minorHAnsi"/>
                <w:b/>
                <w:color w:val="FFFFFF" w:themeColor="background1"/>
                <w:sz w:val="28"/>
                <w:szCs w:val="28"/>
              </w:rPr>
              <w:t>9213727</w:t>
            </w:r>
            <w:r w:rsidR="00011D61" w:rsidRPr="002B6111">
              <w:rPr>
                <w:rFonts w:cstheme="minorHAnsi"/>
                <w:b/>
                <w:color w:val="FFFFFF" w:themeColor="background1"/>
                <w:sz w:val="28"/>
                <w:szCs w:val="28"/>
              </w:rPr>
              <w:t>)</w:t>
            </w:r>
          </w:p>
        </w:tc>
      </w:tr>
      <w:tr w:rsidR="009E42B6" w:rsidRPr="002B6111" w14:paraId="0762E85C" w14:textId="77777777" w:rsidTr="00CD32AE">
        <w:trPr>
          <w:trHeight w:val="20"/>
          <w:tblHeader/>
        </w:trPr>
        <w:tc>
          <w:tcPr>
            <w:tcW w:w="704" w:type="dxa"/>
            <w:tcBorders>
              <w:bottom w:val="single" w:sz="4" w:space="0" w:color="auto"/>
            </w:tcBorders>
            <w:shd w:val="clear" w:color="auto" w:fill="1F3864" w:themeFill="accent1" w:themeFillShade="80"/>
            <w:vAlign w:val="center"/>
          </w:tcPr>
          <w:p w14:paraId="1363C7DD" w14:textId="7CE670D0" w:rsidR="009E42B6" w:rsidRPr="002B6111" w:rsidRDefault="009E42B6"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No</w:t>
            </w:r>
          </w:p>
        </w:tc>
        <w:tc>
          <w:tcPr>
            <w:tcW w:w="4683" w:type="dxa"/>
            <w:tcBorders>
              <w:bottom w:val="single" w:sz="4" w:space="0" w:color="auto"/>
            </w:tcBorders>
            <w:shd w:val="clear" w:color="auto" w:fill="1F3864" w:themeFill="accent1" w:themeFillShade="80"/>
            <w:vAlign w:val="center"/>
          </w:tcPr>
          <w:p w14:paraId="75F72167" w14:textId="2F82DBC4" w:rsidR="009E42B6" w:rsidRPr="002B6111" w:rsidRDefault="009E42B6"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Questions</w:t>
            </w:r>
          </w:p>
        </w:tc>
        <w:tc>
          <w:tcPr>
            <w:tcW w:w="4819" w:type="dxa"/>
            <w:tcBorders>
              <w:bottom w:val="single" w:sz="4" w:space="0" w:color="auto"/>
            </w:tcBorders>
            <w:shd w:val="clear" w:color="auto" w:fill="1F3864" w:themeFill="accent1" w:themeFillShade="80"/>
            <w:vAlign w:val="center"/>
          </w:tcPr>
          <w:p w14:paraId="60C1D706" w14:textId="2BE68C71" w:rsidR="009E42B6" w:rsidRPr="002B6111" w:rsidRDefault="009E42B6"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Answers</w:t>
            </w:r>
          </w:p>
        </w:tc>
      </w:tr>
      <w:tr w:rsidR="00CD32AE" w:rsidRPr="002B6111" w14:paraId="1652FFB6" w14:textId="77777777" w:rsidTr="00CD32AE">
        <w:trPr>
          <w:trHeight w:val="20"/>
          <w:tblHeader/>
        </w:trPr>
        <w:tc>
          <w:tcPr>
            <w:tcW w:w="704" w:type="dxa"/>
            <w:tcBorders>
              <w:bottom w:val="single" w:sz="4" w:space="0" w:color="auto"/>
              <w:right w:val="single" w:sz="4" w:space="0" w:color="auto"/>
            </w:tcBorders>
            <w:shd w:val="clear" w:color="auto" w:fill="1F3864" w:themeFill="accent1" w:themeFillShade="80"/>
            <w:vAlign w:val="center"/>
          </w:tcPr>
          <w:p w14:paraId="71D7C64C" w14:textId="1736EC90" w:rsidR="00CD32AE" w:rsidRPr="002B6111" w:rsidRDefault="00CD32AE"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1</w:t>
            </w:r>
          </w:p>
        </w:tc>
        <w:tc>
          <w:tcPr>
            <w:tcW w:w="4683" w:type="dxa"/>
            <w:tcBorders>
              <w:left w:val="single" w:sz="4" w:space="0" w:color="auto"/>
              <w:bottom w:val="single" w:sz="4" w:space="0" w:color="auto"/>
              <w:right w:val="single" w:sz="4" w:space="0" w:color="auto"/>
            </w:tcBorders>
          </w:tcPr>
          <w:p w14:paraId="7DDF43CC" w14:textId="59D9A5E5" w:rsidR="00CD32AE" w:rsidRPr="002B6111" w:rsidRDefault="00CD32AE" w:rsidP="00CD32AE">
            <w:pPr>
              <w:spacing w:before="120" w:after="120"/>
              <w:rPr>
                <w:rFonts w:cstheme="minorHAnsi"/>
                <w:sz w:val="24"/>
                <w:szCs w:val="24"/>
              </w:rPr>
            </w:pPr>
            <w:r w:rsidRPr="00DC1C64">
              <w:t>Please provide an indication of the approximate scale of the portfolio in scope, including the number of awards, funded researchers, principal investigators, host institutions and total value of funding covered by the evaluation.</w:t>
            </w:r>
          </w:p>
        </w:tc>
        <w:tc>
          <w:tcPr>
            <w:tcW w:w="4819" w:type="dxa"/>
            <w:tcBorders>
              <w:left w:val="single" w:sz="4" w:space="0" w:color="auto"/>
              <w:bottom w:val="single" w:sz="4" w:space="0" w:color="auto"/>
            </w:tcBorders>
            <w:vAlign w:val="center"/>
          </w:tcPr>
          <w:p w14:paraId="7938E26A" w14:textId="387FDF25" w:rsidR="00CD32AE" w:rsidRPr="000B07D8" w:rsidRDefault="007F5D50" w:rsidP="00CD32AE">
            <w:pPr>
              <w:spacing w:before="120" w:after="120"/>
              <w:rPr>
                <w:rFonts w:ascii="Aptos" w:hAnsi="Aptos" w:cstheme="minorHAnsi"/>
                <w:sz w:val="24"/>
                <w:szCs w:val="24"/>
              </w:rPr>
            </w:pPr>
            <w:r w:rsidRPr="000B07D8">
              <w:rPr>
                <w:rFonts w:ascii="Aptos" w:hAnsi="Aptos" w:cstheme="minorHAnsi"/>
                <w:sz w:val="24"/>
                <w:szCs w:val="24"/>
              </w:rPr>
              <w:t>The analysis should cover 2000-2024 covering all historic award</w:t>
            </w:r>
            <w:r w:rsidR="00156DC2">
              <w:rPr>
                <w:rFonts w:ascii="Aptos" w:hAnsi="Aptos" w:cstheme="minorHAnsi"/>
                <w:sz w:val="24"/>
                <w:szCs w:val="24"/>
              </w:rPr>
              <w:t>s</w:t>
            </w:r>
            <w:r w:rsidRPr="000B07D8">
              <w:rPr>
                <w:rFonts w:ascii="Aptos" w:hAnsi="Aptos" w:cstheme="minorHAnsi"/>
                <w:sz w:val="24"/>
                <w:szCs w:val="24"/>
              </w:rPr>
              <w:t xml:space="preserve"> from the IRC and SFI. This includes approximately 17,000 award records; all Irish Universities, Technological Universities colleges and a number of </w:t>
            </w:r>
            <w:proofErr w:type="gramStart"/>
            <w:r w:rsidRPr="000B07D8">
              <w:rPr>
                <w:rFonts w:ascii="Aptos" w:hAnsi="Aptos" w:cstheme="minorHAnsi"/>
                <w:sz w:val="24"/>
                <w:szCs w:val="24"/>
              </w:rPr>
              <w:t>research</w:t>
            </w:r>
            <w:proofErr w:type="gramEnd"/>
            <w:r w:rsidRPr="000B07D8">
              <w:rPr>
                <w:rFonts w:ascii="Aptos" w:hAnsi="Aptos" w:cstheme="minorHAnsi"/>
                <w:sz w:val="24"/>
                <w:szCs w:val="24"/>
              </w:rPr>
              <w:t xml:space="preserve"> performing organisations; approx. </w:t>
            </w:r>
            <w:r w:rsidR="0015306D">
              <w:rPr>
                <w:rFonts w:ascii="Aptos" w:hAnsi="Aptos" w:cstheme="minorHAnsi"/>
                <w:sz w:val="24"/>
                <w:szCs w:val="24"/>
              </w:rPr>
              <w:t xml:space="preserve">EU </w:t>
            </w:r>
            <w:r w:rsidRPr="000B07D8">
              <w:rPr>
                <w:rFonts w:ascii="Aptos" w:hAnsi="Aptos" w:cstheme="minorHAnsi"/>
                <w:sz w:val="24"/>
                <w:szCs w:val="24"/>
              </w:rPr>
              <w:t xml:space="preserve">6 billion </w:t>
            </w:r>
            <w:r w:rsidR="0015306D">
              <w:rPr>
                <w:rFonts w:ascii="Aptos" w:hAnsi="Aptos" w:cstheme="minorHAnsi"/>
                <w:sz w:val="24"/>
                <w:szCs w:val="24"/>
              </w:rPr>
              <w:t xml:space="preserve">invested </w:t>
            </w:r>
            <w:r w:rsidRPr="000B07D8">
              <w:rPr>
                <w:rFonts w:ascii="Aptos" w:hAnsi="Aptos" w:cstheme="minorHAnsi"/>
                <w:sz w:val="24"/>
                <w:szCs w:val="24"/>
              </w:rPr>
              <w:t xml:space="preserve">over the </w:t>
            </w:r>
            <w:r w:rsidR="006B2EA6" w:rsidRPr="000B07D8">
              <w:rPr>
                <w:rFonts w:ascii="Aptos" w:hAnsi="Aptos" w:cstheme="minorHAnsi"/>
                <w:sz w:val="24"/>
                <w:szCs w:val="24"/>
              </w:rPr>
              <w:t>25-year</w:t>
            </w:r>
            <w:r w:rsidRPr="000B07D8">
              <w:rPr>
                <w:rFonts w:ascii="Aptos" w:hAnsi="Aptos" w:cstheme="minorHAnsi"/>
                <w:sz w:val="24"/>
                <w:szCs w:val="24"/>
              </w:rPr>
              <w:t xml:space="preserve"> period.</w:t>
            </w:r>
          </w:p>
        </w:tc>
      </w:tr>
      <w:tr w:rsidR="00CD32AE" w:rsidRPr="002B6111" w14:paraId="023BC2A2" w14:textId="77777777" w:rsidTr="00CD32AE">
        <w:trPr>
          <w:trHeight w:val="20"/>
          <w:tblHeader/>
        </w:trPr>
        <w:tc>
          <w:tcPr>
            <w:tcW w:w="704" w:type="dxa"/>
            <w:tcBorders>
              <w:top w:val="single" w:sz="4" w:space="0" w:color="auto"/>
              <w:bottom w:val="single" w:sz="4" w:space="0" w:color="auto"/>
              <w:right w:val="single" w:sz="4" w:space="0" w:color="auto"/>
            </w:tcBorders>
            <w:shd w:val="clear" w:color="auto" w:fill="1F3864" w:themeFill="accent1" w:themeFillShade="80"/>
            <w:vAlign w:val="center"/>
          </w:tcPr>
          <w:p w14:paraId="369E162A" w14:textId="77777777" w:rsidR="00CD32AE" w:rsidRPr="002B6111" w:rsidRDefault="00CD32AE"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2</w:t>
            </w:r>
          </w:p>
        </w:tc>
        <w:tc>
          <w:tcPr>
            <w:tcW w:w="4683" w:type="dxa"/>
            <w:tcBorders>
              <w:top w:val="single" w:sz="4" w:space="0" w:color="auto"/>
              <w:left w:val="single" w:sz="4" w:space="0" w:color="auto"/>
              <w:bottom w:val="single" w:sz="4" w:space="0" w:color="auto"/>
              <w:right w:val="single" w:sz="4" w:space="0" w:color="auto"/>
            </w:tcBorders>
          </w:tcPr>
          <w:p w14:paraId="69C50799" w14:textId="0DBE1750" w:rsidR="00CD32AE" w:rsidRPr="002B6111" w:rsidRDefault="00CD32AE" w:rsidP="00CD32AE">
            <w:pPr>
              <w:spacing w:before="120" w:after="120"/>
              <w:rPr>
                <w:rFonts w:cstheme="minorHAnsi"/>
                <w:sz w:val="24"/>
                <w:szCs w:val="24"/>
              </w:rPr>
            </w:pPr>
            <w:r w:rsidRPr="00DC1C64">
              <w:t>What historic funding period is expected to be covered by the evaluation?</w:t>
            </w:r>
          </w:p>
        </w:tc>
        <w:tc>
          <w:tcPr>
            <w:tcW w:w="4819" w:type="dxa"/>
            <w:tcBorders>
              <w:top w:val="single" w:sz="4" w:space="0" w:color="auto"/>
              <w:left w:val="single" w:sz="4" w:space="0" w:color="auto"/>
              <w:bottom w:val="single" w:sz="4" w:space="0" w:color="auto"/>
            </w:tcBorders>
            <w:vAlign w:val="center"/>
          </w:tcPr>
          <w:p w14:paraId="46C15737" w14:textId="0B0AB59D" w:rsidR="00CD32AE" w:rsidRPr="000B07D8" w:rsidRDefault="007F5D50" w:rsidP="00CD32AE">
            <w:pPr>
              <w:spacing w:before="120" w:after="120"/>
              <w:rPr>
                <w:rFonts w:ascii="Aptos" w:hAnsi="Aptos" w:cstheme="minorHAnsi"/>
                <w:sz w:val="24"/>
                <w:szCs w:val="24"/>
              </w:rPr>
            </w:pPr>
            <w:r w:rsidRPr="000B07D8">
              <w:rPr>
                <w:rFonts w:ascii="Aptos" w:hAnsi="Aptos" w:cstheme="minorHAnsi"/>
                <w:sz w:val="24"/>
                <w:szCs w:val="24"/>
              </w:rPr>
              <w:t>The analysis should cover 2000-2024 covering all historic award from the IRC and SFI.</w:t>
            </w:r>
          </w:p>
        </w:tc>
      </w:tr>
      <w:tr w:rsidR="00CD32AE" w:rsidRPr="002B6111" w14:paraId="0BF46BE9" w14:textId="77777777" w:rsidTr="00CD32AE">
        <w:trPr>
          <w:trHeight w:val="20"/>
          <w:tblHeader/>
        </w:trPr>
        <w:tc>
          <w:tcPr>
            <w:tcW w:w="704" w:type="dxa"/>
            <w:tcBorders>
              <w:top w:val="single" w:sz="4" w:space="0" w:color="auto"/>
              <w:bottom w:val="single" w:sz="4" w:space="0" w:color="auto"/>
              <w:right w:val="single" w:sz="4" w:space="0" w:color="auto"/>
            </w:tcBorders>
            <w:shd w:val="clear" w:color="auto" w:fill="1F3864" w:themeFill="accent1" w:themeFillShade="80"/>
            <w:vAlign w:val="center"/>
          </w:tcPr>
          <w:p w14:paraId="6DA5DE5A" w14:textId="3ADC8D9B" w:rsidR="00CD32AE" w:rsidRPr="002B6111" w:rsidRDefault="00CD32AE"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3</w:t>
            </w:r>
          </w:p>
        </w:tc>
        <w:tc>
          <w:tcPr>
            <w:tcW w:w="4683" w:type="dxa"/>
            <w:tcBorders>
              <w:top w:val="single" w:sz="4" w:space="0" w:color="auto"/>
              <w:left w:val="single" w:sz="4" w:space="0" w:color="auto"/>
              <w:bottom w:val="single" w:sz="4" w:space="0" w:color="auto"/>
              <w:right w:val="single" w:sz="4" w:space="0" w:color="auto"/>
            </w:tcBorders>
          </w:tcPr>
          <w:p w14:paraId="0F5002FB" w14:textId="509118BA" w:rsidR="00CD32AE" w:rsidRPr="002B6111" w:rsidRDefault="00CD32AE" w:rsidP="00CD32AE">
            <w:pPr>
              <w:spacing w:before="120" w:after="120"/>
              <w:rPr>
                <w:rFonts w:cstheme="minorHAnsi"/>
                <w:color w:val="00241A"/>
                <w:sz w:val="24"/>
                <w:szCs w:val="24"/>
              </w:rPr>
            </w:pPr>
            <w:r w:rsidRPr="00DC1C64">
              <w:t>Should the evaluation cover all predecessor funding from the former Science Foundation Ireland and Irish Research Council organisations, or only investments made since the establishment of Research Ireland?</w:t>
            </w:r>
          </w:p>
        </w:tc>
        <w:tc>
          <w:tcPr>
            <w:tcW w:w="4819" w:type="dxa"/>
            <w:tcBorders>
              <w:top w:val="single" w:sz="4" w:space="0" w:color="auto"/>
              <w:left w:val="single" w:sz="4" w:space="0" w:color="auto"/>
              <w:bottom w:val="single" w:sz="4" w:space="0" w:color="auto"/>
            </w:tcBorders>
            <w:vAlign w:val="center"/>
          </w:tcPr>
          <w:p w14:paraId="0B8F1A66" w14:textId="729E04A3" w:rsidR="00CD32AE" w:rsidRPr="000B07D8" w:rsidRDefault="007F5D50" w:rsidP="00CD32AE">
            <w:pPr>
              <w:spacing w:before="120" w:after="120"/>
              <w:rPr>
                <w:rFonts w:ascii="Aptos" w:hAnsi="Aptos" w:cstheme="minorHAnsi"/>
                <w:sz w:val="24"/>
                <w:szCs w:val="24"/>
              </w:rPr>
            </w:pPr>
            <w:r w:rsidRPr="000B07D8">
              <w:rPr>
                <w:rFonts w:ascii="Aptos" w:hAnsi="Aptos" w:cstheme="minorHAnsi"/>
                <w:sz w:val="24"/>
                <w:szCs w:val="24"/>
              </w:rPr>
              <w:t>The analysis should cover 2000-2024 covering all historic award from the IRC and SFI.</w:t>
            </w:r>
          </w:p>
        </w:tc>
      </w:tr>
      <w:tr w:rsidR="00CD32AE" w:rsidRPr="002B6111" w14:paraId="2AAA9CE7" w14:textId="77777777" w:rsidTr="00CD32AE">
        <w:trPr>
          <w:trHeight w:val="20"/>
          <w:tblHeader/>
        </w:trPr>
        <w:tc>
          <w:tcPr>
            <w:tcW w:w="704" w:type="dxa"/>
            <w:tcBorders>
              <w:top w:val="single" w:sz="4" w:space="0" w:color="auto"/>
              <w:bottom w:val="single" w:sz="4" w:space="0" w:color="auto"/>
              <w:right w:val="single" w:sz="4" w:space="0" w:color="auto"/>
            </w:tcBorders>
            <w:shd w:val="clear" w:color="auto" w:fill="1F3864" w:themeFill="accent1" w:themeFillShade="80"/>
            <w:vAlign w:val="center"/>
          </w:tcPr>
          <w:p w14:paraId="0CAC6081" w14:textId="5BC80028" w:rsidR="00CD32AE" w:rsidRPr="002B6111" w:rsidRDefault="00CD32AE"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4</w:t>
            </w:r>
          </w:p>
        </w:tc>
        <w:tc>
          <w:tcPr>
            <w:tcW w:w="4683" w:type="dxa"/>
            <w:tcBorders>
              <w:top w:val="single" w:sz="4" w:space="0" w:color="auto"/>
              <w:left w:val="single" w:sz="4" w:space="0" w:color="auto"/>
              <w:bottom w:val="single" w:sz="4" w:space="0" w:color="auto"/>
              <w:right w:val="single" w:sz="4" w:space="0" w:color="auto"/>
            </w:tcBorders>
          </w:tcPr>
          <w:p w14:paraId="4BFEEA96" w14:textId="696E680B" w:rsidR="00CD32AE" w:rsidRPr="002B6111" w:rsidRDefault="00CD32AE" w:rsidP="00CD32AE">
            <w:pPr>
              <w:spacing w:before="120" w:after="120"/>
              <w:rPr>
                <w:rFonts w:cstheme="minorHAnsi"/>
                <w:color w:val="00241A"/>
                <w:sz w:val="24"/>
                <w:szCs w:val="24"/>
                <w:shd w:val="clear" w:color="auto" w:fill="FFFFFF"/>
              </w:rPr>
            </w:pPr>
            <w:r w:rsidRPr="00DC1C64">
              <w:t>Are there particular programmes, schemes or funding streams that are expected to receive greater focus within the evaluation?</w:t>
            </w:r>
          </w:p>
        </w:tc>
        <w:tc>
          <w:tcPr>
            <w:tcW w:w="4819" w:type="dxa"/>
            <w:tcBorders>
              <w:top w:val="single" w:sz="4" w:space="0" w:color="auto"/>
              <w:left w:val="single" w:sz="4" w:space="0" w:color="auto"/>
              <w:bottom w:val="single" w:sz="4" w:space="0" w:color="auto"/>
            </w:tcBorders>
            <w:vAlign w:val="center"/>
          </w:tcPr>
          <w:p w14:paraId="0D7A5F67" w14:textId="24550954" w:rsidR="00CD32AE" w:rsidRPr="000B07D8" w:rsidRDefault="007F5D50" w:rsidP="00CD32AE">
            <w:pPr>
              <w:shd w:val="clear" w:color="auto" w:fill="FFFFFF"/>
              <w:spacing w:before="120" w:after="120"/>
              <w:ind w:left="57"/>
              <w:rPr>
                <w:rFonts w:ascii="Aptos" w:eastAsia="Times New Roman" w:hAnsi="Aptos" w:cstheme="minorHAnsi"/>
                <w:iCs/>
                <w:color w:val="222222"/>
                <w:sz w:val="24"/>
                <w:szCs w:val="24"/>
                <w:lang w:eastAsia="en-IE"/>
              </w:rPr>
            </w:pPr>
            <w:r w:rsidRPr="000B07D8">
              <w:rPr>
                <w:rFonts w:ascii="Aptos" w:eastAsia="Times New Roman" w:hAnsi="Aptos" w:cstheme="minorHAnsi"/>
                <w:iCs/>
                <w:color w:val="222222"/>
                <w:sz w:val="24"/>
                <w:szCs w:val="24"/>
                <w:lang w:eastAsia="en-IE"/>
              </w:rPr>
              <w:t xml:space="preserve">The larger awards </w:t>
            </w:r>
            <w:r w:rsidR="0015306D">
              <w:rPr>
                <w:rFonts w:ascii="Aptos" w:eastAsia="Times New Roman" w:hAnsi="Aptos" w:cstheme="minorHAnsi"/>
                <w:iCs/>
                <w:color w:val="222222"/>
                <w:sz w:val="24"/>
                <w:szCs w:val="24"/>
                <w:lang w:eastAsia="en-IE"/>
              </w:rPr>
              <w:t xml:space="preserve">(e.g. Research Centres) </w:t>
            </w:r>
            <w:r w:rsidRPr="000B07D8">
              <w:rPr>
                <w:rFonts w:ascii="Aptos" w:eastAsia="Times New Roman" w:hAnsi="Aptos" w:cstheme="minorHAnsi"/>
                <w:iCs/>
                <w:color w:val="222222"/>
                <w:sz w:val="24"/>
                <w:szCs w:val="24"/>
                <w:lang w:eastAsia="en-IE"/>
              </w:rPr>
              <w:t>will likely require a more involved analysis than individual programmes. Likewise smaller travel and collaboration grants can involve a different approach.</w:t>
            </w:r>
          </w:p>
        </w:tc>
      </w:tr>
      <w:tr w:rsidR="00CD32AE" w:rsidRPr="002B6111" w14:paraId="32B52230" w14:textId="77777777" w:rsidTr="00CD32AE">
        <w:trPr>
          <w:trHeight w:val="20"/>
          <w:tblHeader/>
        </w:trPr>
        <w:tc>
          <w:tcPr>
            <w:tcW w:w="704" w:type="dxa"/>
            <w:tcBorders>
              <w:top w:val="single" w:sz="4" w:space="0" w:color="auto"/>
              <w:bottom w:val="single" w:sz="4" w:space="0" w:color="auto"/>
              <w:right w:val="single" w:sz="4" w:space="0" w:color="auto"/>
            </w:tcBorders>
            <w:shd w:val="clear" w:color="auto" w:fill="1F3864" w:themeFill="accent1" w:themeFillShade="80"/>
            <w:vAlign w:val="center"/>
          </w:tcPr>
          <w:p w14:paraId="2C155629" w14:textId="797DD2F8" w:rsidR="00CD32AE" w:rsidRPr="002B6111" w:rsidRDefault="00CD32AE" w:rsidP="00CD32AE">
            <w:pPr>
              <w:spacing w:before="120" w:after="120"/>
              <w:jc w:val="center"/>
              <w:rPr>
                <w:rFonts w:cstheme="minorHAnsi"/>
                <w:b/>
                <w:color w:val="FFFFFF" w:themeColor="background1"/>
                <w:sz w:val="24"/>
                <w:szCs w:val="24"/>
              </w:rPr>
            </w:pPr>
            <w:r w:rsidRPr="002B6111">
              <w:rPr>
                <w:rFonts w:cstheme="minorHAnsi"/>
                <w:b/>
                <w:color w:val="FFFFFF" w:themeColor="background1"/>
                <w:sz w:val="24"/>
                <w:szCs w:val="24"/>
              </w:rPr>
              <w:t>5</w:t>
            </w:r>
          </w:p>
        </w:tc>
        <w:tc>
          <w:tcPr>
            <w:tcW w:w="4683" w:type="dxa"/>
            <w:tcBorders>
              <w:top w:val="single" w:sz="4" w:space="0" w:color="auto"/>
              <w:left w:val="single" w:sz="4" w:space="0" w:color="auto"/>
              <w:bottom w:val="single" w:sz="4" w:space="0" w:color="auto"/>
              <w:right w:val="single" w:sz="4" w:space="0" w:color="auto"/>
            </w:tcBorders>
          </w:tcPr>
          <w:p w14:paraId="49971D6A" w14:textId="4B9A4AFB" w:rsidR="00CD32AE" w:rsidRPr="002B6111" w:rsidRDefault="00CD32AE" w:rsidP="00CD32AE">
            <w:pPr>
              <w:spacing w:before="120" w:after="120"/>
              <w:rPr>
                <w:rFonts w:cstheme="minorHAnsi"/>
                <w:color w:val="00241A"/>
                <w:sz w:val="24"/>
                <w:szCs w:val="24"/>
                <w:shd w:val="clear" w:color="auto" w:fill="FFFFFF"/>
              </w:rPr>
            </w:pPr>
            <w:r w:rsidRPr="00DC1C64">
              <w:t>If relevant and appropriate, will Research Ireland facilitate access to company-level ABSEI microdata, including a common or linkable company identifier, for enterprises associated with Research Ireland-funded activity, to enable longitudinal outcome analysis and construction of matched comparison groups? If so, please confirm the expected data-access and data-sharing route.</w:t>
            </w:r>
          </w:p>
        </w:tc>
        <w:tc>
          <w:tcPr>
            <w:tcW w:w="4819" w:type="dxa"/>
            <w:tcBorders>
              <w:top w:val="single" w:sz="4" w:space="0" w:color="auto"/>
              <w:left w:val="single" w:sz="4" w:space="0" w:color="auto"/>
              <w:bottom w:val="single" w:sz="4" w:space="0" w:color="auto"/>
            </w:tcBorders>
            <w:vAlign w:val="center"/>
          </w:tcPr>
          <w:p w14:paraId="6F109CBF" w14:textId="2FB895A7" w:rsidR="007F5D50" w:rsidRPr="000B07D8" w:rsidRDefault="007F5D50" w:rsidP="007F5D50">
            <w:pPr>
              <w:pStyle w:val="NormalWeb"/>
              <w:spacing w:before="120" w:after="120"/>
              <w:rPr>
                <w:rFonts w:ascii="Aptos" w:hAnsi="Aptos" w:cstheme="minorHAnsi"/>
                <w:iCs/>
                <w:color w:val="222222"/>
                <w:lang w:eastAsia="en-IE"/>
              </w:rPr>
            </w:pPr>
            <w:r w:rsidRPr="000B07D8">
              <w:rPr>
                <w:rFonts w:ascii="Aptos" w:hAnsi="Aptos" w:cstheme="minorHAnsi"/>
                <w:iCs/>
                <w:color w:val="222222"/>
                <w:lang w:eastAsia="en-IE"/>
              </w:rPr>
              <w:t>Research Ireland does not hold company-level ABSEI microdata and cannot guarantee access to it. Where relevant to the successful tenderer’s proposed methodology, Research Ireland can share previous analysis performed by third parties</w:t>
            </w:r>
            <w:r w:rsidR="002654E9" w:rsidRPr="000B07D8">
              <w:rPr>
                <w:rFonts w:ascii="Aptos" w:hAnsi="Aptos" w:cstheme="minorHAnsi"/>
                <w:iCs/>
                <w:color w:val="222222"/>
                <w:lang w:eastAsia="en-IE"/>
              </w:rPr>
              <w:t xml:space="preserve">. </w:t>
            </w:r>
          </w:p>
          <w:p w14:paraId="6B5A4D03" w14:textId="3D9B311D" w:rsidR="007F5D50" w:rsidRPr="000B07D8" w:rsidRDefault="002654E9" w:rsidP="007F5D50">
            <w:pPr>
              <w:pStyle w:val="NormalWeb"/>
              <w:spacing w:before="120" w:after="120"/>
              <w:rPr>
                <w:rFonts w:ascii="Aptos" w:hAnsi="Aptos" w:cstheme="minorHAnsi"/>
                <w:iCs/>
                <w:color w:val="222222"/>
                <w:lang w:eastAsia="en-IE"/>
              </w:rPr>
            </w:pPr>
            <w:r w:rsidRPr="000B07D8">
              <w:rPr>
                <w:rFonts w:ascii="Aptos" w:hAnsi="Aptos" w:cstheme="minorHAnsi"/>
                <w:iCs/>
                <w:color w:val="222222"/>
                <w:lang w:eastAsia="en-IE"/>
              </w:rPr>
              <w:t>Subject</w:t>
            </w:r>
            <w:r w:rsidR="007F5D50" w:rsidRPr="000B07D8">
              <w:rPr>
                <w:rFonts w:ascii="Aptos" w:hAnsi="Aptos" w:cstheme="minorHAnsi"/>
                <w:iCs/>
                <w:color w:val="222222"/>
                <w:lang w:eastAsia="en-IE"/>
              </w:rPr>
              <w:t xml:space="preserve"> to data-protection, confidentiality and data-quality considerations, available information identifying enterprises associated with Research Ireland and predecessor-agency funded activity</w:t>
            </w:r>
            <w:r w:rsidRPr="000B07D8">
              <w:rPr>
                <w:rFonts w:ascii="Aptos" w:hAnsi="Aptos" w:cstheme="minorHAnsi"/>
                <w:iCs/>
                <w:color w:val="222222"/>
                <w:lang w:eastAsia="en-IE"/>
              </w:rPr>
              <w:t xml:space="preserve"> can be provided</w:t>
            </w:r>
            <w:r w:rsidR="007F5D50" w:rsidRPr="000B07D8">
              <w:rPr>
                <w:rFonts w:ascii="Aptos" w:hAnsi="Aptos" w:cstheme="minorHAnsi"/>
                <w:iCs/>
                <w:color w:val="222222"/>
                <w:lang w:eastAsia="en-IE"/>
              </w:rPr>
              <w:t xml:space="preserve">. This may include company names and internal or publicly available identifiers where held. The availability, coverage and consistency of such </w:t>
            </w:r>
            <w:r w:rsidR="007F5D50" w:rsidRPr="000B07D8">
              <w:rPr>
                <w:rFonts w:ascii="Aptos" w:hAnsi="Aptos" w:cstheme="minorHAnsi"/>
                <w:iCs/>
                <w:color w:val="222222"/>
                <w:lang w:eastAsia="en-IE"/>
              </w:rPr>
              <w:lastRenderedPageBreak/>
              <w:t>identifiers, particularly across the full 2000–2024 period, cannot be guaranteed.</w:t>
            </w:r>
          </w:p>
          <w:p w14:paraId="7246FE69" w14:textId="5BBEFB66" w:rsidR="002654E9" w:rsidRPr="000B07D8" w:rsidRDefault="002654E9" w:rsidP="007F5D50">
            <w:pPr>
              <w:pStyle w:val="NormalWeb"/>
              <w:spacing w:before="120" w:after="120"/>
              <w:rPr>
                <w:rFonts w:ascii="Aptos" w:hAnsi="Aptos" w:cstheme="minorHAnsi"/>
                <w:iCs/>
                <w:color w:val="222222"/>
                <w:lang w:eastAsia="en-IE"/>
              </w:rPr>
            </w:pPr>
            <w:r w:rsidRPr="000B07D8">
              <w:rPr>
                <w:rFonts w:ascii="Aptos" w:hAnsi="Aptos" w:cstheme="minorHAnsi"/>
                <w:iCs/>
                <w:color w:val="222222"/>
                <w:lang w:eastAsia="en-IE"/>
              </w:rPr>
              <w:t>The precise route of sharing would be agreed with the successful tenderer</w:t>
            </w:r>
            <w:r w:rsidR="00575585">
              <w:rPr>
                <w:rFonts w:ascii="Aptos" w:hAnsi="Aptos" w:cstheme="minorHAnsi"/>
                <w:iCs/>
                <w:color w:val="222222"/>
                <w:lang w:eastAsia="en-IE"/>
              </w:rPr>
              <w:t>.</w:t>
            </w:r>
            <w:r w:rsidRPr="000B07D8">
              <w:rPr>
                <w:rFonts w:ascii="Aptos" w:hAnsi="Aptos" w:cstheme="minorHAnsi"/>
                <w:iCs/>
                <w:color w:val="222222"/>
                <w:lang w:eastAsia="en-IE"/>
              </w:rPr>
              <w:t xml:space="preserve"> </w:t>
            </w:r>
          </w:p>
          <w:p w14:paraId="45504007" w14:textId="2574DECC" w:rsidR="00CD32AE" w:rsidRPr="000B07D8" w:rsidRDefault="00CD32AE" w:rsidP="00CD32AE">
            <w:pPr>
              <w:pStyle w:val="NormalWeb"/>
              <w:spacing w:before="120" w:beforeAutospacing="0" w:after="120" w:afterAutospacing="0"/>
              <w:rPr>
                <w:rFonts w:ascii="Aptos" w:hAnsi="Aptos" w:cstheme="minorHAnsi"/>
                <w:iCs/>
                <w:color w:val="222222"/>
                <w:lang w:eastAsia="en-IE"/>
              </w:rPr>
            </w:pPr>
          </w:p>
        </w:tc>
      </w:tr>
      <w:tr w:rsidR="00CD32AE" w:rsidRPr="002B6111" w14:paraId="446F5554" w14:textId="77777777" w:rsidTr="00CD32AE">
        <w:trPr>
          <w:trHeight w:val="20"/>
          <w:tblHeader/>
        </w:trPr>
        <w:tc>
          <w:tcPr>
            <w:tcW w:w="704" w:type="dxa"/>
            <w:tcBorders>
              <w:top w:val="single" w:sz="4" w:space="0" w:color="auto"/>
              <w:right w:val="single" w:sz="4" w:space="0" w:color="auto"/>
            </w:tcBorders>
            <w:shd w:val="clear" w:color="auto" w:fill="1F3864" w:themeFill="accent1" w:themeFillShade="80"/>
            <w:vAlign w:val="center"/>
          </w:tcPr>
          <w:p w14:paraId="56C1E888" w14:textId="1167F5AD" w:rsidR="00CD32AE" w:rsidRPr="002B6111" w:rsidRDefault="00CD32AE"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lastRenderedPageBreak/>
              <w:t>6</w:t>
            </w:r>
          </w:p>
        </w:tc>
        <w:tc>
          <w:tcPr>
            <w:tcW w:w="4683" w:type="dxa"/>
            <w:tcBorders>
              <w:top w:val="single" w:sz="4" w:space="0" w:color="auto"/>
              <w:left w:val="single" w:sz="4" w:space="0" w:color="auto"/>
              <w:right w:val="single" w:sz="4" w:space="0" w:color="auto"/>
            </w:tcBorders>
          </w:tcPr>
          <w:p w14:paraId="68028C29" w14:textId="793B68FB" w:rsidR="00CD32AE" w:rsidRPr="002B6111" w:rsidRDefault="00CD32AE" w:rsidP="00CD32AE">
            <w:pPr>
              <w:spacing w:before="120" w:after="120"/>
              <w:rPr>
                <w:rFonts w:cstheme="minorHAnsi"/>
                <w:color w:val="00241A"/>
                <w:sz w:val="24"/>
                <w:szCs w:val="24"/>
                <w:shd w:val="clear" w:color="auto" w:fill="FFFFFF"/>
              </w:rPr>
            </w:pPr>
            <w:r w:rsidRPr="00DC1C64">
              <w:t>Please provide an indication of the approximate scale of the portfolio in scope, including the number of awards, funded researchers, principal investigators, host institutions and total value of funding covered by the evaluation.</w:t>
            </w:r>
          </w:p>
        </w:tc>
        <w:tc>
          <w:tcPr>
            <w:tcW w:w="4819" w:type="dxa"/>
            <w:tcBorders>
              <w:top w:val="single" w:sz="4" w:space="0" w:color="auto"/>
              <w:left w:val="single" w:sz="4" w:space="0" w:color="auto"/>
            </w:tcBorders>
            <w:vAlign w:val="center"/>
          </w:tcPr>
          <w:p w14:paraId="44C7EA2B" w14:textId="3BE3062F" w:rsidR="00CD32AE" w:rsidRPr="000B07D8" w:rsidRDefault="007F5D50" w:rsidP="00CD32AE">
            <w:pPr>
              <w:pStyle w:val="NormalWeb"/>
              <w:spacing w:before="120" w:beforeAutospacing="0" w:after="120" w:afterAutospacing="0"/>
              <w:rPr>
                <w:rFonts w:ascii="Aptos" w:hAnsi="Aptos" w:cstheme="minorHAnsi"/>
              </w:rPr>
            </w:pPr>
            <w:r w:rsidRPr="000B07D8">
              <w:rPr>
                <w:rFonts w:ascii="Aptos" w:hAnsi="Aptos" w:cstheme="minorHAnsi"/>
              </w:rPr>
              <w:t xml:space="preserve">The analysis should cover 2000-2024 covering all historic award from the IRC and SFI. This includes approximately 17,000 award records; all Irish Universities, Technological Universities colleges and a number of </w:t>
            </w:r>
            <w:proofErr w:type="gramStart"/>
            <w:r w:rsidRPr="000B07D8">
              <w:rPr>
                <w:rFonts w:ascii="Aptos" w:hAnsi="Aptos" w:cstheme="minorHAnsi"/>
              </w:rPr>
              <w:t>research</w:t>
            </w:r>
            <w:proofErr w:type="gramEnd"/>
            <w:r w:rsidRPr="000B07D8">
              <w:rPr>
                <w:rFonts w:ascii="Aptos" w:hAnsi="Aptos" w:cstheme="minorHAnsi"/>
              </w:rPr>
              <w:t xml:space="preserve"> performing organisations; approx. </w:t>
            </w:r>
            <w:r w:rsidR="00575585">
              <w:rPr>
                <w:rFonts w:ascii="Aptos" w:hAnsi="Aptos" w:cstheme="minorHAnsi"/>
              </w:rPr>
              <w:t xml:space="preserve">EU </w:t>
            </w:r>
            <w:r w:rsidRPr="000B07D8">
              <w:rPr>
                <w:rFonts w:ascii="Aptos" w:hAnsi="Aptos" w:cstheme="minorHAnsi"/>
              </w:rPr>
              <w:t xml:space="preserve">6 billion </w:t>
            </w:r>
            <w:r w:rsidR="006B2EA6">
              <w:rPr>
                <w:rFonts w:ascii="Aptos" w:hAnsi="Aptos" w:cstheme="minorHAnsi"/>
              </w:rPr>
              <w:t>invested</w:t>
            </w:r>
            <w:r w:rsidR="00575585">
              <w:rPr>
                <w:rFonts w:ascii="Aptos" w:hAnsi="Aptos" w:cstheme="minorHAnsi"/>
              </w:rPr>
              <w:t xml:space="preserve"> </w:t>
            </w:r>
            <w:r w:rsidRPr="000B07D8">
              <w:rPr>
                <w:rFonts w:ascii="Aptos" w:hAnsi="Aptos" w:cstheme="minorHAnsi"/>
              </w:rPr>
              <w:t xml:space="preserve">over the </w:t>
            </w:r>
            <w:r w:rsidR="006B2EA6" w:rsidRPr="000B07D8">
              <w:rPr>
                <w:rFonts w:ascii="Aptos" w:hAnsi="Aptos" w:cstheme="minorHAnsi"/>
              </w:rPr>
              <w:t>25-year</w:t>
            </w:r>
            <w:r w:rsidRPr="000B07D8">
              <w:rPr>
                <w:rFonts w:ascii="Aptos" w:hAnsi="Aptos" w:cstheme="minorHAnsi"/>
              </w:rPr>
              <w:t xml:space="preserve"> period.</w:t>
            </w:r>
          </w:p>
        </w:tc>
      </w:tr>
      <w:tr w:rsidR="00D57708" w:rsidRPr="002B6111" w14:paraId="6395094F" w14:textId="77777777" w:rsidTr="00CD32AE">
        <w:trPr>
          <w:trHeight w:val="20"/>
          <w:tblHeader/>
        </w:trPr>
        <w:tc>
          <w:tcPr>
            <w:tcW w:w="704" w:type="dxa"/>
            <w:shd w:val="clear" w:color="auto" w:fill="1F3864" w:themeFill="accent1" w:themeFillShade="80"/>
            <w:vAlign w:val="center"/>
          </w:tcPr>
          <w:p w14:paraId="479E077B" w14:textId="5B3C01C8" w:rsidR="00D57708"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t>7</w:t>
            </w:r>
          </w:p>
        </w:tc>
        <w:tc>
          <w:tcPr>
            <w:tcW w:w="4683" w:type="dxa"/>
            <w:vAlign w:val="center"/>
          </w:tcPr>
          <w:p w14:paraId="1491C5AA" w14:textId="79AEB150" w:rsidR="00D57708" w:rsidRPr="002B6111"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Scope and timeframe - Could you confirm the period of funding the evaluation should cover? In particular, should it consider the full history of relevant Science Foundation Ireland and Irish Research Council investments, or focus on a defined timeframe, portfolio or group of programmes?</w:t>
            </w:r>
          </w:p>
        </w:tc>
        <w:tc>
          <w:tcPr>
            <w:tcW w:w="4819" w:type="dxa"/>
          </w:tcPr>
          <w:p w14:paraId="3758C547" w14:textId="37E831F4" w:rsidR="00D57708" w:rsidRPr="00D57708" w:rsidRDefault="003E6C03" w:rsidP="00CD32AE">
            <w:pPr>
              <w:spacing w:before="120" w:after="120"/>
              <w:rPr>
                <w:rFonts w:cstheme="minorHAnsi"/>
                <w:sz w:val="24"/>
                <w:szCs w:val="24"/>
              </w:rPr>
            </w:pPr>
            <w:r w:rsidRPr="000B07D8">
              <w:rPr>
                <w:rFonts w:ascii="Aptos" w:hAnsi="Aptos" w:cstheme="minorHAnsi"/>
              </w:rPr>
              <w:t xml:space="preserve">The analysis should cover 2000-2024 covering all historic award from the IRC and SFI. This includes approximately 17,000 award records; all Irish Universities, Technological Universities colleges and a number of </w:t>
            </w:r>
            <w:proofErr w:type="gramStart"/>
            <w:r w:rsidRPr="000B07D8">
              <w:rPr>
                <w:rFonts w:ascii="Aptos" w:hAnsi="Aptos" w:cstheme="minorHAnsi"/>
              </w:rPr>
              <w:t>research</w:t>
            </w:r>
            <w:proofErr w:type="gramEnd"/>
            <w:r w:rsidRPr="000B07D8">
              <w:rPr>
                <w:rFonts w:ascii="Aptos" w:hAnsi="Aptos" w:cstheme="minorHAnsi"/>
              </w:rPr>
              <w:t xml:space="preserve"> performing organisations; approx. </w:t>
            </w:r>
            <w:r>
              <w:rPr>
                <w:rFonts w:ascii="Aptos" w:hAnsi="Aptos" w:cstheme="minorHAnsi"/>
              </w:rPr>
              <w:t xml:space="preserve">EU </w:t>
            </w:r>
            <w:r w:rsidRPr="000B07D8">
              <w:rPr>
                <w:rFonts w:ascii="Aptos" w:hAnsi="Aptos" w:cstheme="minorHAnsi"/>
              </w:rPr>
              <w:t xml:space="preserve">6 billion </w:t>
            </w:r>
            <w:r>
              <w:rPr>
                <w:rFonts w:ascii="Aptos" w:hAnsi="Aptos" w:cstheme="minorHAnsi"/>
              </w:rPr>
              <w:t xml:space="preserve">invested </w:t>
            </w:r>
            <w:r w:rsidRPr="000B07D8">
              <w:rPr>
                <w:rFonts w:ascii="Aptos" w:hAnsi="Aptos" w:cstheme="minorHAnsi"/>
              </w:rPr>
              <w:t>over the 25-year period.</w:t>
            </w:r>
          </w:p>
        </w:tc>
      </w:tr>
      <w:tr w:rsidR="000D1E49" w:rsidRPr="002B6111" w14:paraId="65BAE8A0" w14:textId="77777777" w:rsidTr="00CD32AE">
        <w:trPr>
          <w:trHeight w:val="20"/>
          <w:tblHeader/>
        </w:trPr>
        <w:tc>
          <w:tcPr>
            <w:tcW w:w="704" w:type="dxa"/>
            <w:shd w:val="clear" w:color="auto" w:fill="1F3864" w:themeFill="accent1" w:themeFillShade="80"/>
            <w:vAlign w:val="center"/>
          </w:tcPr>
          <w:p w14:paraId="7FC1F8E0" w14:textId="281D2EAC"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t>8</w:t>
            </w:r>
          </w:p>
        </w:tc>
        <w:tc>
          <w:tcPr>
            <w:tcW w:w="4683" w:type="dxa"/>
            <w:vAlign w:val="center"/>
          </w:tcPr>
          <w:p w14:paraId="4F75974B" w14:textId="739D38F8" w:rsidR="000D1E49" w:rsidRPr="002B6111"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Scale of the portfolio - Could you provide an indication of the scale and composition of the portfolio covered by the evaluation? It would be helpful to understand the approximate number and value of programmes and awards, the main programme types and disciplines, and the number of funded organisations involved.</w:t>
            </w:r>
          </w:p>
        </w:tc>
        <w:tc>
          <w:tcPr>
            <w:tcW w:w="4819" w:type="dxa"/>
          </w:tcPr>
          <w:p w14:paraId="6D3A0411" w14:textId="61D12126" w:rsidR="000D1E49" w:rsidRPr="00D57708" w:rsidRDefault="003E6C03" w:rsidP="00CD32AE">
            <w:pPr>
              <w:spacing w:before="120" w:after="120"/>
              <w:rPr>
                <w:rFonts w:cstheme="minorHAnsi"/>
                <w:sz w:val="24"/>
                <w:szCs w:val="24"/>
              </w:rPr>
            </w:pPr>
            <w:r w:rsidRPr="000B07D8">
              <w:rPr>
                <w:rFonts w:ascii="Aptos" w:hAnsi="Aptos" w:cstheme="minorHAnsi"/>
              </w:rPr>
              <w:t xml:space="preserve">The analysis should cover 2000-2024 covering all historic award from the IRC and SFI. This includes approximately 17,000 award records; all Irish Universities, Technological Universities colleges and a number of </w:t>
            </w:r>
            <w:proofErr w:type="gramStart"/>
            <w:r w:rsidRPr="000B07D8">
              <w:rPr>
                <w:rFonts w:ascii="Aptos" w:hAnsi="Aptos" w:cstheme="minorHAnsi"/>
              </w:rPr>
              <w:t>research</w:t>
            </w:r>
            <w:proofErr w:type="gramEnd"/>
            <w:r w:rsidRPr="000B07D8">
              <w:rPr>
                <w:rFonts w:ascii="Aptos" w:hAnsi="Aptos" w:cstheme="minorHAnsi"/>
              </w:rPr>
              <w:t xml:space="preserve"> performing organisations; approx. </w:t>
            </w:r>
            <w:r>
              <w:rPr>
                <w:rFonts w:ascii="Aptos" w:hAnsi="Aptos" w:cstheme="minorHAnsi"/>
              </w:rPr>
              <w:t xml:space="preserve">EU </w:t>
            </w:r>
            <w:r w:rsidRPr="000B07D8">
              <w:rPr>
                <w:rFonts w:ascii="Aptos" w:hAnsi="Aptos" w:cstheme="minorHAnsi"/>
              </w:rPr>
              <w:t xml:space="preserve">6 billion </w:t>
            </w:r>
            <w:r>
              <w:rPr>
                <w:rFonts w:ascii="Aptos" w:hAnsi="Aptos" w:cstheme="minorHAnsi"/>
              </w:rPr>
              <w:t xml:space="preserve">invested </w:t>
            </w:r>
            <w:r w:rsidRPr="000B07D8">
              <w:rPr>
                <w:rFonts w:ascii="Aptos" w:hAnsi="Aptos" w:cstheme="minorHAnsi"/>
              </w:rPr>
              <w:t>over the 25-year period.</w:t>
            </w:r>
          </w:p>
        </w:tc>
      </w:tr>
      <w:tr w:rsidR="000D1E49" w:rsidRPr="002B6111" w14:paraId="24A5840D" w14:textId="77777777" w:rsidTr="00CD32AE">
        <w:trPr>
          <w:trHeight w:val="20"/>
          <w:tblHeader/>
        </w:trPr>
        <w:tc>
          <w:tcPr>
            <w:tcW w:w="704" w:type="dxa"/>
            <w:shd w:val="clear" w:color="auto" w:fill="1F3864" w:themeFill="accent1" w:themeFillShade="80"/>
            <w:vAlign w:val="center"/>
          </w:tcPr>
          <w:p w14:paraId="11349554" w14:textId="02944E3C"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t>9</w:t>
            </w:r>
          </w:p>
        </w:tc>
        <w:tc>
          <w:tcPr>
            <w:tcW w:w="4683" w:type="dxa"/>
            <w:vAlign w:val="center"/>
          </w:tcPr>
          <w:p w14:paraId="29516034" w14:textId="1213D15D" w:rsidR="000D1E49" w:rsidRPr="002B6111"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Data available for the evaluation - Could you provide a data catalogue or representative sample extracts showing the datasets and fields that will be available? It would also be helpful to understand their format, time coverage, quality and completeness, and whether common identifiers are available to link awards, researchers, institutions, outputs and impacts.</w:t>
            </w:r>
          </w:p>
        </w:tc>
        <w:tc>
          <w:tcPr>
            <w:tcW w:w="4819" w:type="dxa"/>
          </w:tcPr>
          <w:p w14:paraId="31E47692" w14:textId="4EAB9D54" w:rsidR="000D1E49" w:rsidRPr="00D57708" w:rsidRDefault="003E6C03" w:rsidP="00CD32AE">
            <w:pPr>
              <w:spacing w:before="120" w:after="120"/>
              <w:rPr>
                <w:rFonts w:cstheme="minorHAnsi"/>
                <w:sz w:val="24"/>
                <w:szCs w:val="24"/>
              </w:rPr>
            </w:pPr>
            <w:r>
              <w:rPr>
                <w:rFonts w:cstheme="minorHAnsi"/>
                <w:sz w:val="24"/>
                <w:szCs w:val="24"/>
              </w:rPr>
              <w:t>All application and awards data linked to unique identifiers can be provided for the lifetime of the former SFI and IRC portfolios. Some of the IRC council data (</w:t>
            </w:r>
            <w:r w:rsidR="00B906EB">
              <w:rPr>
                <w:rFonts w:cstheme="minorHAnsi"/>
                <w:sz w:val="24"/>
                <w:szCs w:val="24"/>
              </w:rPr>
              <w:t>pre-2012</w:t>
            </w:r>
            <w:r>
              <w:rPr>
                <w:rFonts w:cstheme="minorHAnsi"/>
                <w:sz w:val="24"/>
                <w:szCs w:val="24"/>
              </w:rPr>
              <w:t xml:space="preserve">) is limited to awards data only. There are also details from annual reports and in the case of SFI awards, research outputs data that captures broader engagements of awardees beyond direct publications and impacts arising from the individual grant. The vast majority of this data exists within our grants management </w:t>
            </w:r>
            <w:r>
              <w:rPr>
                <w:rFonts w:cstheme="minorHAnsi"/>
                <w:sz w:val="24"/>
                <w:szCs w:val="24"/>
              </w:rPr>
              <w:lastRenderedPageBreak/>
              <w:t xml:space="preserve">system run by </w:t>
            </w:r>
            <w:proofErr w:type="spellStart"/>
            <w:r>
              <w:rPr>
                <w:rFonts w:cstheme="minorHAnsi"/>
                <w:sz w:val="24"/>
                <w:szCs w:val="24"/>
              </w:rPr>
              <w:t>SmartSimple</w:t>
            </w:r>
            <w:proofErr w:type="spellEnd"/>
            <w:r>
              <w:rPr>
                <w:rFonts w:cstheme="minorHAnsi"/>
                <w:sz w:val="24"/>
                <w:szCs w:val="24"/>
              </w:rPr>
              <w:t xml:space="preserve"> and is exportable to excel or directly into Tableau supported dashboards.</w:t>
            </w:r>
          </w:p>
        </w:tc>
      </w:tr>
      <w:tr w:rsidR="000D1E49" w:rsidRPr="002B6111" w14:paraId="72CE359B" w14:textId="77777777" w:rsidTr="00CD32AE">
        <w:trPr>
          <w:trHeight w:val="20"/>
          <w:tblHeader/>
        </w:trPr>
        <w:tc>
          <w:tcPr>
            <w:tcW w:w="704" w:type="dxa"/>
            <w:shd w:val="clear" w:color="auto" w:fill="1F3864" w:themeFill="accent1" w:themeFillShade="80"/>
            <w:vAlign w:val="center"/>
          </w:tcPr>
          <w:p w14:paraId="1E01A4AE" w14:textId="613FEEDA"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lastRenderedPageBreak/>
              <w:t>10</w:t>
            </w:r>
          </w:p>
        </w:tc>
        <w:tc>
          <w:tcPr>
            <w:tcW w:w="4683" w:type="dxa"/>
            <w:vAlign w:val="center"/>
          </w:tcPr>
          <w:p w14:paraId="40177B35" w14:textId="070F9DC2" w:rsidR="000D1E49" w:rsidRPr="002B6111"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Researcher and comparison-group data - Will individual-level researcher data be available to support analysis of career progression, mobility and retention? Will information on unsuccessful or non-funded applicants also be available to support counterfactual or comparison-group analysis?</w:t>
            </w:r>
          </w:p>
        </w:tc>
        <w:tc>
          <w:tcPr>
            <w:tcW w:w="4819" w:type="dxa"/>
          </w:tcPr>
          <w:p w14:paraId="5FDE6B7B" w14:textId="57BBA5E8" w:rsidR="000D1E49" w:rsidRPr="00D57708" w:rsidRDefault="003E6C03" w:rsidP="00CD32AE">
            <w:pPr>
              <w:spacing w:before="120" w:after="120"/>
              <w:rPr>
                <w:rFonts w:cstheme="minorHAnsi"/>
                <w:sz w:val="24"/>
                <w:szCs w:val="24"/>
              </w:rPr>
            </w:pPr>
            <w:r>
              <w:rPr>
                <w:rFonts w:cstheme="minorHAnsi"/>
                <w:sz w:val="24"/>
                <w:szCs w:val="24"/>
              </w:rPr>
              <w:t>All application (successful and unsuccessful) and awards data linked to individual unique identifiers can be provided for the lifetime of the former SFI and IRC portfolios. Some of the IRC council data (</w:t>
            </w:r>
            <w:bookmarkStart w:id="1" w:name="_GoBack"/>
            <w:bookmarkEnd w:id="1"/>
            <w:r w:rsidR="00B906EB">
              <w:rPr>
                <w:rFonts w:cstheme="minorHAnsi"/>
                <w:sz w:val="24"/>
                <w:szCs w:val="24"/>
              </w:rPr>
              <w:t>pre-2012</w:t>
            </w:r>
            <w:r>
              <w:rPr>
                <w:rFonts w:cstheme="minorHAnsi"/>
                <w:sz w:val="24"/>
                <w:szCs w:val="24"/>
              </w:rPr>
              <w:t xml:space="preserve">) is limited to awards data only. </w:t>
            </w:r>
          </w:p>
        </w:tc>
      </w:tr>
      <w:tr w:rsidR="000D1E49" w:rsidRPr="002B6111" w14:paraId="7BEC754F" w14:textId="77777777" w:rsidTr="00CD32AE">
        <w:trPr>
          <w:trHeight w:val="20"/>
          <w:tblHeader/>
        </w:trPr>
        <w:tc>
          <w:tcPr>
            <w:tcW w:w="704" w:type="dxa"/>
            <w:shd w:val="clear" w:color="auto" w:fill="1F3864" w:themeFill="accent1" w:themeFillShade="80"/>
            <w:vAlign w:val="center"/>
          </w:tcPr>
          <w:p w14:paraId="13604BDC" w14:textId="5DA1C9E7"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t>11</w:t>
            </w:r>
          </w:p>
        </w:tc>
        <w:tc>
          <w:tcPr>
            <w:tcW w:w="4683" w:type="dxa"/>
            <w:vAlign w:val="center"/>
          </w:tcPr>
          <w:p w14:paraId="704B05AB" w14:textId="1B5330C8" w:rsidR="000D1E49" w:rsidRPr="000D1E49"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Access to external datasets - Will Research Ireland help the successful tenderer access relevant datasets held by bodies such as the Higher Education Authority, Enterprise Ireland, IDA Ireland, higher education institutions or Government departments? If not, should tenderers allow for the cost of obtaining any external datasets within the fixed fee?</w:t>
            </w:r>
          </w:p>
        </w:tc>
        <w:tc>
          <w:tcPr>
            <w:tcW w:w="4819" w:type="dxa"/>
          </w:tcPr>
          <w:p w14:paraId="00BA2C29" w14:textId="77777777" w:rsidR="000D1E49" w:rsidRDefault="004A61F0" w:rsidP="00CD32AE">
            <w:pPr>
              <w:spacing w:before="120" w:after="120"/>
              <w:rPr>
                <w:rFonts w:cstheme="minorHAnsi"/>
                <w:sz w:val="24"/>
                <w:szCs w:val="24"/>
              </w:rPr>
            </w:pPr>
            <w:r w:rsidRPr="004A61F0">
              <w:rPr>
                <w:rFonts w:cstheme="minorHAnsi"/>
                <w:sz w:val="24"/>
                <w:szCs w:val="24"/>
              </w:rPr>
              <w:t>Research Ireland will, where possible, support the successful tenderer in engaging with relevant public bodies and research-performing organisations to seek access to datasets required for the evaluation. However, Research Ireland cannot guarantee that third-party data will be available, provided within a particular timeframe, or approved for the proposed use. Access will remain subject to the data owner’s requirements, including data-protection, confidentiality, security and data-sharing arrangements.</w:t>
            </w:r>
          </w:p>
          <w:p w14:paraId="7D1FD29A" w14:textId="77777777" w:rsidR="00E76C67" w:rsidRPr="00E76C67" w:rsidRDefault="00E76C67" w:rsidP="00E76C67">
            <w:pPr>
              <w:spacing w:before="120" w:after="120"/>
              <w:rPr>
                <w:rFonts w:cstheme="minorHAnsi"/>
                <w:sz w:val="24"/>
                <w:szCs w:val="24"/>
              </w:rPr>
            </w:pPr>
            <w:r w:rsidRPr="00E76C67">
              <w:rPr>
                <w:rFonts w:cstheme="minorHAnsi"/>
                <w:sz w:val="24"/>
                <w:szCs w:val="24"/>
              </w:rPr>
              <w:t>Tenderers should identify in their proposals any external datasets on which their methodology depends. Any anticipated licence, access, acquisition or secure-processing costs associated with third-party datasets should be included within the fixed fee.</w:t>
            </w:r>
          </w:p>
          <w:p w14:paraId="09256DA8" w14:textId="25494F8E" w:rsidR="00E76C67" w:rsidRPr="00D57708" w:rsidRDefault="00E76C67" w:rsidP="00CD32AE">
            <w:pPr>
              <w:spacing w:before="120" w:after="120"/>
              <w:rPr>
                <w:rFonts w:cstheme="minorHAnsi"/>
                <w:sz w:val="24"/>
                <w:szCs w:val="24"/>
              </w:rPr>
            </w:pPr>
          </w:p>
        </w:tc>
      </w:tr>
      <w:tr w:rsidR="000D1E49" w:rsidRPr="002B6111" w14:paraId="3633F531" w14:textId="77777777" w:rsidTr="00CD32AE">
        <w:trPr>
          <w:trHeight w:val="20"/>
          <w:tblHeader/>
        </w:trPr>
        <w:tc>
          <w:tcPr>
            <w:tcW w:w="704" w:type="dxa"/>
            <w:shd w:val="clear" w:color="auto" w:fill="1F3864" w:themeFill="accent1" w:themeFillShade="80"/>
            <w:vAlign w:val="center"/>
          </w:tcPr>
          <w:p w14:paraId="7BE486F2" w14:textId="775AC3A8"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t>12</w:t>
            </w:r>
          </w:p>
        </w:tc>
        <w:tc>
          <w:tcPr>
            <w:tcW w:w="4683" w:type="dxa"/>
            <w:vAlign w:val="center"/>
          </w:tcPr>
          <w:p w14:paraId="0919E801" w14:textId="6030080A" w:rsidR="000D1E49" w:rsidRPr="000D1E49"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Timing and preparation of data - When are the main datasets expected to be made available to the successful tenderer? Could you also indicate the likely level of data cleaning, coding, harmonisation and reconciliation required, particularly across legacy Science Foundation Ireland and Irish Research Council systems?</w:t>
            </w:r>
          </w:p>
        </w:tc>
        <w:tc>
          <w:tcPr>
            <w:tcW w:w="4819" w:type="dxa"/>
          </w:tcPr>
          <w:p w14:paraId="41E62C08" w14:textId="312076B5" w:rsidR="000D1E49" w:rsidRPr="00D57708" w:rsidRDefault="009F46A1" w:rsidP="00BD3D1F">
            <w:pPr>
              <w:spacing w:before="120" w:after="120"/>
              <w:rPr>
                <w:rFonts w:cstheme="minorHAnsi"/>
                <w:sz w:val="24"/>
                <w:szCs w:val="24"/>
              </w:rPr>
            </w:pPr>
            <w:r w:rsidRPr="009F46A1">
              <w:rPr>
                <w:rFonts w:cstheme="minorHAnsi"/>
                <w:sz w:val="24"/>
                <w:szCs w:val="24"/>
              </w:rPr>
              <w:t>Research Ireland expects to make the main internal application and award datasets available following contract commencement and completion of the necessary data-sharing, data-protection and security arrangements.</w:t>
            </w:r>
            <w:r w:rsidR="00BE1DCC">
              <w:rPr>
                <w:rFonts w:cstheme="minorHAnsi"/>
                <w:sz w:val="24"/>
                <w:szCs w:val="24"/>
              </w:rPr>
              <w:t xml:space="preserve"> </w:t>
            </w:r>
            <w:r w:rsidR="00BE1DCC" w:rsidRPr="00BE1DCC">
              <w:rPr>
                <w:rFonts w:cstheme="minorHAnsi"/>
                <w:sz w:val="24"/>
                <w:szCs w:val="24"/>
              </w:rPr>
              <w:t>The majority of the relevant data is held within Research Ireland’s grants-management systems and can be exported in accessible formats.</w:t>
            </w:r>
            <w:r w:rsidR="00BE1DCC">
              <w:rPr>
                <w:rFonts w:cstheme="minorHAnsi"/>
                <w:sz w:val="24"/>
                <w:szCs w:val="24"/>
              </w:rPr>
              <w:t xml:space="preserve"> </w:t>
            </w:r>
            <w:r w:rsidR="00664A6F">
              <w:rPr>
                <w:rFonts w:cstheme="minorHAnsi"/>
                <w:sz w:val="24"/>
                <w:szCs w:val="24"/>
              </w:rPr>
              <w:t xml:space="preserve">Much of the data from the former agencies has been </w:t>
            </w:r>
            <w:r w:rsidR="00BD3D1F">
              <w:rPr>
                <w:rFonts w:cstheme="minorHAnsi"/>
                <w:sz w:val="24"/>
                <w:szCs w:val="24"/>
              </w:rPr>
              <w:t>harmonised and work is on-</w:t>
            </w:r>
            <w:r w:rsidR="00BD3D1F">
              <w:rPr>
                <w:rFonts w:cstheme="minorHAnsi"/>
                <w:sz w:val="24"/>
                <w:szCs w:val="24"/>
              </w:rPr>
              <w:lastRenderedPageBreak/>
              <w:t>going to complete this work ahead of the evaluation.</w:t>
            </w:r>
          </w:p>
        </w:tc>
      </w:tr>
      <w:tr w:rsidR="000D1E49" w:rsidRPr="002B6111" w14:paraId="3EF0B765" w14:textId="77777777" w:rsidTr="00CD32AE">
        <w:trPr>
          <w:trHeight w:val="20"/>
          <w:tblHeader/>
        </w:trPr>
        <w:tc>
          <w:tcPr>
            <w:tcW w:w="704" w:type="dxa"/>
            <w:shd w:val="clear" w:color="auto" w:fill="1F3864" w:themeFill="accent1" w:themeFillShade="80"/>
            <w:vAlign w:val="center"/>
          </w:tcPr>
          <w:p w14:paraId="6DB8CF53" w14:textId="48EC1E2F"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lastRenderedPageBreak/>
              <w:t>13</w:t>
            </w:r>
          </w:p>
        </w:tc>
        <w:tc>
          <w:tcPr>
            <w:tcW w:w="4683" w:type="dxa"/>
            <w:vAlign w:val="center"/>
          </w:tcPr>
          <w:p w14:paraId="65F6938B" w14:textId="1713DD55" w:rsidR="000D1E49" w:rsidRPr="000D1E49"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Return-on-investment analysis - Is Research Ireland looking for a single overall assessment of return on public investment, separate estimates for individual programmes or portfolio segments, or a broader framework that brings together monetised impacts and qualitative, proxy and contribution-based evidence?</w:t>
            </w:r>
          </w:p>
        </w:tc>
        <w:tc>
          <w:tcPr>
            <w:tcW w:w="4819" w:type="dxa"/>
          </w:tcPr>
          <w:p w14:paraId="74E58C9A" w14:textId="77777777" w:rsidR="00AA5131" w:rsidRPr="00AA5131" w:rsidRDefault="00AA5131" w:rsidP="00AA5131">
            <w:pPr>
              <w:spacing w:before="120" w:after="120"/>
              <w:rPr>
                <w:rFonts w:cstheme="minorHAnsi"/>
                <w:sz w:val="24"/>
                <w:szCs w:val="24"/>
              </w:rPr>
            </w:pPr>
            <w:r w:rsidRPr="00AA5131">
              <w:rPr>
                <w:rFonts w:cstheme="minorHAnsi"/>
                <w:sz w:val="24"/>
                <w:szCs w:val="24"/>
              </w:rPr>
              <w:t>Research Ireland is not prescribing a single return-on-investment model or a predetermined level of analysis. Tenderers should propose the evaluation approach they consider most appropriate to the scale, diversity and maturity of the funding portfolio and to producing a clear, credible and evidence-based narrative of Research Ireland’s economic and system-level impact.</w:t>
            </w:r>
          </w:p>
          <w:p w14:paraId="3F872705" w14:textId="77777777" w:rsidR="000D1E49" w:rsidRPr="00D57708" w:rsidRDefault="000D1E49" w:rsidP="00CD32AE">
            <w:pPr>
              <w:spacing w:before="120" w:after="120"/>
              <w:rPr>
                <w:rFonts w:cstheme="minorHAnsi"/>
                <w:sz w:val="24"/>
                <w:szCs w:val="24"/>
              </w:rPr>
            </w:pPr>
          </w:p>
        </w:tc>
      </w:tr>
      <w:tr w:rsidR="000D1E49" w:rsidRPr="002B6111" w14:paraId="268C77AC" w14:textId="77777777" w:rsidTr="00CD32AE">
        <w:trPr>
          <w:trHeight w:val="20"/>
          <w:tblHeader/>
        </w:trPr>
        <w:tc>
          <w:tcPr>
            <w:tcW w:w="704" w:type="dxa"/>
            <w:shd w:val="clear" w:color="auto" w:fill="1F3864" w:themeFill="accent1" w:themeFillShade="80"/>
            <w:vAlign w:val="center"/>
          </w:tcPr>
          <w:p w14:paraId="75CF8B8A" w14:textId="5A1ECC70"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t>14</w:t>
            </w:r>
          </w:p>
        </w:tc>
        <w:tc>
          <w:tcPr>
            <w:tcW w:w="4683" w:type="dxa"/>
            <w:vAlign w:val="center"/>
          </w:tcPr>
          <w:p w14:paraId="36292219" w14:textId="65E2F86B" w:rsidR="000D1E49" w:rsidRPr="000D1E49"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Stakeholder engagement - Does Research Ireland have an expected scale for the surveys, interviews, focus groups and case studies? Will Research Ireland also provide contact details and facilitate introductions to relevant researchers, institutions, enterprise partners, Government departments and other stakeholders?</w:t>
            </w:r>
          </w:p>
        </w:tc>
        <w:tc>
          <w:tcPr>
            <w:tcW w:w="4819" w:type="dxa"/>
          </w:tcPr>
          <w:p w14:paraId="0650C3B0" w14:textId="77777777" w:rsidR="0015315E" w:rsidRPr="0015315E" w:rsidRDefault="0015315E" w:rsidP="0015315E">
            <w:pPr>
              <w:spacing w:before="120" w:after="120"/>
              <w:rPr>
                <w:rFonts w:cstheme="minorHAnsi"/>
                <w:sz w:val="24"/>
                <w:szCs w:val="24"/>
              </w:rPr>
            </w:pPr>
            <w:r w:rsidRPr="0015315E">
              <w:rPr>
                <w:rFonts w:cstheme="minorHAnsi"/>
                <w:sz w:val="24"/>
                <w:szCs w:val="24"/>
              </w:rPr>
              <w:t>Research Ireland is not prescribing a fixed number of surveys, interviews, focus groups or case studies. Tenderers should propose a proportionate stakeholder-engagement approach that is appropriate to the scale and diversity of the funding portfolio and sufficient to support a robust, representative and evidence-based evaluation.</w:t>
            </w:r>
          </w:p>
          <w:p w14:paraId="636FE6E4" w14:textId="77777777" w:rsidR="0015315E" w:rsidRPr="0015315E" w:rsidRDefault="0015315E" w:rsidP="0015315E">
            <w:pPr>
              <w:spacing w:before="120" w:after="120"/>
              <w:rPr>
                <w:rFonts w:cstheme="minorHAnsi"/>
                <w:sz w:val="24"/>
                <w:szCs w:val="24"/>
              </w:rPr>
            </w:pPr>
            <w:r w:rsidRPr="0015315E">
              <w:rPr>
                <w:rFonts w:cstheme="minorHAnsi"/>
                <w:sz w:val="24"/>
                <w:szCs w:val="24"/>
              </w:rPr>
              <w:t>Where requested by the successful tenderer, Research Ireland will, where possible, facilitate introductions to relevant researchers, institutions, enterprise partners, Government departments and other stakeholders.</w:t>
            </w:r>
          </w:p>
          <w:p w14:paraId="630DE163" w14:textId="77777777" w:rsidR="000D1E49" w:rsidRPr="00D57708" w:rsidRDefault="000D1E49" w:rsidP="00CD32AE">
            <w:pPr>
              <w:spacing w:before="120" w:after="120"/>
              <w:rPr>
                <w:rFonts w:cstheme="minorHAnsi"/>
                <w:sz w:val="24"/>
                <w:szCs w:val="24"/>
              </w:rPr>
            </w:pPr>
          </w:p>
        </w:tc>
      </w:tr>
      <w:tr w:rsidR="000D1E49" w:rsidRPr="002B6111" w14:paraId="52FC201F" w14:textId="77777777" w:rsidTr="00CD32AE">
        <w:trPr>
          <w:trHeight w:val="20"/>
          <w:tblHeader/>
        </w:trPr>
        <w:tc>
          <w:tcPr>
            <w:tcW w:w="704" w:type="dxa"/>
            <w:shd w:val="clear" w:color="auto" w:fill="1F3864" w:themeFill="accent1" w:themeFillShade="80"/>
            <w:vAlign w:val="center"/>
          </w:tcPr>
          <w:p w14:paraId="4AF75A1E" w14:textId="10393602" w:rsidR="000D1E49"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t>15</w:t>
            </w:r>
          </w:p>
        </w:tc>
        <w:tc>
          <w:tcPr>
            <w:tcW w:w="4683" w:type="dxa"/>
            <w:vAlign w:val="center"/>
          </w:tcPr>
          <w:p w14:paraId="0E4920C5" w14:textId="647F6C00" w:rsidR="000D1E49" w:rsidRPr="002B6111" w:rsidRDefault="000D1E49" w:rsidP="00CD32AE">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Deliverables and review process - Could you confirm the expected number, length and production standard of the case studies, technical annex, communications materials, key-messages document, slide deck and presentations? Please also confirm whether professional graphic design should be included and how many rounds of review and revision tenderers should allow for.</w:t>
            </w:r>
          </w:p>
        </w:tc>
        <w:tc>
          <w:tcPr>
            <w:tcW w:w="4819" w:type="dxa"/>
          </w:tcPr>
          <w:p w14:paraId="56368C69" w14:textId="77777777" w:rsidR="00700ECC" w:rsidRPr="00700ECC" w:rsidRDefault="00700ECC" w:rsidP="00700ECC">
            <w:pPr>
              <w:spacing w:before="120" w:after="120"/>
              <w:rPr>
                <w:rFonts w:cstheme="minorHAnsi"/>
                <w:sz w:val="24"/>
                <w:szCs w:val="24"/>
              </w:rPr>
            </w:pPr>
            <w:r w:rsidRPr="00700ECC">
              <w:rPr>
                <w:rFonts w:cstheme="minorHAnsi"/>
                <w:sz w:val="24"/>
                <w:szCs w:val="24"/>
              </w:rPr>
              <w:t>The precise format, length and number of individual outputs will be agreed with the successful tenderer during project initiation.</w:t>
            </w:r>
          </w:p>
          <w:p w14:paraId="1CC6232D" w14:textId="1C76313C" w:rsidR="005E35C7" w:rsidRDefault="005E35C7" w:rsidP="005E35C7">
            <w:pPr>
              <w:spacing w:before="120" w:after="120"/>
              <w:rPr>
                <w:rFonts w:cstheme="minorHAnsi"/>
                <w:sz w:val="24"/>
                <w:szCs w:val="24"/>
              </w:rPr>
            </w:pPr>
            <w:r w:rsidRPr="005E35C7">
              <w:rPr>
                <w:rFonts w:cstheme="minorHAnsi"/>
                <w:sz w:val="24"/>
                <w:szCs w:val="24"/>
              </w:rPr>
              <w:t>All final outputs</w:t>
            </w:r>
            <w:r w:rsidR="00262DA4">
              <w:rPr>
                <w:rFonts w:cstheme="minorHAnsi"/>
                <w:sz w:val="24"/>
                <w:szCs w:val="24"/>
              </w:rPr>
              <w:t xml:space="preserve"> </w:t>
            </w:r>
            <w:r w:rsidRPr="005E35C7">
              <w:rPr>
                <w:rFonts w:cstheme="minorHAnsi"/>
                <w:sz w:val="24"/>
                <w:szCs w:val="24"/>
              </w:rPr>
              <w:t>should be professionally written, clearly presented and suitable for their intended technical, policy or public-facing audiences. Tenderers should include professional graphic design and production of publication-ready final materials within the fixed fee.</w:t>
            </w:r>
          </w:p>
          <w:p w14:paraId="267AE050" w14:textId="68D9B586" w:rsidR="000D1E49" w:rsidRPr="00D57708" w:rsidRDefault="003B0E3C" w:rsidP="003B0E3C">
            <w:pPr>
              <w:spacing w:before="120" w:after="120"/>
              <w:rPr>
                <w:rFonts w:cstheme="minorHAnsi"/>
                <w:sz w:val="24"/>
                <w:szCs w:val="24"/>
              </w:rPr>
            </w:pPr>
            <w:r w:rsidRPr="003B0E3C">
              <w:rPr>
                <w:rFonts w:cstheme="minorHAnsi"/>
                <w:sz w:val="24"/>
                <w:szCs w:val="24"/>
              </w:rPr>
              <w:t>Tenderers should allow for Research Ireland to review draft deliverables and should include at least two rounds of consolidated review and revision for the principal outputs.</w:t>
            </w:r>
          </w:p>
        </w:tc>
      </w:tr>
      <w:tr w:rsidR="00D57708" w:rsidRPr="002B6111" w14:paraId="76556927" w14:textId="77777777" w:rsidTr="00CD32AE">
        <w:trPr>
          <w:trHeight w:val="20"/>
          <w:tblHeader/>
        </w:trPr>
        <w:tc>
          <w:tcPr>
            <w:tcW w:w="704" w:type="dxa"/>
            <w:shd w:val="clear" w:color="auto" w:fill="1F3864" w:themeFill="accent1" w:themeFillShade="80"/>
            <w:vAlign w:val="center"/>
          </w:tcPr>
          <w:p w14:paraId="648CB3C1" w14:textId="2165F941" w:rsidR="00D57708" w:rsidRPr="002B6111" w:rsidRDefault="003A567A" w:rsidP="00CD32AE">
            <w:pPr>
              <w:spacing w:before="120" w:after="120"/>
              <w:jc w:val="center"/>
              <w:rPr>
                <w:rFonts w:cstheme="minorHAnsi"/>
                <w:b/>
                <w:color w:val="FFFFFF" w:themeColor="background1"/>
                <w:sz w:val="24"/>
                <w:szCs w:val="24"/>
              </w:rPr>
            </w:pPr>
            <w:r>
              <w:rPr>
                <w:rFonts w:cstheme="minorHAnsi"/>
                <w:b/>
                <w:color w:val="FFFFFF" w:themeColor="background1"/>
                <w:sz w:val="24"/>
                <w:szCs w:val="24"/>
              </w:rPr>
              <w:lastRenderedPageBreak/>
              <w:t>16</w:t>
            </w:r>
          </w:p>
        </w:tc>
        <w:tc>
          <w:tcPr>
            <w:tcW w:w="4683" w:type="dxa"/>
            <w:vAlign w:val="center"/>
          </w:tcPr>
          <w:p w14:paraId="04D8EAA1" w14:textId="0E8AB295" w:rsidR="00D57708" w:rsidRPr="002B6111" w:rsidRDefault="000D1E49" w:rsidP="00E4304C">
            <w:pPr>
              <w:spacing w:before="120" w:after="120"/>
              <w:rPr>
                <w:rFonts w:cstheme="minorHAnsi"/>
                <w:color w:val="00241A"/>
                <w:sz w:val="24"/>
                <w:szCs w:val="24"/>
                <w:shd w:val="clear" w:color="auto" w:fill="FFFFFF"/>
              </w:rPr>
            </w:pPr>
            <w:r w:rsidRPr="000D1E49">
              <w:rPr>
                <w:rFonts w:cstheme="minorHAnsi"/>
                <w:color w:val="00241A"/>
                <w:sz w:val="24"/>
                <w:szCs w:val="24"/>
                <w:shd w:val="clear" w:color="auto" w:fill="FFFFFF"/>
              </w:rPr>
              <w:t>Award Criterion B page limits - Could you confirm whether the two-page limit for Award Criterion B applies only to the main team and resourcing response, with a separate allowance of up to two A4 pages for each biographical summary? Please also clarify whether biographical summaries are required for every proposed team member or only for Key Personnel.</w:t>
            </w:r>
          </w:p>
        </w:tc>
        <w:tc>
          <w:tcPr>
            <w:tcW w:w="4819" w:type="dxa"/>
            <w:vAlign w:val="center"/>
          </w:tcPr>
          <w:p w14:paraId="2877D1B1" w14:textId="77777777" w:rsidR="003E7DE0" w:rsidRPr="003E7DE0" w:rsidRDefault="003E7DE0" w:rsidP="00E4304C">
            <w:pPr>
              <w:pStyle w:val="NormalWeb"/>
              <w:spacing w:before="120" w:beforeAutospacing="0" w:after="120" w:afterAutospacing="0"/>
              <w:rPr>
                <w:rFonts w:asciiTheme="minorHAnsi" w:hAnsiTheme="minorHAnsi" w:cstheme="minorHAnsi"/>
              </w:rPr>
            </w:pPr>
            <w:r w:rsidRPr="003E7DE0">
              <w:rPr>
                <w:rFonts w:asciiTheme="minorHAnsi" w:hAnsiTheme="minorHAnsi" w:cstheme="minorHAnsi"/>
              </w:rPr>
              <w:t>We confirm that the two (2) A4-page limit for Award Criterion B applies to the main response addressing the proposed team, resourcing and project management arrangements.</w:t>
            </w:r>
          </w:p>
          <w:p w14:paraId="789ECB2A" w14:textId="77777777" w:rsidR="003E7DE0" w:rsidRPr="003E7DE0" w:rsidRDefault="003E7DE0" w:rsidP="00E4304C">
            <w:pPr>
              <w:pStyle w:val="NormalWeb"/>
              <w:spacing w:before="120" w:beforeAutospacing="0" w:after="120" w:afterAutospacing="0"/>
              <w:rPr>
                <w:rFonts w:asciiTheme="minorHAnsi" w:hAnsiTheme="minorHAnsi" w:cstheme="minorHAnsi"/>
              </w:rPr>
            </w:pPr>
            <w:r w:rsidRPr="003E7DE0">
              <w:rPr>
                <w:rFonts w:asciiTheme="minorHAnsi" w:hAnsiTheme="minorHAnsi" w:cstheme="minorHAnsi"/>
              </w:rPr>
              <w:t>A separate allowance of up to two (2) A4 pages is permitted for each biographical summary. These biographical summaries are not included within the two-page limit for the main response.</w:t>
            </w:r>
          </w:p>
          <w:p w14:paraId="48D7E2A0" w14:textId="2F6AEAE5" w:rsidR="003E7DE0" w:rsidRDefault="003E7DE0" w:rsidP="00E4304C">
            <w:pPr>
              <w:pStyle w:val="NormalWeb"/>
              <w:spacing w:before="120" w:beforeAutospacing="0" w:after="120" w:afterAutospacing="0"/>
              <w:rPr>
                <w:rFonts w:asciiTheme="minorHAnsi" w:hAnsiTheme="minorHAnsi" w:cstheme="minorHAnsi"/>
              </w:rPr>
            </w:pPr>
            <w:r w:rsidRPr="003E7DE0">
              <w:rPr>
                <w:rFonts w:asciiTheme="minorHAnsi" w:hAnsiTheme="minorHAnsi" w:cstheme="minorHAnsi"/>
              </w:rPr>
              <w:t xml:space="preserve">Biographical summaries are required for </w:t>
            </w:r>
            <w:r>
              <w:rPr>
                <w:rFonts w:asciiTheme="minorHAnsi" w:hAnsiTheme="minorHAnsi" w:cstheme="minorHAnsi"/>
              </w:rPr>
              <w:t>the proposed team not he Key Personnel.</w:t>
            </w:r>
          </w:p>
          <w:p w14:paraId="10ADCB1A" w14:textId="7795CC9F" w:rsidR="003E7DE0" w:rsidRPr="002B6111" w:rsidRDefault="003E7DE0" w:rsidP="00E4304C">
            <w:pPr>
              <w:pStyle w:val="NormalWeb"/>
              <w:spacing w:before="120" w:beforeAutospacing="0" w:after="120" w:afterAutospacing="0"/>
              <w:rPr>
                <w:rFonts w:asciiTheme="minorHAnsi" w:hAnsiTheme="minorHAnsi" w:cstheme="minorHAnsi"/>
              </w:rPr>
            </w:pPr>
            <w:r w:rsidRPr="003E7DE0">
              <w:rPr>
                <w:rFonts w:asciiTheme="minorHAnsi" w:hAnsiTheme="minorHAnsi" w:cstheme="minorHAnsi"/>
              </w:rPr>
              <w:t>All submissions must comply with the specified formatting requirements of Calibri, font size 11.</w:t>
            </w:r>
          </w:p>
        </w:tc>
      </w:tr>
      <w:bookmarkEnd w:id="0"/>
    </w:tbl>
    <w:p w14:paraId="0EC54ECB" w14:textId="77777777" w:rsidR="00922306" w:rsidRDefault="00922306"/>
    <w:sectPr w:rsidR="00922306" w:rsidSect="009E42B6">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D3A2D" w14:textId="77777777" w:rsidR="00D94090" w:rsidRDefault="00D94090" w:rsidP="009E42B6">
      <w:pPr>
        <w:spacing w:after="0" w:line="240" w:lineRule="auto"/>
      </w:pPr>
      <w:r>
        <w:separator/>
      </w:r>
    </w:p>
  </w:endnote>
  <w:endnote w:type="continuationSeparator" w:id="0">
    <w:p w14:paraId="4135F7DD" w14:textId="77777777" w:rsidR="00D94090" w:rsidRDefault="00D94090" w:rsidP="009E4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3703B" w14:textId="77777777" w:rsidR="007F5D50" w:rsidRDefault="007F5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2291673"/>
      <w:docPartObj>
        <w:docPartGallery w:val="Page Numbers (Bottom of Page)"/>
        <w:docPartUnique/>
      </w:docPartObj>
    </w:sdtPr>
    <w:sdtEndPr>
      <w:rPr>
        <w:noProof/>
      </w:rPr>
    </w:sdtEndPr>
    <w:sdtContent>
      <w:p w14:paraId="64BE59C9" w14:textId="65B3E0B5" w:rsidR="009E42B6" w:rsidRDefault="009E42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8DE0B3" w14:textId="77777777" w:rsidR="009E42B6" w:rsidRDefault="009E42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23F5E" w14:textId="77777777" w:rsidR="007F5D50" w:rsidRDefault="007F5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8EEB2" w14:textId="77777777" w:rsidR="00D94090" w:rsidRDefault="00D94090" w:rsidP="009E42B6">
      <w:pPr>
        <w:spacing w:after="0" w:line="240" w:lineRule="auto"/>
      </w:pPr>
      <w:r>
        <w:separator/>
      </w:r>
    </w:p>
  </w:footnote>
  <w:footnote w:type="continuationSeparator" w:id="0">
    <w:p w14:paraId="3C226C03" w14:textId="77777777" w:rsidR="00D94090" w:rsidRDefault="00D94090" w:rsidP="009E4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92092" w14:textId="77777777" w:rsidR="007F5D50" w:rsidRDefault="007F5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3CFE5" w14:textId="56D94719" w:rsidR="007E2906" w:rsidRPr="007E2906" w:rsidRDefault="007E2906" w:rsidP="007E290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2595A" w14:textId="77777777" w:rsidR="007F5D50" w:rsidRDefault="007F5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E7F0C"/>
    <w:multiLevelType w:val="hybridMultilevel"/>
    <w:tmpl w:val="C16612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B5117EE"/>
    <w:multiLevelType w:val="multilevel"/>
    <w:tmpl w:val="68CA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33149"/>
    <w:multiLevelType w:val="multilevel"/>
    <w:tmpl w:val="FC48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876708"/>
    <w:multiLevelType w:val="multilevel"/>
    <w:tmpl w:val="B0BEF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A30787"/>
    <w:multiLevelType w:val="multilevel"/>
    <w:tmpl w:val="CCE27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01EA6"/>
    <w:multiLevelType w:val="multilevel"/>
    <w:tmpl w:val="4656B0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15105F"/>
    <w:multiLevelType w:val="hybridMultilevel"/>
    <w:tmpl w:val="754088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BB402D5"/>
    <w:multiLevelType w:val="multilevel"/>
    <w:tmpl w:val="B270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DE46EF"/>
    <w:multiLevelType w:val="multilevel"/>
    <w:tmpl w:val="F5D4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1768D"/>
    <w:multiLevelType w:val="multilevel"/>
    <w:tmpl w:val="915AC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0B40C3"/>
    <w:multiLevelType w:val="multilevel"/>
    <w:tmpl w:val="67AC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0954CA"/>
    <w:multiLevelType w:val="hybridMultilevel"/>
    <w:tmpl w:val="D65C3C36"/>
    <w:lvl w:ilvl="0" w:tplc="C5B895E4">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704A27C2"/>
    <w:multiLevelType w:val="multilevel"/>
    <w:tmpl w:val="FE0E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516F25"/>
    <w:multiLevelType w:val="hybridMultilevel"/>
    <w:tmpl w:val="56E2B6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209027B"/>
    <w:multiLevelType w:val="multilevel"/>
    <w:tmpl w:val="890A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F77686"/>
    <w:multiLevelType w:val="multilevel"/>
    <w:tmpl w:val="8B7A6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174FCC"/>
    <w:multiLevelType w:val="multilevel"/>
    <w:tmpl w:val="2FE0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6"/>
  </w:num>
  <w:num w:numId="3">
    <w:abstractNumId w:val="13"/>
  </w:num>
  <w:num w:numId="4">
    <w:abstractNumId w:val="11"/>
  </w:num>
  <w:num w:numId="5">
    <w:abstractNumId w:val="7"/>
  </w:num>
  <w:num w:numId="6">
    <w:abstractNumId w:val="6"/>
  </w:num>
  <w:num w:numId="7">
    <w:abstractNumId w:val="2"/>
  </w:num>
  <w:num w:numId="8">
    <w:abstractNumId w:val="4"/>
  </w:num>
  <w:num w:numId="9">
    <w:abstractNumId w:val="10"/>
  </w:num>
  <w:num w:numId="10">
    <w:abstractNumId w:val="0"/>
  </w:num>
  <w:num w:numId="11">
    <w:abstractNumId w:val="15"/>
  </w:num>
  <w:num w:numId="12">
    <w:abstractNumId w:val="14"/>
  </w:num>
  <w:num w:numId="13">
    <w:abstractNumId w:val="8"/>
  </w:num>
  <w:num w:numId="14">
    <w:abstractNumId w:val="9"/>
  </w:num>
  <w:num w:numId="15">
    <w:abstractNumId w:val="5"/>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370"/>
    <w:rsid w:val="000106C2"/>
    <w:rsid w:val="00011D61"/>
    <w:rsid w:val="00074CCB"/>
    <w:rsid w:val="00080950"/>
    <w:rsid w:val="000A31CA"/>
    <w:rsid w:val="000B07D8"/>
    <w:rsid w:val="000D1E49"/>
    <w:rsid w:val="000D708F"/>
    <w:rsid w:val="000F3D02"/>
    <w:rsid w:val="000F445B"/>
    <w:rsid w:val="00114510"/>
    <w:rsid w:val="00114C53"/>
    <w:rsid w:val="00130983"/>
    <w:rsid w:val="0015306D"/>
    <w:rsid w:val="0015315E"/>
    <w:rsid w:val="00156DC2"/>
    <w:rsid w:val="0018480D"/>
    <w:rsid w:val="00185C7C"/>
    <w:rsid w:val="001A48BC"/>
    <w:rsid w:val="00206358"/>
    <w:rsid w:val="00225A1B"/>
    <w:rsid w:val="00262DA4"/>
    <w:rsid w:val="002654E9"/>
    <w:rsid w:val="002919E1"/>
    <w:rsid w:val="002A1882"/>
    <w:rsid w:val="002B6111"/>
    <w:rsid w:val="002B64F6"/>
    <w:rsid w:val="002F3DDA"/>
    <w:rsid w:val="00364D1B"/>
    <w:rsid w:val="003705D1"/>
    <w:rsid w:val="003723D8"/>
    <w:rsid w:val="0037302B"/>
    <w:rsid w:val="003A2A3D"/>
    <w:rsid w:val="003A567A"/>
    <w:rsid w:val="003B0E3C"/>
    <w:rsid w:val="003B1F2B"/>
    <w:rsid w:val="003B66D1"/>
    <w:rsid w:val="003C061D"/>
    <w:rsid w:val="003C096A"/>
    <w:rsid w:val="003C792D"/>
    <w:rsid w:val="003D3256"/>
    <w:rsid w:val="003E12CB"/>
    <w:rsid w:val="003E6C03"/>
    <w:rsid w:val="003E7DE0"/>
    <w:rsid w:val="004018AE"/>
    <w:rsid w:val="00402F7B"/>
    <w:rsid w:val="00442560"/>
    <w:rsid w:val="00447146"/>
    <w:rsid w:val="00467D99"/>
    <w:rsid w:val="004770DF"/>
    <w:rsid w:val="004A079D"/>
    <w:rsid w:val="004A61F0"/>
    <w:rsid w:val="004B51F4"/>
    <w:rsid w:val="004B5D9E"/>
    <w:rsid w:val="004D6F1E"/>
    <w:rsid w:val="005164D5"/>
    <w:rsid w:val="00543206"/>
    <w:rsid w:val="005606D4"/>
    <w:rsid w:val="005713B1"/>
    <w:rsid w:val="00575585"/>
    <w:rsid w:val="005848A3"/>
    <w:rsid w:val="005947AA"/>
    <w:rsid w:val="005976FA"/>
    <w:rsid w:val="005A7F3B"/>
    <w:rsid w:val="005B0BAD"/>
    <w:rsid w:val="005B4CCC"/>
    <w:rsid w:val="005C059D"/>
    <w:rsid w:val="005E35C7"/>
    <w:rsid w:val="005E7E17"/>
    <w:rsid w:val="0064251A"/>
    <w:rsid w:val="00647FF9"/>
    <w:rsid w:val="00664A6F"/>
    <w:rsid w:val="0067279D"/>
    <w:rsid w:val="00674E03"/>
    <w:rsid w:val="00683356"/>
    <w:rsid w:val="006840A6"/>
    <w:rsid w:val="006B2EA6"/>
    <w:rsid w:val="006B5CC3"/>
    <w:rsid w:val="006C5F0B"/>
    <w:rsid w:val="006F4937"/>
    <w:rsid w:val="006F61E9"/>
    <w:rsid w:val="00700ECC"/>
    <w:rsid w:val="00735B11"/>
    <w:rsid w:val="00743ECA"/>
    <w:rsid w:val="00780830"/>
    <w:rsid w:val="00791900"/>
    <w:rsid w:val="007C2159"/>
    <w:rsid w:val="007E2906"/>
    <w:rsid w:val="007F5D50"/>
    <w:rsid w:val="007F7BC5"/>
    <w:rsid w:val="00822389"/>
    <w:rsid w:val="00847D0C"/>
    <w:rsid w:val="008D1669"/>
    <w:rsid w:val="008D5D88"/>
    <w:rsid w:val="008D7097"/>
    <w:rsid w:val="008E3DB5"/>
    <w:rsid w:val="00912370"/>
    <w:rsid w:val="00921591"/>
    <w:rsid w:val="00922306"/>
    <w:rsid w:val="0093658B"/>
    <w:rsid w:val="00956F33"/>
    <w:rsid w:val="009761F4"/>
    <w:rsid w:val="009906BB"/>
    <w:rsid w:val="009A01B6"/>
    <w:rsid w:val="009A24DA"/>
    <w:rsid w:val="009A47E2"/>
    <w:rsid w:val="009C0AE2"/>
    <w:rsid w:val="009C6D4F"/>
    <w:rsid w:val="009C7513"/>
    <w:rsid w:val="009D6AC7"/>
    <w:rsid w:val="009E1935"/>
    <w:rsid w:val="009E42B6"/>
    <w:rsid w:val="009F46A1"/>
    <w:rsid w:val="009F70DA"/>
    <w:rsid w:val="00A01BDA"/>
    <w:rsid w:val="00A13165"/>
    <w:rsid w:val="00A17C98"/>
    <w:rsid w:val="00A2392A"/>
    <w:rsid w:val="00A23F27"/>
    <w:rsid w:val="00A33B55"/>
    <w:rsid w:val="00AA5131"/>
    <w:rsid w:val="00AD3F38"/>
    <w:rsid w:val="00AD6661"/>
    <w:rsid w:val="00AF3508"/>
    <w:rsid w:val="00B620D3"/>
    <w:rsid w:val="00B73CAA"/>
    <w:rsid w:val="00B906EB"/>
    <w:rsid w:val="00B93FD2"/>
    <w:rsid w:val="00BB4C86"/>
    <w:rsid w:val="00BD31C9"/>
    <w:rsid w:val="00BD3D1F"/>
    <w:rsid w:val="00BE1DCC"/>
    <w:rsid w:val="00BE278D"/>
    <w:rsid w:val="00C149E5"/>
    <w:rsid w:val="00C31457"/>
    <w:rsid w:val="00C36532"/>
    <w:rsid w:val="00C42239"/>
    <w:rsid w:val="00C61EBA"/>
    <w:rsid w:val="00C72C2C"/>
    <w:rsid w:val="00CA43BE"/>
    <w:rsid w:val="00CB296E"/>
    <w:rsid w:val="00CB70C9"/>
    <w:rsid w:val="00CD32AE"/>
    <w:rsid w:val="00CF4D5E"/>
    <w:rsid w:val="00D26204"/>
    <w:rsid w:val="00D57708"/>
    <w:rsid w:val="00D60CBD"/>
    <w:rsid w:val="00D75BB3"/>
    <w:rsid w:val="00D94090"/>
    <w:rsid w:val="00E22360"/>
    <w:rsid w:val="00E36867"/>
    <w:rsid w:val="00E4304C"/>
    <w:rsid w:val="00E75C93"/>
    <w:rsid w:val="00E76C67"/>
    <w:rsid w:val="00E83D1D"/>
    <w:rsid w:val="00E855BE"/>
    <w:rsid w:val="00EA39BD"/>
    <w:rsid w:val="00EB19FE"/>
    <w:rsid w:val="00ED29AF"/>
    <w:rsid w:val="00F0035F"/>
    <w:rsid w:val="00F336B2"/>
    <w:rsid w:val="00F504B5"/>
    <w:rsid w:val="00F855AC"/>
    <w:rsid w:val="00FA1A27"/>
    <w:rsid w:val="00FA3122"/>
    <w:rsid w:val="00FC4492"/>
    <w:rsid w:val="00FF3B7D"/>
    <w:rsid w:val="036A77AF"/>
    <w:rsid w:val="061EDEAD"/>
    <w:rsid w:val="15E85909"/>
    <w:rsid w:val="18632C2A"/>
    <w:rsid w:val="2D633113"/>
    <w:rsid w:val="2D94F978"/>
    <w:rsid w:val="424ECABC"/>
    <w:rsid w:val="45772D61"/>
    <w:rsid w:val="532E4AEB"/>
    <w:rsid w:val="5802E659"/>
    <w:rsid w:val="5B734189"/>
    <w:rsid w:val="5C60E79A"/>
    <w:rsid w:val="5FB52D6D"/>
    <w:rsid w:val="65EBCC10"/>
    <w:rsid w:val="67FA06C4"/>
    <w:rsid w:val="6A0F941F"/>
    <w:rsid w:val="6C9876E8"/>
    <w:rsid w:val="71497067"/>
    <w:rsid w:val="7F40B6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DC191"/>
  <w15:chartTrackingRefBased/>
  <w15:docId w15:val="{33BA2E95-A416-4C30-BD2F-01D74DC4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D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74E0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F5D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F5D5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5D5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5D5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5D5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5D5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5D5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51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4CCC"/>
    <w:rPr>
      <w:b/>
      <w:bCs/>
    </w:rPr>
  </w:style>
  <w:style w:type="paragraph" w:customStyle="1" w:styleId="m6491229967511317371p1">
    <w:name w:val="m_6491229967511317371p1"/>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5B4CCC"/>
    <w:rPr>
      <w:color w:val="0000FF"/>
      <w:u w:val="single"/>
    </w:rPr>
  </w:style>
  <w:style w:type="character" w:customStyle="1" w:styleId="m6491229967511317371apple-converted-space">
    <w:name w:val="m_6491229967511317371apple-converted-space"/>
    <w:basedOn w:val="DefaultParagraphFont"/>
    <w:rsid w:val="005B4CCC"/>
  </w:style>
  <w:style w:type="paragraph" w:customStyle="1" w:styleId="m6491229967511317371msoplaintext">
    <w:name w:val="m_6491229967511317371msoplaintext"/>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9E42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2B6"/>
  </w:style>
  <w:style w:type="paragraph" w:styleId="Footer">
    <w:name w:val="footer"/>
    <w:basedOn w:val="Normal"/>
    <w:link w:val="FooterChar"/>
    <w:uiPriority w:val="99"/>
    <w:unhideWhenUsed/>
    <w:rsid w:val="009E42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2B6"/>
  </w:style>
  <w:style w:type="character" w:styleId="UnresolvedMention">
    <w:name w:val="Unresolved Mention"/>
    <w:basedOn w:val="DefaultParagraphFont"/>
    <w:uiPriority w:val="99"/>
    <w:semiHidden/>
    <w:unhideWhenUsed/>
    <w:rsid w:val="00E36867"/>
    <w:rPr>
      <w:color w:val="605E5C"/>
      <w:shd w:val="clear" w:color="auto" w:fill="E1DFDD"/>
    </w:rPr>
  </w:style>
  <w:style w:type="character" w:styleId="FollowedHyperlink">
    <w:name w:val="FollowedHyperlink"/>
    <w:basedOn w:val="DefaultParagraphFont"/>
    <w:uiPriority w:val="99"/>
    <w:semiHidden/>
    <w:unhideWhenUsed/>
    <w:rsid w:val="00E36867"/>
    <w:rPr>
      <w:color w:val="954F72" w:themeColor="followedHyperlink"/>
      <w:u w:val="single"/>
    </w:rPr>
  </w:style>
  <w:style w:type="paragraph" w:styleId="ListParagraph">
    <w:name w:val="List Paragraph"/>
    <w:basedOn w:val="Normal"/>
    <w:uiPriority w:val="34"/>
    <w:qFormat/>
    <w:rsid w:val="00647FF9"/>
    <w:pPr>
      <w:ind w:left="720"/>
      <w:contextualSpacing/>
    </w:pPr>
  </w:style>
  <w:style w:type="character" w:styleId="CommentReference">
    <w:name w:val="annotation reference"/>
    <w:basedOn w:val="DefaultParagraphFont"/>
    <w:uiPriority w:val="99"/>
    <w:semiHidden/>
    <w:unhideWhenUsed/>
    <w:rsid w:val="00B73CAA"/>
    <w:rPr>
      <w:sz w:val="16"/>
      <w:szCs w:val="16"/>
    </w:rPr>
  </w:style>
  <w:style w:type="paragraph" w:styleId="CommentText">
    <w:name w:val="annotation text"/>
    <w:basedOn w:val="Normal"/>
    <w:link w:val="CommentTextChar"/>
    <w:uiPriority w:val="99"/>
    <w:semiHidden/>
    <w:unhideWhenUsed/>
    <w:rsid w:val="00B73CAA"/>
    <w:pPr>
      <w:spacing w:line="240" w:lineRule="auto"/>
    </w:pPr>
    <w:rPr>
      <w:sz w:val="20"/>
      <w:szCs w:val="20"/>
    </w:rPr>
  </w:style>
  <w:style w:type="character" w:customStyle="1" w:styleId="CommentTextChar">
    <w:name w:val="Comment Text Char"/>
    <w:basedOn w:val="DefaultParagraphFont"/>
    <w:link w:val="CommentText"/>
    <w:uiPriority w:val="99"/>
    <w:semiHidden/>
    <w:rsid w:val="00B73CAA"/>
    <w:rPr>
      <w:sz w:val="20"/>
      <w:szCs w:val="20"/>
    </w:rPr>
  </w:style>
  <w:style w:type="paragraph" w:styleId="CommentSubject">
    <w:name w:val="annotation subject"/>
    <w:basedOn w:val="CommentText"/>
    <w:next w:val="CommentText"/>
    <w:link w:val="CommentSubjectChar"/>
    <w:uiPriority w:val="99"/>
    <w:semiHidden/>
    <w:unhideWhenUsed/>
    <w:rsid w:val="00B73CAA"/>
    <w:rPr>
      <w:b/>
      <w:bCs/>
    </w:rPr>
  </w:style>
  <w:style w:type="character" w:customStyle="1" w:styleId="CommentSubjectChar">
    <w:name w:val="Comment Subject Char"/>
    <w:basedOn w:val="CommentTextChar"/>
    <w:link w:val="CommentSubject"/>
    <w:uiPriority w:val="99"/>
    <w:semiHidden/>
    <w:rsid w:val="00B73CAA"/>
    <w:rPr>
      <w:b/>
      <w:bCs/>
      <w:sz w:val="20"/>
      <w:szCs w:val="20"/>
    </w:rPr>
  </w:style>
  <w:style w:type="paragraph" w:styleId="BalloonText">
    <w:name w:val="Balloon Text"/>
    <w:basedOn w:val="Normal"/>
    <w:link w:val="BalloonTextChar"/>
    <w:uiPriority w:val="99"/>
    <w:semiHidden/>
    <w:unhideWhenUsed/>
    <w:rsid w:val="00B73C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CAA"/>
    <w:rPr>
      <w:rFonts w:ascii="Segoe UI" w:hAnsi="Segoe UI" w:cs="Segoe UI"/>
      <w:sz w:val="18"/>
      <w:szCs w:val="18"/>
    </w:rPr>
  </w:style>
  <w:style w:type="character" w:customStyle="1" w:styleId="Heading2Char">
    <w:name w:val="Heading 2 Char"/>
    <w:basedOn w:val="DefaultParagraphFont"/>
    <w:link w:val="Heading2"/>
    <w:uiPriority w:val="9"/>
    <w:semiHidden/>
    <w:rsid w:val="00674E03"/>
    <w:rPr>
      <w:rFonts w:asciiTheme="majorHAnsi" w:eastAsiaTheme="majorEastAsia" w:hAnsiTheme="majorHAnsi" w:cstheme="majorBidi"/>
      <w:color w:val="2F5496" w:themeColor="accent1" w:themeShade="BF"/>
      <w:kern w:val="2"/>
      <w:sz w:val="32"/>
      <w:szCs w:val="32"/>
      <w14:ligatures w14:val="standardContextual"/>
    </w:rPr>
  </w:style>
  <w:style w:type="character" w:styleId="BookTitle">
    <w:name w:val="Book Title"/>
    <w:basedOn w:val="DefaultParagraphFont"/>
    <w:uiPriority w:val="33"/>
    <w:qFormat/>
    <w:rsid w:val="007F5D50"/>
    <w:rPr>
      <w:b/>
      <w:bCs/>
      <w:i/>
      <w:iCs/>
      <w:spacing w:val="5"/>
    </w:rPr>
  </w:style>
  <w:style w:type="paragraph" w:styleId="Caption">
    <w:name w:val="caption"/>
    <w:basedOn w:val="Normal"/>
    <w:next w:val="Normal"/>
    <w:uiPriority w:val="35"/>
    <w:semiHidden/>
    <w:unhideWhenUsed/>
    <w:qFormat/>
    <w:rsid w:val="007F5D50"/>
    <w:pPr>
      <w:spacing w:after="200" w:line="240" w:lineRule="auto"/>
    </w:pPr>
    <w:rPr>
      <w:i/>
      <w:iCs/>
      <w:color w:val="44546A" w:themeColor="text2"/>
      <w:sz w:val="18"/>
      <w:szCs w:val="18"/>
    </w:rPr>
  </w:style>
  <w:style w:type="character" w:styleId="Emphasis">
    <w:name w:val="Emphasis"/>
    <w:basedOn w:val="DefaultParagraphFont"/>
    <w:uiPriority w:val="20"/>
    <w:qFormat/>
    <w:rsid w:val="007F5D50"/>
    <w:rPr>
      <w:i/>
      <w:iCs/>
    </w:rPr>
  </w:style>
  <w:style w:type="character" w:customStyle="1" w:styleId="Heading1Char">
    <w:name w:val="Heading 1 Char"/>
    <w:basedOn w:val="DefaultParagraphFont"/>
    <w:link w:val="Heading1"/>
    <w:uiPriority w:val="9"/>
    <w:rsid w:val="007F5D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5D5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F5D5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F5D5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F5D5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5D5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5D5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5D5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F5D50"/>
    <w:rPr>
      <w:i/>
      <w:iCs/>
      <w:color w:val="4472C4" w:themeColor="accent1"/>
    </w:rPr>
  </w:style>
  <w:style w:type="paragraph" w:styleId="IntenseQuote">
    <w:name w:val="Intense Quote"/>
    <w:basedOn w:val="Normal"/>
    <w:next w:val="Normal"/>
    <w:link w:val="IntenseQuoteChar"/>
    <w:uiPriority w:val="30"/>
    <w:qFormat/>
    <w:rsid w:val="007F5D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D50"/>
    <w:rPr>
      <w:i/>
      <w:iCs/>
      <w:color w:val="4472C4" w:themeColor="accent1"/>
    </w:rPr>
  </w:style>
  <w:style w:type="character" w:styleId="IntenseReference">
    <w:name w:val="Intense Reference"/>
    <w:basedOn w:val="DefaultParagraphFont"/>
    <w:uiPriority w:val="32"/>
    <w:qFormat/>
    <w:rsid w:val="007F5D50"/>
    <w:rPr>
      <w:b/>
      <w:bCs/>
      <w:smallCaps/>
      <w:color w:val="4472C4" w:themeColor="accent1"/>
      <w:spacing w:val="5"/>
    </w:rPr>
  </w:style>
  <w:style w:type="paragraph" w:styleId="NoSpacing">
    <w:name w:val="No Spacing"/>
    <w:uiPriority w:val="1"/>
    <w:qFormat/>
    <w:rsid w:val="007F5D50"/>
    <w:pPr>
      <w:spacing w:after="0" w:line="240" w:lineRule="auto"/>
    </w:pPr>
  </w:style>
  <w:style w:type="paragraph" w:styleId="Quote">
    <w:name w:val="Quote"/>
    <w:basedOn w:val="Normal"/>
    <w:next w:val="Normal"/>
    <w:link w:val="QuoteChar"/>
    <w:uiPriority w:val="29"/>
    <w:qFormat/>
    <w:rsid w:val="007F5D5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F5D50"/>
    <w:rPr>
      <w:i/>
      <w:iCs/>
      <w:color w:val="404040" w:themeColor="text1" w:themeTint="BF"/>
    </w:rPr>
  </w:style>
  <w:style w:type="paragraph" w:styleId="Subtitle">
    <w:name w:val="Subtitle"/>
    <w:basedOn w:val="Normal"/>
    <w:next w:val="Normal"/>
    <w:link w:val="SubtitleChar"/>
    <w:uiPriority w:val="11"/>
    <w:qFormat/>
    <w:rsid w:val="007F5D5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F5D50"/>
    <w:rPr>
      <w:rFonts w:eastAsiaTheme="minorEastAsia"/>
      <w:color w:val="5A5A5A" w:themeColor="text1" w:themeTint="A5"/>
      <w:spacing w:val="15"/>
    </w:rPr>
  </w:style>
  <w:style w:type="character" w:styleId="SubtleEmphasis">
    <w:name w:val="Subtle Emphasis"/>
    <w:basedOn w:val="DefaultParagraphFont"/>
    <w:uiPriority w:val="19"/>
    <w:qFormat/>
    <w:rsid w:val="007F5D50"/>
    <w:rPr>
      <w:i/>
      <w:iCs/>
      <w:color w:val="404040" w:themeColor="text1" w:themeTint="BF"/>
    </w:rPr>
  </w:style>
  <w:style w:type="character" w:styleId="SubtleReference">
    <w:name w:val="Subtle Reference"/>
    <w:basedOn w:val="DefaultParagraphFont"/>
    <w:uiPriority w:val="31"/>
    <w:qFormat/>
    <w:rsid w:val="007F5D50"/>
    <w:rPr>
      <w:smallCaps/>
      <w:color w:val="5A5A5A" w:themeColor="text1" w:themeTint="A5"/>
    </w:rPr>
  </w:style>
  <w:style w:type="paragraph" w:styleId="Title">
    <w:name w:val="Title"/>
    <w:basedOn w:val="Normal"/>
    <w:next w:val="Normal"/>
    <w:link w:val="TitleChar"/>
    <w:uiPriority w:val="10"/>
    <w:qFormat/>
    <w:rsid w:val="007F5D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D5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F5D5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04516">
      <w:bodyDiv w:val="1"/>
      <w:marLeft w:val="0"/>
      <w:marRight w:val="0"/>
      <w:marTop w:val="0"/>
      <w:marBottom w:val="0"/>
      <w:divBdr>
        <w:top w:val="none" w:sz="0" w:space="0" w:color="auto"/>
        <w:left w:val="none" w:sz="0" w:space="0" w:color="auto"/>
        <w:bottom w:val="none" w:sz="0" w:space="0" w:color="auto"/>
        <w:right w:val="none" w:sz="0" w:space="0" w:color="auto"/>
      </w:divBdr>
    </w:div>
    <w:div w:id="196621235">
      <w:bodyDiv w:val="1"/>
      <w:marLeft w:val="0"/>
      <w:marRight w:val="0"/>
      <w:marTop w:val="0"/>
      <w:marBottom w:val="0"/>
      <w:divBdr>
        <w:top w:val="none" w:sz="0" w:space="0" w:color="auto"/>
        <w:left w:val="none" w:sz="0" w:space="0" w:color="auto"/>
        <w:bottom w:val="none" w:sz="0" w:space="0" w:color="auto"/>
        <w:right w:val="none" w:sz="0" w:space="0" w:color="auto"/>
      </w:divBdr>
    </w:div>
    <w:div w:id="302122380">
      <w:bodyDiv w:val="1"/>
      <w:marLeft w:val="0"/>
      <w:marRight w:val="0"/>
      <w:marTop w:val="0"/>
      <w:marBottom w:val="0"/>
      <w:divBdr>
        <w:top w:val="none" w:sz="0" w:space="0" w:color="auto"/>
        <w:left w:val="none" w:sz="0" w:space="0" w:color="auto"/>
        <w:bottom w:val="none" w:sz="0" w:space="0" w:color="auto"/>
        <w:right w:val="none" w:sz="0" w:space="0" w:color="auto"/>
      </w:divBdr>
    </w:div>
    <w:div w:id="376009662">
      <w:bodyDiv w:val="1"/>
      <w:marLeft w:val="0"/>
      <w:marRight w:val="0"/>
      <w:marTop w:val="0"/>
      <w:marBottom w:val="0"/>
      <w:divBdr>
        <w:top w:val="none" w:sz="0" w:space="0" w:color="auto"/>
        <w:left w:val="none" w:sz="0" w:space="0" w:color="auto"/>
        <w:bottom w:val="none" w:sz="0" w:space="0" w:color="auto"/>
        <w:right w:val="none" w:sz="0" w:space="0" w:color="auto"/>
      </w:divBdr>
    </w:div>
    <w:div w:id="496775354">
      <w:bodyDiv w:val="1"/>
      <w:marLeft w:val="0"/>
      <w:marRight w:val="0"/>
      <w:marTop w:val="0"/>
      <w:marBottom w:val="0"/>
      <w:divBdr>
        <w:top w:val="none" w:sz="0" w:space="0" w:color="auto"/>
        <w:left w:val="none" w:sz="0" w:space="0" w:color="auto"/>
        <w:bottom w:val="none" w:sz="0" w:space="0" w:color="auto"/>
        <w:right w:val="none" w:sz="0" w:space="0" w:color="auto"/>
      </w:divBdr>
    </w:div>
    <w:div w:id="505361282">
      <w:bodyDiv w:val="1"/>
      <w:marLeft w:val="0"/>
      <w:marRight w:val="0"/>
      <w:marTop w:val="0"/>
      <w:marBottom w:val="0"/>
      <w:divBdr>
        <w:top w:val="none" w:sz="0" w:space="0" w:color="auto"/>
        <w:left w:val="none" w:sz="0" w:space="0" w:color="auto"/>
        <w:bottom w:val="none" w:sz="0" w:space="0" w:color="auto"/>
        <w:right w:val="none" w:sz="0" w:space="0" w:color="auto"/>
      </w:divBdr>
    </w:div>
    <w:div w:id="528568061">
      <w:bodyDiv w:val="1"/>
      <w:marLeft w:val="0"/>
      <w:marRight w:val="0"/>
      <w:marTop w:val="0"/>
      <w:marBottom w:val="0"/>
      <w:divBdr>
        <w:top w:val="none" w:sz="0" w:space="0" w:color="auto"/>
        <w:left w:val="none" w:sz="0" w:space="0" w:color="auto"/>
        <w:bottom w:val="none" w:sz="0" w:space="0" w:color="auto"/>
        <w:right w:val="none" w:sz="0" w:space="0" w:color="auto"/>
      </w:divBdr>
    </w:div>
    <w:div w:id="760101572">
      <w:bodyDiv w:val="1"/>
      <w:marLeft w:val="0"/>
      <w:marRight w:val="0"/>
      <w:marTop w:val="0"/>
      <w:marBottom w:val="0"/>
      <w:divBdr>
        <w:top w:val="none" w:sz="0" w:space="0" w:color="auto"/>
        <w:left w:val="none" w:sz="0" w:space="0" w:color="auto"/>
        <w:bottom w:val="none" w:sz="0" w:space="0" w:color="auto"/>
        <w:right w:val="none" w:sz="0" w:space="0" w:color="auto"/>
      </w:divBdr>
    </w:div>
    <w:div w:id="818961014">
      <w:bodyDiv w:val="1"/>
      <w:marLeft w:val="0"/>
      <w:marRight w:val="0"/>
      <w:marTop w:val="0"/>
      <w:marBottom w:val="0"/>
      <w:divBdr>
        <w:top w:val="none" w:sz="0" w:space="0" w:color="auto"/>
        <w:left w:val="none" w:sz="0" w:space="0" w:color="auto"/>
        <w:bottom w:val="none" w:sz="0" w:space="0" w:color="auto"/>
        <w:right w:val="none" w:sz="0" w:space="0" w:color="auto"/>
      </w:divBdr>
    </w:div>
    <w:div w:id="992027044">
      <w:bodyDiv w:val="1"/>
      <w:marLeft w:val="0"/>
      <w:marRight w:val="0"/>
      <w:marTop w:val="0"/>
      <w:marBottom w:val="0"/>
      <w:divBdr>
        <w:top w:val="none" w:sz="0" w:space="0" w:color="auto"/>
        <w:left w:val="none" w:sz="0" w:space="0" w:color="auto"/>
        <w:bottom w:val="none" w:sz="0" w:space="0" w:color="auto"/>
        <w:right w:val="none" w:sz="0" w:space="0" w:color="auto"/>
      </w:divBdr>
    </w:div>
    <w:div w:id="1166700383">
      <w:bodyDiv w:val="1"/>
      <w:marLeft w:val="0"/>
      <w:marRight w:val="0"/>
      <w:marTop w:val="0"/>
      <w:marBottom w:val="0"/>
      <w:divBdr>
        <w:top w:val="none" w:sz="0" w:space="0" w:color="auto"/>
        <w:left w:val="none" w:sz="0" w:space="0" w:color="auto"/>
        <w:bottom w:val="none" w:sz="0" w:space="0" w:color="auto"/>
        <w:right w:val="none" w:sz="0" w:space="0" w:color="auto"/>
      </w:divBdr>
    </w:div>
    <w:div w:id="1188718995">
      <w:bodyDiv w:val="1"/>
      <w:marLeft w:val="0"/>
      <w:marRight w:val="0"/>
      <w:marTop w:val="0"/>
      <w:marBottom w:val="0"/>
      <w:divBdr>
        <w:top w:val="none" w:sz="0" w:space="0" w:color="auto"/>
        <w:left w:val="none" w:sz="0" w:space="0" w:color="auto"/>
        <w:bottom w:val="none" w:sz="0" w:space="0" w:color="auto"/>
        <w:right w:val="none" w:sz="0" w:space="0" w:color="auto"/>
      </w:divBdr>
    </w:div>
    <w:div w:id="1341545623">
      <w:bodyDiv w:val="1"/>
      <w:marLeft w:val="0"/>
      <w:marRight w:val="0"/>
      <w:marTop w:val="0"/>
      <w:marBottom w:val="0"/>
      <w:divBdr>
        <w:top w:val="none" w:sz="0" w:space="0" w:color="auto"/>
        <w:left w:val="none" w:sz="0" w:space="0" w:color="auto"/>
        <w:bottom w:val="none" w:sz="0" w:space="0" w:color="auto"/>
        <w:right w:val="none" w:sz="0" w:space="0" w:color="auto"/>
      </w:divBdr>
      <w:divsChild>
        <w:div w:id="1303150283">
          <w:marLeft w:val="0"/>
          <w:marRight w:val="0"/>
          <w:marTop w:val="0"/>
          <w:marBottom w:val="0"/>
          <w:divBdr>
            <w:top w:val="none" w:sz="0" w:space="0" w:color="auto"/>
            <w:left w:val="none" w:sz="0" w:space="0" w:color="auto"/>
            <w:bottom w:val="none" w:sz="0" w:space="0" w:color="auto"/>
            <w:right w:val="none" w:sz="0" w:space="0" w:color="auto"/>
          </w:divBdr>
        </w:div>
      </w:divsChild>
    </w:div>
    <w:div w:id="1438792925">
      <w:bodyDiv w:val="1"/>
      <w:marLeft w:val="0"/>
      <w:marRight w:val="0"/>
      <w:marTop w:val="0"/>
      <w:marBottom w:val="0"/>
      <w:divBdr>
        <w:top w:val="none" w:sz="0" w:space="0" w:color="auto"/>
        <w:left w:val="none" w:sz="0" w:space="0" w:color="auto"/>
        <w:bottom w:val="none" w:sz="0" w:space="0" w:color="auto"/>
        <w:right w:val="none" w:sz="0" w:space="0" w:color="auto"/>
      </w:divBdr>
    </w:div>
    <w:div w:id="1721324234">
      <w:bodyDiv w:val="1"/>
      <w:marLeft w:val="0"/>
      <w:marRight w:val="0"/>
      <w:marTop w:val="0"/>
      <w:marBottom w:val="0"/>
      <w:divBdr>
        <w:top w:val="none" w:sz="0" w:space="0" w:color="auto"/>
        <w:left w:val="none" w:sz="0" w:space="0" w:color="auto"/>
        <w:bottom w:val="none" w:sz="0" w:space="0" w:color="auto"/>
        <w:right w:val="none" w:sz="0" w:space="0" w:color="auto"/>
      </w:divBdr>
    </w:div>
    <w:div w:id="1738286214">
      <w:bodyDiv w:val="1"/>
      <w:marLeft w:val="0"/>
      <w:marRight w:val="0"/>
      <w:marTop w:val="0"/>
      <w:marBottom w:val="0"/>
      <w:divBdr>
        <w:top w:val="none" w:sz="0" w:space="0" w:color="auto"/>
        <w:left w:val="none" w:sz="0" w:space="0" w:color="auto"/>
        <w:bottom w:val="none" w:sz="0" w:space="0" w:color="auto"/>
        <w:right w:val="none" w:sz="0" w:space="0" w:color="auto"/>
      </w:divBdr>
    </w:div>
    <w:div w:id="1746563427">
      <w:bodyDiv w:val="1"/>
      <w:marLeft w:val="0"/>
      <w:marRight w:val="0"/>
      <w:marTop w:val="0"/>
      <w:marBottom w:val="0"/>
      <w:divBdr>
        <w:top w:val="none" w:sz="0" w:space="0" w:color="auto"/>
        <w:left w:val="none" w:sz="0" w:space="0" w:color="auto"/>
        <w:bottom w:val="none" w:sz="0" w:space="0" w:color="auto"/>
        <w:right w:val="none" w:sz="0" w:space="0" w:color="auto"/>
      </w:divBdr>
    </w:div>
    <w:div w:id="176811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7ECE3A00E3AB47A9E5B4B19A06B124" ma:contentTypeVersion="21" ma:contentTypeDescription="Create a new document." ma:contentTypeScope="" ma:versionID="d3d977f7e3eb9036a722caeb60d3ca88">
  <xsd:schema xmlns:xsd="http://www.w3.org/2001/XMLSchema" xmlns:xs="http://www.w3.org/2001/XMLSchema" xmlns:p="http://schemas.microsoft.com/office/2006/metadata/properties" xmlns:ns2="1c20b438-f10d-43e6-aa36-449452c3a1f4" xmlns:ns3="9b4e45ba-112e-4ab8-8f55-4515d8d5c224" targetNamespace="http://schemas.microsoft.com/office/2006/metadata/properties" ma:root="true" ma:fieldsID="610117b5309a4efe93aee8f86c5da45d" ns2:_="" ns3:_="">
    <xsd:import namespace="1c20b438-f10d-43e6-aa36-449452c3a1f4"/>
    <xsd:import namespace="9b4e45ba-112e-4ab8-8f55-4515d8d5c224"/>
    <xsd:element name="properties">
      <xsd:complexType>
        <xsd:sequence>
          <xsd:element name="documentManagement">
            <xsd:complexType>
              <xsd:all>
                <xsd:element ref="ns2:Category" minOccurs="0"/>
                <xsd:element ref="ns2:Title_x002e_" minOccurs="0"/>
                <xsd:element ref="ns2:MediaServiceMetadata" minOccurs="0"/>
                <xsd:element ref="ns2:MediaServiceFastMetadata" minOccurs="0"/>
                <xsd:element ref="ns2:MediaServiceAutoKeyPoints" minOccurs="0"/>
                <xsd:element ref="ns2:MediaServiceKeyPoints" minOccurs="0"/>
                <xsd:element ref="ns2:File_x0020_Statu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0b438-f10d-43e6-aa36-449452c3a1f4"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External Engagements"/>
          <xsd:enumeration value="External Reports"/>
          <xsd:enumeration value="Impact 2030 Support Project"/>
          <xsd:enumeration value="Projects"/>
          <xsd:enumeration value="Science Policy Research Programme"/>
        </xsd:restriction>
      </xsd:simpleType>
    </xsd:element>
    <xsd:element name="Title_x002e_" ma:index="9" nillable="true" ma:displayName="Project Title" ma:format="Dropdown" ma:internalName="Title_x002e_">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File_x0020_Status" ma:index="16" nillable="true" ma:displayName="File Status" ma:format="Dropdown" ma:internalName="File_x0020_Status">
      <xsd:simpleType>
        <xsd:restriction base="dms:Choice">
          <xsd:enumeration value="Final Version"/>
          <xsd:enumeration value="Latest Version"/>
          <xsd:enumeration value="Old Version"/>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4e45ba-112e-4ab8-8f55-4515d8d5c22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bae003c-02fd-47aa-8cc7-1e30e6fa36c5}" ma:internalName="TaxCatchAll" ma:showField="CatchAllData" ma:web="9b4e45ba-112e-4ab8-8f55-4515d8d5c2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20b438-f10d-43e6-aa36-449452c3a1f4">
      <Terms xmlns="http://schemas.microsoft.com/office/infopath/2007/PartnerControls"/>
    </lcf76f155ced4ddcb4097134ff3c332f>
    <File_x0020_Status xmlns="1c20b438-f10d-43e6-aa36-449452c3a1f4" xsi:nil="true"/>
    <Title_x002e_ xmlns="1c20b438-f10d-43e6-aa36-449452c3a1f4" xsi:nil="true"/>
    <Category xmlns="1c20b438-f10d-43e6-aa36-449452c3a1f4" xsi:nil="true"/>
    <TaxCatchAll xmlns="9b4e45ba-112e-4ab8-8f55-4515d8d5c22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DF959-FD19-4DF0-8D44-735AEFF12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0b438-f10d-43e6-aa36-449452c3a1f4"/>
    <ds:schemaRef ds:uri="9b4e45ba-112e-4ab8-8f55-4515d8d5c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3EF85-3689-4236-A723-D01F35415660}">
  <ds:schemaRefs>
    <ds:schemaRef ds:uri="http://schemas.microsoft.com/sharepoint/v3/contenttype/forms"/>
  </ds:schemaRefs>
</ds:datastoreItem>
</file>

<file path=customXml/itemProps3.xml><?xml version="1.0" encoding="utf-8"?>
<ds:datastoreItem xmlns:ds="http://schemas.openxmlformats.org/officeDocument/2006/customXml" ds:itemID="{4D91E424-2881-4BDC-84F3-4324C8F2433D}">
  <ds:schemaRefs>
    <ds:schemaRef ds:uri="http://schemas.microsoft.com/office/2006/metadata/properties"/>
    <ds:schemaRef ds:uri="http://schemas.microsoft.com/office/infopath/2007/PartnerControls"/>
    <ds:schemaRef ds:uri="1c20b438-f10d-43e6-aa36-449452c3a1f4"/>
    <ds:schemaRef ds:uri="9b4e45ba-112e-4ab8-8f55-4515d8d5c224"/>
  </ds:schemaRefs>
</ds:datastoreItem>
</file>

<file path=customXml/itemProps4.xml><?xml version="1.0" encoding="utf-8"?>
<ds:datastoreItem xmlns:ds="http://schemas.openxmlformats.org/officeDocument/2006/customXml" ds:itemID="{285BA9CD-56A8-4943-AF0C-841EC1298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1674</Words>
  <Characters>9543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annph</dc:creator>
  <cp:keywords/>
  <dc:description/>
  <cp:lastModifiedBy>annph</cp:lastModifiedBy>
  <cp:revision>3</cp:revision>
  <dcterms:created xsi:type="dcterms:W3CDTF">2026-10-22T07:53:00Z</dcterms:created>
  <dcterms:modified xsi:type="dcterms:W3CDTF">2026-10-22T07:54:00Z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0x010100F27ECE3A00E3AB47A9E5B4B19A06B124</vt:lpwstr>
  </property>
  <property fmtid="{D5CDD505-2E9C-101B-9397-08002B2CF9AE}" pid="3" name="docLang">
    <vt:lpwstr>en</vt:lpwstr>
  </property>
  <property fmtid="{D5CDD505-2E9C-101B-9397-08002B2CF9AE}" pid="4" name="MediaServiceImageTags">
    <vt:lpwstr/>
  </property>
</Properties>
</file>