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F86FD" w14:textId="77777777" w:rsidR="00200935" w:rsidRDefault="00200935" w:rsidP="00200935">
      <w:pPr>
        <w:keepNext/>
        <w:pageBreakBefore/>
        <w:pBdr>
          <w:bottom w:val="single" w:sz="18" w:space="1" w:color="333399"/>
        </w:pBdr>
        <w:tabs>
          <w:tab w:val="left" w:pos="397"/>
          <w:tab w:val="left" w:pos="907"/>
          <w:tab w:val="left" w:pos="1134"/>
        </w:tabs>
        <w:spacing w:before="320" w:line="276" w:lineRule="auto"/>
        <w:outlineLvl w:val="0"/>
        <w:rPr>
          <w:rFonts w:ascii="Calibri" w:eastAsia="Times New Roman" w:hAnsi="Calibri" w:cs="Times New Roman"/>
          <w:b/>
          <w:bCs/>
          <w:color w:val="333399"/>
          <w:kern w:val="0"/>
          <w:sz w:val="32"/>
          <w:szCs w:val="32"/>
          <w:lang w:val="en-US"/>
          <w14:ligatures w14:val="none"/>
        </w:rPr>
      </w:pPr>
      <w:r w:rsidRPr="00200935">
        <w:rPr>
          <w:rFonts w:ascii="Calibri" w:eastAsia="Times New Roman" w:hAnsi="Calibri" w:cs="Times New Roman"/>
          <w:b/>
          <w:bCs/>
          <w:color w:val="333399"/>
          <w:kern w:val="0"/>
          <w:sz w:val="32"/>
          <w:szCs w:val="32"/>
          <w:lang w:val="en-US"/>
          <w14:ligatures w14:val="none"/>
        </w:rPr>
        <w:t>Appendix 1: Requirements and Specifications</w:t>
      </w:r>
    </w:p>
    <w:p w14:paraId="119C857C" w14:textId="77777777" w:rsidR="00AE1CF8" w:rsidRPr="00200935" w:rsidRDefault="00AE1CF8" w:rsidP="00AE1CF8">
      <w:pPr>
        <w:spacing w:after="120" w:line="276" w:lineRule="auto"/>
        <w:jc w:val="both"/>
        <w:rPr>
          <w:rFonts w:ascii="Calibri" w:eastAsia="Times New Roman" w:hAnsi="Calibri" w:cs="Times New Roman"/>
          <w:b/>
          <w:kern w:val="0"/>
          <w:sz w:val="22"/>
          <w:lang w:val="en-GB"/>
          <w14:ligatures w14:val="none"/>
        </w:rPr>
      </w:pPr>
      <w:r w:rsidRPr="00200935">
        <w:rPr>
          <w:rFonts w:ascii="Calibri" w:eastAsia="Times New Roman" w:hAnsi="Calibri" w:cs="Times New Roman"/>
          <w:b/>
          <w:kern w:val="0"/>
          <w:sz w:val="22"/>
          <w:lang w:val="en-GB"/>
          <w14:ligatures w14:val="none"/>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3CB9AD4E" w14:textId="77777777" w:rsidR="00AE1CF8" w:rsidRPr="00200935" w:rsidRDefault="00AE1CF8" w:rsidP="00AE1CF8">
      <w:pPr>
        <w:spacing w:after="120" w:line="276" w:lineRule="auto"/>
        <w:jc w:val="both"/>
        <w:rPr>
          <w:rFonts w:ascii="Calibri" w:eastAsia="Times New Roman" w:hAnsi="Calibri" w:cs="Times New Roman"/>
          <w:b/>
          <w:kern w:val="0"/>
          <w:sz w:val="22"/>
          <w:lang w:val="en-GB"/>
          <w14:ligatures w14:val="none"/>
        </w:rPr>
      </w:pPr>
      <w:r w:rsidRPr="00200935">
        <w:rPr>
          <w:rFonts w:ascii="Calibri" w:eastAsia="Times New Roman" w:hAnsi="Calibri" w:cs="Times New Roman"/>
          <w:b/>
          <w:kern w:val="0"/>
          <w:sz w:val="22"/>
          <w:lang w:val="en-GB"/>
          <w14:ligatures w14:val="none"/>
        </w:rPr>
        <w:t xml:space="preserve">The below is a list of Services that represent the Mandatory Requirements. Tenderers must be able to demonstrate that they can provide these services </w:t>
      </w:r>
      <w:proofErr w:type="gramStart"/>
      <w:r w:rsidRPr="00200935">
        <w:rPr>
          <w:rFonts w:ascii="Calibri" w:eastAsia="Times New Roman" w:hAnsi="Calibri" w:cs="Times New Roman"/>
          <w:b/>
          <w:kern w:val="0"/>
          <w:sz w:val="22"/>
          <w:lang w:val="en-GB"/>
          <w14:ligatures w14:val="none"/>
        </w:rPr>
        <w:t>in order to</w:t>
      </w:r>
      <w:proofErr w:type="gramEnd"/>
      <w:r w:rsidRPr="00200935">
        <w:rPr>
          <w:rFonts w:ascii="Calibri" w:eastAsia="Times New Roman" w:hAnsi="Calibri" w:cs="Times New Roman"/>
          <w:b/>
          <w:kern w:val="0"/>
          <w:sz w:val="22"/>
          <w:lang w:val="en-GB"/>
          <w14:ligatures w14:val="none"/>
        </w:rPr>
        <w:t xml:space="preserve"> proceed to evaluation. Failure to meet the Mandatory Requirements will lead to the elimination of the Tender.</w:t>
      </w:r>
    </w:p>
    <w:p w14:paraId="3A3A5936" w14:textId="77777777" w:rsidR="00AE1CF8" w:rsidRPr="00200935" w:rsidRDefault="00AE1CF8" w:rsidP="00AE1CF8">
      <w:pPr>
        <w:spacing w:after="120" w:line="276" w:lineRule="auto"/>
        <w:jc w:val="both"/>
        <w:rPr>
          <w:rFonts w:ascii="Calibri" w:eastAsia="Times New Roman" w:hAnsi="Calibri" w:cs="Times New Roman"/>
          <w:b/>
          <w:kern w:val="0"/>
          <w:sz w:val="22"/>
          <w:lang w:val="en-GB"/>
          <w14:ligatures w14:val="none"/>
        </w:rPr>
      </w:pPr>
    </w:p>
    <w:tbl>
      <w:tblPr>
        <w:tblStyle w:val="TableGrid"/>
        <w:tblW w:w="5000" w:type="pct"/>
        <w:tblLook w:val="04A0" w:firstRow="1" w:lastRow="0" w:firstColumn="1" w:lastColumn="0" w:noHBand="0" w:noVBand="1"/>
      </w:tblPr>
      <w:tblGrid>
        <w:gridCol w:w="1474"/>
        <w:gridCol w:w="1535"/>
        <w:gridCol w:w="2989"/>
        <w:gridCol w:w="1274"/>
        <w:gridCol w:w="1789"/>
      </w:tblGrid>
      <w:tr w:rsidR="00AE1CF8" w:rsidRPr="00200935" w14:paraId="3CB47319" w14:textId="77777777" w:rsidTr="00F70450">
        <w:trPr>
          <w:cantSplit/>
          <w:trHeight w:val="290"/>
          <w:tblHeader/>
        </w:trPr>
        <w:tc>
          <w:tcPr>
            <w:tcW w:w="853" w:type="pct"/>
            <w:noWrap/>
            <w:hideMark/>
          </w:tcPr>
          <w:p w14:paraId="6B7D3838" w14:textId="77777777" w:rsidR="00AE1CF8" w:rsidRPr="00200935" w:rsidRDefault="00AE1CF8" w:rsidP="00F70450">
            <w:pPr>
              <w:spacing w:after="120" w:line="276" w:lineRule="auto"/>
              <w:jc w:val="both"/>
              <w:rPr>
                <w:rFonts w:ascii="Calibri" w:hAnsi="Calibri"/>
                <w:b/>
                <w:bCs/>
                <w:sz w:val="22"/>
                <w:szCs w:val="24"/>
                <w:lang w:eastAsia="en-US"/>
              </w:rPr>
            </w:pPr>
            <w:r w:rsidRPr="00200935">
              <w:rPr>
                <w:rFonts w:ascii="Calibri" w:hAnsi="Calibri"/>
                <w:b/>
                <w:bCs/>
                <w:sz w:val="22"/>
                <w:szCs w:val="24"/>
                <w:lang w:val="en-GB" w:eastAsia="en-US"/>
              </w:rPr>
              <w:t>ID</w:t>
            </w:r>
          </w:p>
        </w:tc>
        <w:tc>
          <w:tcPr>
            <w:tcW w:w="781" w:type="pct"/>
            <w:hideMark/>
          </w:tcPr>
          <w:p w14:paraId="3DE2A0C0"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Category</w:t>
            </w:r>
          </w:p>
        </w:tc>
        <w:tc>
          <w:tcPr>
            <w:tcW w:w="1689" w:type="pct"/>
            <w:hideMark/>
          </w:tcPr>
          <w:p w14:paraId="3A3DA883"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Mandatory requirement</w:t>
            </w:r>
          </w:p>
        </w:tc>
        <w:tc>
          <w:tcPr>
            <w:tcW w:w="650" w:type="pct"/>
            <w:hideMark/>
          </w:tcPr>
          <w:p w14:paraId="6A767D5B"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Yes/No Declaration</w:t>
            </w:r>
          </w:p>
        </w:tc>
        <w:tc>
          <w:tcPr>
            <w:tcW w:w="1028" w:type="pct"/>
          </w:tcPr>
          <w:p w14:paraId="5EB40F1B"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 xml:space="preserve">Tenderer evidence or link to relevant examples </w:t>
            </w:r>
          </w:p>
        </w:tc>
      </w:tr>
      <w:tr w:rsidR="00AE1CF8" w:rsidRPr="00200935" w14:paraId="2D83FADB" w14:textId="77777777" w:rsidTr="00F70450">
        <w:trPr>
          <w:cantSplit/>
          <w:trHeight w:val="870"/>
        </w:trPr>
        <w:tc>
          <w:tcPr>
            <w:tcW w:w="853" w:type="pct"/>
            <w:noWrap/>
            <w:hideMark/>
          </w:tcPr>
          <w:p w14:paraId="71B05C52"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MR01</w:t>
            </w:r>
          </w:p>
        </w:tc>
        <w:tc>
          <w:tcPr>
            <w:tcW w:w="781" w:type="pct"/>
            <w:hideMark/>
          </w:tcPr>
          <w:p w14:paraId="15D2B89E"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Minimum Sources to be Monitored</w:t>
            </w:r>
          </w:p>
        </w:tc>
        <w:tc>
          <w:tcPr>
            <w:tcW w:w="1689" w:type="pct"/>
            <w:hideMark/>
          </w:tcPr>
          <w:p w14:paraId="50013E91"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Online portal (see 2) </w:t>
            </w:r>
          </w:p>
          <w:p w14:paraId="5ACA313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Online archive (see 3) </w:t>
            </w:r>
          </w:p>
          <w:p w14:paraId="19CF0471"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Portal search and filter functions (see 4) </w:t>
            </w:r>
          </w:p>
          <w:p w14:paraId="35EA2763"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Daily alerts (see 5) </w:t>
            </w:r>
          </w:p>
          <w:p w14:paraId="72F5CD9D"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Alerts summary (see 6) </w:t>
            </w:r>
          </w:p>
          <w:p w14:paraId="5ADDF945"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Basic reports (see 7) </w:t>
            </w:r>
          </w:p>
          <w:p w14:paraId="10B0A203"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Additional reports (see 8) </w:t>
            </w:r>
          </w:p>
          <w:p w14:paraId="63440DAD"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Human evaluation services (see 9) </w:t>
            </w:r>
          </w:p>
          <w:p w14:paraId="44CD95B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Media books/press packs (see 10) </w:t>
            </w:r>
          </w:p>
          <w:p w14:paraId="1DF56E9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Broadcast streaming or download (see 11) </w:t>
            </w:r>
          </w:p>
          <w:p w14:paraId="6BA059EA"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Human alert sense checking (see 12) </w:t>
            </w:r>
          </w:p>
          <w:p w14:paraId="01A655A8"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E-Clippings service (see 13) </w:t>
            </w:r>
          </w:p>
          <w:p w14:paraId="6530B405"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Customer Service (see 14)</w:t>
            </w:r>
          </w:p>
        </w:tc>
        <w:tc>
          <w:tcPr>
            <w:tcW w:w="650" w:type="pct"/>
            <w:hideMark/>
          </w:tcPr>
          <w:p w14:paraId="1877012E"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28750D17"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3A040782" w14:textId="77777777" w:rsidTr="00F70450">
        <w:trPr>
          <w:cantSplit/>
          <w:trHeight w:val="870"/>
        </w:trPr>
        <w:tc>
          <w:tcPr>
            <w:tcW w:w="853" w:type="pct"/>
            <w:noWrap/>
          </w:tcPr>
          <w:p w14:paraId="3B3B72AF"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MR02</w:t>
            </w:r>
          </w:p>
        </w:tc>
        <w:tc>
          <w:tcPr>
            <w:tcW w:w="781" w:type="pct"/>
          </w:tcPr>
          <w:p w14:paraId="72AB7638"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Online portal</w:t>
            </w:r>
          </w:p>
        </w:tc>
        <w:tc>
          <w:tcPr>
            <w:tcW w:w="1689" w:type="pct"/>
          </w:tcPr>
          <w:p w14:paraId="36E32999"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a) The Tenderer shall host a dedicated online portal for the storage, management and, if required, evaluation of all media monitoring content. </w:t>
            </w:r>
          </w:p>
          <w:p w14:paraId="43BF91BF"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b) The portal shall be secure with access controlled by password. </w:t>
            </w:r>
          </w:p>
          <w:p w14:paraId="27472AF3"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c) The portal will also be accessible on the Contracting Authority’s Intranet.</w:t>
            </w:r>
          </w:p>
        </w:tc>
        <w:tc>
          <w:tcPr>
            <w:tcW w:w="650" w:type="pct"/>
          </w:tcPr>
          <w:p w14:paraId="70476898"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7E847185"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71C34009" w14:textId="77777777" w:rsidTr="00F70450">
        <w:trPr>
          <w:cantSplit/>
          <w:trHeight w:val="870"/>
        </w:trPr>
        <w:tc>
          <w:tcPr>
            <w:tcW w:w="853" w:type="pct"/>
            <w:noWrap/>
          </w:tcPr>
          <w:p w14:paraId="47A0DA5F"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MR03</w:t>
            </w:r>
          </w:p>
        </w:tc>
        <w:tc>
          <w:tcPr>
            <w:tcW w:w="781" w:type="pct"/>
            <w:hideMark/>
          </w:tcPr>
          <w:p w14:paraId="00E647AE"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Archive</w:t>
            </w:r>
          </w:p>
        </w:tc>
        <w:tc>
          <w:tcPr>
            <w:tcW w:w="1689" w:type="pct"/>
            <w:hideMark/>
          </w:tcPr>
          <w:p w14:paraId="1D589789"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Coverage uploaded to the portal shall be archived for the entire length of the Services Contract, subject to copyright restrictions on certain articles. Electronic archiving system shall hold the items on the archiving system for 28 days, as permitted for Newspaper Licensing Authority (NLA) covered content and for the lifetime of the Services Contract as permitted for Newspaper Licensing Ireland (NLI) covered content.</w:t>
            </w:r>
          </w:p>
        </w:tc>
        <w:tc>
          <w:tcPr>
            <w:tcW w:w="650" w:type="pct"/>
            <w:hideMark/>
          </w:tcPr>
          <w:p w14:paraId="6ABA1485"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7FB22F08"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534431A6" w14:textId="77777777" w:rsidTr="00F70450">
        <w:trPr>
          <w:cantSplit/>
          <w:trHeight w:val="870"/>
        </w:trPr>
        <w:tc>
          <w:tcPr>
            <w:tcW w:w="853" w:type="pct"/>
            <w:noWrap/>
          </w:tcPr>
          <w:p w14:paraId="6A7C9C77"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MR04</w:t>
            </w:r>
          </w:p>
        </w:tc>
        <w:tc>
          <w:tcPr>
            <w:tcW w:w="781" w:type="pct"/>
            <w:hideMark/>
          </w:tcPr>
          <w:p w14:paraId="498B8388"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Portal search &amp; filter function</w:t>
            </w:r>
          </w:p>
        </w:tc>
        <w:tc>
          <w:tcPr>
            <w:tcW w:w="1689" w:type="pct"/>
            <w:hideMark/>
          </w:tcPr>
          <w:p w14:paraId="0841CD61"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Content uploaded to the portal shall be searchable and filterable and because data is hosted online, the Contracting Authority shall be able to access their portal from any internet-enabled device. The search tools shall include but will not be limited to searching/filtering by keyword, author, date and publication.</w:t>
            </w:r>
          </w:p>
        </w:tc>
        <w:tc>
          <w:tcPr>
            <w:tcW w:w="650" w:type="pct"/>
            <w:hideMark/>
          </w:tcPr>
          <w:p w14:paraId="5F70B4F7"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01DB4073"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63858950" w14:textId="77777777" w:rsidTr="00F70450">
        <w:trPr>
          <w:cantSplit/>
          <w:trHeight w:val="870"/>
        </w:trPr>
        <w:tc>
          <w:tcPr>
            <w:tcW w:w="853" w:type="pct"/>
            <w:noWrap/>
          </w:tcPr>
          <w:p w14:paraId="7A319E25"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MR05</w:t>
            </w:r>
          </w:p>
        </w:tc>
        <w:tc>
          <w:tcPr>
            <w:tcW w:w="781" w:type="pct"/>
            <w:hideMark/>
          </w:tcPr>
          <w:p w14:paraId="5C8CF769"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Daily alerts</w:t>
            </w:r>
          </w:p>
        </w:tc>
        <w:tc>
          <w:tcPr>
            <w:tcW w:w="1689" w:type="pct"/>
            <w:hideMark/>
          </w:tcPr>
          <w:p w14:paraId="26FC6EA8"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a) The Tenderer shall search, find and collate media content that includes the keywords specified by the Contracting Authority. </w:t>
            </w:r>
          </w:p>
          <w:p w14:paraId="3D2DF202"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b) Articles containing the specified keywords must be relevant to the Contracting Authority’s requirements. For example, if the Contracting Authority has specified that they would like all references to ESB, excluding the mention of the Empire Strikes Back to be monitored, the Contracting Authority should not receive alerts that mention the Empire Strikes Back. </w:t>
            </w:r>
          </w:p>
          <w:p w14:paraId="26A9FB70"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c) Tenderers shall not charge the Contracting Authority for articles which are not relevant. </w:t>
            </w:r>
          </w:p>
          <w:p w14:paraId="621FC0D1"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d) Article alerts shall be delivered to the Contracting Authority electronically by email, via online portal and, if available, via App by the following times:</w:t>
            </w:r>
          </w:p>
          <w:p w14:paraId="7734F68D"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Source Alert Time</w:t>
            </w:r>
          </w:p>
          <w:p w14:paraId="45E37D41"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Print – National papers </w:t>
            </w:r>
            <w:r w:rsidRPr="003A4721">
              <w:rPr>
                <w:rFonts w:ascii="Calibri" w:hAnsi="Calibri"/>
                <w:bCs/>
                <w:sz w:val="22"/>
                <w:szCs w:val="24"/>
                <w:lang w:val="en-GB" w:eastAsia="en-US"/>
              </w:rPr>
              <w:tab/>
            </w:r>
          </w:p>
          <w:p w14:paraId="4348EE2C"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7.30am Monday-Friday </w:t>
            </w:r>
          </w:p>
          <w:p w14:paraId="5FE5D35E"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Print – Weekend papers </w:t>
            </w:r>
            <w:r w:rsidRPr="003A4721">
              <w:rPr>
                <w:rFonts w:ascii="Calibri" w:hAnsi="Calibri"/>
                <w:bCs/>
                <w:sz w:val="22"/>
                <w:szCs w:val="24"/>
                <w:lang w:val="en-GB" w:eastAsia="en-US"/>
              </w:rPr>
              <w:tab/>
            </w:r>
          </w:p>
          <w:p w14:paraId="0EEA9EA2"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8am Saturday &amp; Sunday </w:t>
            </w:r>
          </w:p>
          <w:p w14:paraId="59D46C64"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Broadcast</w:t>
            </w:r>
          </w:p>
          <w:p w14:paraId="454F135E"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Within one hour of keyword being identified in broadcast </w:t>
            </w:r>
          </w:p>
          <w:p w14:paraId="05A6CB3A"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Online</w:t>
            </w:r>
          </w:p>
          <w:p w14:paraId="6ACF2DE2"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Real time</w:t>
            </w:r>
          </w:p>
        </w:tc>
        <w:tc>
          <w:tcPr>
            <w:tcW w:w="650" w:type="pct"/>
            <w:hideMark/>
          </w:tcPr>
          <w:p w14:paraId="292031B0"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531EE6B5"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100A5DA6" w14:textId="77777777" w:rsidTr="00F70450">
        <w:trPr>
          <w:cantSplit/>
          <w:trHeight w:val="840"/>
        </w:trPr>
        <w:tc>
          <w:tcPr>
            <w:tcW w:w="853" w:type="pct"/>
            <w:noWrap/>
          </w:tcPr>
          <w:p w14:paraId="14F1C0EB"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MR06</w:t>
            </w:r>
          </w:p>
        </w:tc>
        <w:tc>
          <w:tcPr>
            <w:tcW w:w="781" w:type="pct"/>
            <w:hideMark/>
          </w:tcPr>
          <w:p w14:paraId="1982BEB5"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Alert summary</w:t>
            </w:r>
          </w:p>
        </w:tc>
        <w:tc>
          <w:tcPr>
            <w:tcW w:w="1689" w:type="pct"/>
            <w:hideMark/>
          </w:tcPr>
          <w:p w14:paraId="47DAD63B"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The Contracting Authority shall be provided with a summary of each item. As a minimum, the summary shall include but is not limited to:</w:t>
            </w:r>
          </w:p>
          <w:p w14:paraId="31598348"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Source Summary</w:t>
            </w:r>
          </w:p>
          <w:p w14:paraId="520E1F92"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Press </w:t>
            </w:r>
          </w:p>
          <w:p w14:paraId="02DE09A5"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 The title of the publication that the press monitoring appeared </w:t>
            </w:r>
            <w:proofErr w:type="gramStart"/>
            <w:r w:rsidRPr="003A4721">
              <w:rPr>
                <w:rFonts w:ascii="Calibri" w:hAnsi="Calibri"/>
                <w:bCs/>
                <w:sz w:val="22"/>
                <w:szCs w:val="24"/>
                <w:lang w:val="en-GB" w:eastAsia="en-US"/>
              </w:rPr>
              <w:t>in;</w:t>
            </w:r>
            <w:proofErr w:type="gramEnd"/>
            <w:r w:rsidRPr="003A4721">
              <w:rPr>
                <w:rFonts w:ascii="Calibri" w:hAnsi="Calibri"/>
                <w:bCs/>
                <w:sz w:val="22"/>
                <w:szCs w:val="24"/>
                <w:lang w:val="en-GB" w:eastAsia="en-US"/>
              </w:rPr>
              <w:t xml:space="preserve"> </w:t>
            </w:r>
          </w:p>
          <w:p w14:paraId="1B24BE1C"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 The page number of the publication that the item appeared </w:t>
            </w:r>
            <w:proofErr w:type="gramStart"/>
            <w:r w:rsidRPr="003A4721">
              <w:rPr>
                <w:rFonts w:ascii="Calibri" w:hAnsi="Calibri"/>
                <w:bCs/>
                <w:sz w:val="22"/>
                <w:szCs w:val="24"/>
                <w:lang w:val="en-GB" w:eastAsia="en-US"/>
              </w:rPr>
              <w:t>in;</w:t>
            </w:r>
            <w:proofErr w:type="gramEnd"/>
            <w:r w:rsidRPr="003A4721">
              <w:rPr>
                <w:rFonts w:ascii="Calibri" w:hAnsi="Calibri"/>
                <w:bCs/>
                <w:sz w:val="22"/>
                <w:szCs w:val="24"/>
                <w:lang w:val="en-GB" w:eastAsia="en-US"/>
              </w:rPr>
              <w:t xml:space="preserve"> </w:t>
            </w:r>
          </w:p>
          <w:p w14:paraId="6B9DF05E"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 The name of the item’s author; and </w:t>
            </w:r>
          </w:p>
          <w:p w14:paraId="251B3FD5"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 An automated first paragraph or a keyword wraparound summary </w:t>
            </w:r>
          </w:p>
          <w:p w14:paraId="216CA79F"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Broadcast </w:t>
            </w:r>
            <w:r w:rsidRPr="003A4721">
              <w:rPr>
                <w:rFonts w:ascii="Calibri" w:hAnsi="Calibri"/>
                <w:bCs/>
                <w:sz w:val="22"/>
                <w:szCs w:val="24"/>
                <w:lang w:val="en-GB" w:eastAsia="en-US"/>
              </w:rPr>
              <w:tab/>
            </w:r>
          </w:p>
          <w:p w14:paraId="60673F0C"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  The title of the article </w:t>
            </w:r>
            <w:proofErr w:type="gramStart"/>
            <w:r w:rsidRPr="003A4721">
              <w:rPr>
                <w:rFonts w:ascii="Calibri" w:hAnsi="Calibri"/>
                <w:bCs/>
                <w:sz w:val="22"/>
                <w:szCs w:val="24"/>
                <w:lang w:val="en-GB" w:eastAsia="en-US"/>
              </w:rPr>
              <w:t>broadcast;</w:t>
            </w:r>
            <w:proofErr w:type="gramEnd"/>
            <w:r w:rsidRPr="003A4721">
              <w:rPr>
                <w:rFonts w:ascii="Calibri" w:hAnsi="Calibri"/>
                <w:bCs/>
                <w:sz w:val="22"/>
                <w:szCs w:val="24"/>
                <w:lang w:val="en-GB" w:eastAsia="en-US"/>
              </w:rPr>
              <w:t xml:space="preserve"> </w:t>
            </w:r>
          </w:p>
          <w:p w14:paraId="73EAA9B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The source of the broadcast (for example RTE1, TV3</w:t>
            </w:r>
            <w:proofErr w:type="gramStart"/>
            <w:r w:rsidRPr="003A4721">
              <w:rPr>
                <w:rFonts w:ascii="Calibri" w:hAnsi="Calibri"/>
                <w:bCs/>
                <w:sz w:val="22"/>
                <w:szCs w:val="24"/>
                <w:lang w:val="en-GB" w:eastAsia="en-US"/>
              </w:rPr>
              <w:t>);</w:t>
            </w:r>
            <w:proofErr w:type="gramEnd"/>
            <w:r w:rsidRPr="003A4721">
              <w:rPr>
                <w:rFonts w:ascii="Calibri" w:hAnsi="Calibri"/>
                <w:bCs/>
                <w:sz w:val="22"/>
                <w:szCs w:val="24"/>
                <w:lang w:val="en-GB" w:eastAsia="en-US"/>
              </w:rPr>
              <w:t xml:space="preserve"> </w:t>
            </w:r>
          </w:p>
          <w:p w14:paraId="0C7DC313"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A downloadable clip of the broadcast; and</w:t>
            </w:r>
          </w:p>
          <w:p w14:paraId="4FB1717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A brief synopsis of the broadcast</w:t>
            </w:r>
          </w:p>
          <w:p w14:paraId="655AB998"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Online</w:t>
            </w:r>
          </w:p>
          <w:p w14:paraId="648EF47A"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The title of the article that the online item appeared </w:t>
            </w:r>
            <w:proofErr w:type="gramStart"/>
            <w:r w:rsidRPr="003A4721">
              <w:rPr>
                <w:rFonts w:ascii="Calibri" w:hAnsi="Calibri"/>
                <w:bCs/>
                <w:sz w:val="22"/>
                <w:szCs w:val="24"/>
                <w:lang w:val="en-GB" w:eastAsia="en-US"/>
              </w:rPr>
              <w:t>in;</w:t>
            </w:r>
            <w:proofErr w:type="gramEnd"/>
          </w:p>
          <w:p w14:paraId="5B45DA9D"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 The website that the online item appeared </w:t>
            </w:r>
            <w:proofErr w:type="gramStart"/>
            <w:r w:rsidRPr="003A4721">
              <w:rPr>
                <w:rFonts w:ascii="Calibri" w:hAnsi="Calibri"/>
                <w:bCs/>
                <w:sz w:val="22"/>
                <w:szCs w:val="24"/>
                <w:lang w:val="en-GB" w:eastAsia="en-US"/>
              </w:rPr>
              <w:t>in;</w:t>
            </w:r>
            <w:proofErr w:type="gramEnd"/>
          </w:p>
          <w:p w14:paraId="21E0A143"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 A link to the online </w:t>
            </w:r>
            <w:proofErr w:type="gramStart"/>
            <w:r w:rsidRPr="003A4721">
              <w:rPr>
                <w:rFonts w:ascii="Calibri" w:hAnsi="Calibri"/>
                <w:bCs/>
                <w:sz w:val="22"/>
                <w:szCs w:val="24"/>
                <w:lang w:val="en-GB" w:eastAsia="en-US"/>
              </w:rPr>
              <w:t>item;</w:t>
            </w:r>
            <w:proofErr w:type="gramEnd"/>
          </w:p>
          <w:p w14:paraId="4197543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The name of the online item’s author where available; and</w:t>
            </w:r>
          </w:p>
          <w:p w14:paraId="6586A9C1"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An automated first paragraph or a keyword wraparound summary</w:t>
            </w:r>
          </w:p>
          <w:p w14:paraId="7A2B40E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The Contracting Authority shall receive the summary of each item at the same time as the alert monitoring is received.</w:t>
            </w:r>
          </w:p>
        </w:tc>
        <w:tc>
          <w:tcPr>
            <w:tcW w:w="650" w:type="pct"/>
            <w:hideMark/>
          </w:tcPr>
          <w:p w14:paraId="6865DE6B"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27129C7E"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2FCFE21C" w14:textId="77777777" w:rsidTr="00F70450">
        <w:trPr>
          <w:cantSplit/>
          <w:trHeight w:val="900"/>
        </w:trPr>
        <w:tc>
          <w:tcPr>
            <w:tcW w:w="853" w:type="pct"/>
            <w:noWrap/>
          </w:tcPr>
          <w:p w14:paraId="78B774E7"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MR07</w:t>
            </w:r>
          </w:p>
        </w:tc>
        <w:tc>
          <w:tcPr>
            <w:tcW w:w="781" w:type="pct"/>
            <w:hideMark/>
          </w:tcPr>
          <w:p w14:paraId="310CCCB0"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Basic reports</w:t>
            </w:r>
          </w:p>
        </w:tc>
        <w:tc>
          <w:tcPr>
            <w:tcW w:w="1689" w:type="pct"/>
            <w:hideMark/>
          </w:tcPr>
          <w:p w14:paraId="53153EB3"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There shall be an exportable report functionality including but not limited to reporting by keyword, source, date and publication. Reports should include links to archived content, where available. Two detailed analytic reports per annum should be included, that enable the Department to measure the effectiveness of its communications in terms of republishing and reporting in the media, with option for more. These reports should present data on top-performing topic lines from the agreed list, covering sentiment, reach, quality and influence</w:t>
            </w:r>
          </w:p>
        </w:tc>
        <w:tc>
          <w:tcPr>
            <w:tcW w:w="650" w:type="pct"/>
            <w:hideMark/>
          </w:tcPr>
          <w:p w14:paraId="71132CCB"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07AA6ACD"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14E71C93" w14:textId="77777777" w:rsidTr="00F70450">
        <w:trPr>
          <w:cantSplit/>
          <w:trHeight w:val="900"/>
        </w:trPr>
        <w:tc>
          <w:tcPr>
            <w:tcW w:w="853" w:type="pct"/>
            <w:noWrap/>
          </w:tcPr>
          <w:p w14:paraId="55222962"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MR08</w:t>
            </w:r>
          </w:p>
        </w:tc>
        <w:tc>
          <w:tcPr>
            <w:tcW w:w="781" w:type="pct"/>
            <w:hideMark/>
          </w:tcPr>
          <w:p w14:paraId="1A9A6CF2"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Additional reports</w:t>
            </w:r>
          </w:p>
        </w:tc>
        <w:tc>
          <w:tcPr>
            <w:tcW w:w="1689" w:type="pct"/>
            <w:hideMark/>
          </w:tcPr>
          <w:p w14:paraId="3152394F"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On request, Tenderers shall provide additional reports to the Contracting Authority. Tenderers are asked to outline a sample of additional reports they could provide on request. Any additional reports provided will be at an additional cost to the Contracting Authority as per hourly and daily rates submitted by Tenderer.</w:t>
            </w:r>
          </w:p>
        </w:tc>
        <w:tc>
          <w:tcPr>
            <w:tcW w:w="650" w:type="pct"/>
            <w:hideMark/>
          </w:tcPr>
          <w:p w14:paraId="3A6D6AC9"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12A667C1"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25FA6C8E" w14:textId="77777777" w:rsidTr="00F70450">
        <w:trPr>
          <w:cantSplit/>
          <w:trHeight w:val="880"/>
        </w:trPr>
        <w:tc>
          <w:tcPr>
            <w:tcW w:w="853" w:type="pct"/>
            <w:noWrap/>
          </w:tcPr>
          <w:p w14:paraId="013FF57E"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MR09</w:t>
            </w:r>
          </w:p>
        </w:tc>
        <w:tc>
          <w:tcPr>
            <w:tcW w:w="781" w:type="pct"/>
            <w:hideMark/>
          </w:tcPr>
          <w:p w14:paraId="0DB99E32"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Human evaluation</w:t>
            </w:r>
          </w:p>
        </w:tc>
        <w:tc>
          <w:tcPr>
            <w:tcW w:w="1689" w:type="pct"/>
            <w:hideMark/>
          </w:tcPr>
          <w:p w14:paraId="24F6993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Human driven evaluation of the monitored media shall be provided, including quantitative and qualitative analysis. This analysis may include the following </w:t>
            </w:r>
            <w:proofErr w:type="gramStart"/>
            <w:r w:rsidRPr="003A4721">
              <w:rPr>
                <w:rFonts w:ascii="Calibri" w:hAnsi="Calibri"/>
                <w:bCs/>
                <w:sz w:val="22"/>
                <w:szCs w:val="24"/>
                <w:lang w:val="en-GB" w:eastAsia="en-US"/>
              </w:rPr>
              <w:t>metrics;</w:t>
            </w:r>
            <w:proofErr w:type="gramEnd"/>
            <w:r w:rsidRPr="003A4721">
              <w:rPr>
                <w:rFonts w:ascii="Calibri" w:hAnsi="Calibri"/>
                <w:bCs/>
                <w:sz w:val="22"/>
                <w:szCs w:val="24"/>
                <w:lang w:val="en-GB" w:eastAsia="en-US"/>
              </w:rPr>
              <w:t xml:space="preserve"> </w:t>
            </w:r>
          </w:p>
          <w:p w14:paraId="2360A90A"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a) Amount of coverage (number of items) </w:t>
            </w:r>
          </w:p>
          <w:p w14:paraId="4E419C7E"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b) Reach </w:t>
            </w:r>
          </w:p>
          <w:p w14:paraId="461D644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c) Key message penetration </w:t>
            </w:r>
          </w:p>
          <w:p w14:paraId="709CD97F"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d) Sentiment analysis/favourability of coverage (positive, factual, negative) </w:t>
            </w:r>
          </w:p>
          <w:p w14:paraId="4C50D7F2"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e) Coverage/favourability by key issue</w:t>
            </w:r>
          </w:p>
          <w:p w14:paraId="54792DAA"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f) Coverage/favourability by journalist/reporter </w:t>
            </w:r>
          </w:p>
          <w:p w14:paraId="47D9A8ED"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g) Coverage/favourability by media </w:t>
            </w:r>
          </w:p>
          <w:p w14:paraId="04326198"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h) Include graphics to demonstrate the results or information </w:t>
            </w:r>
          </w:p>
          <w:p w14:paraId="1BD6C15D" w14:textId="77777777" w:rsidR="00AE1CF8" w:rsidRPr="003A4721" w:rsidRDefault="00AE1CF8" w:rsidP="00F70450">
            <w:pPr>
              <w:spacing w:after="120" w:line="276" w:lineRule="auto"/>
              <w:jc w:val="both"/>
              <w:rPr>
                <w:rFonts w:ascii="Calibri" w:hAnsi="Calibri"/>
                <w:bCs/>
                <w:sz w:val="22"/>
                <w:szCs w:val="24"/>
                <w:lang w:val="en-GB" w:eastAsia="en-US"/>
              </w:rPr>
            </w:pPr>
            <w:proofErr w:type="spellStart"/>
            <w:r w:rsidRPr="003A4721">
              <w:rPr>
                <w:rFonts w:ascii="Calibri" w:hAnsi="Calibri"/>
                <w:bCs/>
                <w:sz w:val="22"/>
                <w:szCs w:val="24"/>
                <w:lang w:val="en-GB" w:eastAsia="en-US"/>
              </w:rPr>
              <w:t>i</w:t>
            </w:r>
            <w:proofErr w:type="spellEnd"/>
            <w:r w:rsidRPr="003A4721">
              <w:rPr>
                <w:rFonts w:ascii="Calibri" w:hAnsi="Calibri"/>
                <w:bCs/>
                <w:sz w:val="22"/>
                <w:szCs w:val="24"/>
                <w:lang w:val="en-GB" w:eastAsia="en-US"/>
              </w:rPr>
              <w:t xml:space="preserve">) Provide comparative monitoring facilities to benchmark coverage with other similar organisations </w:t>
            </w:r>
          </w:p>
          <w:p w14:paraId="18C4C8A8"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j) Opportunities to see (how many people had the potential to see this content item) </w:t>
            </w:r>
          </w:p>
          <w:p w14:paraId="50528D8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k) Media impact score </w:t>
            </w:r>
          </w:p>
          <w:p w14:paraId="0A0C4C3D"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Tenderers shall provide Reports containing the evaluation and analysis of the monitored media. The frequency and format of the evaluation and analysis reports, including the metrics to be used, will be specified by the Contracting Authority. The Tenderer shall work with the Contracting Authority to ensure that the evaluation metrics used in the evaluation and analysis of the monitored media maximise the effectiveness of the Services and shall recommend alternate metrics that would improve the effectiveness of the evaluation and analysis of the monitored media. The cost for any additional media analysis will be at an additional cost to the Contracting Authority as per hourly and daily rates submitted by Tenderer.</w:t>
            </w:r>
          </w:p>
        </w:tc>
        <w:tc>
          <w:tcPr>
            <w:tcW w:w="650" w:type="pct"/>
            <w:hideMark/>
          </w:tcPr>
          <w:p w14:paraId="14D56B9F"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5A8E73B9"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63B0F991" w14:textId="77777777" w:rsidTr="00F70450">
        <w:trPr>
          <w:cantSplit/>
          <w:trHeight w:val="920"/>
        </w:trPr>
        <w:tc>
          <w:tcPr>
            <w:tcW w:w="853" w:type="pct"/>
            <w:noWrap/>
          </w:tcPr>
          <w:p w14:paraId="13235017"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MR10</w:t>
            </w:r>
          </w:p>
        </w:tc>
        <w:tc>
          <w:tcPr>
            <w:tcW w:w="781" w:type="pct"/>
            <w:hideMark/>
          </w:tcPr>
          <w:p w14:paraId="4CC4474A"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Media books</w:t>
            </w:r>
          </w:p>
        </w:tc>
        <w:tc>
          <w:tcPr>
            <w:tcW w:w="1689" w:type="pct"/>
            <w:hideMark/>
          </w:tcPr>
          <w:p w14:paraId="20EFBFEC"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Tenderers shall provide the Contracting Authority with the ability to create and then export branded Media books, also known as Press Packs, in PDF format. These Media Books should contain relevant news coverage around a particular event, across the previously outlined media sources.</w:t>
            </w:r>
          </w:p>
        </w:tc>
        <w:tc>
          <w:tcPr>
            <w:tcW w:w="650" w:type="pct"/>
            <w:hideMark/>
          </w:tcPr>
          <w:p w14:paraId="28A272A3"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7B14B000"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7F6A90B4" w14:textId="77777777" w:rsidTr="00F70450">
        <w:trPr>
          <w:cantSplit/>
          <w:trHeight w:val="870"/>
        </w:trPr>
        <w:tc>
          <w:tcPr>
            <w:tcW w:w="853" w:type="pct"/>
            <w:noWrap/>
          </w:tcPr>
          <w:p w14:paraId="17631C66"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MR11</w:t>
            </w:r>
          </w:p>
        </w:tc>
        <w:tc>
          <w:tcPr>
            <w:tcW w:w="781" w:type="pct"/>
            <w:hideMark/>
          </w:tcPr>
          <w:p w14:paraId="50453E09"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Broadcast streaming or download</w:t>
            </w:r>
          </w:p>
        </w:tc>
        <w:tc>
          <w:tcPr>
            <w:tcW w:w="1689" w:type="pct"/>
            <w:hideMark/>
          </w:tcPr>
          <w:p w14:paraId="0B69B5F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Broadcasted items shall, as a minimum, be made available to the Contracting Authority in electronic formats, including but not limited to MPEG or MP3, ideally within 2-3-hour turnaround times and in any event not later than within 24 hours. There should also be the option for the Contracting Authority to view broadcasts via instant streaming </w:t>
            </w:r>
            <w:proofErr w:type="gramStart"/>
            <w:r w:rsidRPr="003A4721">
              <w:rPr>
                <w:rFonts w:ascii="Calibri" w:hAnsi="Calibri"/>
                <w:bCs/>
                <w:sz w:val="22"/>
                <w:szCs w:val="24"/>
                <w:lang w:val="en-GB" w:eastAsia="en-US"/>
              </w:rPr>
              <w:t>services, and</w:t>
            </w:r>
            <w:proofErr w:type="gramEnd"/>
            <w:r w:rsidRPr="003A4721">
              <w:rPr>
                <w:rFonts w:ascii="Calibri" w:hAnsi="Calibri"/>
                <w:bCs/>
                <w:sz w:val="22"/>
                <w:szCs w:val="24"/>
                <w:lang w:val="en-GB" w:eastAsia="en-US"/>
              </w:rPr>
              <w:t xml:space="preserve"> download clips to mobile devices.</w:t>
            </w:r>
          </w:p>
        </w:tc>
        <w:tc>
          <w:tcPr>
            <w:tcW w:w="650" w:type="pct"/>
            <w:hideMark/>
          </w:tcPr>
          <w:p w14:paraId="71767E46"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69D73073"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32241A25" w14:textId="77777777" w:rsidTr="00F70450">
        <w:trPr>
          <w:cantSplit/>
          <w:trHeight w:val="580"/>
        </w:trPr>
        <w:tc>
          <w:tcPr>
            <w:tcW w:w="853" w:type="pct"/>
            <w:noWrap/>
          </w:tcPr>
          <w:p w14:paraId="363E3CEE"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MR12</w:t>
            </w:r>
          </w:p>
        </w:tc>
        <w:tc>
          <w:tcPr>
            <w:tcW w:w="781" w:type="pct"/>
            <w:hideMark/>
          </w:tcPr>
          <w:p w14:paraId="0CB453E6"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Human alert sense checking</w:t>
            </w:r>
          </w:p>
        </w:tc>
        <w:tc>
          <w:tcPr>
            <w:tcW w:w="1689" w:type="pct"/>
            <w:hideMark/>
          </w:tcPr>
          <w:p w14:paraId="7D03656F"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Tenderers shall carry out human alert sense checking to ensure article relevance. This requirement is important as the relevance of articles is a key requirement of all Framework Clients.</w:t>
            </w:r>
          </w:p>
        </w:tc>
        <w:tc>
          <w:tcPr>
            <w:tcW w:w="650" w:type="pct"/>
            <w:hideMark/>
          </w:tcPr>
          <w:p w14:paraId="06574D16"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5E34FEE9"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1839AEA4" w14:textId="77777777" w:rsidTr="00F70450">
        <w:trPr>
          <w:cantSplit/>
          <w:trHeight w:val="1160"/>
        </w:trPr>
        <w:tc>
          <w:tcPr>
            <w:tcW w:w="853" w:type="pct"/>
            <w:noWrap/>
          </w:tcPr>
          <w:p w14:paraId="2E0BCDB1"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MR13</w:t>
            </w:r>
          </w:p>
        </w:tc>
        <w:tc>
          <w:tcPr>
            <w:tcW w:w="781" w:type="pct"/>
            <w:hideMark/>
          </w:tcPr>
          <w:p w14:paraId="15DEC762"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E-Clippings service</w:t>
            </w:r>
          </w:p>
        </w:tc>
        <w:tc>
          <w:tcPr>
            <w:tcW w:w="1689" w:type="pct"/>
            <w:hideMark/>
          </w:tcPr>
          <w:p w14:paraId="1E93CA67"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Content from the Irish editions of The Times, Independent, Sunday Times, The Irish Examiner, The Sun, Daily Mail, Mail on Sunday, Daily Mirror, Sunday Mirror, and the Business Post shall be provided in PDF or similar format. Access should be granted to the full text of these articles.</w:t>
            </w:r>
          </w:p>
        </w:tc>
        <w:tc>
          <w:tcPr>
            <w:tcW w:w="650" w:type="pct"/>
            <w:hideMark/>
          </w:tcPr>
          <w:p w14:paraId="26C8960E"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7831593F"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25DB989D" w14:textId="77777777" w:rsidTr="00F70450">
        <w:trPr>
          <w:cantSplit/>
          <w:trHeight w:val="870"/>
        </w:trPr>
        <w:tc>
          <w:tcPr>
            <w:tcW w:w="853" w:type="pct"/>
            <w:noWrap/>
          </w:tcPr>
          <w:p w14:paraId="77ED7AA7"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MR14</w:t>
            </w:r>
          </w:p>
        </w:tc>
        <w:tc>
          <w:tcPr>
            <w:tcW w:w="781" w:type="pct"/>
            <w:hideMark/>
          </w:tcPr>
          <w:p w14:paraId="6C8757E5"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Customer Service</w:t>
            </w:r>
          </w:p>
        </w:tc>
        <w:tc>
          <w:tcPr>
            <w:tcW w:w="1689" w:type="pct"/>
            <w:hideMark/>
          </w:tcPr>
          <w:p w14:paraId="1F43D684" w14:textId="77777777" w:rsidR="00AE1CF8" w:rsidRPr="003A4721" w:rsidRDefault="00AE1CF8" w:rsidP="00F70450">
            <w:pPr>
              <w:spacing w:after="120" w:line="276" w:lineRule="auto"/>
              <w:jc w:val="both"/>
              <w:rPr>
                <w:rFonts w:ascii="Calibri" w:hAnsi="Calibri"/>
                <w:bCs/>
                <w:sz w:val="22"/>
                <w:szCs w:val="24"/>
                <w:lang w:eastAsia="en-US"/>
              </w:rPr>
            </w:pPr>
            <w:r w:rsidRPr="003A4721">
              <w:rPr>
                <w:rFonts w:ascii="Calibri" w:hAnsi="Calibri"/>
                <w:bCs/>
                <w:sz w:val="22"/>
                <w:szCs w:val="24"/>
                <w:lang w:eastAsia="en-US"/>
              </w:rPr>
              <w:t xml:space="preserve">Excellent customer service with guaranteed response time for 20 mins during office hours (8am – 6pm Mon-Fri). </w:t>
            </w:r>
          </w:p>
          <w:p w14:paraId="08895634" w14:textId="77777777" w:rsidR="00AE1CF8" w:rsidRPr="003A4721" w:rsidRDefault="00AE1CF8" w:rsidP="00F70450">
            <w:pPr>
              <w:spacing w:after="120" w:line="276" w:lineRule="auto"/>
              <w:jc w:val="both"/>
              <w:rPr>
                <w:rFonts w:ascii="Calibri" w:hAnsi="Calibri"/>
                <w:bCs/>
                <w:sz w:val="22"/>
                <w:szCs w:val="24"/>
                <w:lang w:val="en-GB" w:eastAsia="en-US"/>
              </w:rPr>
            </w:pPr>
          </w:p>
        </w:tc>
        <w:tc>
          <w:tcPr>
            <w:tcW w:w="650" w:type="pct"/>
            <w:hideMark/>
          </w:tcPr>
          <w:p w14:paraId="17BCD0F9"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41A9B042"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2BBE065A" w14:textId="77777777" w:rsidTr="00F70450">
        <w:trPr>
          <w:cantSplit/>
          <w:trHeight w:val="870"/>
        </w:trPr>
        <w:tc>
          <w:tcPr>
            <w:tcW w:w="853" w:type="pct"/>
            <w:noWrap/>
          </w:tcPr>
          <w:p w14:paraId="747A8132"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MR15</w:t>
            </w:r>
          </w:p>
        </w:tc>
        <w:tc>
          <w:tcPr>
            <w:tcW w:w="781" w:type="pct"/>
            <w:hideMark/>
          </w:tcPr>
          <w:p w14:paraId="1ABB43EB"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Uninterrupted Service</w:t>
            </w:r>
          </w:p>
        </w:tc>
        <w:tc>
          <w:tcPr>
            <w:tcW w:w="1689" w:type="pct"/>
            <w:hideMark/>
          </w:tcPr>
          <w:p w14:paraId="1D293F74"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 xml:space="preserve">The Services shall be provided on an uninterrupted basis, every day of the year, including weekends and public holidays, </w:t>
            </w:r>
            <w:proofErr w:type="gramStart"/>
            <w:r w:rsidRPr="003A4721">
              <w:rPr>
                <w:rFonts w:ascii="Calibri" w:hAnsi="Calibri"/>
                <w:bCs/>
                <w:sz w:val="22"/>
                <w:szCs w:val="24"/>
                <w:lang w:val="en-GB" w:eastAsia="en-US"/>
              </w:rPr>
              <w:t>with the exception of</w:t>
            </w:r>
            <w:proofErr w:type="gramEnd"/>
            <w:r w:rsidRPr="003A4721">
              <w:rPr>
                <w:rFonts w:ascii="Calibri" w:hAnsi="Calibri"/>
                <w:bCs/>
                <w:sz w:val="22"/>
                <w:szCs w:val="24"/>
                <w:lang w:val="en-GB" w:eastAsia="en-US"/>
              </w:rPr>
              <w:t xml:space="preserve"> Christmas Day.</w:t>
            </w:r>
          </w:p>
        </w:tc>
        <w:tc>
          <w:tcPr>
            <w:tcW w:w="650" w:type="pct"/>
            <w:hideMark/>
          </w:tcPr>
          <w:p w14:paraId="5273F7A4"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45F038C0"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653C2E4F" w14:textId="77777777" w:rsidTr="00F70450">
        <w:trPr>
          <w:cantSplit/>
          <w:trHeight w:val="870"/>
        </w:trPr>
        <w:tc>
          <w:tcPr>
            <w:tcW w:w="853" w:type="pct"/>
            <w:noWrap/>
          </w:tcPr>
          <w:p w14:paraId="3406740D"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MR16</w:t>
            </w:r>
          </w:p>
        </w:tc>
        <w:tc>
          <w:tcPr>
            <w:tcW w:w="781" w:type="pct"/>
            <w:hideMark/>
          </w:tcPr>
          <w:p w14:paraId="769EE9E4"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Browser Compatibility</w:t>
            </w:r>
          </w:p>
        </w:tc>
        <w:tc>
          <w:tcPr>
            <w:tcW w:w="1689" w:type="pct"/>
            <w:hideMark/>
          </w:tcPr>
          <w:p w14:paraId="497FC17E"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As a minimum, any online service provided must be compatible with the following web browsers: Internet Explorer 8 and above, Microsoft Edge, Mozilla Firefox 17, Google Chrome, and Safari. The service should be easily usable on a smart phone usage, preferably with a dedicated app.</w:t>
            </w:r>
          </w:p>
        </w:tc>
        <w:tc>
          <w:tcPr>
            <w:tcW w:w="650" w:type="pct"/>
            <w:hideMark/>
          </w:tcPr>
          <w:p w14:paraId="452EEDBE"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34636C3D"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00398F68" w14:textId="77777777" w:rsidTr="00F70450">
        <w:trPr>
          <w:cantSplit/>
          <w:trHeight w:val="580"/>
        </w:trPr>
        <w:tc>
          <w:tcPr>
            <w:tcW w:w="853" w:type="pct"/>
            <w:noWrap/>
          </w:tcPr>
          <w:p w14:paraId="50C977D9"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MR17</w:t>
            </w:r>
          </w:p>
        </w:tc>
        <w:tc>
          <w:tcPr>
            <w:tcW w:w="781" w:type="pct"/>
            <w:hideMark/>
          </w:tcPr>
          <w:p w14:paraId="5C078FEE"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Training</w:t>
            </w:r>
          </w:p>
        </w:tc>
        <w:tc>
          <w:tcPr>
            <w:tcW w:w="1689" w:type="pct"/>
            <w:hideMark/>
          </w:tcPr>
          <w:p w14:paraId="29297DF8" w14:textId="77777777" w:rsidR="00AE1CF8" w:rsidRPr="003A4721" w:rsidRDefault="00AE1CF8" w:rsidP="00F70450">
            <w:pPr>
              <w:spacing w:after="120" w:line="276" w:lineRule="auto"/>
              <w:jc w:val="both"/>
              <w:rPr>
                <w:rFonts w:ascii="Calibri" w:hAnsi="Calibri"/>
                <w:bCs/>
                <w:sz w:val="22"/>
                <w:szCs w:val="24"/>
                <w:lang w:eastAsia="en-US"/>
              </w:rPr>
            </w:pPr>
            <w:r w:rsidRPr="003A4721">
              <w:rPr>
                <w:rFonts w:ascii="Calibri" w:hAnsi="Calibri"/>
                <w:bCs/>
                <w:sz w:val="22"/>
                <w:szCs w:val="24"/>
                <w:lang w:eastAsia="en-US"/>
              </w:rPr>
              <w:t>Training must be provided for users as required.</w:t>
            </w:r>
          </w:p>
          <w:p w14:paraId="37D26B23" w14:textId="77777777" w:rsidR="00AE1CF8" w:rsidRPr="003A4721" w:rsidRDefault="00AE1CF8" w:rsidP="00F70450">
            <w:pPr>
              <w:spacing w:after="120" w:line="276" w:lineRule="auto"/>
              <w:jc w:val="both"/>
              <w:rPr>
                <w:rFonts w:ascii="Calibri" w:hAnsi="Calibri"/>
                <w:bCs/>
                <w:sz w:val="22"/>
                <w:szCs w:val="24"/>
                <w:lang w:val="en-GB" w:eastAsia="en-US"/>
              </w:rPr>
            </w:pPr>
          </w:p>
        </w:tc>
        <w:tc>
          <w:tcPr>
            <w:tcW w:w="650" w:type="pct"/>
            <w:hideMark/>
          </w:tcPr>
          <w:p w14:paraId="1E64E19A"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1F2F9A27"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1923E132" w14:textId="77777777" w:rsidTr="00F70450">
        <w:trPr>
          <w:cantSplit/>
          <w:trHeight w:val="870"/>
        </w:trPr>
        <w:tc>
          <w:tcPr>
            <w:tcW w:w="853" w:type="pct"/>
            <w:noWrap/>
          </w:tcPr>
          <w:p w14:paraId="3B3F35F7"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MR18</w:t>
            </w:r>
          </w:p>
        </w:tc>
        <w:tc>
          <w:tcPr>
            <w:tcW w:w="781" w:type="pct"/>
            <w:hideMark/>
          </w:tcPr>
          <w:p w14:paraId="03060C84"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Licencing</w:t>
            </w:r>
          </w:p>
        </w:tc>
        <w:tc>
          <w:tcPr>
            <w:tcW w:w="1689" w:type="pct"/>
            <w:hideMark/>
          </w:tcPr>
          <w:p w14:paraId="1A1AE644"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Compatibility with the Department’s NLA and NLI licencing required. Multiple licences are required.</w:t>
            </w:r>
          </w:p>
        </w:tc>
        <w:tc>
          <w:tcPr>
            <w:tcW w:w="650" w:type="pct"/>
            <w:hideMark/>
          </w:tcPr>
          <w:p w14:paraId="15008F08"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517BE598" w14:textId="77777777" w:rsidR="00AE1CF8" w:rsidRPr="00200935" w:rsidRDefault="00AE1CF8" w:rsidP="00F70450">
            <w:pPr>
              <w:spacing w:after="120" w:line="276" w:lineRule="auto"/>
              <w:jc w:val="both"/>
              <w:rPr>
                <w:rFonts w:ascii="Calibri" w:hAnsi="Calibri"/>
                <w:b/>
                <w:sz w:val="22"/>
                <w:szCs w:val="24"/>
                <w:lang w:val="en-GB" w:eastAsia="en-US"/>
              </w:rPr>
            </w:pPr>
          </w:p>
        </w:tc>
      </w:tr>
      <w:tr w:rsidR="00AE1CF8" w:rsidRPr="00200935" w14:paraId="6F295AE8" w14:textId="77777777" w:rsidTr="00F70450">
        <w:trPr>
          <w:cantSplit/>
          <w:trHeight w:val="870"/>
        </w:trPr>
        <w:tc>
          <w:tcPr>
            <w:tcW w:w="853" w:type="pct"/>
            <w:noWrap/>
          </w:tcPr>
          <w:p w14:paraId="10830100"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MR19</w:t>
            </w:r>
          </w:p>
        </w:tc>
        <w:tc>
          <w:tcPr>
            <w:tcW w:w="781" w:type="pct"/>
            <w:hideMark/>
          </w:tcPr>
          <w:p w14:paraId="0CCA1B92" w14:textId="77777777" w:rsidR="00AE1CF8" w:rsidRPr="00200935" w:rsidRDefault="00AE1CF8" w:rsidP="00F70450">
            <w:pPr>
              <w:spacing w:after="120" w:line="276" w:lineRule="auto"/>
              <w:jc w:val="both"/>
              <w:rPr>
                <w:rFonts w:ascii="Calibri" w:hAnsi="Calibri"/>
                <w:b/>
                <w:bCs/>
                <w:sz w:val="22"/>
                <w:szCs w:val="24"/>
                <w:lang w:val="en-GB" w:eastAsia="en-US"/>
              </w:rPr>
            </w:pPr>
            <w:r w:rsidRPr="00200935">
              <w:rPr>
                <w:rFonts w:ascii="Calibri" w:hAnsi="Calibri"/>
                <w:b/>
                <w:bCs/>
                <w:sz w:val="22"/>
                <w:szCs w:val="24"/>
                <w:lang w:val="en-GB" w:eastAsia="en-US"/>
              </w:rPr>
              <w:t>Green Public Procurement</w:t>
            </w:r>
          </w:p>
        </w:tc>
        <w:tc>
          <w:tcPr>
            <w:tcW w:w="1689" w:type="pct"/>
            <w:hideMark/>
          </w:tcPr>
          <w:p w14:paraId="409056DA" w14:textId="77777777" w:rsidR="00AE1CF8" w:rsidRPr="003A4721" w:rsidRDefault="00AE1CF8" w:rsidP="00F70450">
            <w:pPr>
              <w:spacing w:after="120" w:line="276" w:lineRule="auto"/>
              <w:jc w:val="both"/>
              <w:rPr>
                <w:rFonts w:ascii="Calibri" w:hAnsi="Calibri"/>
                <w:bCs/>
                <w:sz w:val="22"/>
                <w:szCs w:val="24"/>
                <w:lang w:val="en-GB" w:eastAsia="en-US"/>
              </w:rPr>
            </w:pPr>
            <w:r w:rsidRPr="003A4721">
              <w:rPr>
                <w:rFonts w:ascii="Calibri" w:hAnsi="Calibri"/>
                <w:bCs/>
                <w:sz w:val="22"/>
                <w:szCs w:val="24"/>
                <w:lang w:val="en-GB" w:eastAsia="en-US"/>
              </w:rPr>
              <w:t>The Department implements green public procurement (GPP) policy and requires suppliers to demonstrate their own sustainability credentials. Tenderers should explain how their proposed service is configured and managed to minimise the impact on the environment and contribute to the objectives of GPP.</w:t>
            </w:r>
          </w:p>
        </w:tc>
        <w:tc>
          <w:tcPr>
            <w:tcW w:w="650" w:type="pct"/>
            <w:hideMark/>
          </w:tcPr>
          <w:p w14:paraId="7C60C67A" w14:textId="77777777" w:rsidR="00AE1CF8" w:rsidRPr="00200935" w:rsidRDefault="00AE1CF8" w:rsidP="00F70450">
            <w:pPr>
              <w:spacing w:after="120" w:line="276" w:lineRule="auto"/>
              <w:jc w:val="both"/>
              <w:rPr>
                <w:rFonts w:ascii="Calibri" w:hAnsi="Calibri"/>
                <w:b/>
                <w:sz w:val="22"/>
                <w:szCs w:val="24"/>
                <w:lang w:val="en-GB" w:eastAsia="en-US"/>
              </w:rPr>
            </w:pPr>
          </w:p>
        </w:tc>
        <w:tc>
          <w:tcPr>
            <w:tcW w:w="1028" w:type="pct"/>
          </w:tcPr>
          <w:p w14:paraId="27AB3BFF" w14:textId="77777777" w:rsidR="00AE1CF8" w:rsidRPr="00200935" w:rsidRDefault="00AE1CF8" w:rsidP="00F70450">
            <w:pPr>
              <w:spacing w:after="120" w:line="276" w:lineRule="auto"/>
              <w:jc w:val="both"/>
              <w:rPr>
                <w:rFonts w:ascii="Calibri" w:hAnsi="Calibri"/>
                <w:b/>
                <w:sz w:val="22"/>
                <w:szCs w:val="24"/>
                <w:lang w:val="en-GB" w:eastAsia="en-US"/>
              </w:rPr>
            </w:pPr>
          </w:p>
        </w:tc>
      </w:tr>
    </w:tbl>
    <w:p w14:paraId="20917C1B" w14:textId="77777777" w:rsidR="00AE1CF8" w:rsidRPr="00200935" w:rsidRDefault="00AE1CF8" w:rsidP="00AE1CF8">
      <w:pPr>
        <w:spacing w:after="120" w:line="276" w:lineRule="auto"/>
        <w:jc w:val="both"/>
        <w:rPr>
          <w:rFonts w:ascii="Calibri" w:eastAsia="Times New Roman" w:hAnsi="Calibri" w:cs="Times New Roman"/>
          <w:b/>
          <w:kern w:val="0"/>
          <w:sz w:val="22"/>
          <w:lang w:val="en-GB"/>
          <w14:ligatures w14:val="none"/>
        </w:rPr>
      </w:pPr>
    </w:p>
    <w:p w14:paraId="0852DB2C" w14:textId="77777777" w:rsidR="00AE1CF8" w:rsidRDefault="00AE1CF8" w:rsidP="00AE1CF8">
      <w:pPr>
        <w:spacing w:after="120" w:line="276" w:lineRule="auto"/>
        <w:jc w:val="both"/>
      </w:pPr>
    </w:p>
    <w:p w14:paraId="4E36B4CF" w14:textId="77777777" w:rsidR="00AE1CF8" w:rsidRPr="00AE1CF8" w:rsidRDefault="00AE1CF8" w:rsidP="00AE1CF8">
      <w:pPr>
        <w:rPr>
          <w:rFonts w:ascii="Calibri" w:eastAsia="Times New Roman" w:hAnsi="Calibri" w:cs="Times New Roman"/>
          <w:sz w:val="32"/>
          <w:szCs w:val="32"/>
          <w:lang w:val="en-US"/>
        </w:rPr>
      </w:pPr>
    </w:p>
    <w:p w14:paraId="10DD316B" w14:textId="77777777" w:rsidR="00AE1CF8" w:rsidRDefault="00AE1CF8" w:rsidP="00200935">
      <w:pPr>
        <w:keepNext/>
        <w:pageBreakBefore/>
        <w:pBdr>
          <w:bottom w:val="single" w:sz="18" w:space="1" w:color="333399"/>
        </w:pBdr>
        <w:tabs>
          <w:tab w:val="left" w:pos="397"/>
          <w:tab w:val="left" w:pos="907"/>
          <w:tab w:val="left" w:pos="1134"/>
        </w:tabs>
        <w:spacing w:before="320" w:line="276" w:lineRule="auto"/>
        <w:outlineLvl w:val="0"/>
        <w:rPr>
          <w:rFonts w:ascii="Calibri" w:eastAsia="Times New Roman" w:hAnsi="Calibri" w:cs="Times New Roman"/>
          <w:b/>
          <w:bCs/>
          <w:color w:val="333399"/>
          <w:kern w:val="0"/>
          <w:sz w:val="32"/>
          <w:szCs w:val="32"/>
          <w:lang w:val="en-US"/>
          <w14:ligatures w14:val="none"/>
        </w:rPr>
      </w:pPr>
    </w:p>
    <w:p w14:paraId="53B6847A" w14:textId="77777777" w:rsidR="00AE1CF8" w:rsidRPr="00AE1CF8" w:rsidRDefault="00AE1CF8" w:rsidP="00AE1CF8">
      <w:pPr>
        <w:rPr>
          <w:rFonts w:ascii="Calibri" w:eastAsia="Times New Roman" w:hAnsi="Calibri" w:cs="Times New Roman"/>
          <w:sz w:val="32"/>
          <w:szCs w:val="32"/>
          <w:lang w:val="en-US"/>
        </w:rPr>
        <w:sectPr w:rsidR="00AE1CF8" w:rsidRPr="00AE1CF8" w:rsidSect="00200935">
          <w:footerReference w:type="default" r:id="rId9"/>
          <w:pgSz w:w="11907" w:h="16840" w:code="9"/>
          <w:pgMar w:top="1134" w:right="1418" w:bottom="851" w:left="1418" w:header="709" w:footer="709" w:gutter="0"/>
          <w:cols w:space="708"/>
          <w:docGrid w:linePitch="360"/>
        </w:sectPr>
      </w:pPr>
    </w:p>
    <w:p w14:paraId="55CB20F6" w14:textId="77777777" w:rsidR="009A04D5" w:rsidRDefault="009A04D5" w:rsidP="00AE1CF8">
      <w:pPr>
        <w:spacing w:after="120" w:line="276" w:lineRule="auto"/>
        <w:jc w:val="both"/>
      </w:pPr>
    </w:p>
    <w:sectPr w:rsidR="009A04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7C04D" w14:textId="77777777" w:rsidR="003A4721" w:rsidRDefault="003A4721">
      <w:pPr>
        <w:spacing w:after="0" w:line="240" w:lineRule="auto"/>
      </w:pPr>
      <w:r>
        <w:separator/>
      </w:r>
    </w:p>
  </w:endnote>
  <w:endnote w:type="continuationSeparator" w:id="0">
    <w:p w14:paraId="28EAE2DA" w14:textId="77777777" w:rsidR="003A4721" w:rsidRDefault="003A4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60AFAC51" w14:textId="77777777" w:rsidR="00200935" w:rsidRPr="00DE06E5" w:rsidRDefault="00200935" w:rsidP="00F934BA">
        <w:pPr>
          <w:pStyle w:val="Footer"/>
          <w:jc w:val="center"/>
        </w:pPr>
        <w:r w:rsidRPr="00DE06E5">
          <w:fldChar w:fldCharType="begin"/>
        </w:r>
        <w:r w:rsidRPr="00DE06E5">
          <w:instrText xml:space="preserve"> PAGE   \* MERGEFORMAT </w:instrText>
        </w:r>
        <w:r w:rsidRPr="00DE06E5">
          <w:fldChar w:fldCharType="separate"/>
        </w:r>
        <w:r w:rsidRPr="00AA1D9F">
          <w:rPr>
            <w:rFonts w:ascii="Times New Roman" w:hAnsi="Times New Roman"/>
            <w:noProof/>
          </w:rPr>
          <w:t>34</w:t>
        </w:r>
        <w:r w:rsidRPr="00DE06E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1509C" w14:textId="77777777" w:rsidR="003A4721" w:rsidRDefault="003A4721">
      <w:pPr>
        <w:spacing w:after="0" w:line="240" w:lineRule="auto"/>
      </w:pPr>
      <w:r>
        <w:separator/>
      </w:r>
    </w:p>
  </w:footnote>
  <w:footnote w:type="continuationSeparator" w:id="0">
    <w:p w14:paraId="7E790EFB" w14:textId="77777777" w:rsidR="003A4721" w:rsidRDefault="003A47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935"/>
    <w:rsid w:val="001D6E29"/>
    <w:rsid w:val="00200935"/>
    <w:rsid w:val="003A4721"/>
    <w:rsid w:val="00493068"/>
    <w:rsid w:val="007F0094"/>
    <w:rsid w:val="009A04D5"/>
    <w:rsid w:val="00AE1CF8"/>
    <w:rsid w:val="00C05DC3"/>
    <w:rsid w:val="00C406B5"/>
    <w:rsid w:val="00E27B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4015"/>
  <w15:chartTrackingRefBased/>
  <w15:docId w15:val="{723A727E-6BBB-44FA-9EEC-1923F7CD4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0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0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09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09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09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09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9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9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9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9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9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9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9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9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9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9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9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935"/>
    <w:rPr>
      <w:rFonts w:eastAsiaTheme="majorEastAsia" w:cstheme="majorBidi"/>
      <w:color w:val="272727" w:themeColor="text1" w:themeTint="D8"/>
    </w:rPr>
  </w:style>
  <w:style w:type="paragraph" w:styleId="Title">
    <w:name w:val="Title"/>
    <w:basedOn w:val="Normal"/>
    <w:next w:val="Normal"/>
    <w:link w:val="TitleChar"/>
    <w:uiPriority w:val="10"/>
    <w:qFormat/>
    <w:rsid w:val="00200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9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9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9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935"/>
    <w:pPr>
      <w:spacing w:before="160"/>
      <w:jc w:val="center"/>
    </w:pPr>
    <w:rPr>
      <w:i/>
      <w:iCs/>
      <w:color w:val="404040" w:themeColor="text1" w:themeTint="BF"/>
    </w:rPr>
  </w:style>
  <w:style w:type="character" w:customStyle="1" w:styleId="QuoteChar">
    <w:name w:val="Quote Char"/>
    <w:basedOn w:val="DefaultParagraphFont"/>
    <w:link w:val="Quote"/>
    <w:uiPriority w:val="29"/>
    <w:rsid w:val="00200935"/>
    <w:rPr>
      <w:i/>
      <w:iCs/>
      <w:color w:val="404040" w:themeColor="text1" w:themeTint="BF"/>
    </w:rPr>
  </w:style>
  <w:style w:type="paragraph" w:styleId="ListParagraph">
    <w:name w:val="List Paragraph"/>
    <w:basedOn w:val="Normal"/>
    <w:uiPriority w:val="34"/>
    <w:qFormat/>
    <w:rsid w:val="00200935"/>
    <w:pPr>
      <w:ind w:left="720"/>
      <w:contextualSpacing/>
    </w:pPr>
  </w:style>
  <w:style w:type="character" w:styleId="IntenseEmphasis">
    <w:name w:val="Intense Emphasis"/>
    <w:basedOn w:val="DefaultParagraphFont"/>
    <w:uiPriority w:val="21"/>
    <w:qFormat/>
    <w:rsid w:val="00200935"/>
    <w:rPr>
      <w:i/>
      <w:iCs/>
      <w:color w:val="0F4761" w:themeColor="accent1" w:themeShade="BF"/>
    </w:rPr>
  </w:style>
  <w:style w:type="paragraph" w:styleId="IntenseQuote">
    <w:name w:val="Intense Quote"/>
    <w:basedOn w:val="Normal"/>
    <w:next w:val="Normal"/>
    <w:link w:val="IntenseQuoteChar"/>
    <w:uiPriority w:val="30"/>
    <w:qFormat/>
    <w:rsid w:val="00200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935"/>
    <w:rPr>
      <w:i/>
      <w:iCs/>
      <w:color w:val="0F4761" w:themeColor="accent1" w:themeShade="BF"/>
    </w:rPr>
  </w:style>
  <w:style w:type="character" w:styleId="IntenseReference">
    <w:name w:val="Intense Reference"/>
    <w:basedOn w:val="DefaultParagraphFont"/>
    <w:uiPriority w:val="32"/>
    <w:qFormat/>
    <w:rsid w:val="00200935"/>
    <w:rPr>
      <w:b/>
      <w:bCs/>
      <w:smallCaps/>
      <w:color w:val="0F4761" w:themeColor="accent1" w:themeShade="BF"/>
      <w:spacing w:val="5"/>
    </w:rPr>
  </w:style>
  <w:style w:type="paragraph" w:styleId="Footer">
    <w:name w:val="footer"/>
    <w:basedOn w:val="Normal"/>
    <w:link w:val="FooterChar"/>
    <w:uiPriority w:val="99"/>
    <w:semiHidden/>
    <w:unhideWhenUsed/>
    <w:rsid w:val="0020093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00935"/>
  </w:style>
  <w:style w:type="table" w:styleId="TableGrid">
    <w:name w:val="Table Grid"/>
    <w:basedOn w:val="TableNormal"/>
    <w:uiPriority w:val="59"/>
    <w:rsid w:val="00200935"/>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7F009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F0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02c691f3efa402dab5cbaa8c240a9e7 xmlns="2ff5d677-0cab-4642-9cb9-c725cc8c657c">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a6a10e9d-ee7f-4f16-965b-ca906350e1c3</TermId>
        </TermInfo>
        <TermInfo xmlns="http://schemas.microsoft.com/office/infopath/2007/PartnerControls">
          <TermName xmlns="http://schemas.microsoft.com/office/infopath/2007/PartnerControls">#Finance</TermName>
          <TermId xmlns="http://schemas.microsoft.com/office/infopath/2007/PartnerControls">3b5c7c14-53f4-48ec-a203-54ec26f3c77e</TermId>
        </TermInfo>
        <TermInfo xmlns="http://schemas.microsoft.com/office/infopath/2007/PartnerControls">
          <TermName xmlns="http://schemas.microsoft.com/office/infopath/2007/PartnerControls">#Projects</TermName>
          <TermId xmlns="http://schemas.microsoft.com/office/infopath/2007/PartnerControls">5e12c8d0-ac4c-4a6a-a8e8-8bf9bd4e9b7c</TermId>
        </TermInfo>
        <TermInfo xmlns="http://schemas.microsoft.com/office/infopath/2007/PartnerControls">
          <TermName xmlns="http://schemas.microsoft.com/office/infopath/2007/PartnerControls">#Tenders</TermName>
          <TermId xmlns="http://schemas.microsoft.com/office/infopath/2007/PartnerControls">9f1d9cd5-9dd5-4793-a796-65213e8304f7</TermId>
        </TermInfo>
        <TermInfo xmlns="http://schemas.microsoft.com/office/infopath/2007/PartnerControls">
          <TermName xmlns="http://schemas.microsoft.com/office/infopath/2007/PartnerControls">#RFT</TermName>
          <TermId xmlns="http://schemas.microsoft.com/office/infopath/2007/PartnerControls">ddbd3dc8-c8ea-4bb2-b588-2c9d085c1415</TermId>
        </TermInfo>
        <TermInfo xmlns="http://schemas.microsoft.com/office/infopath/2007/PartnerControls">
          <TermName xmlns="http://schemas.microsoft.com/office/infopath/2007/PartnerControls">#Procurement</TermName>
          <TermId xmlns="http://schemas.microsoft.com/office/infopath/2007/PartnerControls">a68a2ea9-f4da-41d7-bacf-7b3f1404e250</TermId>
        </TermInfo>
      </Terms>
    </m02c691f3efa402dab5cbaa8c240a9e7>
    <eDocs_FileStatus xmlns="2ff5d677-0cab-4642-9cb9-c725cc8c657c">Live</eDocs_FileStatus>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dbd28018-9f70-450e-9470-9d9d44bcba64</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DFA036-001-2025</eDocs_eFileName>
    <nb1b8a72855341e18dd75ce464e281f2 xmlns="2ff5d677-0cab-4642-9cb9-c725cc8c657c">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fa6db36b-335b-4ee9-8e45-1b7375a06d1a</TermId>
        </TermInfo>
      </Terms>
    </nb1b8a72855341e18dd75ce464e281f2>
    <TaxCatchAll xmlns="2ff5d677-0cab-4642-9cb9-c725cc8c657c">
      <Value>101</Value>
      <Value>14</Value>
      <Value>12</Value>
      <Value>96</Value>
      <Value>8</Value>
      <Value>97</Value>
      <Value>6</Value>
      <Value>3</Value>
      <Value>1</Value>
    </TaxCatchAll>
  </documentManagement>
</p:properties>
</file>

<file path=customXml/itemProps1.xml><?xml version="1.0" encoding="utf-8"?>
<ds:datastoreItem xmlns:ds="http://schemas.openxmlformats.org/officeDocument/2006/customXml" ds:itemID="{0BC6D10B-1558-4E48-A334-51F537E82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619928-6965-4CA6-B131-0C241C20FAEC}">
  <ds:schemaRefs>
    <ds:schemaRef ds:uri="http://schemas.microsoft.com/sharepoint/v3/contenttype/forms"/>
  </ds:schemaRefs>
</ds:datastoreItem>
</file>

<file path=customXml/itemProps3.xml><?xml version="1.0" encoding="utf-8"?>
<ds:datastoreItem xmlns:ds="http://schemas.openxmlformats.org/officeDocument/2006/customXml" ds:itemID="{3E4443C8-97D2-4B8D-AB6E-DB65D11DD2EF}">
  <ds:schemaRefs>
    <ds:schemaRef ds:uri="http://schemas.microsoft.com/office/2006/documentManagement/types"/>
    <ds:schemaRef ds:uri="http://purl.org/dc/dcmitype/"/>
    <ds:schemaRef ds:uri="http://schemas.microsoft.com/office/2006/metadata/properties"/>
    <ds:schemaRef ds:uri="2ff5d677-0cab-4642-9cb9-c725cc8c657c"/>
    <ds:schemaRef ds:uri="http://schemas.microsoft.com/office/infopath/2007/PartnerControls"/>
    <ds:schemaRef ds:uri="http://schemas.openxmlformats.org/package/2006/metadata/core-properties"/>
    <ds:schemaRef ds:uri="http://purl.org/dc/elements/1.1/"/>
    <ds:schemaRef ds:uri="http://purl.org/dc/term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1366</Words>
  <Characters>7788</Characters>
  <Application>Microsoft Office Word</Application>
  <DocSecurity>0</DocSecurity>
  <Lines>64</Lines>
  <Paragraphs>18</Paragraphs>
  <ScaleCrop>false</ScaleCrop>
  <Company>Department of Foreign Affairs and Trade</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Fitzpatrick Ciara HQ-FINANCE</dc:creator>
  <cp:keywords/>
  <dc:description/>
  <cp:lastModifiedBy>Fitzpatrick Ciara HQ-FINANCE</cp:lastModifiedBy>
  <cp:revision>5</cp:revision>
  <dcterms:created xsi:type="dcterms:W3CDTF">2026-10-19T11:33:00Z</dcterms:created>
  <dcterms:modified xsi:type="dcterms:W3CDTF">2026-10-19T15:12:00Z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FileTopics">
    <vt:lpwstr>3;#Administration|a6a10e9d-ee7f-4f16-965b-ca906350e1c3;#6;##Finance|3b5c7c14-53f4-48ec-a203-54ec26f3c77e;#12;##Projects|5e12c8d0-ac4c-4a6a-a8e8-8bf9bd4e9b7c;#96;##Tenders|9f1d9cd5-9dd5-4793-a796-65213e8304f7;#97;##RFT|ddbd3dc8-c8ea-4bb2-b588-2c9d085c1415;#14;##Procurement|a68a2ea9-f4da-41d7-bacf-7b3f1404e250</vt:lpwstr>
  </property>
  <property fmtid="{D5CDD505-2E9C-101B-9397-08002B2CF9AE}" pid="4" name="eDocs_SecurityClassification">
    <vt:lpwstr>8;#Confidential|dbd28018-9f70-450e-9470-9d9d44bcba64</vt:lpwstr>
  </property>
  <property fmtid="{D5CDD505-2E9C-101B-9397-08002B2CF9AE}" pid="5" name="eDocs_Series">
    <vt:lpwstr>1;#036|3bf74684-aa4a-48dc-a3f8-2440bd6bde0a</vt:lpwstr>
  </property>
  <property fmtid="{D5CDD505-2E9C-101B-9397-08002B2CF9AE}" pid="6" name="eDocs_DocumentTopics">
    <vt:lpwstr/>
  </property>
  <property fmtid="{D5CDD505-2E9C-101B-9397-08002B2CF9AE}" pid="7" name="eDocs_Year">
    <vt:lpwstr>101;#2025|fa6db36b-335b-4ee9-8e45-1b7375a06d1a</vt:lpwstr>
  </property>
  <property fmtid="{D5CDD505-2E9C-101B-9397-08002B2CF9AE}" pid="8" name="ge25f6a3ef6f42d4865685f2a74bf8c7">
    <vt:lpwstr/>
  </property>
  <property fmtid="{D5CDD505-2E9C-101B-9397-08002B2CF9AE}" pid="9" name="eDocs_RetentionPeriodTerm">
    <vt:lpwstr/>
  </property>
</Properties>
</file>