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C21AD" w14:textId="3A94D101" w:rsidR="00200614" w:rsidRDefault="00200614" w:rsidP="008F0480">
      <w:pPr>
        <w:tabs>
          <w:tab w:val="num" w:pos="720"/>
        </w:tabs>
        <w:ind w:left="720" w:hanging="360"/>
        <w:jc w:val="center"/>
        <w:rPr>
          <w:b/>
          <w:bCs/>
        </w:rPr>
      </w:pPr>
      <w:r w:rsidRPr="00200614">
        <w:rPr>
          <w:b/>
          <w:bCs/>
        </w:rPr>
        <w:t>RFT for the provision of services for the management of recruitment processes</w:t>
      </w:r>
      <w:r>
        <w:rPr>
          <w:b/>
          <w:bCs/>
        </w:rPr>
        <w:t>.</w:t>
      </w:r>
    </w:p>
    <w:p w14:paraId="0B8D4786" w14:textId="17B44BC9" w:rsidR="008F0480" w:rsidRPr="008F0480" w:rsidRDefault="008F0480" w:rsidP="008F0480">
      <w:pPr>
        <w:tabs>
          <w:tab w:val="num" w:pos="720"/>
        </w:tabs>
        <w:ind w:left="720" w:hanging="360"/>
        <w:jc w:val="center"/>
        <w:rPr>
          <w:b/>
          <w:bCs/>
        </w:rPr>
      </w:pPr>
      <w:r w:rsidRPr="008F0480">
        <w:rPr>
          <w:b/>
          <w:bCs/>
        </w:rPr>
        <w:t>Clarification Questions and Answers</w:t>
      </w:r>
    </w:p>
    <w:p w14:paraId="541BBEB7" w14:textId="77777777" w:rsidR="008F0480" w:rsidRDefault="008F0480">
      <w:pPr>
        <w:tabs>
          <w:tab w:val="num" w:pos="720"/>
        </w:tabs>
        <w:ind w:left="720" w:hanging="360"/>
      </w:pPr>
    </w:p>
    <w:p w14:paraId="00D0EF69" w14:textId="77777777" w:rsidR="00FE2B3D" w:rsidRDefault="00FE2B3D">
      <w:pPr>
        <w:numPr>
          <w:ilvl w:val="0"/>
          <w:numId w:val="1"/>
        </w:numPr>
      </w:pPr>
      <w:r w:rsidRPr="00FE2B3D">
        <w:t>Confirm the actual deadline: 10 or 11 November.</w:t>
      </w:r>
    </w:p>
    <w:p w14:paraId="22EA7609" w14:textId="75C07025" w:rsidR="00762842" w:rsidRDefault="00762842" w:rsidP="00762842">
      <w:pPr>
        <w:ind w:left="720"/>
        <w:rPr>
          <w:color w:val="FF0000"/>
        </w:rPr>
      </w:pPr>
      <w:r w:rsidRPr="00762842">
        <w:rPr>
          <w:color w:val="FF0000"/>
        </w:rPr>
        <w:t>The tender submission deadline is 11:00am on Wednesday 11 November 2026, as set out at paragraph 2.6.2 of the RFT.</w:t>
      </w:r>
    </w:p>
    <w:p w14:paraId="2F86C30D" w14:textId="77777777" w:rsidR="00200614" w:rsidRDefault="00200614" w:rsidP="00762842">
      <w:pPr>
        <w:ind w:left="720"/>
        <w:rPr>
          <w:color w:val="FF0000"/>
        </w:rPr>
      </w:pPr>
    </w:p>
    <w:p w14:paraId="66516A77" w14:textId="77777777" w:rsidR="00200614" w:rsidRPr="00200614" w:rsidRDefault="00200614" w:rsidP="00200614">
      <w:pPr>
        <w:pStyle w:val="ListParagraph"/>
        <w:numPr>
          <w:ilvl w:val="0"/>
          <w:numId w:val="1"/>
        </w:numPr>
      </w:pPr>
      <w:r w:rsidRPr="00200614">
        <w:t xml:space="preserve">Will a TRD be issued </w:t>
      </w:r>
      <w:proofErr w:type="gramStart"/>
      <w:r w:rsidRPr="00200614">
        <w:t>in order to</w:t>
      </w:r>
      <w:proofErr w:type="gramEnd"/>
      <w:r w:rsidRPr="00200614">
        <w:t xml:space="preserve"> submit response?</w:t>
      </w:r>
    </w:p>
    <w:p w14:paraId="48F82B9C" w14:textId="77777777" w:rsidR="00200614" w:rsidRPr="00200614" w:rsidRDefault="00200614" w:rsidP="00200614">
      <w:pPr>
        <w:ind w:left="720"/>
        <w:rPr>
          <w:color w:val="FF0000"/>
        </w:rPr>
      </w:pPr>
      <w:r w:rsidRPr="00200614">
        <w:rPr>
          <w:color w:val="FF0000"/>
        </w:rPr>
        <w:t>No. A TRD is not required. The format of tender responses is described on page 6 of the request for tender document.</w:t>
      </w:r>
    </w:p>
    <w:p w14:paraId="3FECF7B0" w14:textId="77777777" w:rsidR="00FE2B3D" w:rsidRPr="00FE2B3D" w:rsidRDefault="00FE2B3D" w:rsidP="00762842"/>
    <w:p w14:paraId="6A7D3056" w14:textId="77777777" w:rsidR="00FE2B3D" w:rsidRDefault="00FE2B3D">
      <w:pPr>
        <w:numPr>
          <w:ilvl w:val="0"/>
          <w:numId w:val="2"/>
        </w:numPr>
      </w:pPr>
      <w:r w:rsidRPr="00FE2B3D">
        <w:t>When is the fee payable? What happens if a campaign is cancelled, produces a panel but fewer appointments, or ends with no appointment?</w:t>
      </w:r>
    </w:p>
    <w:p w14:paraId="0953AFE7" w14:textId="77777777" w:rsidR="00762842" w:rsidRPr="00762842" w:rsidRDefault="00762842" w:rsidP="00762842">
      <w:pPr>
        <w:ind w:left="720"/>
        <w:rPr>
          <w:color w:val="FF0000"/>
        </w:rPr>
      </w:pPr>
      <w:r w:rsidRPr="00762842">
        <w:rPr>
          <w:color w:val="FF0000"/>
        </w:rPr>
        <w:t>Tenderers should refer to the pricing requirements and draft contract. The RFT does not specify payment triggers for particular campaign outcomes. Invoicing arrangements will be agreed in accordance with the Services Contract.</w:t>
      </w:r>
    </w:p>
    <w:p w14:paraId="2314B09A" w14:textId="77777777" w:rsidR="00FE2B3D" w:rsidRPr="00FE2B3D" w:rsidRDefault="00FE2B3D" w:rsidP="00762842"/>
    <w:p w14:paraId="5FB43EFD" w14:textId="77777777" w:rsidR="00FE2B3D" w:rsidRDefault="00FE2B3D">
      <w:pPr>
        <w:numPr>
          <w:ilvl w:val="0"/>
          <w:numId w:val="3"/>
        </w:numPr>
      </w:pPr>
      <w:r w:rsidRPr="00FE2B3D">
        <w:t>Are later appointments from a panel chargeable at the same percentage?</w:t>
      </w:r>
    </w:p>
    <w:p w14:paraId="1AFFE350" w14:textId="77777777" w:rsidR="00E21676" w:rsidRPr="00E21676" w:rsidRDefault="00E21676" w:rsidP="00E21676">
      <w:pPr>
        <w:ind w:left="720"/>
        <w:rPr>
          <w:color w:val="FF0000"/>
        </w:rPr>
      </w:pPr>
      <w:r w:rsidRPr="00E21676">
        <w:rPr>
          <w:color w:val="FF0000"/>
        </w:rPr>
        <w:t>Th RFT requires tenderers to submit percentage fees in accordance with Appendix 2. No separate fee structure for subsequent appointments from a panel is specified.</w:t>
      </w:r>
    </w:p>
    <w:p w14:paraId="69D704C1" w14:textId="77777777" w:rsidR="00FE2B3D" w:rsidRPr="00FE2B3D" w:rsidRDefault="00FE2B3D" w:rsidP="00E21676"/>
    <w:p w14:paraId="20E15CDC" w14:textId="77777777" w:rsidR="00FE2B3D" w:rsidRDefault="00FE2B3D">
      <w:pPr>
        <w:numPr>
          <w:ilvl w:val="0"/>
          <w:numId w:val="4"/>
        </w:numPr>
      </w:pPr>
      <w:r w:rsidRPr="00FE2B3D">
        <w:t>Are advertising costs paid by DETE directly, or passed through at cost with prior approval?</w:t>
      </w:r>
    </w:p>
    <w:p w14:paraId="636F91D8" w14:textId="77777777" w:rsidR="00E21676" w:rsidRPr="00E21676" w:rsidRDefault="00E21676" w:rsidP="00E21676">
      <w:pPr>
        <w:ind w:left="720"/>
        <w:rPr>
          <w:color w:val="FF0000"/>
        </w:rPr>
      </w:pPr>
      <w:r w:rsidRPr="00E21676">
        <w:rPr>
          <w:color w:val="FF0000"/>
        </w:rPr>
        <w:t>Advertising costs should not be included in tendered pricing. Tenderers should set out proposed advertising channels as part of their methodology.</w:t>
      </w:r>
    </w:p>
    <w:p w14:paraId="15FDAD51" w14:textId="77777777" w:rsidR="00FE2B3D" w:rsidRPr="00FE2B3D" w:rsidRDefault="00FE2B3D" w:rsidP="00E21676"/>
    <w:p w14:paraId="420D2C08" w14:textId="21EEB87F" w:rsidR="00FE2B3D" w:rsidRDefault="00FE2B3D" w:rsidP="002758A5">
      <w:pPr>
        <w:numPr>
          <w:ilvl w:val="0"/>
          <w:numId w:val="5"/>
        </w:numPr>
      </w:pPr>
      <w:r w:rsidRPr="00FE2B3D">
        <w:t>Are psychometric costs and the 4th panel member included in the percentage, or charged separately?</w:t>
      </w:r>
    </w:p>
    <w:p w14:paraId="5FCF9A23" w14:textId="77777777" w:rsidR="00E21676" w:rsidRPr="00E21676" w:rsidRDefault="00E21676" w:rsidP="00E21676">
      <w:pPr>
        <w:ind w:left="720"/>
        <w:rPr>
          <w:color w:val="FF0000"/>
        </w:rPr>
      </w:pPr>
      <w:r w:rsidRPr="00E21676">
        <w:rPr>
          <w:color w:val="FF0000"/>
        </w:rPr>
        <w:t>Appendix 2 states that all costs detailed must include any third-party costs borne by the successful tenderer. Tenderers should price on that basis.</w:t>
      </w:r>
    </w:p>
    <w:p w14:paraId="372BDA45" w14:textId="77777777" w:rsidR="00FE2B3D" w:rsidRPr="00FE2B3D" w:rsidRDefault="00FE2B3D" w:rsidP="00FE2B3D">
      <w:pPr>
        <w:ind w:left="720"/>
      </w:pPr>
    </w:p>
    <w:p w14:paraId="188DAEBF" w14:textId="77777777" w:rsidR="00FE2B3D" w:rsidRDefault="00FE2B3D">
      <w:pPr>
        <w:numPr>
          <w:ilvl w:val="0"/>
          <w:numId w:val="6"/>
        </w:numPr>
      </w:pPr>
      <w:r w:rsidRPr="00FE2B3D">
        <w:t>Where are interviews held, and who pays for the venue?</w:t>
      </w:r>
    </w:p>
    <w:p w14:paraId="3AF8BE62" w14:textId="437CDCEA" w:rsidR="00E21676" w:rsidRPr="00E21676" w:rsidRDefault="00E21676" w:rsidP="00E21676">
      <w:pPr>
        <w:ind w:left="720"/>
        <w:rPr>
          <w:color w:val="FF0000"/>
        </w:rPr>
      </w:pPr>
      <w:r w:rsidRPr="00E21676">
        <w:rPr>
          <w:color w:val="FF0000"/>
        </w:rPr>
        <w:t>Meetings will generally be held at one of the Departments offices or by video link as appropriate. The RFT does not provide for separate venue costs.</w:t>
      </w:r>
    </w:p>
    <w:p w14:paraId="008CBCF4" w14:textId="77777777" w:rsidR="00FE2B3D" w:rsidRPr="00FE2B3D" w:rsidRDefault="00FE2B3D" w:rsidP="00FE2B3D">
      <w:pPr>
        <w:ind w:left="720"/>
      </w:pPr>
    </w:p>
    <w:p w14:paraId="0E75900F" w14:textId="77777777" w:rsidR="00FE2B3D" w:rsidRDefault="00FE2B3D">
      <w:pPr>
        <w:numPr>
          <w:ilvl w:val="0"/>
          <w:numId w:val="7"/>
        </w:numPr>
      </w:pPr>
      <w:r w:rsidRPr="00FE2B3D">
        <w:t>Does a commercial semi-state count as "Public Service" for the references? And what counts as "similar value"?</w:t>
      </w:r>
    </w:p>
    <w:p w14:paraId="67F4126F" w14:textId="537C73F4" w:rsidR="00E21676" w:rsidRPr="00E21676" w:rsidRDefault="00E21676" w:rsidP="00E21676">
      <w:pPr>
        <w:ind w:left="720"/>
        <w:rPr>
          <w:i/>
          <w:iCs/>
          <w:color w:val="FF0000"/>
          <w:u w:val="single"/>
        </w:rPr>
      </w:pPr>
      <w:r w:rsidRPr="00E21676">
        <w:rPr>
          <w:i/>
          <w:iCs/>
          <w:color w:val="FF0000"/>
        </w:rPr>
        <w:t>Tenderers should refer to the Selection Criteria. The RFT requires at least one reference contract to be or have been with the Public Service</w:t>
      </w:r>
      <w:r w:rsidR="00660194">
        <w:rPr>
          <w:i/>
          <w:iCs/>
          <w:color w:val="FF0000"/>
        </w:rPr>
        <w:t xml:space="preserve">.  </w:t>
      </w:r>
      <w:r w:rsidR="004639F5">
        <w:rPr>
          <w:i/>
          <w:iCs/>
          <w:color w:val="FF0000"/>
        </w:rPr>
        <w:t>“Similar value” should be based on the estimated value of this contract stated in section 1.6 of the RFT.</w:t>
      </w:r>
    </w:p>
    <w:p w14:paraId="65E1BEDC" w14:textId="77777777" w:rsidR="00FE2B3D" w:rsidRPr="00FE2B3D" w:rsidRDefault="00FE2B3D" w:rsidP="00FE2B3D">
      <w:pPr>
        <w:ind w:left="720"/>
      </w:pPr>
    </w:p>
    <w:p w14:paraId="4F24570B" w14:textId="77777777" w:rsidR="00FE2B3D" w:rsidRDefault="00FE2B3D">
      <w:pPr>
        <w:numPr>
          <w:ilvl w:val="0"/>
          <w:numId w:val="8"/>
        </w:numPr>
      </w:pPr>
      <w:r w:rsidRPr="00FE2B3D">
        <w:t>What are the liability cap and termination notice? Appendix 5 has these left as placeholders.</w:t>
      </w:r>
    </w:p>
    <w:p w14:paraId="31205ED6" w14:textId="31819007" w:rsidR="00EC1633" w:rsidRDefault="00047713" w:rsidP="00EC1633">
      <w:pPr>
        <w:ind w:left="720"/>
        <w:rPr>
          <w:color w:val="FF0000"/>
        </w:rPr>
      </w:pPr>
      <w:r>
        <w:rPr>
          <w:color w:val="FF0000"/>
        </w:rPr>
        <w:t xml:space="preserve">The liability cap is typically 100% </w:t>
      </w:r>
      <w:r w:rsidR="00216734" w:rsidRPr="00216734">
        <w:rPr>
          <w:color w:val="FF0000"/>
        </w:rPr>
        <w:t>of the Charges paid or projected to be paid (whichever is higher) under this Agreement</w:t>
      </w:r>
      <w:r w:rsidR="00216734">
        <w:rPr>
          <w:color w:val="FF0000"/>
        </w:rPr>
        <w:t>.</w:t>
      </w:r>
      <w:r w:rsidR="00577CF7">
        <w:rPr>
          <w:color w:val="FF0000"/>
        </w:rPr>
        <w:t xml:space="preserve">  The termination note period is 90 days.</w:t>
      </w:r>
    </w:p>
    <w:p w14:paraId="69539535" w14:textId="77777777" w:rsidR="00216734" w:rsidRPr="00EC1633" w:rsidRDefault="00216734" w:rsidP="00EC1633">
      <w:pPr>
        <w:ind w:left="720"/>
        <w:rPr>
          <w:color w:val="FF0000"/>
        </w:rPr>
      </w:pPr>
    </w:p>
    <w:p w14:paraId="402C1D0C" w14:textId="77777777" w:rsidR="00FE2B3D" w:rsidRDefault="00FE2B3D">
      <w:pPr>
        <w:numPr>
          <w:ilvl w:val="0"/>
          <w:numId w:val="9"/>
        </w:numPr>
      </w:pPr>
      <w:r w:rsidRPr="00FE2B3D">
        <w:t>Are these services currently provided under an existing contract? If so, please confirm the start date and the supplier.</w:t>
      </w:r>
    </w:p>
    <w:p w14:paraId="6DFF3123" w14:textId="1A00856E" w:rsidR="00EF447C" w:rsidRPr="00216734" w:rsidRDefault="00EF447C" w:rsidP="00EF447C">
      <w:pPr>
        <w:ind w:left="720"/>
        <w:rPr>
          <w:color w:val="FF0000"/>
        </w:rPr>
      </w:pPr>
      <w:r w:rsidRPr="00216734">
        <w:rPr>
          <w:color w:val="FF0000"/>
        </w:rPr>
        <w:t>The Department does not consider this to be relevant to this request for tender.  The new contract will begin on</w:t>
      </w:r>
      <w:r w:rsidR="00EC1633" w:rsidRPr="00216734">
        <w:rPr>
          <w:color w:val="FF0000"/>
        </w:rPr>
        <w:t xml:space="preserve"> 28 February 2027.</w:t>
      </w:r>
    </w:p>
    <w:p w14:paraId="783EB752" w14:textId="77777777" w:rsidR="00EF447C" w:rsidRPr="00FE2B3D" w:rsidRDefault="00EF447C" w:rsidP="00EF447C">
      <w:pPr>
        <w:ind w:left="720"/>
      </w:pPr>
    </w:p>
    <w:p w14:paraId="731E1B31" w14:textId="2B758D2C" w:rsidR="00EF447C" w:rsidRDefault="00FE2B3D">
      <w:pPr>
        <w:numPr>
          <w:ilvl w:val="0"/>
          <w:numId w:val="10"/>
        </w:numPr>
      </w:pPr>
      <w:r w:rsidRPr="00FE2B3D">
        <w:t>How many campaigns were run and appointments made in each of the last three years, broken down by grade?</w:t>
      </w:r>
    </w:p>
    <w:p w14:paraId="75A8D7E0" w14:textId="2F35813E" w:rsidR="00EF447C" w:rsidRPr="00216734" w:rsidRDefault="00EF447C" w:rsidP="00EC1633">
      <w:pPr>
        <w:ind w:left="720"/>
        <w:rPr>
          <w:color w:val="FF0000"/>
        </w:rPr>
      </w:pPr>
      <w:r w:rsidRPr="00216734">
        <w:rPr>
          <w:color w:val="FF0000"/>
        </w:rPr>
        <w:t>The Department does not consider this to be relevant to this request for tender.  The requirements of the new contract are specified in the RFT.</w:t>
      </w:r>
    </w:p>
    <w:p w14:paraId="36E317DE" w14:textId="77777777" w:rsidR="00EC1633" w:rsidRPr="00FE2B3D" w:rsidRDefault="00EC1633" w:rsidP="00EC1633">
      <w:pPr>
        <w:ind w:left="720"/>
      </w:pPr>
    </w:p>
    <w:p w14:paraId="310E409C" w14:textId="77777777" w:rsidR="00FE2B3D" w:rsidRDefault="00FE2B3D">
      <w:pPr>
        <w:numPr>
          <w:ilvl w:val="0"/>
          <w:numId w:val="11"/>
        </w:numPr>
      </w:pPr>
      <w:r w:rsidRPr="00FE2B3D">
        <w:t xml:space="preserve">What </w:t>
      </w:r>
      <w:proofErr w:type="gramStart"/>
      <w:r w:rsidRPr="00FE2B3D">
        <w:t>was</w:t>
      </w:r>
      <w:proofErr w:type="gramEnd"/>
      <w:r w:rsidRPr="00FE2B3D">
        <w:t xml:space="preserve"> the total spend on these services in each of the last three years?</w:t>
      </w:r>
    </w:p>
    <w:p w14:paraId="554CE208" w14:textId="14727D7F" w:rsidR="00EF447C" w:rsidRPr="00216734" w:rsidRDefault="00EF447C" w:rsidP="00EF447C">
      <w:pPr>
        <w:ind w:left="720"/>
        <w:rPr>
          <w:color w:val="FF0000"/>
        </w:rPr>
      </w:pPr>
      <w:r w:rsidRPr="00216734">
        <w:rPr>
          <w:color w:val="FF0000"/>
        </w:rPr>
        <w:t xml:space="preserve">The Department does not consider this to be relevant to this request for tender.  </w:t>
      </w:r>
    </w:p>
    <w:p w14:paraId="61F24026" w14:textId="77777777" w:rsidR="00EF447C" w:rsidRPr="00FE2B3D" w:rsidRDefault="00EF447C" w:rsidP="00EF447C">
      <w:pPr>
        <w:ind w:left="720"/>
      </w:pPr>
    </w:p>
    <w:p w14:paraId="0AD164C9" w14:textId="77777777" w:rsidR="00FE2B3D" w:rsidRDefault="00FE2B3D">
      <w:pPr>
        <w:numPr>
          <w:ilvl w:val="0"/>
          <w:numId w:val="12"/>
        </w:numPr>
      </w:pPr>
      <w:r w:rsidRPr="00FE2B3D">
        <w:lastRenderedPageBreak/>
        <w:t>What was the fee structure under the current or previous contract (percentage, fixed fee per campaign, or other)?</w:t>
      </w:r>
    </w:p>
    <w:p w14:paraId="49FD3C5A" w14:textId="1389D9D7" w:rsidR="00EF447C" w:rsidRPr="00216734" w:rsidRDefault="00EF447C" w:rsidP="00EF447C">
      <w:pPr>
        <w:pStyle w:val="ListParagraph"/>
        <w:rPr>
          <w:color w:val="FF0000"/>
        </w:rPr>
      </w:pPr>
      <w:r w:rsidRPr="00216734">
        <w:rPr>
          <w:color w:val="FF0000"/>
        </w:rPr>
        <w:t xml:space="preserve">The Department does not consider this to be relevant to this request for tender.  </w:t>
      </w:r>
    </w:p>
    <w:p w14:paraId="543EF1EF" w14:textId="77777777" w:rsidR="00EF447C" w:rsidRPr="00FE2B3D" w:rsidRDefault="00EF447C" w:rsidP="00EF447C">
      <w:pPr>
        <w:ind w:left="720"/>
      </w:pPr>
    </w:p>
    <w:p w14:paraId="1E142AC5" w14:textId="77777777" w:rsidR="00FE2B3D" w:rsidRDefault="00FE2B3D">
      <w:pPr>
        <w:numPr>
          <w:ilvl w:val="0"/>
          <w:numId w:val="13"/>
        </w:numPr>
      </w:pPr>
      <w:r w:rsidRPr="00FE2B3D">
        <w:t>Is targeted search or headhunting allowed for hard-to-fill roles (PO, legal, technical), or is the service advertising-led only?</w:t>
      </w:r>
    </w:p>
    <w:p w14:paraId="6A21376E" w14:textId="77777777" w:rsidR="00B03371" w:rsidRPr="00B03371" w:rsidRDefault="00B03371" w:rsidP="00B03371">
      <w:pPr>
        <w:ind w:left="720"/>
        <w:rPr>
          <w:color w:val="FF0000"/>
        </w:rPr>
      </w:pPr>
      <w:r w:rsidRPr="00B03371">
        <w:rPr>
          <w:color w:val="FF0000"/>
        </w:rPr>
        <w:t>Tenderers should propose an approach that meets the requirements set out in the RFT. The RFT does not expressly require or prohibit targeted search/headhunting activities</w:t>
      </w:r>
    </w:p>
    <w:p w14:paraId="4ADD2B4A" w14:textId="77777777" w:rsidR="00EF447C" w:rsidRPr="00FE2B3D" w:rsidRDefault="00EF447C" w:rsidP="00EF447C">
      <w:pPr>
        <w:ind w:left="720"/>
      </w:pPr>
    </w:p>
    <w:p w14:paraId="06B98071" w14:textId="77777777" w:rsidR="00FE2B3D" w:rsidRDefault="00FE2B3D">
      <w:pPr>
        <w:numPr>
          <w:ilvl w:val="0"/>
          <w:numId w:val="14"/>
        </w:numPr>
      </w:pPr>
      <w:r w:rsidRPr="00FE2B3D">
        <w:t>Which psychometric tests do you expect at AP to PO level (ability, personality, both)? Must they be proctored?</w:t>
      </w:r>
    </w:p>
    <w:p w14:paraId="19EB9408" w14:textId="77777777" w:rsidR="00B03371" w:rsidRPr="00B03371" w:rsidRDefault="00B03371" w:rsidP="00B03371">
      <w:pPr>
        <w:ind w:left="720"/>
        <w:rPr>
          <w:color w:val="FF0000"/>
        </w:rPr>
      </w:pPr>
      <w:r w:rsidRPr="00B03371">
        <w:rPr>
          <w:color w:val="FF0000"/>
        </w:rPr>
        <w:t>The RFT states that psychometric assessment may be used, usually at Assistant Principal to Principal Officer level. No specific assessment tools or proctoring requirements are prescribed.</w:t>
      </w:r>
    </w:p>
    <w:p w14:paraId="024E0E65" w14:textId="77777777" w:rsidR="00EF447C" w:rsidRPr="00FE2B3D" w:rsidRDefault="00EF447C" w:rsidP="00B03371"/>
    <w:p w14:paraId="15811D5C" w14:textId="77777777" w:rsidR="00FE2B3D" w:rsidRDefault="00FE2B3D">
      <w:pPr>
        <w:numPr>
          <w:ilvl w:val="0"/>
          <w:numId w:val="15"/>
        </w:numPr>
      </w:pPr>
      <w:r w:rsidRPr="00FE2B3D">
        <w:t>Will interviews be held in person at 23 Kildare Street, by video, or both? Must the notetaker and 4th panel member attend in person?</w:t>
      </w:r>
    </w:p>
    <w:p w14:paraId="57D9BABE" w14:textId="5AC059C9" w:rsidR="0095505C" w:rsidRDefault="00B03371" w:rsidP="0095505C">
      <w:pPr>
        <w:ind w:left="720"/>
        <w:rPr>
          <w:color w:val="FF0000"/>
        </w:rPr>
      </w:pPr>
      <w:r w:rsidRPr="00E21676">
        <w:rPr>
          <w:color w:val="FF0000"/>
        </w:rPr>
        <w:t>Meetings will generally be held at one of the Departments offices or by video link as appropriate.</w:t>
      </w:r>
      <w:r w:rsidR="0095505C">
        <w:rPr>
          <w:color w:val="FF0000"/>
        </w:rPr>
        <w:t xml:space="preserve">  </w:t>
      </w:r>
      <w:r w:rsidR="0095505C" w:rsidRPr="0095505C">
        <w:rPr>
          <w:color w:val="FF0000"/>
        </w:rPr>
        <w:t>The Department will provide the Chair and potentially two additional panel members. The successful tenderer will provide a note taker and may be required to provide a fourth panel member. No further attendance requirements are specified</w:t>
      </w:r>
      <w:r w:rsidR="0095505C">
        <w:rPr>
          <w:color w:val="FF0000"/>
        </w:rPr>
        <w:t>.</w:t>
      </w:r>
    </w:p>
    <w:p w14:paraId="6143578F" w14:textId="77777777" w:rsidR="00216734" w:rsidRPr="0095505C" w:rsidRDefault="00216734" w:rsidP="0095505C">
      <w:pPr>
        <w:ind w:left="720"/>
        <w:rPr>
          <w:color w:val="FF0000"/>
        </w:rPr>
      </w:pPr>
    </w:p>
    <w:p w14:paraId="15500FA4" w14:textId="77777777" w:rsidR="00FE2B3D" w:rsidRDefault="00FE2B3D">
      <w:pPr>
        <w:numPr>
          <w:ilvl w:val="0"/>
          <w:numId w:val="16"/>
        </w:numPr>
      </w:pPr>
      <w:r w:rsidRPr="00FE2B3D">
        <w:t>Roughly how many new interviewers would need training each year, and is that training covered by the placement fee?</w:t>
      </w:r>
    </w:p>
    <w:p w14:paraId="5967C9F2" w14:textId="77777777" w:rsidR="0095505C" w:rsidRPr="0095505C" w:rsidRDefault="0095505C" w:rsidP="0095505C">
      <w:pPr>
        <w:ind w:left="720"/>
        <w:rPr>
          <w:color w:val="FF0000"/>
        </w:rPr>
      </w:pPr>
      <w:r w:rsidRPr="0095505C">
        <w:rPr>
          <w:color w:val="FF0000"/>
        </w:rPr>
        <w:t>The number of interviewers requiring training is unknown. Tenderers should price in accordance with the requirements of the RFT. Providing training to new interviewers, where appropriate, forms part of the required services.</w:t>
      </w:r>
    </w:p>
    <w:p w14:paraId="5FD336EF" w14:textId="77777777" w:rsidR="00527FDD" w:rsidRPr="00FE2B3D" w:rsidRDefault="00527FDD" w:rsidP="0095505C"/>
    <w:p w14:paraId="3B74C96A" w14:textId="77777777" w:rsidR="00FE2B3D" w:rsidRDefault="00FE2B3D">
      <w:pPr>
        <w:numPr>
          <w:ilvl w:val="0"/>
          <w:numId w:val="17"/>
        </w:numPr>
      </w:pPr>
      <w:r w:rsidRPr="00FE2B3D">
        <w:t>Are Irish-language versions of adverts, candidate booklets or candidate communications required? If so, should translation be included in the fee?</w:t>
      </w:r>
    </w:p>
    <w:p w14:paraId="13902D79" w14:textId="77777777" w:rsidR="0095505C" w:rsidRPr="0095505C" w:rsidRDefault="0095505C" w:rsidP="0095505C">
      <w:pPr>
        <w:ind w:left="720"/>
      </w:pPr>
      <w:r w:rsidRPr="0095505C">
        <w:rPr>
          <w:color w:val="FF0000"/>
        </w:rPr>
        <w:t>The RFT does not specify a requirement for Irish-language material.</w:t>
      </w:r>
    </w:p>
    <w:p w14:paraId="381CAFA6" w14:textId="77777777" w:rsidR="00527FDD" w:rsidRPr="00FE2B3D" w:rsidRDefault="00527FDD" w:rsidP="0095505C"/>
    <w:p w14:paraId="0A5FC240" w14:textId="77777777" w:rsidR="00FE2B3D" w:rsidRDefault="00FE2B3D">
      <w:pPr>
        <w:numPr>
          <w:ilvl w:val="0"/>
          <w:numId w:val="18"/>
        </w:numPr>
      </w:pPr>
      <w:r w:rsidRPr="00FE2B3D">
        <w:t>How long do panels typically remain live?</w:t>
      </w:r>
    </w:p>
    <w:p w14:paraId="5A8F17FC" w14:textId="53C720D8" w:rsidR="00016CAA" w:rsidRPr="00016CAA" w:rsidRDefault="00016CAA" w:rsidP="00016CAA">
      <w:pPr>
        <w:ind w:left="720"/>
        <w:rPr>
          <w:color w:val="FF0000"/>
        </w:rPr>
      </w:pPr>
      <w:r w:rsidRPr="00016CAA">
        <w:rPr>
          <w:color w:val="FF0000"/>
        </w:rPr>
        <w:t>No panel duration is specified in the RFT.</w:t>
      </w:r>
    </w:p>
    <w:p w14:paraId="32939054" w14:textId="77777777" w:rsidR="00527FDD" w:rsidRPr="00FE2B3D" w:rsidRDefault="00527FDD" w:rsidP="00016CAA"/>
    <w:p w14:paraId="16ABC374" w14:textId="77777777" w:rsidR="00FE2B3D" w:rsidRDefault="00FE2B3D">
      <w:pPr>
        <w:numPr>
          <w:ilvl w:val="0"/>
          <w:numId w:val="19"/>
        </w:numPr>
      </w:pPr>
      <w:r w:rsidRPr="00FE2B3D">
        <w:t>When do you expect the first campaigns to start after contract award?</w:t>
      </w:r>
    </w:p>
    <w:p w14:paraId="568A916F" w14:textId="77777777" w:rsidR="00016CAA" w:rsidRPr="00016CAA" w:rsidRDefault="00016CAA" w:rsidP="00016CAA">
      <w:pPr>
        <w:ind w:left="720"/>
        <w:rPr>
          <w:color w:val="FF0000"/>
        </w:rPr>
      </w:pPr>
      <w:r w:rsidRPr="00016CAA">
        <w:rPr>
          <w:color w:val="FF0000"/>
        </w:rPr>
        <w:t>This has not yet been determined and will depend on business requirements arising during the contract term. The RFT does not specify commencement dates for individual campaigns.</w:t>
      </w:r>
    </w:p>
    <w:p w14:paraId="13EDB0A9" w14:textId="77777777" w:rsidR="00527FDD" w:rsidRPr="00FE2B3D" w:rsidRDefault="00527FDD" w:rsidP="00016CAA"/>
    <w:p w14:paraId="56760771" w14:textId="77777777" w:rsidR="00FE2B3D" w:rsidRDefault="00FE2B3D">
      <w:pPr>
        <w:numPr>
          <w:ilvl w:val="0"/>
          <w:numId w:val="20"/>
        </w:numPr>
      </w:pPr>
      <w:r w:rsidRPr="00FE2B3D">
        <w:t>Are the 42 appointments in the pricing table for the full term or per year?</w:t>
      </w:r>
    </w:p>
    <w:p w14:paraId="43983516" w14:textId="77777777" w:rsidR="00016CAA" w:rsidRPr="00016CAA" w:rsidRDefault="00016CAA" w:rsidP="00016CAA">
      <w:pPr>
        <w:ind w:left="720"/>
        <w:rPr>
          <w:color w:val="FF0000"/>
        </w:rPr>
      </w:pPr>
      <w:r w:rsidRPr="00016CAA">
        <w:rPr>
          <w:color w:val="FF0000"/>
        </w:rPr>
        <w:t>The estimated appointments shown in Appendix 2 are provided for tender evaluation purposes only.</w:t>
      </w:r>
    </w:p>
    <w:p w14:paraId="0D23C75C" w14:textId="77777777" w:rsidR="00527FDD" w:rsidRPr="00FE2B3D" w:rsidRDefault="00527FDD" w:rsidP="00527FDD">
      <w:pPr>
        <w:ind w:left="720"/>
      </w:pPr>
    </w:p>
    <w:p w14:paraId="09084CC6" w14:textId="77777777" w:rsidR="00FE2B3D" w:rsidRDefault="00FE2B3D">
      <w:pPr>
        <w:numPr>
          <w:ilvl w:val="0"/>
          <w:numId w:val="21"/>
        </w:numPr>
      </w:pPr>
      <w:r w:rsidRPr="00FE2B3D">
        <w:t>How many separate campaigns do you expect? For example, will the 20 EO appointments come from one campaign or several?</w:t>
      </w:r>
    </w:p>
    <w:p w14:paraId="1F0815E4" w14:textId="77777777" w:rsidR="00016CAA" w:rsidRPr="00016CAA" w:rsidRDefault="00016CAA" w:rsidP="00016CAA">
      <w:pPr>
        <w:ind w:left="720"/>
        <w:rPr>
          <w:color w:val="FF0000"/>
        </w:rPr>
      </w:pPr>
      <w:r w:rsidRPr="00016CAA">
        <w:rPr>
          <w:color w:val="FF0000"/>
        </w:rPr>
        <w:t>This has not been determined. Requirements will arise as business needs emerge during the contract term.</w:t>
      </w:r>
    </w:p>
    <w:p w14:paraId="28AC3EFC" w14:textId="77777777" w:rsidR="00527FDD" w:rsidRPr="00FE2B3D" w:rsidRDefault="00527FDD" w:rsidP="00016CAA"/>
    <w:p w14:paraId="1E760FCA" w14:textId="77777777" w:rsidR="00FE2B3D" w:rsidRDefault="00FE2B3D">
      <w:pPr>
        <w:numPr>
          <w:ilvl w:val="0"/>
          <w:numId w:val="22"/>
        </w:numPr>
      </w:pPr>
      <w:r w:rsidRPr="00FE2B3D">
        <w:t>Clerical Officer shows 0 appointments. Should we still quote a percentage for CO, and does it affect the cost score?</w:t>
      </w:r>
    </w:p>
    <w:p w14:paraId="136ED312" w14:textId="32AEB7A5" w:rsidR="00016CAA" w:rsidRPr="00016CAA" w:rsidRDefault="00016CAA" w:rsidP="00016CAA">
      <w:pPr>
        <w:ind w:left="720"/>
        <w:rPr>
          <w:color w:val="FF0000"/>
        </w:rPr>
      </w:pPr>
      <w:r w:rsidRPr="00016CAA">
        <w:rPr>
          <w:color w:val="FF0000"/>
        </w:rPr>
        <w:t>Tenderers should complete the pricing schedule in Appendix 2.</w:t>
      </w:r>
    </w:p>
    <w:p w14:paraId="4BEA76D8" w14:textId="77777777" w:rsidR="00527FDD" w:rsidRPr="00FE2B3D" w:rsidRDefault="00527FDD" w:rsidP="00527FDD">
      <w:pPr>
        <w:ind w:left="720"/>
      </w:pPr>
    </w:p>
    <w:p w14:paraId="32487347" w14:textId="77777777" w:rsidR="00FE2B3D" w:rsidRDefault="00FE2B3D">
      <w:pPr>
        <w:numPr>
          <w:ilvl w:val="0"/>
          <w:numId w:val="23"/>
        </w:numPr>
      </w:pPr>
      <w:r w:rsidRPr="00FE2B3D">
        <w:t>Legal and Professional/Technical grades aren't in the pricing table. What fee basis applies to them?</w:t>
      </w:r>
    </w:p>
    <w:p w14:paraId="58233575" w14:textId="77777777" w:rsidR="00552CF9" w:rsidRPr="00552CF9" w:rsidRDefault="00552CF9" w:rsidP="00552CF9">
      <w:pPr>
        <w:ind w:left="720"/>
        <w:rPr>
          <w:color w:val="FF0000"/>
        </w:rPr>
      </w:pPr>
      <w:r w:rsidRPr="00552CF9">
        <w:rPr>
          <w:color w:val="FF0000"/>
        </w:rPr>
        <w:t>The RFT notes that recruitment may include Legal or Professional/Technical grades. No separate pricing line has been provided in Appendix 2. Tenderers may add additional lines to the pricing schedule where appropriate.</w:t>
      </w:r>
    </w:p>
    <w:p w14:paraId="1A109D8E" w14:textId="77777777" w:rsidR="002705D5" w:rsidRPr="00FE2B3D" w:rsidRDefault="002705D5" w:rsidP="00552CF9"/>
    <w:p w14:paraId="207B3BCB" w14:textId="77777777" w:rsidR="00FE2B3D" w:rsidRDefault="00FE2B3D">
      <w:pPr>
        <w:numPr>
          <w:ilvl w:val="0"/>
          <w:numId w:val="24"/>
        </w:numPr>
      </w:pPr>
      <w:r w:rsidRPr="00FE2B3D">
        <w:t>Appendix 1 invites optional extras priced in Appendix 2, but Appendix 2 has no line for them. Where should extras be priced, and are they part of the cost score?</w:t>
      </w:r>
    </w:p>
    <w:p w14:paraId="61AE93B0" w14:textId="6B0AFE46" w:rsidR="002705D5" w:rsidRPr="004178B8" w:rsidRDefault="002705D5" w:rsidP="002705D5">
      <w:pPr>
        <w:ind w:left="720"/>
        <w:rPr>
          <w:color w:val="FF0000"/>
        </w:rPr>
      </w:pPr>
      <w:r w:rsidRPr="004178B8">
        <w:rPr>
          <w:color w:val="FF0000"/>
        </w:rPr>
        <w:t>The cost table can be amended by tenderers to add additional lines.</w:t>
      </w:r>
    </w:p>
    <w:p w14:paraId="1E9282A1" w14:textId="77777777" w:rsidR="002705D5" w:rsidRPr="00FE2B3D" w:rsidRDefault="002705D5" w:rsidP="002705D5">
      <w:pPr>
        <w:ind w:left="720"/>
      </w:pPr>
    </w:p>
    <w:p w14:paraId="32B19BC9" w14:textId="77777777" w:rsidR="00FE2B3D" w:rsidRDefault="00FE2B3D">
      <w:pPr>
        <w:numPr>
          <w:ilvl w:val="0"/>
          <w:numId w:val="25"/>
        </w:numPr>
      </w:pPr>
      <w:r w:rsidRPr="00FE2B3D">
        <w:t>What application volumes do you typically get for EO and AP campaigns?</w:t>
      </w:r>
    </w:p>
    <w:p w14:paraId="1E9FC775" w14:textId="2DC8751E" w:rsidR="002705D5" w:rsidRPr="00552CF9" w:rsidRDefault="00552CF9" w:rsidP="00552CF9">
      <w:pPr>
        <w:ind w:left="720"/>
        <w:rPr>
          <w:color w:val="FF0000"/>
        </w:rPr>
      </w:pPr>
      <w:r w:rsidRPr="00552CF9">
        <w:rPr>
          <w:color w:val="FF0000"/>
        </w:rPr>
        <w:t>The Department does not consider this information relevant to this request for tender. The requirements of the contract are specified in the RFT.</w:t>
      </w:r>
    </w:p>
    <w:p w14:paraId="3B45E7A2" w14:textId="77777777" w:rsidR="00552CF9" w:rsidRPr="00FE2B3D" w:rsidRDefault="00552CF9" w:rsidP="00552CF9">
      <w:pPr>
        <w:ind w:left="720"/>
      </w:pPr>
    </w:p>
    <w:p w14:paraId="0439C9D8" w14:textId="77777777" w:rsidR="00FE2B3D" w:rsidRDefault="00FE2B3D">
      <w:pPr>
        <w:numPr>
          <w:ilvl w:val="0"/>
          <w:numId w:val="26"/>
        </w:numPr>
      </w:pPr>
      <w:r w:rsidRPr="00FE2B3D">
        <w:t>Are there page limits for the response? Can CVs and samples (feedback template, candidate booklet) go in appendices outside any limit?</w:t>
      </w:r>
    </w:p>
    <w:p w14:paraId="4991E815" w14:textId="461D4E43" w:rsidR="00264668" w:rsidRPr="004178B8" w:rsidRDefault="00264668" w:rsidP="00264668">
      <w:pPr>
        <w:ind w:left="720"/>
        <w:rPr>
          <w:color w:val="FF0000"/>
        </w:rPr>
      </w:pPr>
      <w:r w:rsidRPr="004178B8">
        <w:rPr>
          <w:color w:val="FF0000"/>
        </w:rPr>
        <w:t xml:space="preserve">There is no </w:t>
      </w:r>
      <w:r w:rsidR="00552CF9" w:rsidRPr="004178B8">
        <w:rPr>
          <w:color w:val="FF0000"/>
        </w:rPr>
        <w:t>limit,</w:t>
      </w:r>
      <w:r w:rsidRPr="004178B8">
        <w:rPr>
          <w:color w:val="FF0000"/>
        </w:rPr>
        <w:t xml:space="preserve"> but tender responses should be directly relevant to the requirements of the request for tender.</w:t>
      </w:r>
    </w:p>
    <w:p w14:paraId="04A7AC6C" w14:textId="77777777" w:rsidR="00264668" w:rsidRDefault="00264668" w:rsidP="00264668">
      <w:pPr>
        <w:ind w:left="720"/>
      </w:pPr>
    </w:p>
    <w:p w14:paraId="523448CC" w14:textId="77777777" w:rsidR="00264668" w:rsidRDefault="00264668" w:rsidP="00264668">
      <w:pPr>
        <w:numPr>
          <w:ilvl w:val="0"/>
          <w:numId w:val="26"/>
        </w:numPr>
      </w:pPr>
      <w:r>
        <w:t>We note that from the pricing schedule that the costs provided are expected to cover all activities associated with each appointment campaign. Could you please clarify whether third-party costs and outlays, such as psychometric assessments, are expected to be included within the overall campaign fee, or whether there is a separate mechanism for the recovery of these expenses?</w:t>
      </w:r>
    </w:p>
    <w:p w14:paraId="33E72F27" w14:textId="77777777" w:rsidR="00552CF9" w:rsidRPr="00552CF9" w:rsidRDefault="00552CF9" w:rsidP="00552CF9">
      <w:pPr>
        <w:ind w:left="720"/>
        <w:rPr>
          <w:color w:val="FF0000"/>
        </w:rPr>
      </w:pPr>
      <w:r w:rsidRPr="00552CF9">
        <w:rPr>
          <w:color w:val="FF0000"/>
        </w:rPr>
        <w:t>Yes. Appendix 2 states that all costs detailed must include any third-party costs, which will be borne by the successful tenderer.</w:t>
      </w:r>
    </w:p>
    <w:p w14:paraId="14121374" w14:textId="77777777" w:rsidR="00264668" w:rsidRDefault="00264668" w:rsidP="00552CF9"/>
    <w:p w14:paraId="4A5AE870" w14:textId="77777777" w:rsidR="00264668" w:rsidRDefault="00264668" w:rsidP="00264668">
      <w:pPr>
        <w:numPr>
          <w:ilvl w:val="0"/>
          <w:numId w:val="26"/>
        </w:numPr>
      </w:pPr>
      <w:r>
        <w:t>In addition, could you confirm at what stage of the recruitment process psychometric assessments are anticipated to be utilised (for example, following shortlisting, prior to final interview, or before appointment)?</w:t>
      </w:r>
    </w:p>
    <w:p w14:paraId="4D464380" w14:textId="77777777" w:rsidR="00552CF9" w:rsidRPr="00552CF9" w:rsidRDefault="00552CF9" w:rsidP="00552CF9">
      <w:pPr>
        <w:ind w:left="720"/>
        <w:rPr>
          <w:color w:val="FF0000"/>
        </w:rPr>
      </w:pPr>
      <w:r w:rsidRPr="00552CF9">
        <w:rPr>
          <w:color w:val="FF0000"/>
        </w:rPr>
        <w:t>The RFT states that psychometric assessment may be conducted where applicable, usually at Assistant Principal to Principal Officer level. No specific stage of the recruitment process is prescribed.</w:t>
      </w:r>
    </w:p>
    <w:p w14:paraId="0E79772E" w14:textId="77777777" w:rsidR="00264668" w:rsidRDefault="00264668" w:rsidP="00264668">
      <w:pPr>
        <w:ind w:left="720"/>
      </w:pPr>
    </w:p>
    <w:p w14:paraId="528A86FA" w14:textId="1A700A3D" w:rsidR="00264668" w:rsidRDefault="004178B8" w:rsidP="00264668">
      <w:pPr>
        <w:numPr>
          <w:ilvl w:val="0"/>
          <w:numId w:val="26"/>
        </w:numPr>
      </w:pPr>
      <w:r>
        <w:t>W</w:t>
      </w:r>
      <w:r w:rsidR="00264668">
        <w:t>e would appreciate further insight into the anticipated nature and scale of recruitment campaigns under this framework. In particular, are appointments expected to arise primarily through large-scale panel competitions, or will requirements be more focused on smaller, role-specific recruitment campaigns?</w:t>
      </w:r>
    </w:p>
    <w:p w14:paraId="651CC7AD" w14:textId="77777777" w:rsidR="002101B6" w:rsidRDefault="00552CF9" w:rsidP="002101B6">
      <w:pPr>
        <w:ind w:left="720"/>
        <w:rPr>
          <w:color w:val="FF0000"/>
        </w:rPr>
      </w:pPr>
      <w:r w:rsidRPr="00552CF9">
        <w:rPr>
          <w:color w:val="FF0000"/>
        </w:rPr>
        <w:t>The RFT provides estimated appointment volumes for evaluation purposes only. Recruitment may range from Clerical Officer to Principal Officer grades and may also include Legal or Professional/Technical grades. Further requirements will be clarified as needs arise.</w:t>
      </w:r>
    </w:p>
    <w:p w14:paraId="564C714A" w14:textId="77777777" w:rsidR="002101B6" w:rsidRDefault="002101B6" w:rsidP="002101B6">
      <w:pPr>
        <w:ind w:left="720"/>
        <w:rPr>
          <w:color w:val="FF0000"/>
        </w:rPr>
      </w:pPr>
    </w:p>
    <w:p w14:paraId="3D6C3664" w14:textId="3C520E60" w:rsidR="002101B6" w:rsidRDefault="002101B6" w:rsidP="002101B6">
      <w:pPr>
        <w:numPr>
          <w:ilvl w:val="0"/>
          <w:numId w:val="26"/>
        </w:numPr>
      </w:pPr>
      <w:r w:rsidRPr="002101B6">
        <w:lastRenderedPageBreak/>
        <w:t>Could you confirm the estimated number of campaigns per year, and the average number of applications per campaign.</w:t>
      </w:r>
    </w:p>
    <w:p w14:paraId="29A7CB57" w14:textId="1D1E2763" w:rsidR="00264668" w:rsidRDefault="002101B6" w:rsidP="002101B6">
      <w:pPr>
        <w:pStyle w:val="ListParagraph"/>
        <w:rPr>
          <w:color w:val="FF0000"/>
        </w:rPr>
      </w:pPr>
      <w:r w:rsidRPr="002101B6">
        <w:rPr>
          <w:color w:val="FF0000"/>
        </w:rPr>
        <w:t>The RFT provides estimated appointment volumes for evaluation purposes only. Further requirements will be clarified as needs arise.</w:t>
      </w:r>
    </w:p>
    <w:p w14:paraId="27A617A4" w14:textId="77777777" w:rsidR="0081507A" w:rsidRDefault="0081507A" w:rsidP="0081507A">
      <w:pPr>
        <w:rPr>
          <w:color w:val="FF0000"/>
        </w:rPr>
      </w:pPr>
    </w:p>
    <w:p w14:paraId="7AC6991B" w14:textId="565712A3" w:rsidR="0081507A" w:rsidRPr="0081507A" w:rsidRDefault="0081507A" w:rsidP="0081507A">
      <w:pPr>
        <w:rPr>
          <w:b/>
          <w:bCs/>
          <w:color w:val="000000" w:themeColor="text1"/>
        </w:rPr>
      </w:pPr>
      <w:r w:rsidRPr="0081507A">
        <w:rPr>
          <w:b/>
          <w:bCs/>
          <w:color w:val="000000" w:themeColor="text1"/>
        </w:rPr>
        <w:t>Additional clarifications added 19</w:t>
      </w:r>
      <w:r w:rsidRPr="0081507A">
        <w:rPr>
          <w:b/>
          <w:bCs/>
          <w:color w:val="000000" w:themeColor="text1"/>
          <w:vertAlign w:val="superscript"/>
        </w:rPr>
        <w:t>th</w:t>
      </w:r>
      <w:r w:rsidRPr="0081507A">
        <w:rPr>
          <w:b/>
          <w:bCs/>
          <w:color w:val="000000" w:themeColor="text1"/>
        </w:rPr>
        <w:t xml:space="preserve"> October 2026.</w:t>
      </w:r>
    </w:p>
    <w:p w14:paraId="02C4C100" w14:textId="77777777" w:rsidR="0081507A" w:rsidRPr="0081507A" w:rsidRDefault="0081507A" w:rsidP="0081507A">
      <w:pPr>
        <w:rPr>
          <w:color w:val="000000" w:themeColor="text1"/>
        </w:rPr>
      </w:pPr>
    </w:p>
    <w:p w14:paraId="2F8C71F8" w14:textId="77777777" w:rsidR="0081507A" w:rsidRPr="0081507A" w:rsidRDefault="0081507A" w:rsidP="0081507A">
      <w:pPr>
        <w:pStyle w:val="ListParagraph"/>
        <w:numPr>
          <w:ilvl w:val="0"/>
          <w:numId w:val="35"/>
        </w:numPr>
        <w:rPr>
          <w:color w:val="000000" w:themeColor="text1"/>
        </w:rPr>
      </w:pPr>
      <w:r w:rsidRPr="0081507A">
        <w:rPr>
          <w:color w:val="000000" w:themeColor="text1"/>
        </w:rPr>
        <w:t>Are there any required fonts, font sizes, page limits, word limits for Criterion A, B, and C?</w:t>
      </w:r>
    </w:p>
    <w:p w14:paraId="39FD13A2" w14:textId="77777777" w:rsidR="0081507A" w:rsidRPr="0081507A" w:rsidRDefault="0081507A" w:rsidP="0081507A">
      <w:pPr>
        <w:ind w:firstLine="720"/>
        <w:rPr>
          <w:color w:val="FF0000"/>
        </w:rPr>
      </w:pPr>
      <w:r w:rsidRPr="0081507A">
        <w:rPr>
          <w:color w:val="FF0000"/>
        </w:rPr>
        <w:t>No.</w:t>
      </w:r>
    </w:p>
    <w:p w14:paraId="1C9207DD" w14:textId="77777777" w:rsidR="0081507A" w:rsidRDefault="0081507A" w:rsidP="0081507A">
      <w:pPr>
        <w:ind w:left="720"/>
        <w:rPr>
          <w:color w:val="000000" w:themeColor="text1"/>
        </w:rPr>
      </w:pPr>
    </w:p>
    <w:p w14:paraId="3CE6EDD7" w14:textId="53E89467" w:rsidR="0081507A" w:rsidRPr="0081507A" w:rsidRDefault="0081507A" w:rsidP="0081507A">
      <w:pPr>
        <w:pStyle w:val="ListParagraph"/>
        <w:numPr>
          <w:ilvl w:val="0"/>
          <w:numId w:val="35"/>
        </w:numPr>
        <w:rPr>
          <w:color w:val="000000" w:themeColor="text1"/>
        </w:rPr>
      </w:pPr>
      <w:r w:rsidRPr="0081507A">
        <w:rPr>
          <w:color w:val="000000" w:themeColor="text1"/>
        </w:rPr>
        <w:t>Is the placement fee in Appendix 2 to be provided in Margin or Mark-Up?</w:t>
      </w:r>
    </w:p>
    <w:p w14:paraId="023F2F98" w14:textId="77777777" w:rsidR="0081507A" w:rsidRPr="0081507A" w:rsidRDefault="0081507A" w:rsidP="0081507A">
      <w:pPr>
        <w:ind w:firstLine="720"/>
        <w:rPr>
          <w:color w:val="FF0000"/>
        </w:rPr>
      </w:pPr>
      <w:r w:rsidRPr="0081507A">
        <w:rPr>
          <w:color w:val="FF0000"/>
        </w:rPr>
        <w:t>The placement fee is a % of the current salary scales.</w:t>
      </w:r>
    </w:p>
    <w:p w14:paraId="2E35450E" w14:textId="77777777" w:rsidR="0081507A" w:rsidRDefault="0081507A" w:rsidP="0081507A">
      <w:pPr>
        <w:ind w:firstLine="720"/>
        <w:rPr>
          <w:color w:val="000000" w:themeColor="text1"/>
        </w:rPr>
      </w:pPr>
    </w:p>
    <w:p w14:paraId="35BD941B" w14:textId="246A8957" w:rsidR="0081507A" w:rsidRDefault="0081507A" w:rsidP="0081507A">
      <w:pPr>
        <w:pStyle w:val="ListParagraph"/>
        <w:numPr>
          <w:ilvl w:val="0"/>
          <w:numId w:val="35"/>
        </w:numPr>
        <w:rPr>
          <w:color w:val="000000" w:themeColor="text1"/>
        </w:rPr>
      </w:pPr>
      <w:r w:rsidRPr="0081507A">
        <w:rPr>
          <w:color w:val="000000" w:themeColor="text1"/>
        </w:rPr>
        <w:t>By way of 'Recruitment Licence', can you confirm which licence is required? I.e. Employment Agency or CPSA?</w:t>
      </w:r>
    </w:p>
    <w:p w14:paraId="3F8F1FC5" w14:textId="77777777" w:rsidR="0081507A" w:rsidRDefault="0081507A" w:rsidP="0081507A">
      <w:pPr>
        <w:pStyle w:val="ListParagraph"/>
        <w:rPr>
          <w:color w:val="000000" w:themeColor="text1"/>
        </w:rPr>
      </w:pPr>
    </w:p>
    <w:p w14:paraId="74FA2BAB" w14:textId="5015E53F" w:rsidR="0081507A" w:rsidRPr="0081507A" w:rsidRDefault="0081507A" w:rsidP="0081507A">
      <w:pPr>
        <w:pStyle w:val="ListParagraph"/>
        <w:rPr>
          <w:color w:val="FF0000"/>
        </w:rPr>
      </w:pPr>
      <w:r w:rsidRPr="0081507A">
        <w:rPr>
          <w:color w:val="FF0000"/>
        </w:rPr>
        <w:t>The required licence is a valid Employment Agency Licence, supported by documentary evidence.</w:t>
      </w:r>
    </w:p>
    <w:p w14:paraId="3FBF6490" w14:textId="77777777" w:rsidR="0081507A" w:rsidRPr="0081507A" w:rsidRDefault="0081507A" w:rsidP="0081507A">
      <w:pPr>
        <w:rPr>
          <w:color w:val="000000" w:themeColor="text1"/>
        </w:rPr>
      </w:pPr>
    </w:p>
    <w:sectPr w:rsidR="0081507A" w:rsidRPr="008150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62C5"/>
    <w:multiLevelType w:val="hybridMultilevel"/>
    <w:tmpl w:val="BC6868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A847168"/>
    <w:multiLevelType w:val="hybridMultilevel"/>
    <w:tmpl w:val="F3A6F3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1C007BB"/>
    <w:multiLevelType w:val="hybridMultilevel"/>
    <w:tmpl w:val="7C786A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48B2450"/>
    <w:multiLevelType w:val="multilevel"/>
    <w:tmpl w:val="B9DCB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191A63"/>
    <w:multiLevelType w:val="hybridMultilevel"/>
    <w:tmpl w:val="9F782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D8B472A"/>
    <w:multiLevelType w:val="multilevel"/>
    <w:tmpl w:val="9B1C2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5136B8"/>
    <w:multiLevelType w:val="multilevel"/>
    <w:tmpl w:val="DF18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C00757"/>
    <w:multiLevelType w:val="hybridMultilevel"/>
    <w:tmpl w:val="6FE894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EA10469"/>
    <w:multiLevelType w:val="hybridMultilevel"/>
    <w:tmpl w:val="D0F0F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95035C7"/>
    <w:multiLevelType w:val="multilevel"/>
    <w:tmpl w:val="8CAC1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374121">
    <w:abstractNumId w:val="3"/>
    <w:lvlOverride w:ilvl="0">
      <w:lvl w:ilvl="0">
        <w:numFmt w:val="bullet"/>
        <w:lvlText w:val=""/>
        <w:lvlJc w:val="left"/>
        <w:pPr>
          <w:tabs>
            <w:tab w:val="num" w:pos="720"/>
          </w:tabs>
          <w:ind w:left="720" w:hanging="360"/>
        </w:pPr>
        <w:rPr>
          <w:rFonts w:ascii="Symbol" w:hAnsi="Symbol" w:hint="default"/>
          <w:sz w:val="20"/>
        </w:rPr>
      </w:lvl>
    </w:lvlOverride>
  </w:num>
  <w:num w:numId="2" w16cid:durableId="1411149987">
    <w:abstractNumId w:val="3"/>
    <w:lvlOverride w:ilvl="0">
      <w:lvl w:ilvl="0">
        <w:numFmt w:val="bullet"/>
        <w:lvlText w:val=""/>
        <w:lvlJc w:val="left"/>
        <w:pPr>
          <w:tabs>
            <w:tab w:val="num" w:pos="720"/>
          </w:tabs>
          <w:ind w:left="720" w:hanging="360"/>
        </w:pPr>
        <w:rPr>
          <w:rFonts w:ascii="Symbol" w:hAnsi="Symbol" w:hint="default"/>
          <w:sz w:val="20"/>
        </w:rPr>
      </w:lvl>
    </w:lvlOverride>
  </w:num>
  <w:num w:numId="3" w16cid:durableId="1973363919">
    <w:abstractNumId w:val="3"/>
    <w:lvlOverride w:ilvl="0">
      <w:lvl w:ilvl="0">
        <w:numFmt w:val="bullet"/>
        <w:lvlText w:val=""/>
        <w:lvlJc w:val="left"/>
        <w:pPr>
          <w:tabs>
            <w:tab w:val="num" w:pos="720"/>
          </w:tabs>
          <w:ind w:left="720" w:hanging="360"/>
        </w:pPr>
        <w:rPr>
          <w:rFonts w:ascii="Symbol" w:hAnsi="Symbol" w:hint="default"/>
          <w:sz w:val="20"/>
        </w:rPr>
      </w:lvl>
    </w:lvlOverride>
  </w:num>
  <w:num w:numId="4" w16cid:durableId="230850151">
    <w:abstractNumId w:val="3"/>
    <w:lvlOverride w:ilvl="0">
      <w:lvl w:ilvl="0">
        <w:numFmt w:val="bullet"/>
        <w:lvlText w:val=""/>
        <w:lvlJc w:val="left"/>
        <w:pPr>
          <w:tabs>
            <w:tab w:val="num" w:pos="720"/>
          </w:tabs>
          <w:ind w:left="720" w:hanging="360"/>
        </w:pPr>
        <w:rPr>
          <w:rFonts w:ascii="Symbol" w:hAnsi="Symbol" w:hint="default"/>
          <w:sz w:val="20"/>
        </w:rPr>
      </w:lvl>
    </w:lvlOverride>
  </w:num>
  <w:num w:numId="5" w16cid:durableId="1016804622">
    <w:abstractNumId w:val="3"/>
    <w:lvlOverride w:ilvl="0">
      <w:lvl w:ilvl="0">
        <w:numFmt w:val="bullet"/>
        <w:lvlText w:val=""/>
        <w:lvlJc w:val="left"/>
        <w:pPr>
          <w:tabs>
            <w:tab w:val="num" w:pos="720"/>
          </w:tabs>
          <w:ind w:left="720" w:hanging="360"/>
        </w:pPr>
        <w:rPr>
          <w:rFonts w:ascii="Symbol" w:hAnsi="Symbol" w:hint="default"/>
          <w:sz w:val="20"/>
        </w:rPr>
      </w:lvl>
    </w:lvlOverride>
  </w:num>
  <w:num w:numId="6" w16cid:durableId="691876032">
    <w:abstractNumId w:val="3"/>
    <w:lvlOverride w:ilvl="0">
      <w:lvl w:ilvl="0">
        <w:numFmt w:val="bullet"/>
        <w:lvlText w:val=""/>
        <w:lvlJc w:val="left"/>
        <w:pPr>
          <w:tabs>
            <w:tab w:val="num" w:pos="720"/>
          </w:tabs>
          <w:ind w:left="720" w:hanging="360"/>
        </w:pPr>
        <w:rPr>
          <w:rFonts w:ascii="Symbol" w:hAnsi="Symbol" w:hint="default"/>
          <w:sz w:val="20"/>
        </w:rPr>
      </w:lvl>
    </w:lvlOverride>
  </w:num>
  <w:num w:numId="7" w16cid:durableId="83188366">
    <w:abstractNumId w:val="3"/>
    <w:lvlOverride w:ilvl="0">
      <w:lvl w:ilvl="0">
        <w:numFmt w:val="bullet"/>
        <w:lvlText w:val=""/>
        <w:lvlJc w:val="left"/>
        <w:pPr>
          <w:tabs>
            <w:tab w:val="num" w:pos="720"/>
          </w:tabs>
          <w:ind w:left="720" w:hanging="360"/>
        </w:pPr>
        <w:rPr>
          <w:rFonts w:ascii="Symbol" w:hAnsi="Symbol" w:hint="default"/>
          <w:sz w:val="20"/>
        </w:rPr>
      </w:lvl>
    </w:lvlOverride>
  </w:num>
  <w:num w:numId="8" w16cid:durableId="388455516">
    <w:abstractNumId w:val="3"/>
    <w:lvlOverride w:ilvl="0">
      <w:lvl w:ilvl="0">
        <w:numFmt w:val="bullet"/>
        <w:lvlText w:val=""/>
        <w:lvlJc w:val="left"/>
        <w:pPr>
          <w:tabs>
            <w:tab w:val="num" w:pos="720"/>
          </w:tabs>
          <w:ind w:left="720" w:hanging="360"/>
        </w:pPr>
        <w:rPr>
          <w:rFonts w:ascii="Symbol" w:hAnsi="Symbol" w:hint="default"/>
          <w:sz w:val="20"/>
        </w:rPr>
      </w:lvl>
    </w:lvlOverride>
  </w:num>
  <w:num w:numId="9" w16cid:durableId="2089576274">
    <w:abstractNumId w:val="3"/>
    <w:lvlOverride w:ilvl="0">
      <w:lvl w:ilvl="0">
        <w:numFmt w:val="bullet"/>
        <w:lvlText w:val=""/>
        <w:lvlJc w:val="left"/>
        <w:pPr>
          <w:tabs>
            <w:tab w:val="num" w:pos="720"/>
          </w:tabs>
          <w:ind w:left="720" w:hanging="360"/>
        </w:pPr>
        <w:rPr>
          <w:rFonts w:ascii="Symbol" w:hAnsi="Symbol" w:hint="default"/>
          <w:sz w:val="20"/>
        </w:rPr>
      </w:lvl>
    </w:lvlOverride>
  </w:num>
  <w:num w:numId="10" w16cid:durableId="2127430711">
    <w:abstractNumId w:val="3"/>
    <w:lvlOverride w:ilvl="0">
      <w:lvl w:ilvl="0">
        <w:numFmt w:val="bullet"/>
        <w:lvlText w:val=""/>
        <w:lvlJc w:val="left"/>
        <w:pPr>
          <w:tabs>
            <w:tab w:val="num" w:pos="720"/>
          </w:tabs>
          <w:ind w:left="720" w:hanging="360"/>
        </w:pPr>
        <w:rPr>
          <w:rFonts w:ascii="Symbol" w:hAnsi="Symbol" w:hint="default"/>
          <w:sz w:val="20"/>
        </w:rPr>
      </w:lvl>
    </w:lvlOverride>
  </w:num>
  <w:num w:numId="11" w16cid:durableId="1261764725">
    <w:abstractNumId w:val="3"/>
    <w:lvlOverride w:ilvl="0">
      <w:lvl w:ilvl="0">
        <w:numFmt w:val="bullet"/>
        <w:lvlText w:val=""/>
        <w:lvlJc w:val="left"/>
        <w:pPr>
          <w:tabs>
            <w:tab w:val="num" w:pos="720"/>
          </w:tabs>
          <w:ind w:left="720" w:hanging="360"/>
        </w:pPr>
        <w:rPr>
          <w:rFonts w:ascii="Symbol" w:hAnsi="Symbol" w:hint="default"/>
          <w:sz w:val="20"/>
        </w:rPr>
      </w:lvl>
    </w:lvlOverride>
  </w:num>
  <w:num w:numId="12" w16cid:durableId="1420518776">
    <w:abstractNumId w:val="3"/>
    <w:lvlOverride w:ilvl="0">
      <w:lvl w:ilvl="0">
        <w:numFmt w:val="bullet"/>
        <w:lvlText w:val=""/>
        <w:lvlJc w:val="left"/>
        <w:pPr>
          <w:tabs>
            <w:tab w:val="num" w:pos="720"/>
          </w:tabs>
          <w:ind w:left="720" w:hanging="360"/>
        </w:pPr>
        <w:rPr>
          <w:rFonts w:ascii="Symbol" w:hAnsi="Symbol" w:hint="default"/>
          <w:sz w:val="20"/>
        </w:rPr>
      </w:lvl>
    </w:lvlOverride>
  </w:num>
  <w:num w:numId="13" w16cid:durableId="1609384409">
    <w:abstractNumId w:val="3"/>
    <w:lvlOverride w:ilvl="0">
      <w:lvl w:ilvl="0">
        <w:numFmt w:val="bullet"/>
        <w:lvlText w:val=""/>
        <w:lvlJc w:val="left"/>
        <w:pPr>
          <w:tabs>
            <w:tab w:val="num" w:pos="720"/>
          </w:tabs>
          <w:ind w:left="720" w:hanging="360"/>
        </w:pPr>
        <w:rPr>
          <w:rFonts w:ascii="Symbol" w:hAnsi="Symbol" w:hint="default"/>
          <w:sz w:val="20"/>
        </w:rPr>
      </w:lvl>
    </w:lvlOverride>
  </w:num>
  <w:num w:numId="14" w16cid:durableId="1578054136">
    <w:abstractNumId w:val="3"/>
    <w:lvlOverride w:ilvl="0">
      <w:lvl w:ilvl="0">
        <w:numFmt w:val="bullet"/>
        <w:lvlText w:val=""/>
        <w:lvlJc w:val="left"/>
        <w:pPr>
          <w:tabs>
            <w:tab w:val="num" w:pos="720"/>
          </w:tabs>
          <w:ind w:left="720" w:hanging="360"/>
        </w:pPr>
        <w:rPr>
          <w:rFonts w:ascii="Symbol" w:hAnsi="Symbol" w:hint="default"/>
          <w:sz w:val="20"/>
        </w:rPr>
      </w:lvl>
    </w:lvlOverride>
  </w:num>
  <w:num w:numId="15" w16cid:durableId="1426268755">
    <w:abstractNumId w:val="3"/>
    <w:lvlOverride w:ilvl="0">
      <w:lvl w:ilvl="0">
        <w:numFmt w:val="bullet"/>
        <w:lvlText w:val=""/>
        <w:lvlJc w:val="left"/>
        <w:pPr>
          <w:tabs>
            <w:tab w:val="num" w:pos="720"/>
          </w:tabs>
          <w:ind w:left="720" w:hanging="360"/>
        </w:pPr>
        <w:rPr>
          <w:rFonts w:ascii="Symbol" w:hAnsi="Symbol" w:hint="default"/>
          <w:sz w:val="20"/>
        </w:rPr>
      </w:lvl>
    </w:lvlOverride>
  </w:num>
  <w:num w:numId="16" w16cid:durableId="1549418847">
    <w:abstractNumId w:val="3"/>
    <w:lvlOverride w:ilvl="0">
      <w:lvl w:ilvl="0">
        <w:numFmt w:val="bullet"/>
        <w:lvlText w:val=""/>
        <w:lvlJc w:val="left"/>
        <w:pPr>
          <w:tabs>
            <w:tab w:val="num" w:pos="720"/>
          </w:tabs>
          <w:ind w:left="720" w:hanging="360"/>
        </w:pPr>
        <w:rPr>
          <w:rFonts w:ascii="Symbol" w:hAnsi="Symbol" w:hint="default"/>
          <w:sz w:val="20"/>
        </w:rPr>
      </w:lvl>
    </w:lvlOverride>
  </w:num>
  <w:num w:numId="17" w16cid:durableId="640235393">
    <w:abstractNumId w:val="3"/>
    <w:lvlOverride w:ilvl="0">
      <w:lvl w:ilvl="0">
        <w:numFmt w:val="bullet"/>
        <w:lvlText w:val=""/>
        <w:lvlJc w:val="left"/>
        <w:pPr>
          <w:tabs>
            <w:tab w:val="num" w:pos="720"/>
          </w:tabs>
          <w:ind w:left="720" w:hanging="360"/>
        </w:pPr>
        <w:rPr>
          <w:rFonts w:ascii="Symbol" w:hAnsi="Symbol" w:hint="default"/>
          <w:sz w:val="20"/>
        </w:rPr>
      </w:lvl>
    </w:lvlOverride>
  </w:num>
  <w:num w:numId="18" w16cid:durableId="968700946">
    <w:abstractNumId w:val="3"/>
    <w:lvlOverride w:ilvl="0">
      <w:lvl w:ilvl="0">
        <w:numFmt w:val="bullet"/>
        <w:lvlText w:val=""/>
        <w:lvlJc w:val="left"/>
        <w:pPr>
          <w:tabs>
            <w:tab w:val="num" w:pos="720"/>
          </w:tabs>
          <w:ind w:left="720" w:hanging="360"/>
        </w:pPr>
        <w:rPr>
          <w:rFonts w:ascii="Symbol" w:hAnsi="Symbol" w:hint="default"/>
          <w:sz w:val="20"/>
        </w:rPr>
      </w:lvl>
    </w:lvlOverride>
  </w:num>
  <w:num w:numId="19" w16cid:durableId="1016614708">
    <w:abstractNumId w:val="3"/>
    <w:lvlOverride w:ilvl="0">
      <w:lvl w:ilvl="0">
        <w:numFmt w:val="bullet"/>
        <w:lvlText w:val=""/>
        <w:lvlJc w:val="left"/>
        <w:pPr>
          <w:tabs>
            <w:tab w:val="num" w:pos="720"/>
          </w:tabs>
          <w:ind w:left="720" w:hanging="360"/>
        </w:pPr>
        <w:rPr>
          <w:rFonts w:ascii="Symbol" w:hAnsi="Symbol" w:hint="default"/>
          <w:sz w:val="20"/>
        </w:rPr>
      </w:lvl>
    </w:lvlOverride>
  </w:num>
  <w:num w:numId="20" w16cid:durableId="1843084083">
    <w:abstractNumId w:val="3"/>
    <w:lvlOverride w:ilvl="0">
      <w:lvl w:ilvl="0">
        <w:numFmt w:val="bullet"/>
        <w:lvlText w:val=""/>
        <w:lvlJc w:val="left"/>
        <w:pPr>
          <w:tabs>
            <w:tab w:val="num" w:pos="720"/>
          </w:tabs>
          <w:ind w:left="720" w:hanging="360"/>
        </w:pPr>
        <w:rPr>
          <w:rFonts w:ascii="Symbol" w:hAnsi="Symbol" w:hint="default"/>
          <w:sz w:val="20"/>
        </w:rPr>
      </w:lvl>
    </w:lvlOverride>
  </w:num>
  <w:num w:numId="21" w16cid:durableId="2086996443">
    <w:abstractNumId w:val="3"/>
    <w:lvlOverride w:ilvl="0">
      <w:lvl w:ilvl="0">
        <w:numFmt w:val="bullet"/>
        <w:lvlText w:val=""/>
        <w:lvlJc w:val="left"/>
        <w:pPr>
          <w:tabs>
            <w:tab w:val="num" w:pos="720"/>
          </w:tabs>
          <w:ind w:left="720" w:hanging="360"/>
        </w:pPr>
        <w:rPr>
          <w:rFonts w:ascii="Symbol" w:hAnsi="Symbol" w:hint="default"/>
          <w:sz w:val="20"/>
        </w:rPr>
      </w:lvl>
    </w:lvlOverride>
  </w:num>
  <w:num w:numId="22" w16cid:durableId="1508863950">
    <w:abstractNumId w:val="3"/>
    <w:lvlOverride w:ilvl="0">
      <w:lvl w:ilvl="0">
        <w:numFmt w:val="bullet"/>
        <w:lvlText w:val=""/>
        <w:lvlJc w:val="left"/>
        <w:pPr>
          <w:tabs>
            <w:tab w:val="num" w:pos="720"/>
          </w:tabs>
          <w:ind w:left="720" w:hanging="360"/>
        </w:pPr>
        <w:rPr>
          <w:rFonts w:ascii="Symbol" w:hAnsi="Symbol" w:hint="default"/>
          <w:sz w:val="20"/>
        </w:rPr>
      </w:lvl>
    </w:lvlOverride>
  </w:num>
  <w:num w:numId="23" w16cid:durableId="902641011">
    <w:abstractNumId w:val="3"/>
    <w:lvlOverride w:ilvl="0">
      <w:lvl w:ilvl="0">
        <w:numFmt w:val="bullet"/>
        <w:lvlText w:val=""/>
        <w:lvlJc w:val="left"/>
        <w:pPr>
          <w:tabs>
            <w:tab w:val="num" w:pos="720"/>
          </w:tabs>
          <w:ind w:left="720" w:hanging="360"/>
        </w:pPr>
        <w:rPr>
          <w:rFonts w:ascii="Symbol" w:hAnsi="Symbol" w:hint="default"/>
          <w:sz w:val="20"/>
        </w:rPr>
      </w:lvl>
    </w:lvlOverride>
  </w:num>
  <w:num w:numId="24" w16cid:durableId="1827282869">
    <w:abstractNumId w:val="3"/>
    <w:lvlOverride w:ilvl="0">
      <w:lvl w:ilvl="0">
        <w:numFmt w:val="bullet"/>
        <w:lvlText w:val=""/>
        <w:lvlJc w:val="left"/>
        <w:pPr>
          <w:tabs>
            <w:tab w:val="num" w:pos="720"/>
          </w:tabs>
          <w:ind w:left="720" w:hanging="360"/>
        </w:pPr>
        <w:rPr>
          <w:rFonts w:ascii="Symbol" w:hAnsi="Symbol" w:hint="default"/>
          <w:sz w:val="20"/>
        </w:rPr>
      </w:lvl>
    </w:lvlOverride>
  </w:num>
  <w:num w:numId="25" w16cid:durableId="1069427427">
    <w:abstractNumId w:val="3"/>
    <w:lvlOverride w:ilvl="0">
      <w:lvl w:ilvl="0">
        <w:numFmt w:val="bullet"/>
        <w:lvlText w:val=""/>
        <w:lvlJc w:val="left"/>
        <w:pPr>
          <w:tabs>
            <w:tab w:val="num" w:pos="720"/>
          </w:tabs>
          <w:ind w:left="720" w:hanging="360"/>
        </w:pPr>
        <w:rPr>
          <w:rFonts w:ascii="Symbol" w:hAnsi="Symbol" w:hint="default"/>
          <w:sz w:val="20"/>
        </w:rPr>
      </w:lvl>
    </w:lvlOverride>
  </w:num>
  <w:num w:numId="26" w16cid:durableId="268895798">
    <w:abstractNumId w:val="3"/>
    <w:lvlOverride w:ilvl="0">
      <w:lvl w:ilvl="0">
        <w:numFmt w:val="bullet"/>
        <w:lvlText w:val=""/>
        <w:lvlJc w:val="left"/>
        <w:pPr>
          <w:tabs>
            <w:tab w:val="num" w:pos="720"/>
          </w:tabs>
          <w:ind w:left="720" w:hanging="360"/>
        </w:pPr>
        <w:rPr>
          <w:rFonts w:ascii="Symbol" w:hAnsi="Symbol" w:hint="default"/>
          <w:sz w:val="20"/>
        </w:rPr>
      </w:lvl>
    </w:lvlOverride>
  </w:num>
  <w:num w:numId="27" w16cid:durableId="260265436">
    <w:abstractNumId w:val="1"/>
  </w:num>
  <w:num w:numId="28" w16cid:durableId="640304951">
    <w:abstractNumId w:val="8"/>
  </w:num>
  <w:num w:numId="29" w16cid:durableId="1322737668">
    <w:abstractNumId w:val="7"/>
  </w:num>
  <w:num w:numId="30" w16cid:durableId="794640445">
    <w:abstractNumId w:val="2"/>
  </w:num>
  <w:num w:numId="31" w16cid:durableId="516505620">
    <w:abstractNumId w:val="0"/>
  </w:num>
  <w:num w:numId="32" w16cid:durableId="1957132194">
    <w:abstractNumId w:val="5"/>
  </w:num>
  <w:num w:numId="33" w16cid:durableId="52972898">
    <w:abstractNumId w:val="6"/>
  </w:num>
  <w:num w:numId="34" w16cid:durableId="208960265">
    <w:abstractNumId w:val="9"/>
  </w:num>
  <w:num w:numId="35" w16cid:durableId="1807816906">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B3D"/>
    <w:rsid w:val="00016CAA"/>
    <w:rsid w:val="00047713"/>
    <w:rsid w:val="00135E93"/>
    <w:rsid w:val="001C2EBF"/>
    <w:rsid w:val="00200614"/>
    <w:rsid w:val="002101B6"/>
    <w:rsid w:val="00216734"/>
    <w:rsid w:val="00264668"/>
    <w:rsid w:val="002705D5"/>
    <w:rsid w:val="002758A5"/>
    <w:rsid w:val="003507E1"/>
    <w:rsid w:val="0040092C"/>
    <w:rsid w:val="004178B8"/>
    <w:rsid w:val="004639F5"/>
    <w:rsid w:val="004B2FF5"/>
    <w:rsid w:val="004D7FE2"/>
    <w:rsid w:val="00527FDD"/>
    <w:rsid w:val="00552CF9"/>
    <w:rsid w:val="0055357D"/>
    <w:rsid w:val="00577CF7"/>
    <w:rsid w:val="00607718"/>
    <w:rsid w:val="00660194"/>
    <w:rsid w:val="006C3571"/>
    <w:rsid w:val="006F54FC"/>
    <w:rsid w:val="00762842"/>
    <w:rsid w:val="0081507A"/>
    <w:rsid w:val="008F0480"/>
    <w:rsid w:val="0095505C"/>
    <w:rsid w:val="00AE0169"/>
    <w:rsid w:val="00B03371"/>
    <w:rsid w:val="00DC01E8"/>
    <w:rsid w:val="00E21676"/>
    <w:rsid w:val="00EC1633"/>
    <w:rsid w:val="00EF447C"/>
    <w:rsid w:val="00FE2B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71B7"/>
  <w15:chartTrackingRefBased/>
  <w15:docId w15:val="{1D7B8D12-AC8D-48FA-81C4-A83C1D2E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B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B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B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B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B3D"/>
    <w:rPr>
      <w:rFonts w:eastAsiaTheme="majorEastAsia" w:cstheme="majorBidi"/>
      <w:color w:val="272727" w:themeColor="text1" w:themeTint="D8"/>
    </w:rPr>
  </w:style>
  <w:style w:type="paragraph" w:styleId="Title">
    <w:name w:val="Title"/>
    <w:basedOn w:val="Normal"/>
    <w:next w:val="Normal"/>
    <w:link w:val="TitleChar"/>
    <w:uiPriority w:val="10"/>
    <w:qFormat/>
    <w:rsid w:val="00FE2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B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B3D"/>
    <w:pPr>
      <w:spacing w:before="160"/>
      <w:jc w:val="center"/>
    </w:pPr>
    <w:rPr>
      <w:i/>
      <w:iCs/>
      <w:color w:val="404040" w:themeColor="text1" w:themeTint="BF"/>
    </w:rPr>
  </w:style>
  <w:style w:type="character" w:customStyle="1" w:styleId="QuoteChar">
    <w:name w:val="Quote Char"/>
    <w:basedOn w:val="DefaultParagraphFont"/>
    <w:link w:val="Quote"/>
    <w:uiPriority w:val="29"/>
    <w:rsid w:val="00FE2B3D"/>
    <w:rPr>
      <w:i/>
      <w:iCs/>
      <w:color w:val="404040" w:themeColor="text1" w:themeTint="BF"/>
    </w:rPr>
  </w:style>
  <w:style w:type="paragraph" w:styleId="ListParagraph">
    <w:name w:val="List Paragraph"/>
    <w:basedOn w:val="Normal"/>
    <w:uiPriority w:val="34"/>
    <w:qFormat/>
    <w:rsid w:val="00FE2B3D"/>
    <w:pPr>
      <w:ind w:left="720"/>
      <w:contextualSpacing/>
    </w:pPr>
  </w:style>
  <w:style w:type="character" w:styleId="IntenseEmphasis">
    <w:name w:val="Intense Emphasis"/>
    <w:basedOn w:val="DefaultParagraphFont"/>
    <w:uiPriority w:val="21"/>
    <w:qFormat/>
    <w:rsid w:val="00FE2B3D"/>
    <w:rPr>
      <w:i/>
      <w:iCs/>
      <w:color w:val="0F4761" w:themeColor="accent1" w:themeShade="BF"/>
    </w:rPr>
  </w:style>
  <w:style w:type="paragraph" w:styleId="IntenseQuote">
    <w:name w:val="Intense Quote"/>
    <w:basedOn w:val="Normal"/>
    <w:next w:val="Normal"/>
    <w:link w:val="IntenseQuoteChar"/>
    <w:uiPriority w:val="30"/>
    <w:qFormat/>
    <w:rsid w:val="00FE2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B3D"/>
    <w:rPr>
      <w:i/>
      <w:iCs/>
      <w:color w:val="0F4761" w:themeColor="accent1" w:themeShade="BF"/>
    </w:rPr>
  </w:style>
  <w:style w:type="character" w:styleId="IntenseReference">
    <w:name w:val="Intense Reference"/>
    <w:basedOn w:val="DefaultParagraphFont"/>
    <w:uiPriority w:val="32"/>
    <w:qFormat/>
    <w:rsid w:val="00FE2B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02c691f3efa402dab5cbaa8c240a9e7 xmlns="5f7cf91a-9736-48e1-b599-b0650e77aee5">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ce557ada-25ec-46b8-a7f8-8ba2b231f792</TermId>
        </TermInfo>
        <TermInfo xmlns="http://schemas.microsoft.com/office/infopath/2007/PartnerControls">
          <TermName xmlns="http://schemas.microsoft.com/office/infopath/2007/PartnerControls">#Mobility</TermName>
          <TermId xmlns="http://schemas.microsoft.com/office/infopath/2007/PartnerControls">b2bc09cf-03e7-4e54-a105-f2560ff9b29f</TermId>
        </TermInfo>
        <TermInfo xmlns="http://schemas.microsoft.com/office/infopath/2007/PartnerControls">
          <TermName xmlns="http://schemas.microsoft.com/office/infopath/2007/PartnerControls">#Apprenticeships</TermName>
          <TermId xmlns="http://schemas.microsoft.com/office/infopath/2007/PartnerControls">acee9906-0955-4757-9aab-3b60466aa23a</TermId>
        </TermInfo>
      </Terms>
    </m02c691f3efa402dab5cbaa8c240a9e7>
    <fbaa881fc4ae443f9fdafbdd527793df xmlns="5f7cf91a-9736-48e1-b599-b0650e77aee5">
      <Terms xmlns="http://schemas.microsoft.com/office/infopath/2007/PartnerControls"/>
    </fbaa881fc4ae443f9fdafbdd527793df>
    <mbbd3fafa5ab4e5eb8a6a5e099cef439 xmlns="5f7cf91a-9736-48e1-b599-b0650e77aee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nb1b8a72855341e18dd75ce464e281f2 xmlns="5f7cf91a-9736-48e1-b599-b0650e77aee5">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0cb3070d-93cd-4a53-81bb-689a35af0921</TermId>
        </TermInfo>
      </Terms>
    </nb1b8a72855341e18dd75ce464e281f2>
    <TaxCatchAll xmlns="5f7cf91a-9736-48e1-b599-b0650e77aee5">
      <Value>46</Value>
      <Value>126</Value>
      <Value>5</Value>
      <Value>3</Value>
      <Value>121</Value>
      <Value>1</Value>
    </TaxCatchAll>
    <eDocs_FileStatus xmlns="5f7cf91a-9736-48e1-b599-b0650e77aee5">Live</eDocs_FileStatus>
    <_vti_ItemDeclaredRecord xmlns="5f7cf91a-9736-48e1-b599-b0650e77aee5" xsi:nil="true"/>
    <h1f8bb4843d6459a8b809123185593c7 xmlns="5f7cf91a-9736-48e1-b599-b0650e77aee5">
      <Terms xmlns="http://schemas.microsoft.com/office/infopath/2007/PartnerControls">
        <TermInfo xmlns="http://schemas.microsoft.com/office/infopath/2007/PartnerControls">
          <TermName xmlns="http://schemas.microsoft.com/office/infopath/2007/PartnerControls">047</TermName>
          <TermId xmlns="http://schemas.microsoft.com/office/infopath/2007/PartnerControls">78a5661f-3af9-47f8-8526-a0eb54d93c64</TermId>
        </TermInfo>
      </Terms>
    </h1f8bb4843d6459a8b809123185593c7>
    <eDocs_eFileName xmlns="5f7cf91a-9736-48e1-b599-b0650e77aee5">ENT047-010-2024</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E1C49F82D8405A44841FF7278F6A4CEF" ma:contentTypeVersion="235" ma:contentTypeDescription="" ma:contentTypeScope="" ma:versionID="d5d058b34c704e6aca5c1a795cef2887">
  <xsd:schema xmlns:xsd="http://www.w3.org/2001/XMLSchema" xmlns:xs="http://www.w3.org/2001/XMLSchema" xmlns:p="http://schemas.microsoft.com/office/2006/metadata/properties" xmlns:ns2="5f7cf91a-9736-48e1-b599-b0650e77aee5" targetNamespace="http://schemas.microsoft.com/office/2006/metadata/properties" ma:root="true" ma:fieldsID="2ba458069b399fcb8972b3e35505a874" ns2:_="">
    <xsd:import namespace="5f7cf91a-9736-48e1-b599-b0650e77aee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cf91a-9736-48e1-b599-b0650e77aee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967a06c-3537-427a-822d-5e79de71bde2}" ma:internalName="TaxCatchAll" ma:showField="CatchAllData"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967a06c-3537-427a-822d-5e79de71bde2}" ma:internalName="TaxCatchAllLabel" ma:readOnly="true" ma:showField="CatchAllDataLabel"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7|78a5661f-3af9-47f8-8526-a0eb54d93c64"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default="" ma:fieldId="{fbaa881f-c4ae-443f-9fda-fbdd527793df}"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57A6B-C768-4A07-B48F-FA7CC735A08A}">
  <ds:schemaRefs>
    <ds:schemaRef ds:uri="http://schemas.microsoft.com/office/2006/metadata/properties"/>
    <ds:schemaRef ds:uri="http://schemas.microsoft.com/office/infopath/2007/PartnerControls"/>
    <ds:schemaRef ds:uri="5f7cf91a-9736-48e1-b599-b0650e77aee5"/>
  </ds:schemaRefs>
</ds:datastoreItem>
</file>

<file path=customXml/itemProps2.xml><?xml version="1.0" encoding="utf-8"?>
<ds:datastoreItem xmlns:ds="http://schemas.openxmlformats.org/officeDocument/2006/customXml" ds:itemID="{362DA35B-621D-4015-A928-3A9A3D0A7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cf91a-9736-48e1-b599-b0650e77a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51D65-BC21-4965-AB8E-568063ED5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1412</Words>
  <Characters>7611</Characters>
  <Application>Microsoft Office Word</Application>
  <DocSecurity>0</DocSecurity>
  <Lines>177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Ryan</dc:creator>
  <cp:keywords/>
  <dc:description/>
  <cp:lastModifiedBy>Patrick Ryan</cp:lastModifiedBy>
  <cp:revision>4</cp:revision>
  <dcterms:created xsi:type="dcterms:W3CDTF">2026-10-12T10:12:00Z</dcterms:created>
  <dcterms:modified xsi:type="dcterms:W3CDTF">2026-10-19T11:21:00Z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0x0101000BC94875665D404BB1351B53C41FD2C000E1C49F82D8405A44841FF7278F6A4CEF</vt:lpwstr>
  </property>
  <property fmtid="{D5CDD505-2E9C-101B-9397-08002B2CF9AE}" pid="3" name="eDocs_Series">
    <vt:lpwstr>1;#047|78a5661f-3af9-47f8-8526-a0eb54d93c64</vt:lpwstr>
  </property>
  <property fmtid="{D5CDD505-2E9C-101B-9397-08002B2CF9AE}" pid="4" name="eDocs_SecurityClassification">
    <vt:lpwstr>5;#Unclassified|779752a3-a421-4077-839c-91815f544ae2</vt:lpwstr>
  </property>
  <property fmtid="{D5CDD505-2E9C-101B-9397-08002B2CF9AE}" pid="5" name="eDocs_Year">
    <vt:lpwstr>46;#2024|0cb3070d-93cd-4a53-81bb-689a35af0921</vt:lpwstr>
  </property>
  <property fmtid="{D5CDD505-2E9C-101B-9397-08002B2CF9AE}" pid="6" name="ge25f6a3ef6f42d4865685f2a74bf8c7">
    <vt:lpwstr/>
  </property>
  <property fmtid="{D5CDD505-2E9C-101B-9397-08002B2CF9AE}" pid="7" name="eDocs_FileTopics">
    <vt:lpwstr>3;#Recruitment|ce557ada-25ec-46b8-a7f8-8ba2b231f792;#126;##Mobility|b2bc09cf-03e7-4e54-a105-f2560ff9b29f;#121;##Apprenticeships|acee9906-0955-4757-9aab-3b60466aa23a</vt:lpwstr>
  </property>
  <property fmtid="{D5CDD505-2E9C-101B-9397-08002B2CF9AE}" pid="8" name="eDocs_DocumentTopics">
    <vt:lpwstr/>
  </property>
  <property fmtid="{D5CDD505-2E9C-101B-9397-08002B2CF9AE}" pid="9" name="eDocs_RetentionPeriodTerm">
    <vt:lpwstr/>
  </property>
</Properties>
</file>