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AEC85" w14:textId="77777777" w:rsidR="0059739C" w:rsidRPr="0059739C" w:rsidRDefault="00000000">
      <w:pPr>
        <w:jc w:val="center"/>
        <w:rPr>
          <w:rFonts w:asciiTheme="majorHAnsi" w:eastAsiaTheme="majorEastAsia" w:hAnsiTheme="majorHAnsi" w:cstheme="majorHAnsi"/>
          <w:b/>
          <w:bCs/>
          <w:color w:val="365F91" w:themeColor="accent1" w:themeShade="BF"/>
          <w:sz w:val="24"/>
          <w:szCs w:val="24"/>
        </w:rPr>
      </w:pPr>
      <w:r w:rsidRPr="0059739C">
        <w:rPr>
          <w:rFonts w:asciiTheme="majorHAnsi" w:eastAsiaTheme="majorEastAsia" w:hAnsiTheme="majorHAnsi" w:cstheme="majorHAnsi"/>
          <w:b/>
          <w:bCs/>
          <w:color w:val="365F91" w:themeColor="accent1" w:themeShade="BF"/>
          <w:sz w:val="24"/>
          <w:szCs w:val="24"/>
        </w:rPr>
        <w:t xml:space="preserve">TENDER ADDENDUM </w:t>
      </w:r>
    </w:p>
    <w:p w14:paraId="08ABA006" w14:textId="3B26C160" w:rsidR="0066043D" w:rsidRPr="0059739C" w:rsidRDefault="0059739C" w:rsidP="0066043D">
      <w:pPr>
        <w:jc w:val="center"/>
        <w:rPr>
          <w:rFonts w:asciiTheme="majorHAnsi" w:eastAsiaTheme="majorEastAsia" w:hAnsiTheme="majorHAnsi" w:cstheme="majorHAnsi"/>
          <w:b/>
          <w:bCs/>
          <w:color w:val="365F91" w:themeColor="accent1" w:themeShade="BF"/>
          <w:sz w:val="24"/>
          <w:szCs w:val="24"/>
        </w:rPr>
      </w:pPr>
      <w:r w:rsidRPr="0059739C">
        <w:rPr>
          <w:rFonts w:asciiTheme="majorHAnsi" w:eastAsiaTheme="majorEastAsia" w:hAnsiTheme="majorHAnsi" w:cstheme="majorHAnsi"/>
          <w:b/>
          <w:bCs/>
          <w:color w:val="365F91" w:themeColor="accent1" w:themeShade="BF"/>
          <w:sz w:val="24"/>
          <w:szCs w:val="24"/>
        </w:rPr>
        <w:t>228kWp Ground Mounted Photovoltaic Installation and associated works at Waterford and Wexford Training Centre, Cork Road, Waterford</w:t>
      </w:r>
    </w:p>
    <w:p w14:paraId="7A4AFA65" w14:textId="735B1FDC" w:rsidR="00356820" w:rsidRDefault="00000000">
      <w:pPr>
        <w:rPr>
          <w:rFonts w:asciiTheme="majorHAnsi" w:hAnsiTheme="majorHAnsi" w:cstheme="majorHAnsi"/>
          <w:sz w:val="24"/>
          <w:szCs w:val="24"/>
        </w:rPr>
      </w:pPr>
      <w:r w:rsidRPr="0059739C">
        <w:rPr>
          <w:rFonts w:asciiTheme="majorHAnsi" w:hAnsiTheme="majorHAnsi" w:cstheme="majorHAnsi"/>
          <w:sz w:val="24"/>
          <w:szCs w:val="24"/>
        </w:rPr>
        <w:t>Amendment to Tender Award Criteria and Evaluation Methodology</w:t>
      </w:r>
      <w:proofErr w:type="gramStart"/>
      <w:r w:rsidR="0066043D">
        <w:rPr>
          <w:rFonts w:asciiTheme="majorHAnsi" w:hAnsiTheme="majorHAnsi" w:cstheme="majorHAnsi"/>
          <w:sz w:val="24"/>
          <w:szCs w:val="24"/>
        </w:rPr>
        <w:t>-  This</w:t>
      </w:r>
      <w:proofErr w:type="gramEnd"/>
      <w:r w:rsidR="0066043D">
        <w:rPr>
          <w:rFonts w:asciiTheme="majorHAnsi" w:hAnsiTheme="majorHAnsi" w:cstheme="majorHAnsi"/>
          <w:sz w:val="24"/>
          <w:szCs w:val="24"/>
        </w:rPr>
        <w:t xml:space="preserve"> Addendum supersedes all award criteria noted elsewhere in the tender documents. </w:t>
      </w:r>
    </w:p>
    <w:p w14:paraId="431AB961" w14:textId="25AF6588" w:rsidR="0066043D" w:rsidRPr="0059739C" w:rsidRDefault="0066043D">
      <w:pPr>
        <w:rPr>
          <w:rFonts w:asciiTheme="majorHAnsi" w:hAnsiTheme="majorHAnsi" w:cstheme="majorHAnsi"/>
          <w:sz w:val="24"/>
          <w:szCs w:val="24"/>
        </w:rPr>
      </w:pPr>
      <w:r>
        <w:rPr>
          <w:rFonts w:asciiTheme="majorHAnsi" w:hAnsiTheme="majorHAnsi" w:cstheme="majorHAnsi"/>
          <w:sz w:val="24"/>
          <w:szCs w:val="24"/>
        </w:rPr>
        <w:t>Date of Issue: 15/10/2026</w:t>
      </w:r>
    </w:p>
    <w:p w14:paraId="465AA068" w14:textId="77777777" w:rsidR="00356820" w:rsidRPr="0059739C" w:rsidRDefault="00000000">
      <w:pPr>
        <w:pStyle w:val="Heading1"/>
        <w:rPr>
          <w:rFonts w:cstheme="majorHAnsi"/>
          <w:sz w:val="24"/>
          <w:szCs w:val="24"/>
        </w:rPr>
      </w:pPr>
      <w:r w:rsidRPr="0059739C">
        <w:rPr>
          <w:rFonts w:cstheme="majorHAnsi"/>
          <w:sz w:val="24"/>
          <w:szCs w:val="24"/>
        </w:rPr>
        <w:t>1. Purpose of Addendum</w:t>
      </w:r>
    </w:p>
    <w:p w14:paraId="1DC89F0F" w14:textId="77777777" w:rsidR="00356820" w:rsidRPr="0059739C" w:rsidRDefault="00000000" w:rsidP="0059739C">
      <w:pPr>
        <w:jc w:val="both"/>
        <w:rPr>
          <w:rFonts w:asciiTheme="majorHAnsi" w:hAnsiTheme="majorHAnsi" w:cstheme="majorHAnsi"/>
          <w:sz w:val="24"/>
          <w:szCs w:val="24"/>
        </w:rPr>
      </w:pPr>
      <w:r w:rsidRPr="0059739C">
        <w:rPr>
          <w:rFonts w:asciiTheme="majorHAnsi" w:hAnsiTheme="majorHAnsi" w:cstheme="majorHAnsi"/>
          <w:sz w:val="24"/>
          <w:szCs w:val="24"/>
        </w:rPr>
        <w:t xml:space="preserve">The Contracting Authority hereby amends the Tender Award Criteria. The contract shall be awarded </w:t>
      </w:r>
      <w:proofErr w:type="gramStart"/>
      <w:r w:rsidRPr="0059739C">
        <w:rPr>
          <w:rFonts w:asciiTheme="majorHAnsi" w:hAnsiTheme="majorHAnsi" w:cstheme="majorHAnsi"/>
          <w:sz w:val="24"/>
          <w:szCs w:val="24"/>
        </w:rPr>
        <w:t>on the basis of</w:t>
      </w:r>
      <w:proofErr w:type="gramEnd"/>
      <w:r w:rsidRPr="0059739C">
        <w:rPr>
          <w:rFonts w:asciiTheme="majorHAnsi" w:hAnsiTheme="majorHAnsi" w:cstheme="majorHAnsi"/>
          <w:sz w:val="24"/>
          <w:szCs w:val="24"/>
        </w:rPr>
        <w:t xml:space="preserve"> the Most Economically Advantageous Tender (MEAT).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356820" w:rsidRPr="0059739C" w14:paraId="23A7D686" w14:textId="77777777" w:rsidTr="0066043D">
        <w:tc>
          <w:tcPr>
            <w:tcW w:w="2880" w:type="dxa"/>
          </w:tcPr>
          <w:p w14:paraId="348ABDCB" w14:textId="77777777" w:rsidR="00356820" w:rsidRPr="0066043D" w:rsidRDefault="00000000">
            <w:pPr>
              <w:rPr>
                <w:rFonts w:asciiTheme="majorHAnsi" w:hAnsiTheme="majorHAnsi" w:cstheme="majorHAnsi"/>
                <w:b/>
                <w:bCs/>
                <w:sz w:val="24"/>
                <w:szCs w:val="24"/>
              </w:rPr>
            </w:pPr>
            <w:r w:rsidRPr="0066043D">
              <w:rPr>
                <w:rFonts w:asciiTheme="majorHAnsi" w:hAnsiTheme="majorHAnsi" w:cstheme="majorHAnsi"/>
                <w:b/>
                <w:bCs/>
                <w:sz w:val="24"/>
                <w:szCs w:val="24"/>
              </w:rPr>
              <w:t>Criterion</w:t>
            </w:r>
          </w:p>
        </w:tc>
        <w:tc>
          <w:tcPr>
            <w:tcW w:w="2880" w:type="dxa"/>
          </w:tcPr>
          <w:p w14:paraId="499FE931" w14:textId="77777777" w:rsidR="00356820" w:rsidRPr="0066043D" w:rsidRDefault="00000000">
            <w:pPr>
              <w:rPr>
                <w:rFonts w:asciiTheme="majorHAnsi" w:hAnsiTheme="majorHAnsi" w:cstheme="majorHAnsi"/>
                <w:b/>
                <w:bCs/>
                <w:sz w:val="24"/>
                <w:szCs w:val="24"/>
              </w:rPr>
            </w:pPr>
            <w:r w:rsidRPr="0066043D">
              <w:rPr>
                <w:rFonts w:asciiTheme="majorHAnsi" w:hAnsiTheme="majorHAnsi" w:cstheme="majorHAnsi"/>
                <w:b/>
                <w:bCs/>
                <w:sz w:val="24"/>
                <w:szCs w:val="24"/>
              </w:rPr>
              <w:t>Weighting</w:t>
            </w:r>
          </w:p>
        </w:tc>
        <w:tc>
          <w:tcPr>
            <w:tcW w:w="2880" w:type="dxa"/>
          </w:tcPr>
          <w:p w14:paraId="16C1CB7A" w14:textId="77777777" w:rsidR="00356820" w:rsidRPr="0066043D" w:rsidRDefault="00000000">
            <w:pPr>
              <w:rPr>
                <w:rFonts w:asciiTheme="majorHAnsi" w:hAnsiTheme="majorHAnsi" w:cstheme="majorHAnsi"/>
                <w:b/>
                <w:bCs/>
                <w:sz w:val="24"/>
                <w:szCs w:val="24"/>
              </w:rPr>
            </w:pPr>
            <w:r w:rsidRPr="0066043D">
              <w:rPr>
                <w:rFonts w:asciiTheme="majorHAnsi" w:hAnsiTheme="majorHAnsi" w:cstheme="majorHAnsi"/>
                <w:b/>
                <w:bCs/>
                <w:sz w:val="24"/>
                <w:szCs w:val="24"/>
              </w:rPr>
              <w:t>Marks</w:t>
            </w:r>
          </w:p>
        </w:tc>
      </w:tr>
      <w:tr w:rsidR="00356820" w:rsidRPr="0059739C" w14:paraId="2C6609A5" w14:textId="77777777" w:rsidTr="0066043D">
        <w:tc>
          <w:tcPr>
            <w:tcW w:w="2880" w:type="dxa"/>
          </w:tcPr>
          <w:p w14:paraId="78DD85ED"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Price</w:t>
            </w:r>
          </w:p>
        </w:tc>
        <w:tc>
          <w:tcPr>
            <w:tcW w:w="2880" w:type="dxa"/>
          </w:tcPr>
          <w:p w14:paraId="6567DE97"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60%</w:t>
            </w:r>
          </w:p>
        </w:tc>
        <w:tc>
          <w:tcPr>
            <w:tcW w:w="2880" w:type="dxa"/>
          </w:tcPr>
          <w:p w14:paraId="5CD32CAE"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600</w:t>
            </w:r>
          </w:p>
        </w:tc>
      </w:tr>
      <w:tr w:rsidR="00356820" w:rsidRPr="0059739C" w14:paraId="03B9C2E7" w14:textId="77777777" w:rsidTr="0066043D">
        <w:tc>
          <w:tcPr>
            <w:tcW w:w="2880" w:type="dxa"/>
          </w:tcPr>
          <w:p w14:paraId="618CD123"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Project Programme Submission</w:t>
            </w:r>
          </w:p>
        </w:tc>
        <w:tc>
          <w:tcPr>
            <w:tcW w:w="2880" w:type="dxa"/>
          </w:tcPr>
          <w:p w14:paraId="72400F84"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40%</w:t>
            </w:r>
          </w:p>
        </w:tc>
        <w:tc>
          <w:tcPr>
            <w:tcW w:w="2880" w:type="dxa"/>
          </w:tcPr>
          <w:p w14:paraId="1EA0390F"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400</w:t>
            </w:r>
          </w:p>
        </w:tc>
      </w:tr>
      <w:tr w:rsidR="00356820" w:rsidRPr="0059739C" w14:paraId="5BC59F06" w14:textId="77777777" w:rsidTr="0066043D">
        <w:tc>
          <w:tcPr>
            <w:tcW w:w="2880" w:type="dxa"/>
          </w:tcPr>
          <w:p w14:paraId="0876D237"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Total</w:t>
            </w:r>
          </w:p>
        </w:tc>
        <w:tc>
          <w:tcPr>
            <w:tcW w:w="2880" w:type="dxa"/>
          </w:tcPr>
          <w:p w14:paraId="516B4798"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100%</w:t>
            </w:r>
          </w:p>
        </w:tc>
        <w:tc>
          <w:tcPr>
            <w:tcW w:w="2880" w:type="dxa"/>
          </w:tcPr>
          <w:p w14:paraId="1BA6743A"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1000</w:t>
            </w:r>
          </w:p>
        </w:tc>
      </w:tr>
    </w:tbl>
    <w:p w14:paraId="47728DBC" w14:textId="77777777" w:rsidR="00356820" w:rsidRPr="0059739C" w:rsidRDefault="00000000">
      <w:pPr>
        <w:pStyle w:val="Heading1"/>
        <w:rPr>
          <w:rFonts w:cstheme="majorHAnsi"/>
          <w:sz w:val="24"/>
          <w:szCs w:val="24"/>
        </w:rPr>
      </w:pPr>
      <w:r w:rsidRPr="0059739C">
        <w:rPr>
          <w:rFonts w:cstheme="majorHAnsi"/>
          <w:sz w:val="24"/>
          <w:szCs w:val="24"/>
        </w:rPr>
        <w:t>2. Project Programme Submission</w:t>
      </w:r>
    </w:p>
    <w:p w14:paraId="10B435FF" w14:textId="0EBD3588" w:rsidR="00356820" w:rsidRPr="0059739C" w:rsidRDefault="00000000" w:rsidP="0059739C">
      <w:pPr>
        <w:jc w:val="both"/>
        <w:rPr>
          <w:rFonts w:asciiTheme="majorHAnsi" w:hAnsiTheme="majorHAnsi" w:cstheme="majorHAnsi"/>
          <w:sz w:val="24"/>
          <w:szCs w:val="24"/>
        </w:rPr>
      </w:pPr>
      <w:r w:rsidRPr="0059739C">
        <w:rPr>
          <w:rFonts w:asciiTheme="majorHAnsi" w:hAnsiTheme="majorHAnsi" w:cstheme="majorHAnsi"/>
          <w:sz w:val="24"/>
          <w:szCs w:val="24"/>
        </w:rPr>
        <w:t xml:space="preserve">Tenderers shall submit a </w:t>
      </w:r>
      <w:r w:rsidR="0059739C" w:rsidRPr="0059739C">
        <w:rPr>
          <w:rFonts w:asciiTheme="majorHAnsi" w:hAnsiTheme="majorHAnsi" w:cstheme="majorHAnsi"/>
          <w:sz w:val="24"/>
          <w:szCs w:val="24"/>
        </w:rPr>
        <w:t xml:space="preserve">credible </w:t>
      </w:r>
      <w:r w:rsidRPr="0059739C">
        <w:rPr>
          <w:rFonts w:asciiTheme="majorHAnsi" w:hAnsiTheme="majorHAnsi" w:cstheme="majorHAnsi"/>
          <w:sz w:val="24"/>
          <w:szCs w:val="24"/>
        </w:rPr>
        <w:t xml:space="preserve">project </w:t>
      </w:r>
      <w:proofErr w:type="spellStart"/>
      <w:r w:rsidRPr="0059739C">
        <w:rPr>
          <w:rFonts w:asciiTheme="majorHAnsi" w:hAnsiTheme="majorHAnsi" w:cstheme="majorHAnsi"/>
          <w:sz w:val="24"/>
          <w:szCs w:val="24"/>
        </w:rPr>
        <w:t>programme</w:t>
      </w:r>
      <w:proofErr w:type="spellEnd"/>
      <w:r w:rsidRPr="0059739C">
        <w:rPr>
          <w:rFonts w:asciiTheme="majorHAnsi" w:hAnsiTheme="majorHAnsi" w:cstheme="majorHAnsi"/>
          <w:sz w:val="24"/>
          <w:szCs w:val="24"/>
        </w:rPr>
        <w:t xml:space="preserve"> demonstrating their proposed methodology for delivery of the Works, including construction sequencing, critical path, milestones, resources, risk management and completion strategy.</w:t>
      </w:r>
      <w:r w:rsidR="0059739C" w:rsidRPr="0059739C">
        <w:rPr>
          <w:rFonts w:asciiTheme="majorHAnsi" w:hAnsiTheme="majorHAnsi" w:cstheme="majorHAnsi"/>
          <w:sz w:val="24"/>
          <w:szCs w:val="24"/>
        </w:rPr>
        <w:t xml:space="preserve"> Note: works must be substantially completed by 31</w:t>
      </w:r>
      <w:r w:rsidR="0059739C" w:rsidRPr="0059739C">
        <w:rPr>
          <w:rFonts w:asciiTheme="majorHAnsi" w:hAnsiTheme="majorHAnsi" w:cstheme="majorHAnsi"/>
          <w:sz w:val="24"/>
          <w:szCs w:val="24"/>
          <w:vertAlign w:val="superscript"/>
        </w:rPr>
        <w:t>st</w:t>
      </w:r>
      <w:r w:rsidR="0059739C" w:rsidRPr="0059739C">
        <w:rPr>
          <w:rFonts w:asciiTheme="majorHAnsi" w:hAnsiTheme="majorHAnsi" w:cstheme="majorHAnsi"/>
          <w:sz w:val="24"/>
          <w:szCs w:val="24"/>
        </w:rPr>
        <w:t xml:space="preserve"> December 2026</w:t>
      </w:r>
    </w:p>
    <w:p w14:paraId="6C884329" w14:textId="77777777" w:rsidR="00356820" w:rsidRPr="0059739C" w:rsidRDefault="00000000">
      <w:pPr>
        <w:pStyle w:val="Heading1"/>
        <w:rPr>
          <w:rFonts w:cstheme="majorHAnsi"/>
          <w:sz w:val="24"/>
          <w:szCs w:val="24"/>
        </w:rPr>
      </w:pPr>
      <w:r w:rsidRPr="0059739C">
        <w:rPr>
          <w:rFonts w:cstheme="majorHAnsi"/>
          <w:sz w:val="24"/>
          <w:szCs w:val="24"/>
        </w:rPr>
        <w:t>3. Quality Assessment Methodology</w:t>
      </w:r>
    </w:p>
    <w:p w14:paraId="42857FB2"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Maximum Marks Available: 400. Minimum pass mark required: 160 marks (40%).</w:t>
      </w:r>
    </w:p>
    <w:tbl>
      <w:tblPr>
        <w:tblW w:w="0" w:type="auto"/>
        <w:tblLook w:val="04A0" w:firstRow="1" w:lastRow="0" w:firstColumn="1" w:lastColumn="0" w:noHBand="0" w:noVBand="1"/>
      </w:tblPr>
      <w:tblGrid>
        <w:gridCol w:w="1526"/>
        <w:gridCol w:w="2794"/>
        <w:gridCol w:w="2451"/>
        <w:gridCol w:w="1869"/>
      </w:tblGrid>
      <w:tr w:rsidR="00356820" w:rsidRPr="0059739C" w14:paraId="6CECA3B6" w14:textId="77777777" w:rsidTr="0066043D">
        <w:trPr>
          <w:gridBefore w:val="1"/>
          <w:gridAfter w:val="1"/>
          <w:wBefore w:w="1526" w:type="dxa"/>
          <w:wAfter w:w="1869" w:type="dxa"/>
        </w:trPr>
        <w:tc>
          <w:tcPr>
            <w:tcW w:w="2794" w:type="dxa"/>
            <w:tcBorders>
              <w:top w:val="single" w:sz="4" w:space="0" w:color="auto"/>
              <w:left w:val="single" w:sz="4" w:space="0" w:color="auto"/>
              <w:bottom w:val="single" w:sz="4" w:space="0" w:color="auto"/>
              <w:right w:val="single" w:sz="4" w:space="0" w:color="auto"/>
            </w:tcBorders>
          </w:tcPr>
          <w:p w14:paraId="168096A0" w14:textId="77777777" w:rsidR="00356820" w:rsidRPr="0066043D" w:rsidRDefault="00000000" w:rsidP="0066043D">
            <w:pPr>
              <w:jc w:val="center"/>
              <w:rPr>
                <w:rFonts w:asciiTheme="majorHAnsi" w:hAnsiTheme="majorHAnsi" w:cstheme="majorHAnsi"/>
                <w:b/>
                <w:bCs/>
                <w:sz w:val="24"/>
                <w:szCs w:val="24"/>
              </w:rPr>
            </w:pPr>
            <w:r w:rsidRPr="0066043D">
              <w:rPr>
                <w:rFonts w:asciiTheme="majorHAnsi" w:hAnsiTheme="majorHAnsi" w:cstheme="majorHAnsi"/>
                <w:b/>
                <w:bCs/>
                <w:sz w:val="24"/>
                <w:szCs w:val="24"/>
              </w:rPr>
              <w:t>Assessment Rating</w:t>
            </w:r>
          </w:p>
        </w:tc>
        <w:tc>
          <w:tcPr>
            <w:tcW w:w="2451" w:type="dxa"/>
            <w:tcBorders>
              <w:top w:val="single" w:sz="4" w:space="0" w:color="auto"/>
              <w:left w:val="single" w:sz="4" w:space="0" w:color="auto"/>
              <w:bottom w:val="single" w:sz="4" w:space="0" w:color="auto"/>
              <w:right w:val="single" w:sz="4" w:space="0" w:color="auto"/>
            </w:tcBorders>
          </w:tcPr>
          <w:p w14:paraId="5E1F2C20" w14:textId="77777777" w:rsidR="00356820" w:rsidRPr="0066043D" w:rsidRDefault="00000000" w:rsidP="0066043D">
            <w:pPr>
              <w:jc w:val="center"/>
              <w:rPr>
                <w:rFonts w:asciiTheme="majorHAnsi" w:hAnsiTheme="majorHAnsi" w:cstheme="majorHAnsi"/>
                <w:b/>
                <w:bCs/>
                <w:sz w:val="24"/>
                <w:szCs w:val="24"/>
              </w:rPr>
            </w:pPr>
            <w:r w:rsidRPr="0066043D">
              <w:rPr>
                <w:rFonts w:asciiTheme="majorHAnsi" w:hAnsiTheme="majorHAnsi" w:cstheme="majorHAnsi"/>
                <w:b/>
                <w:bCs/>
                <w:sz w:val="24"/>
                <w:szCs w:val="24"/>
              </w:rPr>
              <w:t>Score</w:t>
            </w:r>
          </w:p>
        </w:tc>
      </w:tr>
      <w:tr w:rsidR="00356820" w:rsidRPr="0059739C" w14:paraId="60F7C101" w14:textId="77777777" w:rsidTr="0066043D">
        <w:trPr>
          <w:gridBefore w:val="1"/>
          <w:gridAfter w:val="1"/>
          <w:wBefore w:w="1526" w:type="dxa"/>
          <w:wAfter w:w="1869" w:type="dxa"/>
        </w:trPr>
        <w:tc>
          <w:tcPr>
            <w:tcW w:w="2794" w:type="dxa"/>
            <w:tcBorders>
              <w:top w:val="single" w:sz="4" w:space="0" w:color="auto"/>
              <w:left w:val="single" w:sz="4" w:space="0" w:color="auto"/>
              <w:bottom w:val="single" w:sz="4" w:space="0" w:color="auto"/>
              <w:right w:val="single" w:sz="4" w:space="0" w:color="auto"/>
            </w:tcBorders>
          </w:tcPr>
          <w:p w14:paraId="4D516006"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Excellent</w:t>
            </w:r>
          </w:p>
        </w:tc>
        <w:tc>
          <w:tcPr>
            <w:tcW w:w="2451" w:type="dxa"/>
            <w:tcBorders>
              <w:top w:val="single" w:sz="4" w:space="0" w:color="auto"/>
              <w:left w:val="single" w:sz="4" w:space="0" w:color="auto"/>
              <w:bottom w:val="single" w:sz="4" w:space="0" w:color="auto"/>
              <w:right w:val="single" w:sz="4" w:space="0" w:color="auto"/>
            </w:tcBorders>
          </w:tcPr>
          <w:p w14:paraId="45DD9707"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5</w:t>
            </w:r>
          </w:p>
        </w:tc>
      </w:tr>
      <w:tr w:rsidR="00356820" w:rsidRPr="0059739C" w14:paraId="35610180" w14:textId="77777777" w:rsidTr="0066043D">
        <w:trPr>
          <w:gridBefore w:val="1"/>
          <w:gridAfter w:val="1"/>
          <w:wBefore w:w="1526" w:type="dxa"/>
          <w:wAfter w:w="1869" w:type="dxa"/>
        </w:trPr>
        <w:tc>
          <w:tcPr>
            <w:tcW w:w="2794" w:type="dxa"/>
            <w:tcBorders>
              <w:top w:val="single" w:sz="4" w:space="0" w:color="auto"/>
              <w:left w:val="single" w:sz="4" w:space="0" w:color="auto"/>
              <w:bottom w:val="single" w:sz="4" w:space="0" w:color="auto"/>
              <w:right w:val="single" w:sz="4" w:space="0" w:color="auto"/>
            </w:tcBorders>
          </w:tcPr>
          <w:p w14:paraId="1BB43EEC"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Good</w:t>
            </w:r>
          </w:p>
        </w:tc>
        <w:tc>
          <w:tcPr>
            <w:tcW w:w="2451" w:type="dxa"/>
            <w:tcBorders>
              <w:top w:val="single" w:sz="4" w:space="0" w:color="auto"/>
              <w:left w:val="single" w:sz="4" w:space="0" w:color="auto"/>
              <w:bottom w:val="single" w:sz="4" w:space="0" w:color="auto"/>
              <w:right w:val="single" w:sz="4" w:space="0" w:color="auto"/>
            </w:tcBorders>
          </w:tcPr>
          <w:p w14:paraId="6CDEAB5D"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4</w:t>
            </w:r>
          </w:p>
        </w:tc>
      </w:tr>
      <w:tr w:rsidR="00356820" w:rsidRPr="0059739C" w14:paraId="07ED33F0" w14:textId="77777777" w:rsidTr="0066043D">
        <w:trPr>
          <w:gridBefore w:val="1"/>
          <w:gridAfter w:val="1"/>
          <w:wBefore w:w="1526" w:type="dxa"/>
          <w:wAfter w:w="1869" w:type="dxa"/>
        </w:trPr>
        <w:tc>
          <w:tcPr>
            <w:tcW w:w="2794" w:type="dxa"/>
            <w:tcBorders>
              <w:top w:val="single" w:sz="4" w:space="0" w:color="auto"/>
              <w:left w:val="single" w:sz="4" w:space="0" w:color="auto"/>
              <w:bottom w:val="single" w:sz="4" w:space="0" w:color="auto"/>
              <w:right w:val="single" w:sz="4" w:space="0" w:color="auto"/>
            </w:tcBorders>
          </w:tcPr>
          <w:p w14:paraId="658368EF"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Acceptable</w:t>
            </w:r>
          </w:p>
        </w:tc>
        <w:tc>
          <w:tcPr>
            <w:tcW w:w="2451" w:type="dxa"/>
            <w:tcBorders>
              <w:top w:val="single" w:sz="4" w:space="0" w:color="auto"/>
              <w:left w:val="single" w:sz="4" w:space="0" w:color="auto"/>
              <w:bottom w:val="single" w:sz="4" w:space="0" w:color="auto"/>
              <w:right w:val="single" w:sz="4" w:space="0" w:color="auto"/>
            </w:tcBorders>
          </w:tcPr>
          <w:p w14:paraId="7D5D8611"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3</w:t>
            </w:r>
          </w:p>
        </w:tc>
      </w:tr>
      <w:tr w:rsidR="00356820" w:rsidRPr="0059739C" w14:paraId="50019FF2" w14:textId="77777777" w:rsidTr="0066043D">
        <w:trPr>
          <w:gridBefore w:val="1"/>
          <w:gridAfter w:val="1"/>
          <w:wBefore w:w="1526" w:type="dxa"/>
          <w:wAfter w:w="1869" w:type="dxa"/>
        </w:trPr>
        <w:tc>
          <w:tcPr>
            <w:tcW w:w="2794" w:type="dxa"/>
            <w:tcBorders>
              <w:top w:val="single" w:sz="4" w:space="0" w:color="auto"/>
              <w:left w:val="single" w:sz="4" w:space="0" w:color="auto"/>
              <w:bottom w:val="single" w:sz="4" w:space="0" w:color="auto"/>
              <w:right w:val="single" w:sz="4" w:space="0" w:color="auto"/>
            </w:tcBorders>
          </w:tcPr>
          <w:p w14:paraId="31EE381C"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lastRenderedPageBreak/>
              <w:t>Unsatisfactory</w:t>
            </w:r>
          </w:p>
        </w:tc>
        <w:tc>
          <w:tcPr>
            <w:tcW w:w="2451" w:type="dxa"/>
            <w:tcBorders>
              <w:top w:val="single" w:sz="4" w:space="0" w:color="auto"/>
              <w:left w:val="single" w:sz="4" w:space="0" w:color="auto"/>
              <w:bottom w:val="single" w:sz="4" w:space="0" w:color="auto"/>
              <w:right w:val="single" w:sz="4" w:space="0" w:color="auto"/>
            </w:tcBorders>
          </w:tcPr>
          <w:p w14:paraId="1AEB4D4F"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2</w:t>
            </w:r>
          </w:p>
        </w:tc>
      </w:tr>
      <w:tr w:rsidR="00356820" w:rsidRPr="0059739C" w14:paraId="413F4157" w14:textId="77777777" w:rsidTr="0066043D">
        <w:trPr>
          <w:gridBefore w:val="1"/>
          <w:gridAfter w:val="1"/>
          <w:wBefore w:w="1526" w:type="dxa"/>
          <w:wAfter w:w="1869" w:type="dxa"/>
        </w:trPr>
        <w:tc>
          <w:tcPr>
            <w:tcW w:w="2794" w:type="dxa"/>
            <w:tcBorders>
              <w:top w:val="single" w:sz="4" w:space="0" w:color="auto"/>
              <w:left w:val="single" w:sz="4" w:space="0" w:color="auto"/>
              <w:bottom w:val="single" w:sz="4" w:space="0" w:color="auto"/>
              <w:right w:val="single" w:sz="4" w:space="0" w:color="auto"/>
            </w:tcBorders>
          </w:tcPr>
          <w:p w14:paraId="6961F55B"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Inadequate</w:t>
            </w:r>
          </w:p>
        </w:tc>
        <w:tc>
          <w:tcPr>
            <w:tcW w:w="2451" w:type="dxa"/>
            <w:tcBorders>
              <w:top w:val="single" w:sz="4" w:space="0" w:color="auto"/>
              <w:left w:val="single" w:sz="4" w:space="0" w:color="auto"/>
              <w:bottom w:val="single" w:sz="4" w:space="0" w:color="auto"/>
              <w:right w:val="single" w:sz="4" w:space="0" w:color="auto"/>
            </w:tcBorders>
          </w:tcPr>
          <w:p w14:paraId="6E0E9A38" w14:textId="77777777" w:rsidR="00356820" w:rsidRPr="0059739C" w:rsidRDefault="00000000" w:rsidP="0066043D">
            <w:pPr>
              <w:jc w:val="center"/>
              <w:rPr>
                <w:rFonts w:asciiTheme="majorHAnsi" w:hAnsiTheme="majorHAnsi" w:cstheme="majorHAnsi"/>
                <w:sz w:val="24"/>
                <w:szCs w:val="24"/>
              </w:rPr>
            </w:pPr>
            <w:r w:rsidRPr="0059739C">
              <w:rPr>
                <w:rFonts w:asciiTheme="majorHAnsi" w:hAnsiTheme="majorHAnsi" w:cstheme="majorHAnsi"/>
                <w:sz w:val="24"/>
                <w:szCs w:val="24"/>
              </w:rPr>
              <w:t>1</w:t>
            </w:r>
          </w:p>
        </w:tc>
      </w:tr>
      <w:tr w:rsidR="00356820" w:rsidRPr="0059739C" w14:paraId="580EA2F3" w14:textId="77777777" w:rsidTr="0066043D">
        <w:tc>
          <w:tcPr>
            <w:tcW w:w="4320" w:type="dxa"/>
            <w:gridSpan w:val="2"/>
            <w:tcBorders>
              <w:top w:val="single" w:sz="4" w:space="0" w:color="auto"/>
            </w:tcBorders>
          </w:tcPr>
          <w:p w14:paraId="32BA8F22"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No Submission / Non-Compliant</w:t>
            </w:r>
          </w:p>
        </w:tc>
        <w:tc>
          <w:tcPr>
            <w:tcW w:w="4320" w:type="dxa"/>
            <w:gridSpan w:val="2"/>
            <w:tcBorders>
              <w:top w:val="single" w:sz="4" w:space="0" w:color="auto"/>
            </w:tcBorders>
          </w:tcPr>
          <w:p w14:paraId="3A11CDBD"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0</w:t>
            </w:r>
          </w:p>
        </w:tc>
      </w:tr>
    </w:tbl>
    <w:p w14:paraId="448E3592"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Quality Score = (Evaluation Score ÷ 5) × 400</w:t>
      </w:r>
    </w:p>
    <w:p w14:paraId="1EA9EE18" w14:textId="77777777" w:rsidR="00356820" w:rsidRPr="0059739C" w:rsidRDefault="00000000" w:rsidP="0059739C">
      <w:pPr>
        <w:jc w:val="both"/>
        <w:rPr>
          <w:rFonts w:asciiTheme="majorHAnsi" w:hAnsiTheme="majorHAnsi" w:cstheme="majorHAnsi"/>
          <w:sz w:val="24"/>
          <w:szCs w:val="24"/>
        </w:rPr>
      </w:pPr>
      <w:r w:rsidRPr="0059739C">
        <w:rPr>
          <w:rFonts w:asciiTheme="majorHAnsi" w:hAnsiTheme="majorHAnsi" w:cstheme="majorHAnsi"/>
          <w:sz w:val="24"/>
          <w:szCs w:val="24"/>
        </w:rPr>
        <w:t>Each tenderer shall be assessed by the evaluation panel based on understanding of project constraints, robustness and realism of programme, critical path identification, resource allocation, risk mitigation and confidence in achieving completion.</w:t>
      </w:r>
    </w:p>
    <w:p w14:paraId="781FD034" w14:textId="77777777" w:rsidR="00356820" w:rsidRPr="0059739C" w:rsidRDefault="00000000">
      <w:pPr>
        <w:pStyle w:val="Heading1"/>
        <w:rPr>
          <w:rFonts w:cstheme="majorHAnsi"/>
          <w:sz w:val="24"/>
          <w:szCs w:val="24"/>
        </w:rPr>
      </w:pPr>
      <w:r w:rsidRPr="0059739C">
        <w:rPr>
          <w:rFonts w:cstheme="majorHAnsi"/>
          <w:sz w:val="24"/>
          <w:szCs w:val="24"/>
        </w:rPr>
        <w:t>4. Price Evaluation Methodology</w:t>
      </w:r>
    </w:p>
    <w:p w14:paraId="778351A6" w14:textId="77777777" w:rsidR="00356820" w:rsidRPr="0059739C" w:rsidRDefault="00000000" w:rsidP="0059739C">
      <w:pPr>
        <w:jc w:val="both"/>
        <w:rPr>
          <w:rFonts w:asciiTheme="majorHAnsi" w:hAnsiTheme="majorHAnsi" w:cstheme="majorHAnsi"/>
          <w:sz w:val="24"/>
          <w:szCs w:val="24"/>
        </w:rPr>
      </w:pPr>
      <w:r w:rsidRPr="0059739C">
        <w:rPr>
          <w:rFonts w:asciiTheme="majorHAnsi" w:hAnsiTheme="majorHAnsi" w:cstheme="majorHAnsi"/>
          <w:sz w:val="24"/>
          <w:szCs w:val="24"/>
        </w:rPr>
        <w:t>The Tenderer with the lowest eligible tender price shall receive the full 600 marks available for price.</w:t>
      </w:r>
    </w:p>
    <w:p w14:paraId="03E049C4"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Price Score = A × (1 − ((B − C) ÷ C))</w:t>
      </w:r>
    </w:p>
    <w:p w14:paraId="4E7A8C70" w14:textId="5E613D6A"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Where A = 600 marks available for price; B = Tenderer Price; C = Lowest Eligible Tender</w:t>
      </w:r>
      <w:r w:rsidR="0066043D">
        <w:rPr>
          <w:rFonts w:asciiTheme="majorHAnsi" w:hAnsiTheme="majorHAnsi" w:cstheme="majorHAnsi"/>
          <w:sz w:val="24"/>
          <w:szCs w:val="24"/>
        </w:rPr>
        <w:t xml:space="preserve"> </w:t>
      </w:r>
      <w:r w:rsidRPr="0059739C">
        <w:rPr>
          <w:rFonts w:asciiTheme="majorHAnsi" w:hAnsiTheme="majorHAnsi" w:cstheme="majorHAnsi"/>
          <w:sz w:val="24"/>
          <w:szCs w:val="24"/>
        </w:rPr>
        <w:t>Price.</w:t>
      </w:r>
    </w:p>
    <w:p w14:paraId="4E6A9348" w14:textId="77777777" w:rsidR="00356820" w:rsidRPr="0059739C" w:rsidRDefault="00000000">
      <w:pPr>
        <w:pStyle w:val="Heading1"/>
        <w:rPr>
          <w:rFonts w:cstheme="majorHAnsi"/>
          <w:sz w:val="24"/>
          <w:szCs w:val="24"/>
        </w:rPr>
      </w:pPr>
      <w:r w:rsidRPr="0059739C">
        <w:rPr>
          <w:rFonts w:cstheme="majorHAnsi"/>
          <w:sz w:val="24"/>
          <w:szCs w:val="24"/>
        </w:rPr>
        <w:t>5. Final Combined Score</w:t>
      </w:r>
    </w:p>
    <w:p w14:paraId="69A10EE4" w14:textId="77777777" w:rsidR="00356820" w:rsidRPr="0059739C" w:rsidRDefault="00000000">
      <w:pPr>
        <w:rPr>
          <w:rFonts w:asciiTheme="majorHAnsi" w:hAnsiTheme="majorHAnsi" w:cstheme="majorHAnsi"/>
          <w:sz w:val="24"/>
          <w:szCs w:val="24"/>
        </w:rPr>
      </w:pPr>
      <w:r w:rsidRPr="0059739C">
        <w:rPr>
          <w:rFonts w:asciiTheme="majorHAnsi" w:hAnsiTheme="majorHAnsi" w:cstheme="majorHAnsi"/>
          <w:sz w:val="24"/>
          <w:szCs w:val="24"/>
        </w:rPr>
        <w:t>Final Score = Price Score + Quality Score</w:t>
      </w:r>
    </w:p>
    <w:p w14:paraId="62C52395" w14:textId="77777777" w:rsidR="00356820" w:rsidRPr="0059739C" w:rsidRDefault="00000000" w:rsidP="0059739C">
      <w:pPr>
        <w:jc w:val="both"/>
        <w:rPr>
          <w:rFonts w:asciiTheme="majorHAnsi" w:hAnsiTheme="majorHAnsi" w:cstheme="majorHAnsi"/>
          <w:sz w:val="24"/>
          <w:szCs w:val="24"/>
        </w:rPr>
      </w:pPr>
      <w:r w:rsidRPr="0059739C">
        <w:rPr>
          <w:rFonts w:asciiTheme="majorHAnsi" w:hAnsiTheme="majorHAnsi" w:cstheme="majorHAnsi"/>
          <w:sz w:val="24"/>
          <w:szCs w:val="24"/>
        </w:rPr>
        <w:t>The Tenderer achieving the highest overall combined score shall be deemed to have submitted the Most Economically Advantageous Tender.</w:t>
      </w:r>
    </w:p>
    <w:sectPr w:rsidR="00356820" w:rsidRPr="005973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4139875">
    <w:abstractNumId w:val="8"/>
  </w:num>
  <w:num w:numId="2" w16cid:durableId="469639531">
    <w:abstractNumId w:val="6"/>
  </w:num>
  <w:num w:numId="3" w16cid:durableId="1759059619">
    <w:abstractNumId w:val="5"/>
  </w:num>
  <w:num w:numId="4" w16cid:durableId="1987781620">
    <w:abstractNumId w:val="4"/>
  </w:num>
  <w:num w:numId="5" w16cid:durableId="1000041514">
    <w:abstractNumId w:val="7"/>
  </w:num>
  <w:num w:numId="6" w16cid:durableId="948510852">
    <w:abstractNumId w:val="3"/>
  </w:num>
  <w:num w:numId="7" w16cid:durableId="723675750">
    <w:abstractNumId w:val="2"/>
  </w:num>
  <w:num w:numId="8" w16cid:durableId="1267808981">
    <w:abstractNumId w:val="1"/>
  </w:num>
  <w:num w:numId="9" w16cid:durableId="1117329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6820"/>
    <w:rsid w:val="005558B3"/>
    <w:rsid w:val="0059739C"/>
    <w:rsid w:val="0066043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39E553"/>
  <w14:defaultImageDpi w14:val="300"/>
  <w15:docId w15:val="{2BFD4C2C-E783-45F2-9B8B-5BEC66C7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Devereux</dc:creator>
  <cp:keywords/>
  <dc:description>generated by python-docx</dc:description>
  <cp:lastModifiedBy>Mark Devereux</cp:lastModifiedBy>
  <cp:revision>4</cp:revision>
  <dcterms:created xsi:type="dcterms:W3CDTF">2026-10-15T08:31:00Z</dcterms:created>
  <dcterms:modified xsi:type="dcterms:W3CDTF">2026-10-15T09:07:00Z</dcterms:modified>
  <cp:category/>
</cp:coreProperties>
</file>