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B04E17" w14:paraId="49B50ECF"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011" w:type="dxa"/>
            <w:tcBorders>
              <w:top w:val="single" w:sz="4" w:space="0" w:color="auto"/>
              <w:left w:val="nil"/>
            </w:tcBorders>
          </w:tcPr>
          <w:p w14:paraId="0F0EE6B3" w14:textId="29DDA31B" w:rsidR="00754625" w:rsidRPr="007B1672" w:rsidRDefault="00433BA9" w:rsidP="00433BA9">
            <w:pPr>
              <w:spacing w:before="120" w:after="120"/>
              <w:rPr>
                <w:rFonts w:ascii="Arial" w:hAnsi="Arial" w:cs="Arial"/>
                <w:b/>
                <w:bCs/>
              </w:rPr>
            </w:pPr>
            <w:r w:rsidRPr="002F5C6A">
              <w:rPr>
                <w:rFonts w:ascii="Arial" w:hAnsi="Arial" w:cs="Arial"/>
                <w:b/>
                <w:bCs/>
              </w:rPr>
              <w:t>Invitation to Tender for the Provision Of Indoor Catering Services Concession Contract for Bloom 2027+</w:t>
            </w:r>
          </w:p>
        </w:tc>
      </w:tr>
      <w:tr w:rsidR="00754625" w:rsidRPr="00B04E17" w14:paraId="194A02F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011" w:type="dxa"/>
            <w:tcBorders>
              <w:left w:val="nil"/>
            </w:tcBorders>
          </w:tcPr>
          <w:p w14:paraId="36669AB6" w14:textId="14AE41BB" w:rsidR="00754625" w:rsidRPr="00B04E17" w:rsidRDefault="00433BA9" w:rsidP="007D07DB">
            <w:pPr>
              <w:spacing w:before="120" w:after="120"/>
              <w:rPr>
                <w:rFonts w:ascii="Arial" w:hAnsi="Arial" w:cs="Arial"/>
              </w:rPr>
            </w:pPr>
            <w:r>
              <w:rPr>
                <w:rFonts w:ascii="Arial" w:hAnsi="Arial" w:cs="Arial"/>
              </w:rPr>
              <w:t>PA/</w:t>
            </w:r>
            <w:r w:rsidR="0080580A">
              <w:rPr>
                <w:rFonts w:ascii="Arial" w:hAnsi="Arial" w:cs="Arial"/>
              </w:rPr>
              <w:t>ICSB</w:t>
            </w:r>
            <w:r w:rsidR="00DE1CCF">
              <w:rPr>
                <w:rFonts w:ascii="Arial" w:hAnsi="Arial" w:cs="Arial"/>
              </w:rPr>
              <w:t>/10/26</w:t>
            </w:r>
          </w:p>
        </w:tc>
      </w:tr>
      <w:tr w:rsidR="00754625" w:rsidRPr="00B04E17" w14:paraId="35603FF1"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011" w:type="dxa"/>
            <w:tcBorders>
              <w:left w:val="nil"/>
            </w:tcBorders>
          </w:tcPr>
          <w:p w14:paraId="5BCF28E2" w14:textId="78C1882B" w:rsidR="00754625" w:rsidRPr="00B04E17" w:rsidRDefault="0085186C" w:rsidP="007D07DB">
            <w:pPr>
              <w:spacing w:before="120" w:after="120"/>
              <w:rPr>
                <w:rFonts w:ascii="Arial" w:hAnsi="Arial" w:cs="Arial"/>
              </w:rPr>
            </w:pPr>
            <w:r>
              <w:rPr>
                <w:rFonts w:ascii="Arial" w:hAnsi="Arial" w:cs="Arial"/>
              </w:rPr>
              <w:t>CFT ID:</w:t>
            </w:r>
            <w:r w:rsidR="006B3250">
              <w:rPr>
                <w:rFonts w:ascii="Arial" w:hAnsi="Arial" w:cs="Arial"/>
              </w:rPr>
              <w:t xml:space="preserve">  </w:t>
            </w:r>
            <w:r w:rsidR="006B3250" w:rsidRPr="006B3250">
              <w:rPr>
                <w:rFonts w:ascii="Arial" w:hAnsi="Arial" w:cs="Arial"/>
              </w:rPr>
              <w:t>9240405</w:t>
            </w:r>
          </w:p>
        </w:tc>
      </w:tr>
      <w:tr w:rsidR="00754625" w:rsidRPr="00B04E17" w14:paraId="5FC54C6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011" w:type="dxa"/>
            <w:tcBorders>
              <w:left w:val="nil"/>
            </w:tcBorders>
          </w:tcPr>
          <w:p w14:paraId="65935233" w14:textId="77DD3305" w:rsidR="00754625" w:rsidRPr="00B04E17" w:rsidRDefault="00754625" w:rsidP="007D07DB">
            <w:pPr>
              <w:spacing w:before="120" w:after="120"/>
              <w:rPr>
                <w:rFonts w:ascii="Arial" w:hAnsi="Arial" w:cs="Arial"/>
              </w:rPr>
            </w:pPr>
          </w:p>
        </w:tc>
      </w:tr>
      <w:tr w:rsidR="00087CBE" w:rsidRPr="00B04E17" w14:paraId="57DEAF4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011" w:type="dxa"/>
            <w:tcBorders>
              <w:left w:val="nil"/>
            </w:tcBorders>
          </w:tcPr>
          <w:p w14:paraId="0A180E06" w14:textId="7D552D8C" w:rsidR="00087CBE" w:rsidRPr="00B04E17" w:rsidRDefault="00087CBE" w:rsidP="007D07DB">
            <w:pPr>
              <w:spacing w:before="120" w:after="120"/>
              <w:rPr>
                <w:rFonts w:ascii="Arial" w:hAnsi="Arial" w:cs="Arial"/>
              </w:rPr>
            </w:pPr>
          </w:p>
        </w:tc>
      </w:tr>
      <w:tr w:rsidR="00087CBE" w:rsidRPr="00B04E17" w14:paraId="3CF64705"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011" w:type="dxa"/>
            <w:tcBorders>
              <w:left w:val="nil"/>
            </w:tcBorders>
          </w:tcPr>
          <w:p w14:paraId="6C0CAA83" w14:textId="77777777" w:rsidR="00087CBE" w:rsidRPr="00B04E17" w:rsidRDefault="00087CBE" w:rsidP="007D07DB">
            <w:pPr>
              <w:spacing w:before="120" w:after="120"/>
              <w:rPr>
                <w:rFonts w:ascii="Arial" w:hAnsi="Arial" w:cs="Arial"/>
              </w:rPr>
            </w:pPr>
          </w:p>
        </w:tc>
      </w:tr>
      <w:tr w:rsidR="00087CBE" w:rsidRPr="00B04E17" w14:paraId="1A0D09C5"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011" w:type="dxa"/>
            <w:tcBorders>
              <w:left w:val="nil"/>
              <w:bottom w:val="single" w:sz="4" w:space="0" w:color="auto"/>
            </w:tcBorders>
          </w:tcPr>
          <w:p w14:paraId="4288ED86" w14:textId="77777777" w:rsidR="00087CBE" w:rsidRPr="00B04E17" w:rsidRDefault="00087CBE" w:rsidP="007D07DB">
            <w:pPr>
              <w:spacing w:before="120" w:after="120"/>
              <w:rPr>
                <w:rFonts w:ascii="Arial" w:hAnsi="Arial" w:cs="Arial"/>
              </w:rPr>
            </w:pPr>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End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SMEs are enterprises which employ fewer than 250 persons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67450B3D" w:rsidR="00BE0361" w:rsidRDefault="00BE0361" w:rsidP="00BE0361">
            <w:pPr>
              <w:jc w:val="both"/>
              <w:rPr>
                <w:rFonts w:ascii="Arial" w:hAnsi="Arial" w:cs="Arial"/>
              </w:rPr>
            </w:pPr>
            <w:r w:rsidRPr="00B04E17">
              <w:rPr>
                <w:rFonts w:ascii="Arial" w:hAnsi="Arial" w:cs="Arial"/>
              </w:rPr>
              <w:t xml:space="preserve">I confirm that our turnover </w:t>
            </w:r>
            <w:r w:rsidRPr="005F5AB0">
              <w:rPr>
                <w:rFonts w:ascii="Arial" w:hAnsi="Arial" w:cs="Arial"/>
              </w:rPr>
              <w:t xml:space="preserve">exceeded </w:t>
            </w:r>
            <w:r w:rsidR="005F5AB0" w:rsidRPr="005F5AB0">
              <w:rPr>
                <w:rFonts w:ascii="Arial" w:hAnsi="Arial" w:cs="Arial"/>
              </w:rPr>
              <w:t>€</w:t>
            </w:r>
            <w:r w:rsidR="005F5AB0">
              <w:rPr>
                <w:rFonts w:ascii="Arial" w:hAnsi="Arial" w:cs="Arial"/>
              </w:rPr>
              <w:t xml:space="preserve">1,500,000 </w:t>
            </w:r>
            <w:r w:rsidR="000968E1" w:rsidRPr="00DA14ED">
              <w:rPr>
                <w:rFonts w:ascii="Arial" w:hAnsi="Arial" w:cs="Arial"/>
              </w:rPr>
              <w:t xml:space="preserve">for each of </w:t>
            </w:r>
            <w:r w:rsidRPr="00DA14ED">
              <w:rPr>
                <w:rFonts w:ascii="Arial" w:hAnsi="Arial" w:cs="Arial"/>
              </w:rPr>
              <w:t xml:space="preserve">the last three financial years.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85186C" w:rsidRPr="00B04E17" w14:paraId="0D71819B" w14:textId="77777777" w:rsidTr="00A74797">
        <w:tc>
          <w:tcPr>
            <w:tcW w:w="3397" w:type="dxa"/>
            <w:gridSpan w:val="2"/>
            <w:tcMar>
              <w:top w:w="28" w:type="dxa"/>
              <w:bottom w:w="28" w:type="dxa"/>
            </w:tcMar>
          </w:tcPr>
          <w:p w14:paraId="042010A3" w14:textId="6D6682A0" w:rsidR="0085186C" w:rsidRPr="00B04E17" w:rsidRDefault="0085186C" w:rsidP="00BE0361">
            <w:pPr>
              <w:jc w:val="both"/>
              <w:rPr>
                <w:rFonts w:ascii="Arial" w:hAnsi="Arial" w:cs="Arial"/>
              </w:rPr>
            </w:pPr>
            <w:r>
              <w:rPr>
                <w:rFonts w:ascii="Arial" w:hAnsi="Arial" w:cs="Arial"/>
              </w:rPr>
              <w:t xml:space="preserve">Product Liability </w:t>
            </w:r>
          </w:p>
        </w:tc>
        <w:tc>
          <w:tcPr>
            <w:tcW w:w="1684" w:type="dxa"/>
            <w:tcMar>
              <w:top w:w="28" w:type="dxa"/>
              <w:bottom w:w="28" w:type="dxa"/>
            </w:tcMar>
          </w:tcPr>
          <w:p w14:paraId="5D2AF496" w14:textId="2CDA8477" w:rsidR="0085186C" w:rsidRPr="00B04E17" w:rsidRDefault="0085186C" w:rsidP="00BE0361">
            <w:pPr>
              <w:rPr>
                <w:rFonts w:ascii="Arial" w:hAnsi="Arial" w:cs="Arial"/>
              </w:rPr>
            </w:pPr>
            <w:r>
              <w:rPr>
                <w:rFonts w:ascii="Arial" w:hAnsi="Arial" w:cs="Arial"/>
              </w:rPr>
              <w:t>€</w:t>
            </w:r>
          </w:p>
        </w:tc>
        <w:tc>
          <w:tcPr>
            <w:tcW w:w="1967" w:type="dxa"/>
            <w:gridSpan w:val="2"/>
            <w:tcMar>
              <w:top w:w="28" w:type="dxa"/>
              <w:bottom w:w="28" w:type="dxa"/>
            </w:tcMar>
          </w:tcPr>
          <w:p w14:paraId="53F6013F" w14:textId="77777777" w:rsidR="0085186C" w:rsidRPr="00B04E17" w:rsidRDefault="0085186C" w:rsidP="00BE0361">
            <w:pPr>
              <w:jc w:val="center"/>
              <w:rPr>
                <w:rFonts w:ascii="Arial" w:hAnsi="Arial" w:cs="Arial"/>
              </w:rPr>
            </w:pPr>
          </w:p>
        </w:tc>
        <w:tc>
          <w:tcPr>
            <w:tcW w:w="1968" w:type="dxa"/>
            <w:gridSpan w:val="3"/>
            <w:tcMar>
              <w:top w:w="28" w:type="dxa"/>
              <w:bottom w:w="28" w:type="dxa"/>
            </w:tcMar>
          </w:tcPr>
          <w:p w14:paraId="1F9AB72A" w14:textId="77777777" w:rsidR="0085186C" w:rsidRPr="00B04E17" w:rsidRDefault="0085186C"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2C2F82C3"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EU Regulation 2022/576 on restrictive measures in the Context of Russian Actions in the Ukraine</w:t>
            </w:r>
          </w:p>
        </w:tc>
      </w:tr>
      <w:tr w:rsidR="003100A4" w:rsidRPr="00B04E17" w14:paraId="6A9DCC20" w14:textId="77777777" w:rsidTr="00110F6B">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3592A362" w:rsidR="003100A4" w:rsidRPr="00B04E17" w:rsidRDefault="003100A4" w:rsidP="003100A4">
            <w:pPr>
              <w:rPr>
                <w:rFonts w:ascii="Arial" w:hAnsi="Arial" w:cs="Arial"/>
                <w:b/>
                <w:bCs/>
              </w:rPr>
            </w:pPr>
            <w:r w:rsidRPr="00B04E17">
              <w:rPr>
                <w:rFonts w:ascii="Arial" w:hAnsi="Arial" w:cs="Arial"/>
              </w:rPr>
              <w:t xml:space="preserve">In the light of Russian actions in the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110F6B">
        <w:trPr>
          <w:trHeight w:val="813"/>
        </w:trPr>
        <w:tc>
          <w:tcPr>
            <w:tcW w:w="8642" w:type="dxa"/>
            <w:shd w:val="clear" w:color="auto" w:fill="005A5F"/>
            <w:tcMar>
              <w:top w:w="28" w:type="dxa"/>
              <w:bottom w:w="28" w:type="dxa"/>
            </w:tcMar>
          </w:tcPr>
          <w:p w14:paraId="179D65D5" w14:textId="77777777" w:rsidR="000B703A" w:rsidRDefault="000B703A" w:rsidP="00110F6B">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110F6B">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C9131F"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35A503FF"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5F5AB0">
        <w:rPr>
          <w:rFonts w:ascii="Arial" w:hAnsi="Arial" w:cs="Arial"/>
        </w:rPr>
        <w:t xml:space="preserve">Concession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5F5AB0">
        <w:rPr>
          <w:rFonts w:ascii="Arial" w:hAnsi="Arial" w:cs="Arial"/>
        </w:rPr>
        <w:t>1500</w:t>
      </w:r>
      <w:r w:rsidR="00ED131C" w:rsidRPr="00B04E17">
        <w:rPr>
          <w:rFonts w:ascii="Arial" w:hAnsi="Arial" w:cs="Arial"/>
        </w:rPr>
        <w:t xml:space="preserve"> Marks (</w:t>
      </w:r>
      <w:r w:rsidR="005F5AB0">
        <w:rPr>
          <w:rFonts w:ascii="Arial" w:hAnsi="Arial" w:cs="Arial"/>
        </w:rPr>
        <w:t>15</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0D72A167" w:rsidR="00B21FE6" w:rsidRPr="00B21FE6" w:rsidRDefault="00B21FE6" w:rsidP="00B21FE6">
      <w:pPr>
        <w:spacing w:after="120" w:line="276" w:lineRule="auto"/>
        <w:jc w:val="both"/>
        <w:rPr>
          <w:rFonts w:ascii="Arial" w:eastAsia="Times New Roman" w:hAnsi="Arial" w:cs="Arial"/>
          <w:b/>
          <w:sz w:val="24"/>
          <w:szCs w:val="24"/>
        </w:rPr>
      </w:pPr>
    </w:p>
    <w:tbl>
      <w:tblPr>
        <w:tblStyle w:val="TableGrid42"/>
        <w:tblW w:w="9067" w:type="dxa"/>
        <w:tblLayout w:type="fixed"/>
        <w:tblLook w:val="04A0" w:firstRow="1" w:lastRow="0" w:firstColumn="1" w:lastColumn="0" w:noHBand="0" w:noVBand="1"/>
      </w:tblPr>
      <w:tblGrid>
        <w:gridCol w:w="2258"/>
        <w:gridCol w:w="6809"/>
      </w:tblGrid>
      <w:tr w:rsidR="008910F3" w:rsidRPr="004F4499" w14:paraId="09ED0C13" w14:textId="55B288EE" w:rsidTr="00957A6F">
        <w:trPr>
          <w:trHeight w:val="1455"/>
        </w:trPr>
        <w:tc>
          <w:tcPr>
            <w:tcW w:w="2258" w:type="dxa"/>
            <w:shd w:val="clear" w:color="auto" w:fill="005A5F"/>
          </w:tcPr>
          <w:p w14:paraId="02660501"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p w14:paraId="505FB952" w14:textId="30601B3A" w:rsidR="008910F3" w:rsidRPr="00544BBE" w:rsidRDefault="005C393C" w:rsidP="005C393C">
            <w:pPr>
              <w:spacing w:after="120" w:line="276" w:lineRule="auto"/>
              <w:jc w:val="both"/>
              <w:rPr>
                <w:rFonts w:ascii="Arial" w:hAnsi="Arial" w:cs="Arial"/>
                <w:b/>
                <w:color w:val="FFFFFF" w:themeColor="background1"/>
                <w:sz w:val="22"/>
                <w:szCs w:val="22"/>
                <w:lang w:val="en-IE"/>
              </w:rPr>
            </w:pPr>
            <w:r>
              <w:rPr>
                <w:rFonts w:ascii="Arial" w:hAnsi="Arial" w:cs="Arial"/>
                <w:b/>
                <w:color w:val="FFFFFF" w:themeColor="background1"/>
                <w:sz w:val="22"/>
                <w:szCs w:val="22"/>
                <w:lang w:val="en-IE"/>
              </w:rPr>
              <w:t>Please input your figure</w:t>
            </w:r>
            <w:r w:rsidR="00957A6F">
              <w:rPr>
                <w:rFonts w:ascii="Arial" w:hAnsi="Arial" w:cs="Arial"/>
                <w:b/>
                <w:color w:val="FFFFFF" w:themeColor="background1"/>
                <w:sz w:val="22"/>
                <w:szCs w:val="22"/>
                <w:lang w:val="en-IE"/>
              </w:rPr>
              <w:t xml:space="preserve"> </w:t>
            </w:r>
            <w:r>
              <w:rPr>
                <w:rFonts w:ascii="Arial" w:hAnsi="Arial" w:cs="Arial"/>
                <w:b/>
                <w:color w:val="FFFFFF" w:themeColor="background1"/>
                <w:sz w:val="22"/>
                <w:szCs w:val="22"/>
                <w:lang w:val="en-IE"/>
              </w:rPr>
              <w:t xml:space="preserve">from </w:t>
            </w:r>
            <w:r w:rsidR="00957A6F">
              <w:rPr>
                <w:rFonts w:ascii="Arial" w:hAnsi="Arial" w:cs="Arial"/>
                <w:b/>
                <w:color w:val="FFFFFF" w:themeColor="background1"/>
                <w:sz w:val="22"/>
                <w:szCs w:val="22"/>
                <w:lang w:val="en-IE"/>
              </w:rPr>
              <w:t xml:space="preserve">Appendix 2 – pricing file </w:t>
            </w:r>
          </w:p>
        </w:tc>
        <w:tc>
          <w:tcPr>
            <w:tcW w:w="6809" w:type="dxa"/>
          </w:tcPr>
          <w:p w14:paraId="4EBD535B" w14:textId="77777777" w:rsidR="008910F3" w:rsidRDefault="008910F3" w:rsidP="00110F6B">
            <w:pPr>
              <w:spacing w:after="120" w:line="276" w:lineRule="auto"/>
              <w:jc w:val="both"/>
              <w:rPr>
                <w:rFonts w:ascii="Arial" w:hAnsi="Arial" w:cs="Arial"/>
                <w:sz w:val="22"/>
                <w:szCs w:val="22"/>
                <w:lang w:val="en-IE"/>
              </w:rPr>
            </w:pPr>
          </w:p>
          <w:p w14:paraId="03554F1E" w14:textId="486E779A" w:rsidR="009C2B6C" w:rsidRPr="009C2B6C" w:rsidRDefault="009C2B6C" w:rsidP="00110F6B">
            <w:pPr>
              <w:spacing w:after="120" w:line="276" w:lineRule="auto"/>
              <w:jc w:val="both"/>
              <w:rPr>
                <w:rFonts w:ascii="Arial" w:hAnsi="Arial" w:cs="Arial"/>
                <w:b/>
                <w:bCs/>
                <w:sz w:val="22"/>
                <w:szCs w:val="22"/>
                <w:lang w:val="en-IE"/>
              </w:rPr>
            </w:pPr>
            <w:r>
              <w:rPr>
                <w:rFonts w:ascii="Arial" w:hAnsi="Arial" w:cs="Arial"/>
                <w:sz w:val="22"/>
                <w:szCs w:val="22"/>
                <w:lang w:val="en-IE"/>
              </w:rPr>
              <w:t xml:space="preserve">    </w:t>
            </w:r>
            <w:r w:rsidRPr="009C2B6C">
              <w:rPr>
                <w:rFonts w:ascii="Arial" w:hAnsi="Arial" w:cs="Arial"/>
                <w:b/>
                <w:bCs/>
                <w:sz w:val="40"/>
                <w:szCs w:val="40"/>
                <w:lang w:val="en-IE"/>
              </w:rPr>
              <w:t>€</w:t>
            </w:r>
          </w:p>
        </w:tc>
      </w:tr>
    </w:tbl>
    <w:p w14:paraId="5D6AE40A" w14:textId="07EE9F7A"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0F2CE5D6"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8910F3"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40B83AA5"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CA0F72">
        <w:rPr>
          <w:rFonts w:ascii="Arial" w:hAnsi="Arial" w:cs="Arial"/>
        </w:rPr>
        <w:t xml:space="preserve">Request </w:t>
      </w:r>
      <w:r w:rsidR="005F5AB0">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275F6135"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5F5AB0">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t>Have availed of all offers for additional information or have otherwise satisfied myself/ourselves as to conditions that may in any manner affect the performance of the contract,</w:t>
      </w:r>
    </w:p>
    <w:p w14:paraId="1273E424" w14:textId="372A0177" w:rsidR="00642742" w:rsidRPr="00B04E17" w:rsidRDefault="00642742" w:rsidP="00642742">
      <w:pPr>
        <w:pStyle w:val="ListParagraph"/>
        <w:numPr>
          <w:ilvl w:val="0"/>
          <w:numId w:val="7"/>
        </w:numPr>
        <w:rPr>
          <w:rFonts w:ascii="Arial" w:hAnsi="Arial" w:cs="Arial"/>
        </w:rPr>
      </w:pPr>
      <w:r w:rsidRPr="00B04E17">
        <w:rPr>
          <w:rFonts w:ascii="Arial" w:hAnsi="Arial" w:cs="Arial"/>
        </w:rPr>
        <w:lastRenderedPageBreak/>
        <w:t xml:space="preserve">Have included all elements necessary for the performance of the specified requirements, which are either expressly stated in the </w:t>
      </w:r>
      <w:r w:rsidR="00CA0F72">
        <w:rPr>
          <w:rFonts w:ascii="Arial" w:hAnsi="Arial" w:cs="Arial"/>
        </w:rPr>
        <w:t xml:space="preserve">Request </w:t>
      </w:r>
      <w:r w:rsidR="005F5AB0">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lastRenderedPageBreak/>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110F6B">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110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4FCBC617" w:rsidR="008F575E" w:rsidRPr="008F575E" w:rsidRDefault="00957A6F" w:rsidP="008F575E">
            <w:pPr>
              <w:jc w:val="both"/>
              <w:rPr>
                <w:rFonts w:ascii="Arial" w:hAnsi="Arial" w:cs="Arial"/>
                <w:b/>
                <w:bCs/>
                <w:sz w:val="24"/>
                <w:szCs w:val="24"/>
              </w:rPr>
            </w:pPr>
            <w:r>
              <w:rPr>
                <w:rFonts w:ascii="Arial" w:hAnsi="Arial" w:cs="Arial"/>
              </w:rPr>
              <w:t>12</w:t>
            </w:r>
            <w:r w:rsidR="008F575E" w:rsidRPr="008F575E">
              <w:rPr>
                <w:rFonts w:ascii="Arial" w:hAnsi="Arial" w:cs="Arial"/>
              </w:rPr>
              <w:t>%</w:t>
            </w:r>
          </w:p>
        </w:tc>
        <w:tc>
          <w:tcPr>
            <w:tcW w:w="2254" w:type="dxa"/>
            <w:tcMar>
              <w:top w:w="28" w:type="dxa"/>
              <w:bottom w:w="28" w:type="dxa"/>
            </w:tcMar>
          </w:tcPr>
          <w:p w14:paraId="43A132D8" w14:textId="2DF9B6EF" w:rsidR="008F575E" w:rsidRPr="008F575E" w:rsidRDefault="00957A6F" w:rsidP="008F575E">
            <w:pPr>
              <w:jc w:val="both"/>
              <w:rPr>
                <w:rFonts w:ascii="Arial" w:hAnsi="Arial" w:cs="Arial"/>
                <w:b/>
                <w:bCs/>
                <w:sz w:val="24"/>
                <w:szCs w:val="24"/>
              </w:rPr>
            </w:pPr>
            <w:r>
              <w:rPr>
                <w:rFonts w:ascii="Arial" w:hAnsi="Arial" w:cs="Arial"/>
              </w:rPr>
              <w:t>1200</w:t>
            </w:r>
          </w:p>
        </w:tc>
        <w:tc>
          <w:tcPr>
            <w:tcW w:w="2254" w:type="dxa"/>
            <w:tcMar>
              <w:top w:w="28" w:type="dxa"/>
              <w:bottom w:w="28" w:type="dxa"/>
            </w:tcMar>
          </w:tcPr>
          <w:p w14:paraId="1A285BB7" w14:textId="08F7AC62" w:rsidR="008F575E" w:rsidRPr="008F575E" w:rsidRDefault="00957A6F" w:rsidP="008F575E">
            <w:pPr>
              <w:jc w:val="both"/>
              <w:rPr>
                <w:rFonts w:ascii="Arial" w:hAnsi="Arial" w:cs="Arial"/>
                <w:b/>
                <w:bCs/>
                <w:sz w:val="24"/>
                <w:szCs w:val="24"/>
              </w:rPr>
            </w:pPr>
            <w:r>
              <w:rPr>
                <w:rFonts w:ascii="Arial" w:hAnsi="Arial" w:cs="Arial"/>
              </w:rPr>
              <w:t>600</w:t>
            </w:r>
          </w:p>
        </w:tc>
      </w:tr>
      <w:tr w:rsidR="008F575E" w:rsidRPr="00B04E17" w14:paraId="4CF051B9" w14:textId="77777777" w:rsidTr="00110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8F575E" w:rsidRPr="00B04E17" w14:paraId="64F9978B" w14:textId="77777777" w:rsidTr="008F575E">
        <w:trPr>
          <w:trHeight w:val="2736"/>
        </w:trPr>
        <w:tc>
          <w:tcPr>
            <w:tcW w:w="2254" w:type="dxa"/>
            <w:tcMar>
              <w:top w:w="28" w:type="dxa"/>
              <w:bottom w:w="28" w:type="dxa"/>
            </w:tcMar>
            <w:vAlign w:val="center"/>
          </w:tcPr>
          <w:p w14:paraId="3A7BFC73" w14:textId="77777777" w:rsidR="008F575E" w:rsidRPr="00B04E17" w:rsidRDefault="008F575E" w:rsidP="008F575E">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tcPr>
          <w:p w14:paraId="113ED5F7" w14:textId="77777777" w:rsidR="00FE6E6A" w:rsidRPr="002F5C6A" w:rsidRDefault="00FE6E6A" w:rsidP="00FE6E6A">
            <w:pPr>
              <w:pStyle w:val="NoSpacing"/>
            </w:pPr>
            <w:r w:rsidRPr="002F5C6A">
              <w:t>Tenderers should clearly demonstrate how sustainability principles will be embedded throughout the planning, operation and delivery of the indoor catering services at Bord Bia Bloom 2027. Responses should address, at a minimum, the following areas:</w:t>
            </w:r>
          </w:p>
          <w:p w14:paraId="32A30D6B" w14:textId="77777777" w:rsidR="00FE6E6A" w:rsidRPr="002F5C6A" w:rsidRDefault="00FE6E6A" w:rsidP="00FE6E6A">
            <w:pPr>
              <w:pStyle w:val="NoSpacing"/>
              <w:rPr>
                <w:color w:val="auto"/>
              </w:rPr>
            </w:pPr>
          </w:p>
          <w:p w14:paraId="34468D8D" w14:textId="77777777" w:rsidR="00FE6E6A" w:rsidRPr="002F5C6A" w:rsidRDefault="00FE6E6A" w:rsidP="00FE6E6A">
            <w:pPr>
              <w:pStyle w:val="NoSpacing"/>
              <w:numPr>
                <w:ilvl w:val="0"/>
                <w:numId w:val="19"/>
              </w:numPr>
            </w:pPr>
            <w:r w:rsidRPr="002F5C6A">
              <w:t xml:space="preserve">Commitment to sustainable food sourcing, including Bord Bia Quality Assured, Origin Green and seasonal Irish produce. </w:t>
            </w:r>
          </w:p>
          <w:p w14:paraId="11B11F3C" w14:textId="77777777" w:rsidR="00FE6E6A" w:rsidRPr="002F5C6A" w:rsidRDefault="00FE6E6A" w:rsidP="00FE6E6A">
            <w:pPr>
              <w:pStyle w:val="NoSpacing"/>
              <w:numPr>
                <w:ilvl w:val="0"/>
                <w:numId w:val="19"/>
              </w:numPr>
            </w:pPr>
            <w:r w:rsidRPr="002F5C6A">
              <w:t xml:space="preserve">Measures to minimise food waste and maximise reuse, redistribution and responsible disposal. </w:t>
            </w:r>
          </w:p>
          <w:p w14:paraId="5307FF70" w14:textId="77777777" w:rsidR="00FE6E6A" w:rsidRPr="002F5C6A" w:rsidRDefault="00FE6E6A" w:rsidP="00FE6E6A">
            <w:pPr>
              <w:pStyle w:val="NoSpacing"/>
              <w:numPr>
                <w:ilvl w:val="0"/>
                <w:numId w:val="19"/>
              </w:numPr>
            </w:pPr>
            <w:r w:rsidRPr="002F5C6A">
              <w:t xml:space="preserve">Robust waste management and segregation processes, including monitoring and post-event reporting. </w:t>
            </w:r>
          </w:p>
          <w:p w14:paraId="74DF3FD4" w14:textId="77777777" w:rsidR="00FE6E6A" w:rsidRPr="002F5C6A" w:rsidRDefault="00FE6E6A" w:rsidP="00FE6E6A">
            <w:pPr>
              <w:pStyle w:val="NoSpacing"/>
              <w:numPr>
                <w:ilvl w:val="0"/>
                <w:numId w:val="19"/>
              </w:numPr>
            </w:pPr>
            <w:r w:rsidRPr="002F5C6A">
              <w:t xml:space="preserve">Use of 100% compostable packaging and initiatives to reduce single-use plastics </w:t>
            </w:r>
          </w:p>
          <w:p w14:paraId="33A0A78B" w14:textId="77777777" w:rsidR="00FE6E6A" w:rsidRPr="002F5C6A" w:rsidRDefault="00FE6E6A" w:rsidP="00FE6E6A">
            <w:pPr>
              <w:pStyle w:val="NoSpacing"/>
              <w:numPr>
                <w:ilvl w:val="0"/>
                <w:numId w:val="19"/>
              </w:numPr>
            </w:pPr>
            <w:r w:rsidRPr="002F5C6A">
              <w:t xml:space="preserve">Actions to reduce carbon emissions, including sustainable transport, logistics and operational practices. </w:t>
            </w:r>
          </w:p>
          <w:p w14:paraId="35485F55" w14:textId="77777777" w:rsidR="00FE6E6A" w:rsidRPr="002F5C6A" w:rsidRDefault="00FE6E6A" w:rsidP="00FE6E6A">
            <w:pPr>
              <w:pStyle w:val="NoSpacing"/>
              <w:numPr>
                <w:ilvl w:val="0"/>
                <w:numId w:val="19"/>
              </w:numPr>
            </w:pPr>
            <w:r w:rsidRPr="002F5C6A">
              <w:t>Energy and water conservation measures and the use of resource-efficient equipment.</w:t>
            </w:r>
          </w:p>
          <w:p w14:paraId="4190A43D" w14:textId="3EED7880" w:rsidR="008F575E" w:rsidRPr="008F575E" w:rsidRDefault="008F575E" w:rsidP="00957A6F">
            <w:pPr>
              <w:pStyle w:val="NoSpacing"/>
              <w:ind w:left="720"/>
              <w:rPr>
                <w:i/>
                <w:iCs/>
                <w:color w:val="auto"/>
              </w:rPr>
            </w:pP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3DF3419C" w14:textId="77777777" w:rsidR="00C52948" w:rsidRDefault="00C52948" w:rsidP="00642742">
      <w:pPr>
        <w:rPr>
          <w:rFonts w:ascii="Arial" w:hAnsi="Arial" w:cs="Arial"/>
        </w:rPr>
      </w:pPr>
    </w:p>
    <w:p w14:paraId="0E76B595" w14:textId="77777777" w:rsidR="00C52948" w:rsidRDefault="00C52948" w:rsidP="00642742">
      <w:pPr>
        <w:rPr>
          <w:rFonts w:ascii="Arial" w:hAnsi="Arial" w:cs="Arial"/>
        </w:rPr>
      </w:pPr>
    </w:p>
    <w:p w14:paraId="31B18B85" w14:textId="77777777" w:rsidR="00C52948" w:rsidRDefault="00C52948" w:rsidP="00642742">
      <w:pPr>
        <w:rPr>
          <w:rFonts w:ascii="Arial" w:hAnsi="Arial" w:cs="Arial"/>
        </w:rPr>
      </w:pPr>
    </w:p>
    <w:p w14:paraId="1E0A39BA" w14:textId="77777777" w:rsidR="00C52948" w:rsidRDefault="00C52948" w:rsidP="00642742">
      <w:pPr>
        <w:rPr>
          <w:rFonts w:ascii="Arial" w:hAnsi="Arial" w:cs="Arial"/>
        </w:rPr>
      </w:pPr>
    </w:p>
    <w:p w14:paraId="29AE0688" w14:textId="77777777" w:rsidR="00C52948" w:rsidRDefault="00C52948" w:rsidP="00642742">
      <w:pPr>
        <w:rPr>
          <w:rFonts w:ascii="Arial" w:hAnsi="Arial" w:cs="Arial"/>
        </w:rPr>
      </w:pPr>
    </w:p>
    <w:p w14:paraId="1354838D" w14:textId="77777777" w:rsidR="00C52948" w:rsidRDefault="00C52948" w:rsidP="00642742">
      <w:pPr>
        <w:rPr>
          <w:rFonts w:ascii="Arial" w:hAnsi="Arial" w:cs="Arial"/>
        </w:rPr>
      </w:pPr>
    </w:p>
    <w:p w14:paraId="4EC4381E" w14:textId="77777777" w:rsidR="00C52948" w:rsidRDefault="00C52948" w:rsidP="00642742">
      <w:pPr>
        <w:rPr>
          <w:rFonts w:ascii="Arial" w:hAnsi="Arial" w:cs="Arial"/>
        </w:rPr>
      </w:pPr>
    </w:p>
    <w:p w14:paraId="7FB4C26D" w14:textId="77777777" w:rsidR="00C52948" w:rsidRDefault="00C5294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110F6B">
            <w:pPr>
              <w:jc w:val="both"/>
              <w:rPr>
                <w:rFonts w:ascii="Arial" w:hAnsi="Arial" w:cs="Arial"/>
                <w:b/>
                <w:bCs/>
                <w:color w:val="FFFFFF" w:themeColor="background1"/>
                <w:sz w:val="24"/>
                <w:szCs w:val="24"/>
              </w:rPr>
            </w:pPr>
            <w:r w:rsidRPr="00544BBE">
              <w:rPr>
                <w:rFonts w:ascii="Arial" w:hAnsi="Arial" w:cs="Arial"/>
                <w:color w:val="FFFFFF" w:themeColor="background1"/>
              </w:rPr>
              <w:lastRenderedPageBreak/>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110F6B">
            <w:pPr>
              <w:jc w:val="both"/>
              <w:rPr>
                <w:rFonts w:ascii="Arial" w:hAnsi="Arial" w:cs="Arial"/>
              </w:rPr>
            </w:pPr>
          </w:p>
        </w:tc>
        <w:tc>
          <w:tcPr>
            <w:tcW w:w="2254" w:type="dxa"/>
            <w:tcMar>
              <w:top w:w="28" w:type="dxa"/>
              <w:bottom w:w="28" w:type="dxa"/>
            </w:tcMar>
            <w:vAlign w:val="center"/>
          </w:tcPr>
          <w:p w14:paraId="7E9B0D67" w14:textId="3B809EAE" w:rsidR="00A06621" w:rsidRPr="00B04E17" w:rsidRDefault="00D345C6" w:rsidP="00110F6B">
            <w:pPr>
              <w:jc w:val="both"/>
              <w:rPr>
                <w:rFonts w:ascii="Arial" w:hAnsi="Arial" w:cs="Arial"/>
                <w:b/>
                <w:bCs/>
                <w:sz w:val="24"/>
                <w:szCs w:val="24"/>
              </w:rPr>
            </w:pPr>
            <w:r>
              <w:rPr>
                <w:rFonts w:ascii="Arial" w:hAnsi="Arial" w:cs="Arial"/>
                <w:b/>
                <w:bCs/>
                <w:sz w:val="24"/>
                <w:szCs w:val="24"/>
              </w:rPr>
              <w:t>25</w:t>
            </w:r>
            <w:r w:rsidR="00A06621" w:rsidRPr="00B04E17">
              <w:rPr>
                <w:rFonts w:ascii="Arial" w:hAnsi="Arial" w:cs="Arial"/>
                <w:b/>
                <w:bCs/>
                <w:sz w:val="24"/>
                <w:szCs w:val="24"/>
              </w:rPr>
              <w:t>%</w:t>
            </w:r>
          </w:p>
        </w:tc>
        <w:tc>
          <w:tcPr>
            <w:tcW w:w="2254" w:type="dxa"/>
            <w:tcMar>
              <w:top w:w="28" w:type="dxa"/>
              <w:bottom w:w="28" w:type="dxa"/>
            </w:tcMar>
            <w:vAlign w:val="center"/>
          </w:tcPr>
          <w:p w14:paraId="1D5E36A2" w14:textId="027DF19D" w:rsidR="00A06621" w:rsidRPr="00B04E17" w:rsidRDefault="00D345C6" w:rsidP="00110F6B">
            <w:pPr>
              <w:jc w:val="both"/>
              <w:rPr>
                <w:rFonts w:ascii="Arial" w:hAnsi="Arial" w:cs="Arial"/>
                <w:b/>
                <w:bCs/>
                <w:sz w:val="24"/>
                <w:szCs w:val="24"/>
              </w:rPr>
            </w:pPr>
            <w:r>
              <w:rPr>
                <w:rFonts w:ascii="Arial" w:hAnsi="Arial" w:cs="Arial"/>
                <w:b/>
                <w:bCs/>
                <w:sz w:val="24"/>
                <w:szCs w:val="24"/>
              </w:rPr>
              <w:t>2500</w:t>
            </w:r>
          </w:p>
        </w:tc>
        <w:tc>
          <w:tcPr>
            <w:tcW w:w="2254" w:type="dxa"/>
            <w:tcMar>
              <w:top w:w="28" w:type="dxa"/>
              <w:bottom w:w="28" w:type="dxa"/>
            </w:tcMar>
            <w:vAlign w:val="center"/>
          </w:tcPr>
          <w:p w14:paraId="4262B566" w14:textId="74B61B7B" w:rsidR="00A06621" w:rsidRPr="00B04E17" w:rsidRDefault="00D345C6" w:rsidP="00110F6B">
            <w:pPr>
              <w:jc w:val="both"/>
              <w:rPr>
                <w:rFonts w:ascii="Arial" w:hAnsi="Arial" w:cs="Arial"/>
                <w:b/>
                <w:bCs/>
                <w:sz w:val="24"/>
                <w:szCs w:val="24"/>
              </w:rPr>
            </w:pPr>
            <w:r>
              <w:rPr>
                <w:rFonts w:ascii="Arial" w:hAnsi="Arial" w:cs="Arial"/>
                <w:b/>
                <w:bCs/>
                <w:sz w:val="24"/>
                <w:szCs w:val="24"/>
              </w:rPr>
              <w:t>1250</w:t>
            </w:r>
          </w:p>
        </w:tc>
      </w:tr>
      <w:tr w:rsidR="00A06621" w:rsidRPr="00B04E17" w14:paraId="1E62E273" w14:textId="77777777" w:rsidTr="00110F6B">
        <w:tc>
          <w:tcPr>
            <w:tcW w:w="2254" w:type="dxa"/>
            <w:tcMar>
              <w:top w:w="28" w:type="dxa"/>
              <w:bottom w:w="28" w:type="dxa"/>
            </w:tcMar>
            <w:vAlign w:val="center"/>
          </w:tcPr>
          <w:p w14:paraId="2D18A868" w14:textId="77777777" w:rsidR="00A06621" w:rsidRPr="00B04E17" w:rsidRDefault="00A06621" w:rsidP="00110F6B">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110F6B">
            <w:pPr>
              <w:jc w:val="both"/>
              <w:rPr>
                <w:rFonts w:ascii="Arial" w:hAnsi="Arial" w:cs="Arial"/>
                <w:b/>
                <w:bCs/>
              </w:rPr>
            </w:pPr>
            <w:r w:rsidRPr="00B04E17">
              <w:rPr>
                <w:rFonts w:ascii="Arial" w:hAnsi="Arial" w:cs="Arial"/>
                <w:b/>
                <w:bCs/>
                <w:sz w:val="24"/>
                <w:szCs w:val="24"/>
              </w:rPr>
              <w:t>Proposed Methodology for Delivery of this Project</w:t>
            </w:r>
          </w:p>
        </w:tc>
      </w:tr>
      <w:tr w:rsidR="00CA7C67" w:rsidRPr="00B04E17" w14:paraId="63B1C7EE" w14:textId="77777777" w:rsidTr="00110F6B">
        <w:tc>
          <w:tcPr>
            <w:tcW w:w="2254" w:type="dxa"/>
            <w:tcMar>
              <w:top w:w="28" w:type="dxa"/>
              <w:bottom w:w="28" w:type="dxa"/>
            </w:tcMar>
            <w:vAlign w:val="center"/>
          </w:tcPr>
          <w:p w14:paraId="52961278" w14:textId="77777777" w:rsidR="00CA7C67" w:rsidRPr="00B04E17" w:rsidRDefault="00CA7C67" w:rsidP="00CA7C67">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45EDAA1D" w14:textId="77777777" w:rsidR="00CA7C67" w:rsidRPr="002F5C6A" w:rsidRDefault="00CA7C67" w:rsidP="00CA7C67">
            <w:pPr>
              <w:rPr>
                <w:rFonts w:ascii="Arial" w:hAnsi="Arial" w:cs="Arial"/>
              </w:rPr>
            </w:pPr>
            <w:r w:rsidRPr="002F5C6A">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 by covering at least the following:</w:t>
            </w:r>
          </w:p>
          <w:p w14:paraId="49A3EC5B" w14:textId="77777777" w:rsidR="00CA7C67" w:rsidRPr="002F5C6A" w:rsidRDefault="00CA7C67" w:rsidP="00CA7C67">
            <w:pPr>
              <w:contextualSpacing/>
              <w:rPr>
                <w:rFonts w:ascii="Arial" w:hAnsi="Arial" w:cs="Arial"/>
              </w:rPr>
            </w:pPr>
          </w:p>
          <w:p w14:paraId="30AF4663" w14:textId="77777777" w:rsidR="00CA7C67" w:rsidRPr="002F5C6A" w:rsidRDefault="00CA7C67" w:rsidP="00CA7C67">
            <w:pPr>
              <w:pStyle w:val="ListParagraph"/>
              <w:numPr>
                <w:ilvl w:val="0"/>
                <w:numId w:val="22"/>
              </w:numPr>
              <w:rPr>
                <w:rFonts w:ascii="Arial" w:hAnsi="Arial" w:cs="Arial"/>
                <w:b/>
                <w:bCs/>
              </w:rPr>
            </w:pPr>
            <w:r w:rsidRPr="002F5C6A">
              <w:rPr>
                <w:rFonts w:ascii="Arial" w:hAnsi="Arial" w:cs="Arial"/>
                <w:b/>
                <w:bCs/>
              </w:rPr>
              <w:t>Approach and Proposed Methodology</w:t>
            </w:r>
          </w:p>
          <w:p w14:paraId="4F2C09F3" w14:textId="77777777" w:rsidR="00CA7C67" w:rsidRPr="002F5C6A" w:rsidRDefault="00CA7C67" w:rsidP="00CA7C67">
            <w:pPr>
              <w:pStyle w:val="ListParagraph"/>
              <w:rPr>
                <w:rFonts w:ascii="Arial" w:hAnsi="Arial" w:cs="Arial"/>
              </w:rPr>
            </w:pPr>
          </w:p>
          <w:p w14:paraId="67867BC7"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A comprehensive operational plan for the delivery and management of all indoor catering facilities, including restaurants, wine pods and ancillary hospitality events. </w:t>
            </w:r>
          </w:p>
          <w:p w14:paraId="2D476C97"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A high-quality food and beverage offering that celebrates Irish seasonal produce, Bord Bia Quality Assured products and artisan food producers. </w:t>
            </w:r>
          </w:p>
          <w:p w14:paraId="281DBAE4"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An innovative and compelling vision for the A Taste of Bloom experience, including menu development, customer journey and overall visitor experience. </w:t>
            </w:r>
          </w:p>
          <w:p w14:paraId="17979519"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The ability to deliver efficient, professional and customer-focused service across high visitor volumes while maintaining premium dining standards. </w:t>
            </w:r>
          </w:p>
          <w:p w14:paraId="2D3F9283"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Experience and capability to successfully manage large-scale catering operations, including staffing, logistics, service flow and contingency planning. </w:t>
            </w:r>
          </w:p>
          <w:p w14:paraId="7AE4686E"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Proposals to enhance the overall Bord Bia Bloom experience through creativity, innovation, presentation, atmosphere and integration of the gardening and horticultural theme. </w:t>
            </w:r>
          </w:p>
          <w:p w14:paraId="278730AF"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Effective management of ancillary events, sponsor hospitality, media catering and stakeholder functions throughout the festival. </w:t>
            </w:r>
          </w:p>
          <w:p w14:paraId="086372A2"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A clear approach to collaboration with Bord Bia, sponsors, artisan food producers and event stakeholders. </w:t>
            </w:r>
          </w:p>
          <w:p w14:paraId="6A316825"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 xml:space="preserve">Robust quality assurance, food safety and compliance processes to ensure consistent service delivery. </w:t>
            </w:r>
          </w:p>
          <w:p w14:paraId="04755599" w14:textId="77777777" w:rsidR="00CA7C67" w:rsidRPr="002F5C6A" w:rsidRDefault="00CA7C67" w:rsidP="00CA7C67">
            <w:pPr>
              <w:pStyle w:val="ListParagraph"/>
              <w:numPr>
                <w:ilvl w:val="0"/>
                <w:numId w:val="20"/>
              </w:numPr>
              <w:rPr>
                <w:rFonts w:ascii="Arial" w:hAnsi="Arial" w:cs="Arial"/>
                <w:lang w:val="en-IE"/>
              </w:rPr>
            </w:pPr>
            <w:r w:rsidRPr="002F5C6A">
              <w:rPr>
                <w:rFonts w:ascii="Arial" w:hAnsi="Arial" w:cs="Arial"/>
                <w:lang w:val="en-IE"/>
              </w:rPr>
              <w:t>Flexibility and adaptability to accommodate changing operational requirements and additional catering requests during the event.</w:t>
            </w:r>
          </w:p>
          <w:p w14:paraId="24616F41" w14:textId="77777777" w:rsidR="00CA7C67" w:rsidRPr="002F5C6A" w:rsidRDefault="00CA7C67" w:rsidP="00CA7C67">
            <w:pPr>
              <w:pStyle w:val="ListParagraph"/>
              <w:ind w:left="1440"/>
              <w:rPr>
                <w:rFonts w:ascii="Arial" w:hAnsi="Arial" w:cs="Arial"/>
                <w:lang w:val="en-IE"/>
              </w:rPr>
            </w:pPr>
          </w:p>
          <w:p w14:paraId="48F5CB95" w14:textId="77777777" w:rsidR="00CA7C67" w:rsidRPr="002F5C6A" w:rsidRDefault="00CA7C67" w:rsidP="00CA7C67">
            <w:pPr>
              <w:pStyle w:val="ListParagraph"/>
              <w:numPr>
                <w:ilvl w:val="0"/>
                <w:numId w:val="22"/>
              </w:numPr>
              <w:rPr>
                <w:rFonts w:ascii="Arial" w:hAnsi="Arial" w:cs="Arial"/>
                <w:b/>
                <w:bCs/>
              </w:rPr>
            </w:pPr>
            <w:r w:rsidRPr="002F5C6A">
              <w:rPr>
                <w:rFonts w:ascii="Arial" w:hAnsi="Arial" w:cs="Arial"/>
                <w:b/>
                <w:bCs/>
              </w:rPr>
              <w:t>Creativity of proposed Approach</w:t>
            </w:r>
          </w:p>
          <w:p w14:paraId="188FEB19" w14:textId="77777777" w:rsidR="00CA7C67" w:rsidRPr="002F5C6A" w:rsidRDefault="00CA7C67" w:rsidP="00CA7C67">
            <w:pPr>
              <w:pStyle w:val="ListParagraph"/>
              <w:rPr>
                <w:rFonts w:ascii="Arial" w:hAnsi="Arial" w:cs="Arial"/>
                <w:b/>
                <w:bCs/>
              </w:rPr>
            </w:pPr>
          </w:p>
          <w:p w14:paraId="643ADAFF" w14:textId="77777777" w:rsidR="00CA7C67" w:rsidRPr="002F5C6A" w:rsidRDefault="00CA7C67" w:rsidP="00CA7C67">
            <w:pPr>
              <w:jc w:val="both"/>
              <w:rPr>
                <w:rFonts w:ascii="Arial" w:hAnsi="Arial" w:cs="Arial"/>
              </w:rPr>
            </w:pPr>
            <w:r w:rsidRPr="002F5C6A">
              <w:rPr>
                <w:rFonts w:ascii="Arial" w:hAnsi="Arial" w:cs="Arial"/>
              </w:rPr>
              <w:t>Tenderers should address the following in their response:</w:t>
            </w:r>
          </w:p>
          <w:p w14:paraId="40F05C54" w14:textId="77777777" w:rsidR="00CA7C67" w:rsidRPr="002F5C6A" w:rsidRDefault="00CA7C67" w:rsidP="00CA7C67">
            <w:pPr>
              <w:jc w:val="both"/>
              <w:rPr>
                <w:rFonts w:ascii="Arial" w:hAnsi="Arial" w:cs="Arial"/>
              </w:rPr>
            </w:pPr>
          </w:p>
          <w:p w14:paraId="6012C760" w14:textId="77777777" w:rsidR="00CA7C67" w:rsidRPr="002F5C6A" w:rsidRDefault="00CA7C67" w:rsidP="00CA7C67">
            <w:pPr>
              <w:pStyle w:val="ListParagraph"/>
              <w:numPr>
                <w:ilvl w:val="0"/>
                <w:numId w:val="21"/>
              </w:numPr>
              <w:jc w:val="both"/>
              <w:rPr>
                <w:rFonts w:ascii="Arial" w:hAnsi="Arial" w:cs="Arial"/>
                <w:lang w:val="en-IE"/>
              </w:rPr>
            </w:pPr>
            <w:r w:rsidRPr="002F5C6A">
              <w:rPr>
                <w:rFonts w:ascii="Arial" w:hAnsi="Arial" w:cs="Arial"/>
                <w:lang w:val="en-IE"/>
              </w:rPr>
              <w:t xml:space="preserve">Proposals to attract new corporate clients and business audiences to the event, thereby contributing to increased attendance and revenue opportunities. </w:t>
            </w:r>
          </w:p>
          <w:p w14:paraId="4B7784F1" w14:textId="77777777" w:rsidR="00CA7C67" w:rsidRPr="002F5C6A" w:rsidRDefault="00CA7C67" w:rsidP="00CA7C67">
            <w:pPr>
              <w:pStyle w:val="ListParagraph"/>
              <w:numPr>
                <w:ilvl w:val="0"/>
                <w:numId w:val="21"/>
              </w:numPr>
              <w:jc w:val="both"/>
              <w:rPr>
                <w:rFonts w:ascii="Arial" w:hAnsi="Arial" w:cs="Arial"/>
                <w:lang w:val="en-IE"/>
              </w:rPr>
            </w:pPr>
            <w:r w:rsidRPr="002F5C6A">
              <w:rPr>
                <w:rFonts w:ascii="Arial" w:hAnsi="Arial" w:cs="Arial"/>
                <w:lang w:val="en-IE"/>
              </w:rPr>
              <w:lastRenderedPageBreak/>
              <w:t xml:space="preserve">Innovative initiatives that enhance the overall visitor and corporate hospitality experience beyond the core catering requirements. </w:t>
            </w:r>
          </w:p>
          <w:p w14:paraId="4333EDF0" w14:textId="77777777" w:rsidR="00CA7C67" w:rsidRPr="002F5C6A" w:rsidRDefault="00CA7C67" w:rsidP="00CA7C67">
            <w:pPr>
              <w:pStyle w:val="ListParagraph"/>
              <w:numPr>
                <w:ilvl w:val="0"/>
                <w:numId w:val="21"/>
              </w:numPr>
              <w:jc w:val="both"/>
              <w:rPr>
                <w:rFonts w:ascii="Arial" w:hAnsi="Arial" w:cs="Arial"/>
                <w:lang w:val="en-IE"/>
              </w:rPr>
            </w:pPr>
            <w:r w:rsidRPr="002F5C6A">
              <w:rPr>
                <w:rFonts w:ascii="Arial" w:hAnsi="Arial" w:cs="Arial"/>
                <w:lang w:val="en-IE"/>
              </w:rPr>
              <w:t xml:space="preserve">The ability to promote and amplify awareness of the event through the tenderer's own marketing, communication, and social media channels. </w:t>
            </w:r>
          </w:p>
          <w:p w14:paraId="3A3BE89B" w14:textId="77777777" w:rsidR="00CA7C67" w:rsidRPr="002F5C6A" w:rsidRDefault="00CA7C67" w:rsidP="00CA7C67">
            <w:pPr>
              <w:pStyle w:val="ListParagraph"/>
              <w:numPr>
                <w:ilvl w:val="0"/>
                <w:numId w:val="21"/>
              </w:numPr>
              <w:jc w:val="both"/>
              <w:rPr>
                <w:rFonts w:ascii="Arial" w:hAnsi="Arial" w:cs="Arial"/>
                <w:lang w:val="en-IE"/>
              </w:rPr>
            </w:pPr>
            <w:r w:rsidRPr="002F5C6A">
              <w:rPr>
                <w:rFonts w:ascii="Arial" w:hAnsi="Arial" w:cs="Arial"/>
                <w:lang w:val="en-IE"/>
              </w:rPr>
              <w:t xml:space="preserve">Evidence of how the tenderer's existing customer base, networks, partnerships, or promotional activities could generate additional exposure and engagement for the event. </w:t>
            </w:r>
          </w:p>
          <w:p w14:paraId="275742AD" w14:textId="77777777" w:rsidR="00CA7C67" w:rsidRPr="002F5C6A" w:rsidRDefault="00CA7C67" w:rsidP="00CA7C67">
            <w:pPr>
              <w:pStyle w:val="ListParagraph"/>
              <w:numPr>
                <w:ilvl w:val="0"/>
                <w:numId w:val="21"/>
              </w:numPr>
              <w:jc w:val="both"/>
              <w:rPr>
                <w:rFonts w:ascii="Arial" w:hAnsi="Arial" w:cs="Arial"/>
                <w:lang w:val="en-IE"/>
              </w:rPr>
            </w:pPr>
            <w:r w:rsidRPr="002F5C6A">
              <w:rPr>
                <w:rFonts w:ascii="Arial" w:hAnsi="Arial" w:cs="Arial"/>
                <w:lang w:val="en-IE"/>
              </w:rPr>
              <w:t>Added-value opportunities that support the growth, profile, and long-term success of the event.</w:t>
            </w:r>
          </w:p>
          <w:p w14:paraId="59A59B72" w14:textId="77777777" w:rsidR="00CA7C67" w:rsidRPr="002F5C6A" w:rsidRDefault="00CA7C67" w:rsidP="00CA7C67">
            <w:pPr>
              <w:pStyle w:val="ListParagraph"/>
              <w:jc w:val="both"/>
              <w:rPr>
                <w:rFonts w:ascii="Arial" w:hAnsi="Arial" w:cs="Arial"/>
                <w:lang w:val="en-IE"/>
              </w:rPr>
            </w:pPr>
          </w:p>
          <w:p w14:paraId="414951E2" w14:textId="77777777" w:rsidR="00CA7C67" w:rsidRPr="002F5C6A" w:rsidRDefault="00CA7C67" w:rsidP="00CA7C67">
            <w:pPr>
              <w:pStyle w:val="ListParagraph"/>
              <w:numPr>
                <w:ilvl w:val="0"/>
                <w:numId w:val="22"/>
              </w:numPr>
              <w:rPr>
                <w:rFonts w:ascii="Arial" w:hAnsi="Arial" w:cs="Arial"/>
                <w:b/>
                <w:bCs/>
              </w:rPr>
            </w:pPr>
            <w:r w:rsidRPr="002F5C6A">
              <w:rPr>
                <w:rFonts w:ascii="Arial" w:hAnsi="Arial" w:cs="Arial"/>
                <w:b/>
                <w:bCs/>
              </w:rPr>
              <w:t>Proposed Food Offering and Customer Experience</w:t>
            </w:r>
          </w:p>
          <w:p w14:paraId="34D73367" w14:textId="77777777" w:rsidR="00CA7C67" w:rsidRPr="002F5C6A" w:rsidRDefault="00CA7C67" w:rsidP="00CA7C67">
            <w:pPr>
              <w:pStyle w:val="ListParagraph"/>
              <w:rPr>
                <w:rFonts w:ascii="Arial" w:hAnsi="Arial" w:cs="Arial"/>
                <w:b/>
                <w:bCs/>
              </w:rPr>
            </w:pPr>
          </w:p>
          <w:p w14:paraId="3EDBCA43" w14:textId="77777777" w:rsidR="00CA7C67" w:rsidRPr="002F5C6A" w:rsidRDefault="00CA7C67" w:rsidP="00CA7C67">
            <w:pPr>
              <w:jc w:val="both"/>
              <w:rPr>
                <w:rFonts w:ascii="Arial" w:hAnsi="Arial" w:cs="Arial"/>
              </w:rPr>
            </w:pPr>
            <w:r w:rsidRPr="002F5C6A">
              <w:rPr>
                <w:rFonts w:ascii="Arial" w:hAnsi="Arial" w:cs="Arial"/>
              </w:rPr>
              <w:t>Tenderers should address the following in their response:</w:t>
            </w:r>
          </w:p>
          <w:p w14:paraId="10EB4FFF" w14:textId="77777777" w:rsidR="00CA7C67" w:rsidRPr="002F5C6A" w:rsidRDefault="00CA7C67" w:rsidP="00CA7C67">
            <w:pPr>
              <w:pStyle w:val="ListParagraph"/>
              <w:rPr>
                <w:rFonts w:ascii="Arial" w:hAnsi="Arial" w:cs="Arial"/>
                <w:b/>
                <w:bCs/>
              </w:rPr>
            </w:pPr>
          </w:p>
          <w:p w14:paraId="2E68B371" w14:textId="77777777" w:rsidR="00CA7C67" w:rsidRPr="002F5C6A" w:rsidRDefault="00CA7C67" w:rsidP="00CA7C67">
            <w:pPr>
              <w:pStyle w:val="ListParagraph"/>
              <w:numPr>
                <w:ilvl w:val="0"/>
                <w:numId w:val="23"/>
              </w:numPr>
              <w:rPr>
                <w:rFonts w:ascii="Arial" w:hAnsi="Arial" w:cs="Arial"/>
                <w:lang w:val="en-IE"/>
              </w:rPr>
            </w:pPr>
            <w:r w:rsidRPr="002F5C6A">
              <w:rPr>
                <w:rFonts w:ascii="Arial" w:hAnsi="Arial" w:cs="Arial"/>
                <w:lang w:val="en-IE"/>
              </w:rPr>
              <w:t xml:space="preserve">The quality, variety and overall suitability of the proposed food and beverage offering for the target audience. </w:t>
            </w:r>
          </w:p>
          <w:p w14:paraId="01B8CCAC" w14:textId="77777777" w:rsidR="00CA7C67" w:rsidRPr="002F5C6A" w:rsidRDefault="00CA7C67" w:rsidP="00CA7C67">
            <w:pPr>
              <w:pStyle w:val="ListParagraph"/>
              <w:numPr>
                <w:ilvl w:val="0"/>
                <w:numId w:val="23"/>
              </w:numPr>
              <w:rPr>
                <w:rFonts w:ascii="Arial" w:hAnsi="Arial" w:cs="Arial"/>
                <w:lang w:val="en-IE"/>
              </w:rPr>
            </w:pPr>
            <w:r w:rsidRPr="002F5C6A">
              <w:rPr>
                <w:rFonts w:ascii="Arial" w:hAnsi="Arial" w:cs="Arial"/>
                <w:lang w:val="en-IE"/>
              </w:rPr>
              <w:t xml:space="preserve">How the menu will cater for a broad range of dietary requirements and preferences, e.g. vegetarian, vegan, gluten-free and other special dietary needs. </w:t>
            </w:r>
          </w:p>
          <w:p w14:paraId="29909510" w14:textId="77777777" w:rsidR="00CA7C67" w:rsidRPr="002F5C6A" w:rsidRDefault="00CA7C67" w:rsidP="00CA7C67">
            <w:pPr>
              <w:pStyle w:val="ListParagraph"/>
              <w:numPr>
                <w:ilvl w:val="0"/>
                <w:numId w:val="23"/>
              </w:numPr>
              <w:rPr>
                <w:rFonts w:ascii="Arial" w:hAnsi="Arial" w:cs="Arial"/>
                <w:lang w:val="en-IE"/>
              </w:rPr>
            </w:pPr>
            <w:r w:rsidRPr="002F5C6A">
              <w:rPr>
                <w:rFonts w:ascii="Arial" w:hAnsi="Arial" w:cs="Arial"/>
                <w:lang w:val="en-IE"/>
              </w:rPr>
              <w:t xml:space="preserve">The provision of healthy and balanced menu options that align with customer expectations. </w:t>
            </w:r>
          </w:p>
          <w:p w14:paraId="2AB35198" w14:textId="77777777" w:rsidR="00CA7C67" w:rsidRPr="002F5C6A" w:rsidRDefault="00CA7C67" w:rsidP="00CA7C67">
            <w:pPr>
              <w:pStyle w:val="ListParagraph"/>
              <w:numPr>
                <w:ilvl w:val="0"/>
                <w:numId w:val="23"/>
              </w:numPr>
              <w:rPr>
                <w:rFonts w:ascii="Arial" w:hAnsi="Arial" w:cs="Arial"/>
                <w:lang w:val="en-IE"/>
              </w:rPr>
            </w:pPr>
            <w:r w:rsidRPr="002F5C6A">
              <w:rPr>
                <w:rFonts w:ascii="Arial" w:hAnsi="Arial" w:cs="Arial"/>
                <w:lang w:val="en-IE"/>
              </w:rPr>
              <w:t xml:space="preserve">The use of local, seasonal and sustainably sourced ingredients where possible. </w:t>
            </w:r>
          </w:p>
          <w:p w14:paraId="3C4E0956" w14:textId="77777777" w:rsidR="00CA7C67" w:rsidRPr="002F5C6A" w:rsidRDefault="00CA7C67" w:rsidP="00CA7C67">
            <w:pPr>
              <w:pStyle w:val="ListParagraph"/>
              <w:numPr>
                <w:ilvl w:val="0"/>
                <w:numId w:val="23"/>
              </w:numPr>
              <w:rPr>
                <w:rFonts w:ascii="Arial" w:hAnsi="Arial" w:cs="Arial"/>
                <w:lang w:val="en-IE"/>
              </w:rPr>
            </w:pPr>
            <w:r w:rsidRPr="002F5C6A">
              <w:rPr>
                <w:rFonts w:ascii="Arial" w:hAnsi="Arial" w:cs="Arial"/>
                <w:lang w:val="en-IE"/>
              </w:rPr>
              <w:t xml:space="preserve">The proposed approach to food presentation, service standards and overall customer experience. </w:t>
            </w:r>
          </w:p>
          <w:p w14:paraId="18C90F45" w14:textId="77777777" w:rsidR="00CA7C67" w:rsidRPr="002F5C6A" w:rsidRDefault="00CA7C67" w:rsidP="00CA7C67">
            <w:pPr>
              <w:pStyle w:val="ListParagraph"/>
              <w:numPr>
                <w:ilvl w:val="0"/>
                <w:numId w:val="23"/>
              </w:numPr>
              <w:rPr>
                <w:rFonts w:ascii="Arial" w:hAnsi="Arial" w:cs="Arial"/>
                <w:lang w:val="en-IE"/>
              </w:rPr>
            </w:pPr>
            <w:r w:rsidRPr="002F5C6A">
              <w:rPr>
                <w:rFonts w:ascii="Arial" w:hAnsi="Arial" w:cs="Arial"/>
                <w:lang w:val="en-IE"/>
              </w:rPr>
              <w:t>Innovation and added value within the food offering, including unique concepts, menu development and initiatives designed to enhance visitor satisfaction.</w:t>
            </w:r>
          </w:p>
          <w:p w14:paraId="61C1D268" w14:textId="77777777" w:rsidR="00CA7C67" w:rsidRPr="00B04E17" w:rsidRDefault="00CA7C67" w:rsidP="00CA7C67">
            <w:pPr>
              <w:pStyle w:val="ListParagraph"/>
              <w:rPr>
                <w:rFonts w:ascii="Arial" w:hAnsi="Arial" w:cs="Arial"/>
              </w:rPr>
            </w:pP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lastRenderedPageBreak/>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110F6B">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110F6B">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110F6B">
            <w:pPr>
              <w:jc w:val="both"/>
              <w:rPr>
                <w:rFonts w:ascii="Arial" w:hAnsi="Arial" w:cs="Arial"/>
                <w:b/>
                <w:bCs/>
              </w:rPr>
            </w:pPr>
          </w:p>
        </w:tc>
        <w:tc>
          <w:tcPr>
            <w:tcW w:w="2254" w:type="dxa"/>
            <w:tcMar>
              <w:top w:w="28" w:type="dxa"/>
              <w:bottom w:w="28" w:type="dxa"/>
            </w:tcMar>
            <w:vAlign w:val="center"/>
          </w:tcPr>
          <w:p w14:paraId="42613E23" w14:textId="49D7EA4B" w:rsidR="00A06621" w:rsidRPr="00B04E17" w:rsidRDefault="00875479" w:rsidP="00110F6B">
            <w:pPr>
              <w:jc w:val="both"/>
              <w:rPr>
                <w:rFonts w:ascii="Arial" w:hAnsi="Arial" w:cs="Arial"/>
                <w:b/>
                <w:bCs/>
                <w:sz w:val="24"/>
                <w:szCs w:val="24"/>
              </w:rPr>
            </w:pPr>
            <w:r>
              <w:rPr>
                <w:rFonts w:ascii="Arial" w:hAnsi="Arial" w:cs="Arial"/>
                <w:b/>
                <w:bCs/>
                <w:sz w:val="24"/>
                <w:szCs w:val="24"/>
              </w:rPr>
              <w:t>2</w:t>
            </w:r>
            <w:r w:rsidR="00CA7C67">
              <w:rPr>
                <w:rFonts w:ascii="Arial" w:hAnsi="Arial" w:cs="Arial"/>
                <w:b/>
                <w:bCs/>
                <w:sz w:val="24"/>
                <w:szCs w:val="24"/>
              </w:rPr>
              <w:t>8</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5B395B93" w:rsidR="00A06621" w:rsidRPr="00B04E17" w:rsidRDefault="00875479" w:rsidP="00110F6B">
            <w:pPr>
              <w:jc w:val="both"/>
              <w:rPr>
                <w:rFonts w:ascii="Arial" w:hAnsi="Arial" w:cs="Arial"/>
                <w:b/>
                <w:bCs/>
                <w:sz w:val="24"/>
                <w:szCs w:val="24"/>
              </w:rPr>
            </w:pPr>
            <w:r>
              <w:rPr>
                <w:rFonts w:ascii="Arial" w:hAnsi="Arial" w:cs="Arial"/>
                <w:b/>
                <w:bCs/>
                <w:sz w:val="24"/>
                <w:szCs w:val="24"/>
              </w:rPr>
              <w:t>2</w:t>
            </w:r>
            <w:r w:rsidR="00CA7C67">
              <w:rPr>
                <w:rFonts w:ascii="Arial" w:hAnsi="Arial" w:cs="Arial"/>
                <w:b/>
                <w:bCs/>
                <w:sz w:val="24"/>
                <w:szCs w:val="24"/>
              </w:rPr>
              <w:t>800</w:t>
            </w:r>
          </w:p>
        </w:tc>
        <w:tc>
          <w:tcPr>
            <w:tcW w:w="2254" w:type="dxa"/>
            <w:tcMar>
              <w:top w:w="28" w:type="dxa"/>
              <w:bottom w:w="28" w:type="dxa"/>
            </w:tcMar>
            <w:vAlign w:val="center"/>
          </w:tcPr>
          <w:p w14:paraId="4A142E63" w14:textId="6888170A" w:rsidR="00A06621" w:rsidRPr="00B04E17" w:rsidRDefault="00875479" w:rsidP="00110F6B">
            <w:pPr>
              <w:jc w:val="both"/>
              <w:rPr>
                <w:rFonts w:ascii="Arial" w:hAnsi="Arial" w:cs="Arial"/>
                <w:b/>
                <w:bCs/>
                <w:sz w:val="24"/>
                <w:szCs w:val="24"/>
              </w:rPr>
            </w:pPr>
            <w:r>
              <w:rPr>
                <w:rFonts w:ascii="Arial" w:hAnsi="Arial" w:cs="Arial"/>
                <w:b/>
                <w:bCs/>
                <w:sz w:val="24"/>
                <w:szCs w:val="24"/>
              </w:rPr>
              <w:t>1</w:t>
            </w:r>
            <w:r w:rsidR="00CA7C67">
              <w:rPr>
                <w:rFonts w:ascii="Arial" w:hAnsi="Arial" w:cs="Arial"/>
                <w:b/>
                <w:bCs/>
                <w:sz w:val="24"/>
                <w:szCs w:val="24"/>
              </w:rPr>
              <w:t>400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110F6B">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110F6B">
            <w:pPr>
              <w:jc w:val="both"/>
              <w:rPr>
                <w:rFonts w:ascii="Arial" w:hAnsi="Arial" w:cs="Arial"/>
                <w:b/>
                <w:bCs/>
              </w:rPr>
            </w:pPr>
            <w:r w:rsidRPr="00B04E17">
              <w:rPr>
                <w:rFonts w:ascii="Arial" w:hAnsi="Arial" w:cs="Arial"/>
                <w:b/>
                <w:bCs/>
                <w:sz w:val="24"/>
                <w:szCs w:val="24"/>
              </w:rPr>
              <w:t>Quality, Quantity and Balance of Resources</w:t>
            </w:r>
          </w:p>
        </w:tc>
      </w:tr>
      <w:tr w:rsidR="00A05583"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A05583" w:rsidRPr="00B04E17" w:rsidRDefault="00A05583" w:rsidP="00A05583">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1E089A61" w14:textId="77777777" w:rsidR="00A05583" w:rsidRPr="002F5C6A" w:rsidRDefault="00A05583" w:rsidP="00A05583">
            <w:pPr>
              <w:rPr>
                <w:rFonts w:ascii="Arial" w:hAnsi="Arial" w:cs="Arial"/>
              </w:rPr>
            </w:pPr>
            <w:r w:rsidRPr="002F5C6A">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4B172E1D" w14:textId="77777777" w:rsidR="00A05583" w:rsidRPr="002F5C6A" w:rsidRDefault="00A05583" w:rsidP="00A05583">
            <w:pPr>
              <w:jc w:val="both"/>
              <w:rPr>
                <w:rFonts w:ascii="Arial" w:hAnsi="Arial" w:cs="Arial"/>
              </w:rPr>
            </w:pPr>
          </w:p>
          <w:p w14:paraId="5350F530" w14:textId="77777777" w:rsidR="00A05583" w:rsidRPr="002F5C6A" w:rsidRDefault="00A05583" w:rsidP="00A05583">
            <w:pPr>
              <w:jc w:val="both"/>
              <w:rPr>
                <w:rFonts w:ascii="Arial" w:hAnsi="Arial" w:cs="Arial"/>
              </w:rPr>
            </w:pPr>
            <w:r w:rsidRPr="002F5C6A">
              <w:rPr>
                <w:rFonts w:ascii="Arial" w:hAnsi="Arial" w:cs="Arial"/>
              </w:rPr>
              <w:t>Tenderers should address the following in their response:</w:t>
            </w:r>
          </w:p>
          <w:p w14:paraId="63DB066E" w14:textId="77777777" w:rsidR="00A05583" w:rsidRPr="002F5C6A" w:rsidRDefault="00A05583" w:rsidP="00A05583">
            <w:pPr>
              <w:jc w:val="both"/>
              <w:rPr>
                <w:rFonts w:ascii="Arial" w:hAnsi="Arial" w:cs="Arial"/>
              </w:rPr>
            </w:pPr>
          </w:p>
          <w:p w14:paraId="64929B8D" w14:textId="77777777" w:rsidR="00A05583" w:rsidRPr="002F5C6A" w:rsidRDefault="00A05583" w:rsidP="00A05583">
            <w:pPr>
              <w:pStyle w:val="ListParagraph"/>
              <w:numPr>
                <w:ilvl w:val="0"/>
                <w:numId w:val="24"/>
              </w:numPr>
              <w:jc w:val="both"/>
              <w:rPr>
                <w:rFonts w:ascii="Arial" w:hAnsi="Arial" w:cs="Arial"/>
                <w:b/>
                <w:bCs/>
                <w:i/>
                <w:iCs/>
              </w:rPr>
            </w:pPr>
            <w:r w:rsidRPr="002F5C6A">
              <w:rPr>
                <w:rFonts w:ascii="Arial" w:hAnsi="Arial" w:cs="Arial"/>
                <w:b/>
                <w:bCs/>
                <w:i/>
                <w:iCs/>
              </w:rPr>
              <w:t>Relevant Experience and Capability</w:t>
            </w:r>
          </w:p>
          <w:p w14:paraId="67665825" w14:textId="77777777" w:rsidR="00A05583" w:rsidRPr="002F5C6A" w:rsidRDefault="00A05583" w:rsidP="00A05583">
            <w:pPr>
              <w:pStyle w:val="ListParagraph"/>
              <w:jc w:val="both"/>
              <w:rPr>
                <w:rFonts w:ascii="Arial" w:hAnsi="Arial" w:cs="Arial"/>
                <w:i/>
                <w:iCs/>
              </w:rPr>
            </w:pPr>
          </w:p>
          <w:p w14:paraId="5C50812B" w14:textId="77777777" w:rsidR="00A05583" w:rsidRPr="002F5C6A" w:rsidRDefault="00A05583" w:rsidP="00A05583">
            <w:pPr>
              <w:pStyle w:val="ListParagraph"/>
              <w:numPr>
                <w:ilvl w:val="0"/>
                <w:numId w:val="25"/>
              </w:numPr>
              <w:jc w:val="both"/>
              <w:rPr>
                <w:rFonts w:ascii="Arial" w:hAnsi="Arial" w:cs="Arial"/>
                <w:i/>
                <w:iCs/>
                <w:lang w:val="en-IE"/>
              </w:rPr>
            </w:pPr>
            <w:r w:rsidRPr="002F5C6A">
              <w:rPr>
                <w:rFonts w:ascii="Arial" w:hAnsi="Arial" w:cs="Arial"/>
                <w:i/>
                <w:iCs/>
                <w:lang w:val="en-IE"/>
              </w:rPr>
              <w:t xml:space="preserve">Relevant experience delivering catering services at comparable large-scale events, exhibitions, festivals or outdoor venues. </w:t>
            </w:r>
          </w:p>
          <w:p w14:paraId="177846E2" w14:textId="77777777" w:rsidR="00A05583" w:rsidRPr="002F5C6A" w:rsidRDefault="00A05583" w:rsidP="00A05583">
            <w:pPr>
              <w:pStyle w:val="ListParagraph"/>
              <w:numPr>
                <w:ilvl w:val="0"/>
                <w:numId w:val="25"/>
              </w:numPr>
              <w:jc w:val="both"/>
              <w:rPr>
                <w:rFonts w:ascii="Arial" w:hAnsi="Arial" w:cs="Arial"/>
                <w:i/>
                <w:iCs/>
                <w:lang w:val="en-IE"/>
              </w:rPr>
            </w:pPr>
            <w:r w:rsidRPr="002F5C6A">
              <w:rPr>
                <w:rFonts w:ascii="Arial" w:hAnsi="Arial" w:cs="Arial"/>
                <w:i/>
                <w:iCs/>
                <w:lang w:val="en-IE"/>
              </w:rPr>
              <w:t xml:space="preserve">Proven capability to manage high visitor volumes while maintaining service quality and operational efficiency. </w:t>
            </w:r>
          </w:p>
          <w:p w14:paraId="7C441408" w14:textId="77777777" w:rsidR="00A05583" w:rsidRPr="002F5C6A" w:rsidRDefault="00A05583" w:rsidP="00A05583">
            <w:pPr>
              <w:pStyle w:val="ListParagraph"/>
              <w:numPr>
                <w:ilvl w:val="0"/>
                <w:numId w:val="25"/>
              </w:numPr>
              <w:jc w:val="both"/>
              <w:rPr>
                <w:rFonts w:ascii="Arial" w:hAnsi="Arial" w:cs="Arial"/>
                <w:i/>
                <w:iCs/>
                <w:lang w:val="en-IE"/>
              </w:rPr>
            </w:pPr>
            <w:r w:rsidRPr="002F5C6A">
              <w:rPr>
                <w:rFonts w:ascii="Arial" w:hAnsi="Arial" w:cs="Arial"/>
                <w:i/>
                <w:iCs/>
                <w:lang w:val="en-IE"/>
              </w:rPr>
              <w:t xml:space="preserve">Successful delivery of similar catering contracts, supported by relevant client references. </w:t>
            </w:r>
          </w:p>
          <w:p w14:paraId="7E8D40B7" w14:textId="50728610" w:rsidR="00A05583" w:rsidRPr="00A05583" w:rsidRDefault="00A05583" w:rsidP="00A05583">
            <w:pPr>
              <w:pStyle w:val="ListParagraph"/>
              <w:numPr>
                <w:ilvl w:val="0"/>
                <w:numId w:val="25"/>
              </w:numPr>
              <w:jc w:val="both"/>
              <w:rPr>
                <w:rFonts w:ascii="Arial" w:hAnsi="Arial" w:cs="Arial"/>
                <w:i/>
                <w:iCs/>
                <w:lang w:val="en-IE"/>
              </w:rPr>
            </w:pPr>
            <w:r w:rsidRPr="002F5C6A">
              <w:rPr>
                <w:rFonts w:ascii="Arial" w:hAnsi="Arial" w:cs="Arial"/>
                <w:i/>
                <w:iCs/>
                <w:lang w:val="en-IE"/>
              </w:rPr>
              <w:t>Experience operating within temporary event environments and managing peak demand periods.</w:t>
            </w:r>
          </w:p>
          <w:p w14:paraId="0BF89828" w14:textId="77777777" w:rsidR="00A05583" w:rsidRPr="00E33CC2" w:rsidRDefault="00A05583" w:rsidP="00A05583">
            <w:pPr>
              <w:jc w:val="both"/>
              <w:rPr>
                <w:rFonts w:ascii="Arial" w:hAnsi="Arial" w:cs="Arial"/>
                <w:i/>
                <w:iCs/>
                <w:lang w:val="en-IE"/>
              </w:rPr>
            </w:pPr>
          </w:p>
          <w:p w14:paraId="5AF1EAC1" w14:textId="77777777" w:rsidR="00A05583" w:rsidRPr="002F5C6A" w:rsidRDefault="00A05583" w:rsidP="00A05583">
            <w:pPr>
              <w:pStyle w:val="ListParagraph"/>
              <w:numPr>
                <w:ilvl w:val="0"/>
                <w:numId w:val="24"/>
              </w:numPr>
              <w:jc w:val="both"/>
              <w:rPr>
                <w:rFonts w:ascii="Arial" w:hAnsi="Arial" w:cs="Arial"/>
                <w:b/>
                <w:bCs/>
                <w:i/>
                <w:iCs/>
                <w:lang w:val="en-IE"/>
              </w:rPr>
            </w:pPr>
            <w:r w:rsidRPr="002F5C6A">
              <w:rPr>
                <w:rFonts w:ascii="Arial" w:hAnsi="Arial" w:cs="Arial"/>
                <w:b/>
                <w:bCs/>
                <w:i/>
                <w:iCs/>
              </w:rPr>
              <w:t>Account Management and Resourcing</w:t>
            </w:r>
          </w:p>
          <w:p w14:paraId="0DC7DF1C" w14:textId="77777777" w:rsidR="00A05583" w:rsidRPr="002F5C6A" w:rsidRDefault="00A05583" w:rsidP="00A05583">
            <w:pPr>
              <w:pStyle w:val="ListParagraph"/>
              <w:jc w:val="both"/>
              <w:rPr>
                <w:rFonts w:ascii="Arial" w:hAnsi="Arial" w:cs="Arial"/>
                <w:i/>
                <w:iCs/>
              </w:rPr>
            </w:pPr>
          </w:p>
          <w:p w14:paraId="47C6E55A" w14:textId="77777777" w:rsidR="00A05583" w:rsidRPr="002F5C6A" w:rsidRDefault="00A05583" w:rsidP="00A05583">
            <w:pPr>
              <w:jc w:val="both"/>
              <w:rPr>
                <w:rFonts w:ascii="Arial" w:hAnsi="Arial" w:cs="Arial"/>
                <w:i/>
                <w:iCs/>
                <w:lang w:val="en-IE"/>
              </w:rPr>
            </w:pPr>
            <w:r w:rsidRPr="002F5C6A">
              <w:rPr>
                <w:rFonts w:ascii="Arial" w:hAnsi="Arial" w:cs="Arial"/>
                <w:i/>
                <w:iCs/>
                <w:lang w:val="en-IE"/>
              </w:rPr>
              <w:t>Tenderers should demonstrate:</w:t>
            </w:r>
          </w:p>
          <w:p w14:paraId="34597FAB" w14:textId="77777777" w:rsidR="00A05583" w:rsidRPr="002F5C6A" w:rsidRDefault="00A05583" w:rsidP="00A05583">
            <w:pPr>
              <w:jc w:val="both"/>
              <w:rPr>
                <w:rFonts w:ascii="Arial" w:hAnsi="Arial" w:cs="Arial"/>
                <w:i/>
                <w:iCs/>
                <w:lang w:val="en-IE"/>
              </w:rPr>
            </w:pPr>
          </w:p>
          <w:p w14:paraId="68839205" w14:textId="77777777" w:rsidR="00A05583" w:rsidRPr="002F5C6A" w:rsidRDefault="00A05583" w:rsidP="00A05583">
            <w:pPr>
              <w:numPr>
                <w:ilvl w:val="0"/>
                <w:numId w:val="26"/>
              </w:numPr>
              <w:jc w:val="both"/>
              <w:rPr>
                <w:rFonts w:ascii="Arial" w:hAnsi="Arial" w:cs="Arial"/>
                <w:i/>
                <w:iCs/>
                <w:lang w:val="en-IE"/>
              </w:rPr>
            </w:pPr>
            <w:r w:rsidRPr="002F5C6A">
              <w:rPr>
                <w:rFonts w:ascii="Arial" w:hAnsi="Arial" w:cs="Arial"/>
                <w:i/>
                <w:iCs/>
                <w:lang w:val="en-IE"/>
              </w:rPr>
              <w:t>An appropriate staffing structure and resource allocation to support delivery of the contract.</w:t>
            </w:r>
          </w:p>
          <w:p w14:paraId="1A85ADEC" w14:textId="77777777" w:rsidR="00A05583" w:rsidRPr="002F5C6A" w:rsidRDefault="00A05583" w:rsidP="00A05583">
            <w:pPr>
              <w:numPr>
                <w:ilvl w:val="0"/>
                <w:numId w:val="26"/>
              </w:numPr>
              <w:jc w:val="both"/>
              <w:rPr>
                <w:rFonts w:ascii="Arial" w:hAnsi="Arial" w:cs="Arial"/>
                <w:i/>
                <w:iCs/>
                <w:lang w:val="en-IE"/>
              </w:rPr>
            </w:pPr>
            <w:r w:rsidRPr="002F5C6A">
              <w:rPr>
                <w:rFonts w:ascii="Arial" w:hAnsi="Arial" w:cs="Arial"/>
                <w:i/>
                <w:iCs/>
                <w:lang w:val="en-IE"/>
              </w:rPr>
              <w:t>A clear account management and onsite management approach, including key roles and responsibilities.</w:t>
            </w:r>
          </w:p>
          <w:p w14:paraId="156E03FD" w14:textId="77777777" w:rsidR="00A05583" w:rsidRPr="002F5C6A" w:rsidRDefault="00A05583" w:rsidP="00A05583">
            <w:pPr>
              <w:numPr>
                <w:ilvl w:val="0"/>
                <w:numId w:val="26"/>
              </w:numPr>
              <w:jc w:val="both"/>
              <w:rPr>
                <w:rFonts w:ascii="Arial" w:hAnsi="Arial" w:cs="Arial"/>
                <w:i/>
                <w:iCs/>
                <w:lang w:val="en-IE"/>
              </w:rPr>
            </w:pPr>
            <w:r w:rsidRPr="002F5C6A">
              <w:rPr>
                <w:rFonts w:ascii="Arial" w:hAnsi="Arial" w:cs="Arial"/>
                <w:i/>
                <w:iCs/>
                <w:lang w:val="en-IE"/>
              </w:rPr>
              <w:t>Staff training and customer service measures that ensure a high-quality visitor experience.</w:t>
            </w:r>
          </w:p>
          <w:p w14:paraId="389BBECD" w14:textId="77777777" w:rsidR="00A05583" w:rsidRPr="002F5C6A" w:rsidRDefault="00A05583" w:rsidP="00A05583">
            <w:pPr>
              <w:numPr>
                <w:ilvl w:val="0"/>
                <w:numId w:val="26"/>
              </w:numPr>
              <w:jc w:val="both"/>
              <w:rPr>
                <w:rFonts w:ascii="Arial" w:hAnsi="Arial" w:cs="Arial"/>
                <w:i/>
                <w:iCs/>
                <w:lang w:val="en-IE"/>
              </w:rPr>
            </w:pPr>
            <w:r w:rsidRPr="002F5C6A">
              <w:rPr>
                <w:rFonts w:ascii="Arial" w:hAnsi="Arial" w:cs="Arial"/>
                <w:i/>
                <w:iCs/>
                <w:lang w:val="en-IE"/>
              </w:rPr>
              <w:t>Availability of contingency resources to maintain service continuity and address operational challenges.</w:t>
            </w:r>
          </w:p>
          <w:p w14:paraId="49F399A9" w14:textId="77777777" w:rsidR="00A05583" w:rsidRPr="002F5C6A" w:rsidRDefault="00A05583" w:rsidP="00A05583">
            <w:pPr>
              <w:jc w:val="both"/>
              <w:rPr>
                <w:rFonts w:ascii="Arial" w:hAnsi="Arial" w:cs="Arial"/>
                <w:i/>
                <w:iCs/>
              </w:rPr>
            </w:pPr>
          </w:p>
          <w:p w14:paraId="1A28C3D6" w14:textId="215AC469" w:rsidR="00A05583" w:rsidRPr="00B04E17" w:rsidRDefault="00A05583" w:rsidP="00A05583">
            <w:pPr>
              <w:jc w:val="both"/>
              <w:rPr>
                <w:rFonts w:ascii="Arial" w:hAnsi="Arial" w:cs="Arial"/>
              </w:rPr>
            </w:pPr>
            <w:r w:rsidRPr="002F5C6A">
              <w:rPr>
                <w:rFonts w:ascii="Arial" w:hAnsi="Arial" w:cs="Arial"/>
                <w:i/>
                <w:color w:val="FF0000"/>
              </w:rPr>
              <w:t>Tenderers should provide comprehensive information on the team/person proposed clearly indicating each team members’ contribution to the project, their precise roles, and responsibilities.</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EE3E1C" w:rsidRPr="00544BBE" w14:paraId="38380B23" w14:textId="77777777" w:rsidTr="00F94B60">
        <w:tc>
          <w:tcPr>
            <w:tcW w:w="2254" w:type="dxa"/>
            <w:vMerge w:val="restart"/>
            <w:shd w:val="clear" w:color="auto" w:fill="005A5F"/>
            <w:tcMar>
              <w:top w:w="28" w:type="dxa"/>
              <w:bottom w:w="28" w:type="dxa"/>
            </w:tcMar>
            <w:vAlign w:val="center"/>
          </w:tcPr>
          <w:p w14:paraId="2D782F61" w14:textId="517AB2E7" w:rsidR="00EE3E1C" w:rsidRPr="00544BBE" w:rsidRDefault="00EE3E1C" w:rsidP="00F94B60">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 xml:space="preserve">Criterion </w:t>
            </w:r>
            <w:r>
              <w:rPr>
                <w:rFonts w:ascii="Arial" w:hAnsi="Arial" w:cs="Arial"/>
                <w:b/>
                <w:bCs/>
                <w:color w:val="FFFFFF" w:themeColor="background1"/>
                <w:sz w:val="24"/>
                <w:szCs w:val="24"/>
              </w:rPr>
              <w:t>E</w:t>
            </w:r>
          </w:p>
        </w:tc>
        <w:tc>
          <w:tcPr>
            <w:tcW w:w="2254" w:type="dxa"/>
            <w:shd w:val="clear" w:color="auto" w:fill="005A5F"/>
            <w:tcMar>
              <w:top w:w="28" w:type="dxa"/>
              <w:bottom w:w="28" w:type="dxa"/>
            </w:tcMar>
            <w:vAlign w:val="center"/>
          </w:tcPr>
          <w:p w14:paraId="76BE5ED9" w14:textId="77777777" w:rsidR="00EE3E1C" w:rsidRPr="00544BBE" w:rsidRDefault="00EE3E1C" w:rsidP="00F94B60">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0499708" w14:textId="77777777" w:rsidR="00EE3E1C" w:rsidRPr="00544BBE" w:rsidRDefault="00EE3E1C" w:rsidP="00F94B60">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2233CC79" w14:textId="77777777" w:rsidR="00EE3E1C" w:rsidRPr="00544BBE" w:rsidRDefault="00EE3E1C" w:rsidP="00F94B60">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EE3E1C" w:rsidRPr="00B04E17" w14:paraId="408B28AC" w14:textId="77777777" w:rsidTr="00F94B60">
        <w:trPr>
          <w:gridAfter w:val="1"/>
          <w:wAfter w:w="193" w:type="dxa"/>
        </w:trPr>
        <w:tc>
          <w:tcPr>
            <w:tcW w:w="2254" w:type="dxa"/>
            <w:vMerge/>
            <w:shd w:val="clear" w:color="auto" w:fill="00997E"/>
            <w:tcMar>
              <w:top w:w="28" w:type="dxa"/>
              <w:bottom w:w="28" w:type="dxa"/>
            </w:tcMar>
            <w:vAlign w:val="center"/>
          </w:tcPr>
          <w:p w14:paraId="59100306" w14:textId="77777777" w:rsidR="00EE3E1C" w:rsidRPr="00B04E17" w:rsidRDefault="00EE3E1C" w:rsidP="00F94B60">
            <w:pPr>
              <w:jc w:val="both"/>
              <w:rPr>
                <w:rFonts w:ascii="Arial" w:hAnsi="Arial" w:cs="Arial"/>
                <w:b/>
                <w:bCs/>
              </w:rPr>
            </w:pPr>
          </w:p>
        </w:tc>
        <w:tc>
          <w:tcPr>
            <w:tcW w:w="2254" w:type="dxa"/>
            <w:tcMar>
              <w:top w:w="28" w:type="dxa"/>
              <w:bottom w:w="28" w:type="dxa"/>
            </w:tcMar>
            <w:vAlign w:val="center"/>
          </w:tcPr>
          <w:p w14:paraId="5650D7B1" w14:textId="70C259DE" w:rsidR="00EE3E1C" w:rsidRPr="00B04E17" w:rsidRDefault="00EE3E1C" w:rsidP="00F94B60">
            <w:pPr>
              <w:jc w:val="both"/>
              <w:rPr>
                <w:rFonts w:ascii="Arial" w:hAnsi="Arial" w:cs="Arial"/>
                <w:b/>
                <w:bCs/>
                <w:sz w:val="24"/>
                <w:szCs w:val="24"/>
              </w:rPr>
            </w:pPr>
            <w:r>
              <w:rPr>
                <w:rFonts w:ascii="Arial" w:hAnsi="Arial" w:cs="Arial"/>
                <w:b/>
                <w:bCs/>
                <w:sz w:val="24"/>
                <w:szCs w:val="24"/>
              </w:rPr>
              <w:t>15</w:t>
            </w:r>
            <w:r w:rsidRPr="00B04E17">
              <w:rPr>
                <w:rFonts w:ascii="Arial" w:hAnsi="Arial" w:cs="Arial"/>
                <w:b/>
                <w:bCs/>
                <w:sz w:val="24"/>
                <w:szCs w:val="24"/>
              </w:rPr>
              <w:t>%</w:t>
            </w:r>
          </w:p>
        </w:tc>
        <w:tc>
          <w:tcPr>
            <w:tcW w:w="2254" w:type="dxa"/>
            <w:tcMar>
              <w:top w:w="28" w:type="dxa"/>
              <w:bottom w:w="28" w:type="dxa"/>
            </w:tcMar>
            <w:vAlign w:val="center"/>
          </w:tcPr>
          <w:p w14:paraId="766F8B52" w14:textId="2565CC01" w:rsidR="00EE3E1C" w:rsidRPr="00B04E17" w:rsidRDefault="00EE3E1C" w:rsidP="00F94B60">
            <w:pPr>
              <w:jc w:val="both"/>
              <w:rPr>
                <w:rFonts w:ascii="Arial" w:hAnsi="Arial" w:cs="Arial"/>
                <w:b/>
                <w:bCs/>
                <w:sz w:val="24"/>
                <w:szCs w:val="24"/>
              </w:rPr>
            </w:pPr>
            <w:r>
              <w:rPr>
                <w:rFonts w:ascii="Arial" w:hAnsi="Arial" w:cs="Arial"/>
                <w:b/>
                <w:bCs/>
                <w:sz w:val="24"/>
                <w:szCs w:val="24"/>
              </w:rPr>
              <w:t>1500</w:t>
            </w:r>
          </w:p>
        </w:tc>
        <w:tc>
          <w:tcPr>
            <w:tcW w:w="2254" w:type="dxa"/>
            <w:tcMar>
              <w:top w:w="28" w:type="dxa"/>
              <w:bottom w:w="28" w:type="dxa"/>
            </w:tcMar>
            <w:vAlign w:val="center"/>
          </w:tcPr>
          <w:p w14:paraId="3040C9D1" w14:textId="4D3A73EF" w:rsidR="00EE3E1C" w:rsidRPr="00B04E17" w:rsidRDefault="00EE3E1C" w:rsidP="00F94B60">
            <w:pPr>
              <w:jc w:val="both"/>
              <w:rPr>
                <w:rFonts w:ascii="Arial" w:hAnsi="Arial" w:cs="Arial"/>
                <w:b/>
                <w:bCs/>
                <w:sz w:val="24"/>
                <w:szCs w:val="24"/>
              </w:rPr>
            </w:pPr>
            <w:r>
              <w:rPr>
                <w:rFonts w:ascii="Arial" w:hAnsi="Arial" w:cs="Arial"/>
                <w:b/>
                <w:bCs/>
                <w:sz w:val="24"/>
                <w:szCs w:val="24"/>
              </w:rPr>
              <w:t>750</w:t>
            </w:r>
          </w:p>
        </w:tc>
      </w:tr>
      <w:tr w:rsidR="00EE3E1C" w:rsidRPr="00B04E17" w14:paraId="54587987" w14:textId="77777777" w:rsidTr="00F94B60">
        <w:trPr>
          <w:gridAfter w:val="1"/>
          <w:wAfter w:w="193" w:type="dxa"/>
        </w:trPr>
        <w:tc>
          <w:tcPr>
            <w:tcW w:w="2254" w:type="dxa"/>
            <w:tcMar>
              <w:top w:w="28" w:type="dxa"/>
              <w:bottom w:w="28" w:type="dxa"/>
            </w:tcMar>
            <w:vAlign w:val="center"/>
          </w:tcPr>
          <w:p w14:paraId="35A42ED8" w14:textId="77777777" w:rsidR="00EE3E1C" w:rsidRPr="00B04E17" w:rsidRDefault="00EE3E1C" w:rsidP="00F94B60">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76A5DE92" w14:textId="4D469508" w:rsidR="00EE3E1C" w:rsidRPr="00B04E17" w:rsidRDefault="0040156E" w:rsidP="00F94B60">
            <w:pPr>
              <w:jc w:val="both"/>
              <w:rPr>
                <w:rFonts w:ascii="Arial" w:hAnsi="Arial" w:cs="Arial"/>
                <w:b/>
                <w:bCs/>
              </w:rPr>
            </w:pPr>
            <w:r w:rsidRPr="002F5C6A">
              <w:rPr>
                <w:rFonts w:ascii="Arial" w:hAnsi="Arial" w:cs="Arial"/>
                <w:b/>
                <w:bCs/>
              </w:rPr>
              <w:t>Approach and Added value and Innovation</w:t>
            </w:r>
          </w:p>
        </w:tc>
      </w:tr>
      <w:tr w:rsidR="00EE3E1C" w:rsidRPr="00B04E17" w14:paraId="2DE8A91A" w14:textId="77777777" w:rsidTr="00F94B60">
        <w:trPr>
          <w:gridAfter w:val="1"/>
          <w:wAfter w:w="193" w:type="dxa"/>
        </w:trPr>
        <w:tc>
          <w:tcPr>
            <w:tcW w:w="2254" w:type="dxa"/>
            <w:tcMar>
              <w:top w:w="28" w:type="dxa"/>
              <w:bottom w:w="28" w:type="dxa"/>
            </w:tcMar>
            <w:vAlign w:val="center"/>
          </w:tcPr>
          <w:p w14:paraId="613B1EDC" w14:textId="77777777" w:rsidR="00EE3E1C" w:rsidRPr="00B04E17" w:rsidRDefault="00EE3E1C" w:rsidP="00F94B60">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205B9ED9" w14:textId="77777777" w:rsidR="00AA6EAF" w:rsidRPr="002F5C6A" w:rsidRDefault="00AA6EAF" w:rsidP="00AA6EAF">
            <w:pPr>
              <w:rPr>
                <w:rFonts w:ascii="Arial" w:hAnsi="Arial" w:cs="Arial"/>
                <w:lang w:val="en-IE"/>
              </w:rPr>
            </w:pPr>
            <w:r w:rsidRPr="002F5C6A">
              <w:rPr>
                <w:rFonts w:ascii="Arial" w:hAnsi="Arial" w:cs="Arial"/>
              </w:rPr>
              <w:t xml:space="preserve">Tenderers must provide clear and comprehensive information to enable the Contracting Authority to assess their offer under service delivery.  Please ensure you address </w:t>
            </w:r>
            <w:r w:rsidRPr="002F5C6A">
              <w:rPr>
                <w:rFonts w:ascii="Arial" w:hAnsi="Arial" w:cs="Arial"/>
                <w:lang w:val="en-IE"/>
              </w:rPr>
              <w:t>evidence of fresh thinking, originality, value-added initiatives and practical innovations that will enhance the visitor experience while celebrating Irish food, sustainability and the unique character of Bord Bia Bloom.</w:t>
            </w:r>
          </w:p>
          <w:p w14:paraId="75E9A952" w14:textId="77777777" w:rsidR="00AA6EAF" w:rsidRPr="002F5C6A" w:rsidRDefault="00AA6EAF" w:rsidP="00AA6EAF">
            <w:pPr>
              <w:jc w:val="both"/>
              <w:rPr>
                <w:rFonts w:ascii="Arial" w:hAnsi="Arial" w:cs="Arial"/>
              </w:rPr>
            </w:pPr>
          </w:p>
          <w:p w14:paraId="20119B5D" w14:textId="77777777" w:rsidR="00AA6EAF" w:rsidRPr="002F5C6A" w:rsidRDefault="00AA6EAF" w:rsidP="00AA6EAF">
            <w:pPr>
              <w:jc w:val="both"/>
              <w:rPr>
                <w:rFonts w:ascii="Arial" w:hAnsi="Arial" w:cs="Arial"/>
              </w:rPr>
            </w:pPr>
            <w:r w:rsidRPr="002F5C6A">
              <w:rPr>
                <w:rFonts w:ascii="Arial" w:hAnsi="Arial" w:cs="Arial"/>
              </w:rPr>
              <w:t>Tenderers should address the following in their response:</w:t>
            </w:r>
          </w:p>
          <w:p w14:paraId="5E81F9E7" w14:textId="77777777" w:rsidR="00AA6EAF" w:rsidRPr="002F5C6A" w:rsidRDefault="00AA6EAF" w:rsidP="00AA6EAF">
            <w:pPr>
              <w:jc w:val="both"/>
              <w:rPr>
                <w:rFonts w:ascii="Arial" w:hAnsi="Arial" w:cs="Arial"/>
              </w:rPr>
            </w:pPr>
          </w:p>
          <w:p w14:paraId="3B5CF8D2"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Innovative concepts that enhance and differentiate the overall Bord Bia Bloom dining experience. </w:t>
            </w:r>
          </w:p>
          <w:p w14:paraId="78C26B53"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Creative use of Irish seasonal produce, Bord Bia Quality Assured ingredients and Food Village artisan products. </w:t>
            </w:r>
          </w:p>
          <w:p w14:paraId="559C4397"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Distinctive and memorable visitor experiences across the restaurants, Wine Pods and hospitality offerings. </w:t>
            </w:r>
          </w:p>
          <w:p w14:paraId="66D9DC2F"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Innovative food, beverage and retail concepts, including pre-bookable, commissionable or premium visitor experiences. </w:t>
            </w:r>
          </w:p>
          <w:p w14:paraId="4EE0D93B"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Creative integration of the Bloom horticultural and gardening theme through menus, styling, presentation and ambience. </w:t>
            </w:r>
          </w:p>
          <w:p w14:paraId="22FA8454"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Innovative sustainability initiatives that exceed the minimum specification requirements. </w:t>
            </w:r>
          </w:p>
          <w:p w14:paraId="7FB34076"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New approaches to visitor engagement, producer promotion and storytelling that support Bord Bia Bloom's objectives. </w:t>
            </w:r>
          </w:p>
          <w:p w14:paraId="1ABCE6AE"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Added-value proposals that deliver measurable benefits for visitors, exhibitors, sponsors and Bord Bia. </w:t>
            </w:r>
          </w:p>
          <w:p w14:paraId="5BEA65C5"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 xml:space="preserve">Innovative operational or digital solutions that improve service quality, efficiency and customer experience. </w:t>
            </w:r>
          </w:p>
          <w:p w14:paraId="4A4F181F" w14:textId="77777777" w:rsidR="00AA6EAF" w:rsidRPr="002F5C6A" w:rsidRDefault="00AA6EAF" w:rsidP="00AA6EAF">
            <w:pPr>
              <w:pStyle w:val="ListParagraph"/>
              <w:numPr>
                <w:ilvl w:val="0"/>
                <w:numId w:val="27"/>
              </w:numPr>
              <w:jc w:val="both"/>
              <w:rPr>
                <w:rFonts w:ascii="Arial" w:hAnsi="Arial" w:cs="Arial"/>
                <w:lang w:val="en-IE"/>
              </w:rPr>
            </w:pPr>
            <w:r w:rsidRPr="002F5C6A">
              <w:rPr>
                <w:rFonts w:ascii="Arial" w:hAnsi="Arial" w:cs="Arial"/>
                <w:lang w:val="en-IE"/>
              </w:rPr>
              <w:t>Original ideas that strengthen Bord Bia Bloom's positioning as a leading Irish food, gardening and lifestyle festival.</w:t>
            </w:r>
          </w:p>
          <w:p w14:paraId="2BA9D8A3" w14:textId="374655F0" w:rsidR="00EE3E1C" w:rsidRPr="00B04E17" w:rsidRDefault="00EE3E1C" w:rsidP="00F94B60">
            <w:pPr>
              <w:jc w:val="both"/>
              <w:rPr>
                <w:rFonts w:ascii="Arial" w:hAnsi="Arial" w:cs="Arial"/>
              </w:rPr>
            </w:pPr>
          </w:p>
        </w:tc>
      </w:tr>
    </w:tbl>
    <w:p w14:paraId="7258A73C" w14:textId="77777777" w:rsidR="00292AAE" w:rsidRPr="00B04E17" w:rsidRDefault="00292AAE" w:rsidP="00292AAE">
      <w:pPr>
        <w:spacing w:before="240"/>
        <w:rPr>
          <w:rFonts w:ascii="Arial" w:hAnsi="Arial" w:cs="Arial"/>
          <w:b/>
          <w:bCs/>
        </w:rPr>
      </w:pPr>
      <w:r w:rsidRPr="00B04E17">
        <w:rPr>
          <w:rFonts w:ascii="Arial" w:hAnsi="Arial" w:cs="Arial"/>
          <w:b/>
          <w:bCs/>
        </w:rPr>
        <w:t>Tenderer’s Response</w:t>
      </w:r>
    </w:p>
    <w:p w14:paraId="4E149525" w14:textId="77777777" w:rsidR="00292AAE" w:rsidRPr="00B04E17" w:rsidRDefault="00292AAE" w:rsidP="00292AAE">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76C2E280" w14:textId="77777777" w:rsidR="00EE3E1C" w:rsidRDefault="00EE3E1C">
      <w:pPr>
        <w:rPr>
          <w:rFonts w:ascii="Arial" w:hAnsi="Arial" w:cs="Arial"/>
        </w:rPr>
      </w:pPr>
    </w:p>
    <w:p w14:paraId="47DE2361" w14:textId="77777777" w:rsidR="00292AAE" w:rsidRDefault="00292AAE">
      <w:pPr>
        <w:rPr>
          <w:rFonts w:ascii="Arial" w:hAnsi="Arial" w:cs="Arial"/>
        </w:rPr>
      </w:pPr>
    </w:p>
    <w:p w14:paraId="109BCFEE" w14:textId="77777777" w:rsidR="00292AAE" w:rsidRDefault="00292AAE">
      <w:pPr>
        <w:rPr>
          <w:rFonts w:ascii="Arial" w:hAnsi="Arial" w:cs="Arial"/>
        </w:rPr>
      </w:pPr>
    </w:p>
    <w:p w14:paraId="2DDB6BCD" w14:textId="77777777" w:rsidR="00292AAE" w:rsidRDefault="00292AAE">
      <w:pPr>
        <w:rPr>
          <w:rFonts w:ascii="Arial" w:hAnsi="Arial" w:cs="Arial"/>
        </w:rPr>
      </w:pPr>
    </w:p>
    <w:p w14:paraId="40EB34C4" w14:textId="77777777" w:rsidR="00292AAE" w:rsidRDefault="00292AAE">
      <w:pPr>
        <w:rPr>
          <w:rFonts w:ascii="Arial" w:hAnsi="Arial" w:cs="Arial"/>
        </w:rPr>
      </w:pPr>
    </w:p>
    <w:p w14:paraId="29FEC8BF" w14:textId="77777777" w:rsidR="00292AAE" w:rsidRDefault="00292AAE">
      <w:pPr>
        <w:rPr>
          <w:rFonts w:ascii="Arial" w:hAnsi="Arial" w:cs="Arial"/>
        </w:rPr>
      </w:pPr>
    </w:p>
    <w:p w14:paraId="66B95A53" w14:textId="77777777" w:rsidR="00292AAE" w:rsidRDefault="00292AAE">
      <w:pPr>
        <w:rPr>
          <w:rFonts w:ascii="Arial" w:hAnsi="Arial" w:cs="Arial"/>
        </w:rPr>
      </w:pPr>
    </w:p>
    <w:p w14:paraId="5CEF45E1" w14:textId="77777777" w:rsidR="00292AAE" w:rsidRDefault="00292AAE">
      <w:pPr>
        <w:rPr>
          <w:rFonts w:ascii="Arial" w:hAnsi="Arial" w:cs="Arial"/>
        </w:rPr>
      </w:pPr>
    </w:p>
    <w:p w14:paraId="2429FE82" w14:textId="77777777" w:rsidR="00292AAE" w:rsidRDefault="00292AAE">
      <w:pPr>
        <w:rPr>
          <w:rFonts w:ascii="Arial" w:hAnsi="Arial" w:cs="Arial"/>
        </w:rPr>
      </w:pP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A6EAF" w:rsidRPr="00544BBE" w14:paraId="34D7C203" w14:textId="77777777" w:rsidTr="00F94B60">
        <w:tc>
          <w:tcPr>
            <w:tcW w:w="2254" w:type="dxa"/>
            <w:vMerge w:val="restart"/>
            <w:shd w:val="clear" w:color="auto" w:fill="005A5F"/>
            <w:tcMar>
              <w:top w:w="28" w:type="dxa"/>
              <w:bottom w:w="28" w:type="dxa"/>
            </w:tcMar>
            <w:vAlign w:val="center"/>
          </w:tcPr>
          <w:p w14:paraId="4F6AFA9C" w14:textId="5B431442" w:rsidR="00AA6EAF" w:rsidRPr="00544BBE" w:rsidRDefault="00AA6EAF" w:rsidP="00F94B60">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 xml:space="preserve">Criterion </w:t>
            </w:r>
            <w:r>
              <w:rPr>
                <w:rFonts w:ascii="Arial" w:hAnsi="Arial" w:cs="Arial"/>
                <w:b/>
                <w:bCs/>
                <w:color w:val="FFFFFF" w:themeColor="background1"/>
                <w:sz w:val="24"/>
                <w:szCs w:val="24"/>
              </w:rPr>
              <w:t>F</w:t>
            </w:r>
          </w:p>
        </w:tc>
        <w:tc>
          <w:tcPr>
            <w:tcW w:w="2254" w:type="dxa"/>
            <w:shd w:val="clear" w:color="auto" w:fill="005A5F"/>
            <w:tcMar>
              <w:top w:w="28" w:type="dxa"/>
              <w:bottom w:w="28" w:type="dxa"/>
            </w:tcMar>
            <w:vAlign w:val="center"/>
          </w:tcPr>
          <w:p w14:paraId="561D1E31" w14:textId="77777777" w:rsidR="00AA6EAF" w:rsidRPr="00544BBE" w:rsidRDefault="00AA6EAF" w:rsidP="00F94B60">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61C30BE" w14:textId="77777777" w:rsidR="00AA6EAF" w:rsidRPr="00544BBE" w:rsidRDefault="00AA6EAF" w:rsidP="00F94B60">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7286B4EC" w14:textId="77777777" w:rsidR="00AA6EAF" w:rsidRPr="00544BBE" w:rsidRDefault="00AA6EAF" w:rsidP="00F94B60">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A6EAF" w:rsidRPr="00B04E17" w14:paraId="450FE2F8" w14:textId="77777777" w:rsidTr="00F94B60">
        <w:trPr>
          <w:gridAfter w:val="1"/>
          <w:wAfter w:w="193" w:type="dxa"/>
        </w:trPr>
        <w:tc>
          <w:tcPr>
            <w:tcW w:w="2254" w:type="dxa"/>
            <w:vMerge/>
            <w:shd w:val="clear" w:color="auto" w:fill="00997E"/>
            <w:tcMar>
              <w:top w:w="28" w:type="dxa"/>
              <w:bottom w:w="28" w:type="dxa"/>
            </w:tcMar>
            <w:vAlign w:val="center"/>
          </w:tcPr>
          <w:p w14:paraId="543AC5BB" w14:textId="77777777" w:rsidR="00AA6EAF" w:rsidRPr="00B04E17" w:rsidRDefault="00AA6EAF" w:rsidP="00F94B60">
            <w:pPr>
              <w:jc w:val="both"/>
              <w:rPr>
                <w:rFonts w:ascii="Arial" w:hAnsi="Arial" w:cs="Arial"/>
                <w:b/>
                <w:bCs/>
              </w:rPr>
            </w:pPr>
          </w:p>
        </w:tc>
        <w:tc>
          <w:tcPr>
            <w:tcW w:w="2254" w:type="dxa"/>
            <w:tcMar>
              <w:top w:w="28" w:type="dxa"/>
              <w:bottom w:w="28" w:type="dxa"/>
            </w:tcMar>
            <w:vAlign w:val="center"/>
          </w:tcPr>
          <w:p w14:paraId="6DC06C33" w14:textId="1E121E88" w:rsidR="00AA6EAF" w:rsidRPr="00B04E17" w:rsidRDefault="00A05583" w:rsidP="00F94B60">
            <w:pPr>
              <w:jc w:val="both"/>
              <w:rPr>
                <w:rFonts w:ascii="Arial" w:hAnsi="Arial" w:cs="Arial"/>
                <w:b/>
                <w:bCs/>
                <w:sz w:val="24"/>
                <w:szCs w:val="24"/>
              </w:rPr>
            </w:pPr>
            <w:r>
              <w:rPr>
                <w:rFonts w:ascii="Arial" w:hAnsi="Arial" w:cs="Arial"/>
                <w:b/>
                <w:bCs/>
                <w:sz w:val="24"/>
                <w:szCs w:val="24"/>
              </w:rPr>
              <w:t>5</w:t>
            </w:r>
            <w:r w:rsidR="00AA6EAF" w:rsidRPr="00B04E17">
              <w:rPr>
                <w:rFonts w:ascii="Arial" w:hAnsi="Arial" w:cs="Arial"/>
                <w:b/>
                <w:bCs/>
                <w:sz w:val="24"/>
                <w:szCs w:val="24"/>
              </w:rPr>
              <w:t>%</w:t>
            </w:r>
          </w:p>
        </w:tc>
        <w:tc>
          <w:tcPr>
            <w:tcW w:w="2254" w:type="dxa"/>
            <w:tcMar>
              <w:top w:w="28" w:type="dxa"/>
              <w:bottom w:w="28" w:type="dxa"/>
            </w:tcMar>
            <w:vAlign w:val="center"/>
          </w:tcPr>
          <w:p w14:paraId="0A03D57E" w14:textId="4E27E0E1" w:rsidR="00AA6EAF" w:rsidRPr="00B04E17" w:rsidRDefault="00A05583" w:rsidP="00F94B60">
            <w:pPr>
              <w:jc w:val="both"/>
              <w:rPr>
                <w:rFonts w:ascii="Arial" w:hAnsi="Arial" w:cs="Arial"/>
                <w:b/>
                <w:bCs/>
                <w:sz w:val="24"/>
                <w:szCs w:val="24"/>
              </w:rPr>
            </w:pPr>
            <w:r>
              <w:rPr>
                <w:rFonts w:ascii="Arial" w:hAnsi="Arial" w:cs="Arial"/>
                <w:b/>
                <w:bCs/>
                <w:sz w:val="24"/>
                <w:szCs w:val="24"/>
              </w:rPr>
              <w:t>500</w:t>
            </w:r>
          </w:p>
        </w:tc>
        <w:tc>
          <w:tcPr>
            <w:tcW w:w="2254" w:type="dxa"/>
            <w:tcMar>
              <w:top w:w="28" w:type="dxa"/>
              <w:bottom w:w="28" w:type="dxa"/>
            </w:tcMar>
            <w:vAlign w:val="center"/>
          </w:tcPr>
          <w:p w14:paraId="50220B14" w14:textId="2FFE5C1C" w:rsidR="00AA6EAF" w:rsidRPr="00B04E17" w:rsidRDefault="00A05583" w:rsidP="00F94B60">
            <w:pPr>
              <w:jc w:val="both"/>
              <w:rPr>
                <w:rFonts w:ascii="Arial" w:hAnsi="Arial" w:cs="Arial"/>
                <w:b/>
                <w:bCs/>
                <w:sz w:val="24"/>
                <w:szCs w:val="24"/>
              </w:rPr>
            </w:pPr>
            <w:r>
              <w:rPr>
                <w:rFonts w:ascii="Arial" w:hAnsi="Arial" w:cs="Arial"/>
                <w:b/>
                <w:bCs/>
                <w:sz w:val="24"/>
                <w:szCs w:val="24"/>
              </w:rPr>
              <w:t>250</w:t>
            </w:r>
          </w:p>
        </w:tc>
      </w:tr>
      <w:tr w:rsidR="00AA6EAF" w:rsidRPr="00B04E17" w14:paraId="50CBF987" w14:textId="77777777" w:rsidTr="00F94B60">
        <w:trPr>
          <w:gridAfter w:val="1"/>
          <w:wAfter w:w="193" w:type="dxa"/>
        </w:trPr>
        <w:tc>
          <w:tcPr>
            <w:tcW w:w="2254" w:type="dxa"/>
            <w:tcMar>
              <w:top w:w="28" w:type="dxa"/>
              <w:bottom w:w="28" w:type="dxa"/>
            </w:tcMar>
            <w:vAlign w:val="center"/>
          </w:tcPr>
          <w:p w14:paraId="0D8322BB" w14:textId="77777777" w:rsidR="00AA6EAF" w:rsidRPr="00B04E17" w:rsidRDefault="00AA6EAF" w:rsidP="00F94B60">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7AD82337" w14:textId="06CCD49C" w:rsidR="00AA6EAF" w:rsidRPr="00B04E17" w:rsidRDefault="002F1CF7" w:rsidP="00F94B60">
            <w:pPr>
              <w:jc w:val="both"/>
              <w:rPr>
                <w:rFonts w:ascii="Arial" w:hAnsi="Arial" w:cs="Arial"/>
                <w:b/>
                <w:bCs/>
              </w:rPr>
            </w:pPr>
            <w:r w:rsidRPr="002F5C6A">
              <w:rPr>
                <w:rFonts w:ascii="Arial" w:hAnsi="Arial" w:cs="Arial"/>
                <w:b/>
                <w:bCs/>
              </w:rPr>
              <w:t>Demonstration of Understanding of Bloom Strategic Intent</w:t>
            </w:r>
          </w:p>
        </w:tc>
      </w:tr>
      <w:tr w:rsidR="00AA6EAF" w:rsidRPr="00B04E17" w14:paraId="4F1B788A" w14:textId="77777777" w:rsidTr="00F94B60">
        <w:trPr>
          <w:gridAfter w:val="1"/>
          <w:wAfter w:w="193" w:type="dxa"/>
        </w:trPr>
        <w:tc>
          <w:tcPr>
            <w:tcW w:w="2254" w:type="dxa"/>
            <w:tcMar>
              <w:top w:w="28" w:type="dxa"/>
              <w:bottom w:w="28" w:type="dxa"/>
            </w:tcMar>
            <w:vAlign w:val="center"/>
          </w:tcPr>
          <w:p w14:paraId="3C309652" w14:textId="77777777" w:rsidR="00AA6EAF" w:rsidRPr="00B04E17" w:rsidRDefault="00AA6EAF" w:rsidP="00F94B60">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31BDF7AC" w14:textId="77777777" w:rsidR="008571E7" w:rsidRPr="002F5C6A" w:rsidRDefault="008571E7" w:rsidP="008571E7">
            <w:pPr>
              <w:jc w:val="both"/>
              <w:rPr>
                <w:rFonts w:ascii="Arial" w:hAnsi="Arial" w:cs="Arial"/>
                <w:lang w:val="en-IE"/>
              </w:rPr>
            </w:pPr>
            <w:r w:rsidRPr="002F5C6A">
              <w:rPr>
                <w:rFonts w:ascii="Arial" w:hAnsi="Arial" w:cs="Arial"/>
                <w:lang w:val="en-IE"/>
              </w:rPr>
              <w:t>Tenderers should demonstrate a clear understanding of Bloom's strategic objectives and outline how their proposed catering solution will contribute to the delivery of the overall visitor experience, including: ...</w:t>
            </w:r>
          </w:p>
          <w:p w14:paraId="5FD35C5F" w14:textId="77777777" w:rsidR="008571E7" w:rsidRPr="002F5C6A" w:rsidRDefault="008571E7" w:rsidP="008571E7">
            <w:pPr>
              <w:jc w:val="both"/>
              <w:rPr>
                <w:rFonts w:ascii="Arial" w:hAnsi="Arial" w:cs="Arial"/>
              </w:rPr>
            </w:pPr>
          </w:p>
          <w:p w14:paraId="4A8B8F03" w14:textId="77777777" w:rsidR="008571E7" w:rsidRPr="002F5C6A" w:rsidRDefault="008571E7" w:rsidP="008571E7">
            <w:pPr>
              <w:jc w:val="both"/>
              <w:rPr>
                <w:rFonts w:ascii="Arial" w:hAnsi="Arial" w:cs="Arial"/>
              </w:rPr>
            </w:pPr>
            <w:r w:rsidRPr="002F5C6A">
              <w:rPr>
                <w:rFonts w:ascii="Arial" w:hAnsi="Arial" w:cs="Arial"/>
              </w:rPr>
              <w:t>Tenderers should address the following in their response:</w:t>
            </w:r>
          </w:p>
          <w:p w14:paraId="66FA5282" w14:textId="77777777" w:rsidR="008571E7" w:rsidRPr="002F5C6A" w:rsidRDefault="008571E7" w:rsidP="008571E7">
            <w:pPr>
              <w:jc w:val="both"/>
              <w:rPr>
                <w:rFonts w:ascii="Arial" w:hAnsi="Arial" w:cs="Arial"/>
              </w:rPr>
            </w:pPr>
          </w:p>
          <w:p w14:paraId="2C3C3F10" w14:textId="77777777" w:rsidR="008571E7" w:rsidRPr="002F5C6A" w:rsidRDefault="008571E7" w:rsidP="008571E7">
            <w:pPr>
              <w:pStyle w:val="ListParagraph"/>
              <w:numPr>
                <w:ilvl w:val="0"/>
                <w:numId w:val="28"/>
              </w:numPr>
              <w:jc w:val="both"/>
              <w:rPr>
                <w:rFonts w:ascii="Arial" w:hAnsi="Arial" w:cs="Arial"/>
                <w:lang w:val="en-IE"/>
              </w:rPr>
            </w:pPr>
            <w:r w:rsidRPr="002F5C6A">
              <w:rPr>
                <w:rFonts w:ascii="Arial" w:hAnsi="Arial" w:cs="Arial"/>
                <w:lang w:val="en-IE"/>
              </w:rPr>
              <w:t xml:space="preserve">Understanding of Bloom's role in showcasing the very best of Irish horticulture, food and drink, with sustainability as a core theme. </w:t>
            </w:r>
          </w:p>
          <w:p w14:paraId="1E4C09A1" w14:textId="77777777" w:rsidR="008571E7" w:rsidRPr="002F5C6A" w:rsidRDefault="008571E7" w:rsidP="008571E7">
            <w:pPr>
              <w:pStyle w:val="ListParagraph"/>
              <w:numPr>
                <w:ilvl w:val="0"/>
                <w:numId w:val="28"/>
              </w:numPr>
              <w:jc w:val="both"/>
              <w:rPr>
                <w:rFonts w:ascii="Arial" w:hAnsi="Arial" w:cs="Arial"/>
                <w:lang w:val="en-IE"/>
              </w:rPr>
            </w:pPr>
            <w:r w:rsidRPr="002F5C6A">
              <w:rPr>
                <w:rFonts w:ascii="Arial" w:hAnsi="Arial" w:cs="Arial"/>
                <w:lang w:val="en-IE"/>
              </w:rPr>
              <w:t xml:space="preserve">Alignment of the proposed catering offering with Bloom's vision as a world-class, inspiring and educational visitor experience. </w:t>
            </w:r>
          </w:p>
          <w:p w14:paraId="661A1D88" w14:textId="77777777" w:rsidR="008571E7" w:rsidRPr="002F5C6A" w:rsidRDefault="008571E7" w:rsidP="008571E7">
            <w:pPr>
              <w:pStyle w:val="ListParagraph"/>
              <w:numPr>
                <w:ilvl w:val="0"/>
                <w:numId w:val="28"/>
              </w:numPr>
              <w:jc w:val="both"/>
              <w:rPr>
                <w:rFonts w:ascii="Arial" w:hAnsi="Arial" w:cs="Arial"/>
                <w:lang w:val="en-IE"/>
              </w:rPr>
            </w:pPr>
            <w:r w:rsidRPr="002F5C6A">
              <w:rPr>
                <w:rFonts w:ascii="Arial" w:hAnsi="Arial" w:cs="Arial"/>
                <w:lang w:val="en-IE"/>
              </w:rPr>
              <w:t xml:space="preserve">Extent to which the proposal celebrates and promotes Irish seasonal produce, artisan producers and Bord Bia Quality Assured products. </w:t>
            </w:r>
          </w:p>
          <w:p w14:paraId="12EBE584" w14:textId="77777777" w:rsidR="008571E7" w:rsidRPr="002F5C6A" w:rsidRDefault="008571E7" w:rsidP="008571E7">
            <w:pPr>
              <w:pStyle w:val="ListParagraph"/>
              <w:numPr>
                <w:ilvl w:val="0"/>
                <w:numId w:val="28"/>
              </w:numPr>
              <w:jc w:val="both"/>
              <w:rPr>
                <w:rFonts w:ascii="Arial" w:hAnsi="Arial" w:cs="Arial"/>
                <w:lang w:val="en-IE"/>
              </w:rPr>
            </w:pPr>
            <w:r w:rsidRPr="002F5C6A">
              <w:rPr>
                <w:rFonts w:ascii="Arial" w:hAnsi="Arial" w:cs="Arial"/>
                <w:lang w:val="en-IE"/>
              </w:rPr>
              <w:t xml:space="preserve">Demonstration of how the catering experience will enhance Bloom's reputation as a leading food, gardening and sustainable living festival. </w:t>
            </w:r>
          </w:p>
          <w:p w14:paraId="7ED0BD22" w14:textId="77777777" w:rsidR="008571E7" w:rsidRPr="002F5C6A" w:rsidRDefault="008571E7" w:rsidP="008571E7">
            <w:pPr>
              <w:pStyle w:val="ListParagraph"/>
              <w:numPr>
                <w:ilvl w:val="0"/>
                <w:numId w:val="28"/>
              </w:numPr>
              <w:jc w:val="both"/>
              <w:rPr>
                <w:rFonts w:ascii="Arial" w:hAnsi="Arial" w:cs="Arial"/>
                <w:lang w:val="en-IE"/>
              </w:rPr>
            </w:pPr>
            <w:r w:rsidRPr="002F5C6A">
              <w:rPr>
                <w:rFonts w:ascii="Arial" w:hAnsi="Arial" w:cs="Arial"/>
                <w:lang w:val="en-IE"/>
              </w:rPr>
              <w:t>Ability to create a memorable visitor experience that encourages engagement with Irish food, drink and sustainable living.</w:t>
            </w:r>
          </w:p>
          <w:p w14:paraId="67D11AE6" w14:textId="10D9FBCC" w:rsidR="00AA6EAF" w:rsidRPr="002F1CF7" w:rsidRDefault="00AA6EAF" w:rsidP="002F1CF7">
            <w:pPr>
              <w:jc w:val="both"/>
              <w:rPr>
                <w:rFonts w:ascii="Arial" w:hAnsi="Arial" w:cs="Arial"/>
                <w:lang w:val="en-IE"/>
              </w:rPr>
            </w:pPr>
          </w:p>
          <w:p w14:paraId="5C01E0D7" w14:textId="77777777" w:rsidR="00AA6EAF" w:rsidRPr="00B04E17" w:rsidRDefault="00AA6EAF" w:rsidP="00F94B60">
            <w:pPr>
              <w:jc w:val="both"/>
              <w:rPr>
                <w:rFonts w:ascii="Arial" w:hAnsi="Arial" w:cs="Arial"/>
              </w:rPr>
            </w:pPr>
          </w:p>
        </w:tc>
      </w:tr>
    </w:tbl>
    <w:p w14:paraId="794AF751" w14:textId="77777777" w:rsidR="00292AAE" w:rsidRPr="00B04E17" w:rsidRDefault="00292AAE" w:rsidP="00292AAE">
      <w:pPr>
        <w:spacing w:before="240"/>
        <w:rPr>
          <w:rFonts w:ascii="Arial" w:hAnsi="Arial" w:cs="Arial"/>
          <w:b/>
          <w:bCs/>
        </w:rPr>
      </w:pPr>
      <w:r w:rsidRPr="00B04E17">
        <w:rPr>
          <w:rFonts w:ascii="Arial" w:hAnsi="Arial" w:cs="Arial"/>
          <w:b/>
          <w:bCs/>
        </w:rPr>
        <w:t>Tenderer’s Response</w:t>
      </w:r>
    </w:p>
    <w:p w14:paraId="4BFED689" w14:textId="77777777" w:rsidR="00292AAE" w:rsidRPr="00B04E17" w:rsidRDefault="00292AAE" w:rsidP="00292AAE">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700A1F98" w14:textId="77777777" w:rsidR="00AA6EAF" w:rsidRDefault="00AA6EAF">
      <w:pPr>
        <w:rPr>
          <w:rFonts w:ascii="Arial" w:hAnsi="Arial" w:cs="Arial"/>
        </w:rPr>
      </w:pPr>
    </w:p>
    <w:p w14:paraId="11B8E988" w14:textId="77777777" w:rsidR="00292AAE" w:rsidRDefault="00292AAE">
      <w:pPr>
        <w:rPr>
          <w:rFonts w:ascii="Arial" w:hAnsi="Arial" w:cs="Arial"/>
        </w:rPr>
      </w:pPr>
    </w:p>
    <w:p w14:paraId="2683EC13" w14:textId="77777777" w:rsidR="00292AAE" w:rsidRDefault="00292AAE">
      <w:pPr>
        <w:rPr>
          <w:rFonts w:ascii="Arial" w:hAnsi="Arial" w:cs="Arial"/>
        </w:rPr>
      </w:pPr>
    </w:p>
    <w:p w14:paraId="0E34B0F3" w14:textId="77777777" w:rsidR="00292AAE" w:rsidRDefault="00292AAE">
      <w:pPr>
        <w:rPr>
          <w:rFonts w:ascii="Arial" w:hAnsi="Arial" w:cs="Arial"/>
        </w:rPr>
      </w:pPr>
    </w:p>
    <w:p w14:paraId="25A4F81B" w14:textId="77777777" w:rsidR="00292AAE" w:rsidRDefault="00292AAE">
      <w:pPr>
        <w:rPr>
          <w:rFonts w:ascii="Arial" w:hAnsi="Arial" w:cs="Arial"/>
        </w:rPr>
      </w:pPr>
    </w:p>
    <w:p w14:paraId="184FA151" w14:textId="77777777" w:rsidR="00292AAE" w:rsidRDefault="00292AAE">
      <w:pPr>
        <w:rPr>
          <w:rFonts w:ascii="Arial" w:hAnsi="Arial" w:cs="Arial"/>
        </w:rPr>
      </w:pPr>
    </w:p>
    <w:p w14:paraId="62F004F0" w14:textId="77777777" w:rsidR="00C96DC3" w:rsidRDefault="00C96DC3">
      <w:pPr>
        <w:rPr>
          <w:rFonts w:ascii="Arial" w:hAnsi="Arial" w:cs="Arial"/>
        </w:rPr>
      </w:pPr>
    </w:p>
    <w:p w14:paraId="1B532B65" w14:textId="77777777" w:rsidR="00C96DC3" w:rsidRDefault="00C96DC3">
      <w:pPr>
        <w:rPr>
          <w:rFonts w:ascii="Arial" w:hAnsi="Arial" w:cs="Arial"/>
        </w:rPr>
      </w:pPr>
    </w:p>
    <w:p w14:paraId="0755D4E8" w14:textId="77777777" w:rsidR="00C96DC3" w:rsidRDefault="00C96DC3">
      <w:pPr>
        <w:rPr>
          <w:rFonts w:ascii="Arial" w:hAnsi="Arial" w:cs="Arial"/>
        </w:rPr>
      </w:pPr>
    </w:p>
    <w:p w14:paraId="4C3FFAAD" w14:textId="77777777" w:rsidR="00292AAE" w:rsidRDefault="00292AAE">
      <w:pPr>
        <w:rPr>
          <w:rFonts w:ascii="Arial" w:hAnsi="Arial" w:cs="Arial"/>
        </w:rPr>
      </w:pPr>
    </w:p>
    <w:p w14:paraId="2246FE4C" w14:textId="77777777" w:rsidR="00292AAE" w:rsidRPr="00B04E17" w:rsidRDefault="00292AAE">
      <w:pPr>
        <w:rPr>
          <w:rFonts w:ascii="Arial" w:hAnsi="Arial" w:cs="Arial"/>
        </w:rPr>
      </w:pP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8DC0C" w14:textId="77777777" w:rsidR="00C9131F" w:rsidRDefault="00C9131F" w:rsidP="00037CDC">
      <w:pPr>
        <w:spacing w:after="0" w:line="240" w:lineRule="auto"/>
      </w:pPr>
      <w:r>
        <w:separator/>
      </w:r>
    </w:p>
  </w:endnote>
  <w:endnote w:type="continuationSeparator" w:id="0">
    <w:p w14:paraId="630B03D2" w14:textId="77777777" w:rsidR="00C9131F" w:rsidRDefault="00C9131F"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39C6" w14:textId="77777777" w:rsidR="00C9131F" w:rsidRDefault="00C9131F" w:rsidP="00037CDC">
      <w:pPr>
        <w:spacing w:after="0" w:line="240" w:lineRule="auto"/>
      </w:pPr>
      <w:r>
        <w:separator/>
      </w:r>
    </w:p>
  </w:footnote>
  <w:footnote w:type="continuationSeparator" w:id="0">
    <w:p w14:paraId="4A1D9BFD" w14:textId="77777777" w:rsidR="00C9131F" w:rsidRDefault="00C9131F"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330B38"/>
    <w:multiLevelType w:val="hybridMultilevel"/>
    <w:tmpl w:val="24A8A6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AB3941"/>
    <w:multiLevelType w:val="hybridMultilevel"/>
    <w:tmpl w:val="5642B0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D60A02"/>
    <w:multiLevelType w:val="hybridMultilevel"/>
    <w:tmpl w:val="A1FCEDD8"/>
    <w:lvl w:ilvl="0" w:tplc="5700FB8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6A6249"/>
    <w:multiLevelType w:val="multilevel"/>
    <w:tmpl w:val="B2E2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AB712D"/>
    <w:multiLevelType w:val="hybridMultilevel"/>
    <w:tmpl w:val="3260E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0140B9"/>
    <w:multiLevelType w:val="hybridMultilevel"/>
    <w:tmpl w:val="848680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6765DE5"/>
    <w:multiLevelType w:val="hybridMultilevel"/>
    <w:tmpl w:val="4B70617C"/>
    <w:lvl w:ilvl="0" w:tplc="B0C27C1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8962FAA"/>
    <w:multiLevelType w:val="hybridMultilevel"/>
    <w:tmpl w:val="99EA0B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9F226CD"/>
    <w:multiLevelType w:val="hybridMultilevel"/>
    <w:tmpl w:val="99FCF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B320909"/>
    <w:multiLevelType w:val="hybridMultilevel"/>
    <w:tmpl w:val="9C3C2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39310408">
    <w:abstractNumId w:val="6"/>
  </w:num>
  <w:num w:numId="2" w16cid:durableId="1408501264">
    <w:abstractNumId w:val="24"/>
  </w:num>
  <w:num w:numId="3" w16cid:durableId="382796414">
    <w:abstractNumId w:val="23"/>
  </w:num>
  <w:num w:numId="4" w16cid:durableId="1072385520">
    <w:abstractNumId w:val="4"/>
  </w:num>
  <w:num w:numId="5" w16cid:durableId="1928997021">
    <w:abstractNumId w:val="3"/>
  </w:num>
  <w:num w:numId="6" w16cid:durableId="11418972">
    <w:abstractNumId w:val="21"/>
  </w:num>
  <w:num w:numId="7" w16cid:durableId="112986375">
    <w:abstractNumId w:val="14"/>
  </w:num>
  <w:num w:numId="8" w16cid:durableId="1442335491">
    <w:abstractNumId w:val="12"/>
  </w:num>
  <w:num w:numId="9" w16cid:durableId="1058550270">
    <w:abstractNumId w:val="16"/>
  </w:num>
  <w:num w:numId="10" w16cid:durableId="1762749696">
    <w:abstractNumId w:val="11"/>
  </w:num>
  <w:num w:numId="11" w16cid:durableId="817890077">
    <w:abstractNumId w:val="2"/>
  </w:num>
  <w:num w:numId="12" w16cid:durableId="158038595">
    <w:abstractNumId w:val="0"/>
  </w:num>
  <w:num w:numId="13" w16cid:durableId="413629801">
    <w:abstractNumId w:val="15"/>
  </w:num>
  <w:num w:numId="14" w16cid:durableId="1349136577">
    <w:abstractNumId w:val="18"/>
  </w:num>
  <w:num w:numId="15" w16cid:durableId="1023285611">
    <w:abstractNumId w:val="13"/>
  </w:num>
  <w:num w:numId="16" w16cid:durableId="1922568784">
    <w:abstractNumId w:val="9"/>
  </w:num>
  <w:num w:numId="17" w16cid:durableId="232862153">
    <w:abstractNumId w:val="19"/>
  </w:num>
  <w:num w:numId="18" w16cid:durableId="1722748605">
    <w:abstractNumId w:val="23"/>
    <w:lvlOverride w:ilvl="0">
      <w:startOverride w:val="2"/>
    </w:lvlOverride>
    <w:lvlOverride w:ilvl="1">
      <w:startOverride w:val="5"/>
    </w:lvlOverride>
  </w:num>
  <w:num w:numId="19" w16cid:durableId="757022842">
    <w:abstractNumId w:val="22"/>
  </w:num>
  <w:num w:numId="20" w16cid:durableId="487357646">
    <w:abstractNumId w:val="17"/>
  </w:num>
  <w:num w:numId="21" w16cid:durableId="1523127970">
    <w:abstractNumId w:val="26"/>
  </w:num>
  <w:num w:numId="22" w16cid:durableId="1241061951">
    <w:abstractNumId w:val="7"/>
  </w:num>
  <w:num w:numId="23" w16cid:durableId="994144273">
    <w:abstractNumId w:val="1"/>
  </w:num>
  <w:num w:numId="24" w16cid:durableId="9647452">
    <w:abstractNumId w:val="20"/>
  </w:num>
  <w:num w:numId="25" w16cid:durableId="1803377570">
    <w:abstractNumId w:val="5"/>
  </w:num>
  <w:num w:numId="26" w16cid:durableId="577518955">
    <w:abstractNumId w:val="8"/>
  </w:num>
  <w:num w:numId="27" w16cid:durableId="694616866">
    <w:abstractNumId w:val="25"/>
  </w:num>
  <w:num w:numId="28" w16cid:durableId="1225722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7CDC"/>
    <w:rsid w:val="00041C6E"/>
    <w:rsid w:val="00044FC2"/>
    <w:rsid w:val="000561B5"/>
    <w:rsid w:val="00065987"/>
    <w:rsid w:val="00081915"/>
    <w:rsid w:val="00087CBE"/>
    <w:rsid w:val="0009534C"/>
    <w:rsid w:val="0009645F"/>
    <w:rsid w:val="000968E1"/>
    <w:rsid w:val="000A6187"/>
    <w:rsid w:val="000B36E7"/>
    <w:rsid w:val="000B703A"/>
    <w:rsid w:val="000C2FF5"/>
    <w:rsid w:val="000D0B9D"/>
    <w:rsid w:val="000D1225"/>
    <w:rsid w:val="000D671D"/>
    <w:rsid w:val="000E3AFF"/>
    <w:rsid w:val="000E57FF"/>
    <w:rsid w:val="00110F6B"/>
    <w:rsid w:val="00135BB7"/>
    <w:rsid w:val="00156292"/>
    <w:rsid w:val="00156DB4"/>
    <w:rsid w:val="00163DE4"/>
    <w:rsid w:val="0016471C"/>
    <w:rsid w:val="00182FEB"/>
    <w:rsid w:val="0018565E"/>
    <w:rsid w:val="00186855"/>
    <w:rsid w:val="00186938"/>
    <w:rsid w:val="001C59A2"/>
    <w:rsid w:val="001D0A5E"/>
    <w:rsid w:val="001D66DA"/>
    <w:rsid w:val="001D7033"/>
    <w:rsid w:val="001E5F3C"/>
    <w:rsid w:val="00206D12"/>
    <w:rsid w:val="0020748A"/>
    <w:rsid w:val="002102AC"/>
    <w:rsid w:val="002144DD"/>
    <w:rsid w:val="0021689B"/>
    <w:rsid w:val="00220D17"/>
    <w:rsid w:val="00221AFC"/>
    <w:rsid w:val="002225D9"/>
    <w:rsid w:val="002264D1"/>
    <w:rsid w:val="00237DA0"/>
    <w:rsid w:val="00237E88"/>
    <w:rsid w:val="00240898"/>
    <w:rsid w:val="00245311"/>
    <w:rsid w:val="00246D00"/>
    <w:rsid w:val="00253C26"/>
    <w:rsid w:val="002545EA"/>
    <w:rsid w:val="00256A43"/>
    <w:rsid w:val="002662C4"/>
    <w:rsid w:val="0027504A"/>
    <w:rsid w:val="0027740B"/>
    <w:rsid w:val="002861BD"/>
    <w:rsid w:val="00291DE4"/>
    <w:rsid w:val="00292AAE"/>
    <w:rsid w:val="0029491F"/>
    <w:rsid w:val="00297568"/>
    <w:rsid w:val="002B3CB2"/>
    <w:rsid w:val="002C0A65"/>
    <w:rsid w:val="002E1FDF"/>
    <w:rsid w:val="002E4637"/>
    <w:rsid w:val="002F1CF7"/>
    <w:rsid w:val="00300B9C"/>
    <w:rsid w:val="00301223"/>
    <w:rsid w:val="00302C51"/>
    <w:rsid w:val="003100A4"/>
    <w:rsid w:val="00310519"/>
    <w:rsid w:val="00357162"/>
    <w:rsid w:val="00376EF5"/>
    <w:rsid w:val="00380E73"/>
    <w:rsid w:val="003832FB"/>
    <w:rsid w:val="003834FD"/>
    <w:rsid w:val="003866D5"/>
    <w:rsid w:val="00393E28"/>
    <w:rsid w:val="003A18B0"/>
    <w:rsid w:val="003A2F19"/>
    <w:rsid w:val="003C60B1"/>
    <w:rsid w:val="003D5C2C"/>
    <w:rsid w:val="003E46A4"/>
    <w:rsid w:val="0040156E"/>
    <w:rsid w:val="00405D0F"/>
    <w:rsid w:val="00433BA9"/>
    <w:rsid w:val="00434679"/>
    <w:rsid w:val="004352A1"/>
    <w:rsid w:val="0044298D"/>
    <w:rsid w:val="004461EE"/>
    <w:rsid w:val="00452AC8"/>
    <w:rsid w:val="004871FB"/>
    <w:rsid w:val="00491A29"/>
    <w:rsid w:val="00492CFA"/>
    <w:rsid w:val="004A5948"/>
    <w:rsid w:val="004C1B71"/>
    <w:rsid w:val="004C70D6"/>
    <w:rsid w:val="004C76D4"/>
    <w:rsid w:val="004C7FDB"/>
    <w:rsid w:val="004D5539"/>
    <w:rsid w:val="004D5DB3"/>
    <w:rsid w:val="004D5E4B"/>
    <w:rsid w:val="004F4719"/>
    <w:rsid w:val="00500DC2"/>
    <w:rsid w:val="00520518"/>
    <w:rsid w:val="00526CCD"/>
    <w:rsid w:val="00544BBE"/>
    <w:rsid w:val="00584449"/>
    <w:rsid w:val="005A0690"/>
    <w:rsid w:val="005A0F8A"/>
    <w:rsid w:val="005A148C"/>
    <w:rsid w:val="005A2A2A"/>
    <w:rsid w:val="005A4284"/>
    <w:rsid w:val="005A4607"/>
    <w:rsid w:val="005C01C4"/>
    <w:rsid w:val="005C393C"/>
    <w:rsid w:val="005D493A"/>
    <w:rsid w:val="005D570E"/>
    <w:rsid w:val="005D6832"/>
    <w:rsid w:val="005E4C53"/>
    <w:rsid w:val="005F1F74"/>
    <w:rsid w:val="005F223C"/>
    <w:rsid w:val="005F230D"/>
    <w:rsid w:val="005F5AB0"/>
    <w:rsid w:val="005F62D1"/>
    <w:rsid w:val="0060059E"/>
    <w:rsid w:val="00606ACF"/>
    <w:rsid w:val="00611544"/>
    <w:rsid w:val="006118ED"/>
    <w:rsid w:val="00624FBA"/>
    <w:rsid w:val="00627F7F"/>
    <w:rsid w:val="0063647D"/>
    <w:rsid w:val="00636670"/>
    <w:rsid w:val="00642742"/>
    <w:rsid w:val="00656C28"/>
    <w:rsid w:val="006700E9"/>
    <w:rsid w:val="006773AC"/>
    <w:rsid w:val="00677903"/>
    <w:rsid w:val="00684CD0"/>
    <w:rsid w:val="00694D7B"/>
    <w:rsid w:val="006B3250"/>
    <w:rsid w:val="006C6250"/>
    <w:rsid w:val="006E5928"/>
    <w:rsid w:val="007034FB"/>
    <w:rsid w:val="0071578D"/>
    <w:rsid w:val="00730599"/>
    <w:rsid w:val="00741972"/>
    <w:rsid w:val="00752F1C"/>
    <w:rsid w:val="00754625"/>
    <w:rsid w:val="00760D93"/>
    <w:rsid w:val="00766EFB"/>
    <w:rsid w:val="0077435D"/>
    <w:rsid w:val="007B1672"/>
    <w:rsid w:val="007B7EF4"/>
    <w:rsid w:val="007C205D"/>
    <w:rsid w:val="007C2848"/>
    <w:rsid w:val="007C6830"/>
    <w:rsid w:val="007D07DB"/>
    <w:rsid w:val="007D5F5E"/>
    <w:rsid w:val="007E14F6"/>
    <w:rsid w:val="007F47E8"/>
    <w:rsid w:val="0080580A"/>
    <w:rsid w:val="00822D07"/>
    <w:rsid w:val="008279B0"/>
    <w:rsid w:val="008342C3"/>
    <w:rsid w:val="00836B47"/>
    <w:rsid w:val="0085186C"/>
    <w:rsid w:val="00852A47"/>
    <w:rsid w:val="0085527E"/>
    <w:rsid w:val="00855C93"/>
    <w:rsid w:val="008571E7"/>
    <w:rsid w:val="00865FBA"/>
    <w:rsid w:val="00866220"/>
    <w:rsid w:val="00873229"/>
    <w:rsid w:val="00874E31"/>
    <w:rsid w:val="00875479"/>
    <w:rsid w:val="008910F3"/>
    <w:rsid w:val="008929C7"/>
    <w:rsid w:val="008B10A2"/>
    <w:rsid w:val="008B1A35"/>
    <w:rsid w:val="008B5D7A"/>
    <w:rsid w:val="008C7295"/>
    <w:rsid w:val="008F07B8"/>
    <w:rsid w:val="008F575E"/>
    <w:rsid w:val="00920CF9"/>
    <w:rsid w:val="00931947"/>
    <w:rsid w:val="00934B20"/>
    <w:rsid w:val="009352D8"/>
    <w:rsid w:val="0094130D"/>
    <w:rsid w:val="00957A6F"/>
    <w:rsid w:val="00970027"/>
    <w:rsid w:val="00987711"/>
    <w:rsid w:val="009A2961"/>
    <w:rsid w:val="009A59FB"/>
    <w:rsid w:val="009B717B"/>
    <w:rsid w:val="009C0E2B"/>
    <w:rsid w:val="009C1905"/>
    <w:rsid w:val="009C2B0D"/>
    <w:rsid w:val="009C2B6C"/>
    <w:rsid w:val="009C3107"/>
    <w:rsid w:val="009C5F7D"/>
    <w:rsid w:val="009D5C5C"/>
    <w:rsid w:val="009D6E45"/>
    <w:rsid w:val="00A00F5F"/>
    <w:rsid w:val="00A05583"/>
    <w:rsid w:val="00A06621"/>
    <w:rsid w:val="00A06D2F"/>
    <w:rsid w:val="00A10BB8"/>
    <w:rsid w:val="00A23FE4"/>
    <w:rsid w:val="00A3092F"/>
    <w:rsid w:val="00A31938"/>
    <w:rsid w:val="00A3600C"/>
    <w:rsid w:val="00A36778"/>
    <w:rsid w:val="00A42FCC"/>
    <w:rsid w:val="00A44623"/>
    <w:rsid w:val="00A511A0"/>
    <w:rsid w:val="00A67C18"/>
    <w:rsid w:val="00A74797"/>
    <w:rsid w:val="00A819DD"/>
    <w:rsid w:val="00AA6EAF"/>
    <w:rsid w:val="00AB09C1"/>
    <w:rsid w:val="00AD553A"/>
    <w:rsid w:val="00AE118F"/>
    <w:rsid w:val="00AF3EC5"/>
    <w:rsid w:val="00B005F4"/>
    <w:rsid w:val="00B016F2"/>
    <w:rsid w:val="00B01D72"/>
    <w:rsid w:val="00B02EED"/>
    <w:rsid w:val="00B04E17"/>
    <w:rsid w:val="00B11F54"/>
    <w:rsid w:val="00B21FE6"/>
    <w:rsid w:val="00B42262"/>
    <w:rsid w:val="00B44DAF"/>
    <w:rsid w:val="00B50A5D"/>
    <w:rsid w:val="00B52944"/>
    <w:rsid w:val="00B57528"/>
    <w:rsid w:val="00B630DE"/>
    <w:rsid w:val="00B82948"/>
    <w:rsid w:val="00B85257"/>
    <w:rsid w:val="00B92CD0"/>
    <w:rsid w:val="00BA48CE"/>
    <w:rsid w:val="00BA5F05"/>
    <w:rsid w:val="00BC2615"/>
    <w:rsid w:val="00BC5A3C"/>
    <w:rsid w:val="00BD3148"/>
    <w:rsid w:val="00BD6B05"/>
    <w:rsid w:val="00BE0293"/>
    <w:rsid w:val="00BE0361"/>
    <w:rsid w:val="00BE3ED3"/>
    <w:rsid w:val="00C023B5"/>
    <w:rsid w:val="00C12EDB"/>
    <w:rsid w:val="00C1479A"/>
    <w:rsid w:val="00C23494"/>
    <w:rsid w:val="00C254AB"/>
    <w:rsid w:val="00C2768B"/>
    <w:rsid w:val="00C339AE"/>
    <w:rsid w:val="00C35564"/>
    <w:rsid w:val="00C47BAF"/>
    <w:rsid w:val="00C5277C"/>
    <w:rsid w:val="00C52948"/>
    <w:rsid w:val="00C5454C"/>
    <w:rsid w:val="00C6496E"/>
    <w:rsid w:val="00C65D19"/>
    <w:rsid w:val="00C7031D"/>
    <w:rsid w:val="00C70707"/>
    <w:rsid w:val="00C9131F"/>
    <w:rsid w:val="00C96DC3"/>
    <w:rsid w:val="00CA0F72"/>
    <w:rsid w:val="00CA7C67"/>
    <w:rsid w:val="00CC6FBA"/>
    <w:rsid w:val="00CE6DEC"/>
    <w:rsid w:val="00CE7F7A"/>
    <w:rsid w:val="00CF6B9E"/>
    <w:rsid w:val="00D13414"/>
    <w:rsid w:val="00D327FF"/>
    <w:rsid w:val="00D342BF"/>
    <w:rsid w:val="00D345C6"/>
    <w:rsid w:val="00D42F50"/>
    <w:rsid w:val="00D503D1"/>
    <w:rsid w:val="00D60D1E"/>
    <w:rsid w:val="00D62268"/>
    <w:rsid w:val="00DA0BC2"/>
    <w:rsid w:val="00DA14ED"/>
    <w:rsid w:val="00DB4407"/>
    <w:rsid w:val="00DC457E"/>
    <w:rsid w:val="00DD4B99"/>
    <w:rsid w:val="00DD61BF"/>
    <w:rsid w:val="00DE1CCF"/>
    <w:rsid w:val="00DE7ED3"/>
    <w:rsid w:val="00E04A3F"/>
    <w:rsid w:val="00E12910"/>
    <w:rsid w:val="00E135E9"/>
    <w:rsid w:val="00E1732A"/>
    <w:rsid w:val="00E23DAE"/>
    <w:rsid w:val="00E324AF"/>
    <w:rsid w:val="00E37778"/>
    <w:rsid w:val="00E41C16"/>
    <w:rsid w:val="00E43358"/>
    <w:rsid w:val="00E64AA4"/>
    <w:rsid w:val="00E657BF"/>
    <w:rsid w:val="00E867A4"/>
    <w:rsid w:val="00E921FD"/>
    <w:rsid w:val="00EA4EEC"/>
    <w:rsid w:val="00EA73C6"/>
    <w:rsid w:val="00EB453E"/>
    <w:rsid w:val="00EC0492"/>
    <w:rsid w:val="00EC08B5"/>
    <w:rsid w:val="00ED131C"/>
    <w:rsid w:val="00EE1A72"/>
    <w:rsid w:val="00EE3A8F"/>
    <w:rsid w:val="00EE3E1C"/>
    <w:rsid w:val="00EE6729"/>
    <w:rsid w:val="00F01218"/>
    <w:rsid w:val="00F22BF4"/>
    <w:rsid w:val="00F2656F"/>
    <w:rsid w:val="00F37A29"/>
    <w:rsid w:val="00F4015E"/>
    <w:rsid w:val="00F540CB"/>
    <w:rsid w:val="00F61135"/>
    <w:rsid w:val="00FA0B46"/>
    <w:rsid w:val="00FB35EE"/>
    <w:rsid w:val="00FB54AF"/>
    <w:rsid w:val="00FD1E54"/>
    <w:rsid w:val="00FD6089"/>
    <w:rsid w:val="00FE6E6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6D1E47F6-1951-4E7A-BEF5-F06A20FB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Props1.xml><?xml version="1.0" encoding="utf-8"?>
<ds:datastoreItem xmlns:ds="http://schemas.openxmlformats.org/officeDocument/2006/customXml" ds:itemID="{3CC07F91-6309-49AA-9E26-49C82E6DD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A5E7C4-4A93-4CC4-8F08-24DB80A2E510}">
  <ds:schemaRefs>
    <ds:schemaRef ds:uri="http://schemas.microsoft.com/sharepoint/v3/contenttype/forms"/>
  </ds:schemaRefs>
</ds:datastoreItem>
</file>

<file path=customXml/itemProps3.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21</Pages>
  <Words>4855</Words>
  <Characters>26369</Characters>
  <Application>Microsoft Office Word</Application>
  <DocSecurity>0</DocSecurity>
  <Lines>613</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Pamela Anderson</cp:lastModifiedBy>
  <cp:revision>92</cp:revision>
  <dcterms:created xsi:type="dcterms:W3CDTF">2025-12-03T04:06:00Z</dcterms:created>
  <dcterms:modified xsi:type="dcterms:W3CDTF">2026-10-07T11:21:00Z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