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F5CD" w14:textId="77777777" w:rsidR="00C63EBB" w:rsidRPr="005F259F" w:rsidRDefault="00C63EBB" w:rsidP="00C63EBB">
      <w:pPr>
        <w:spacing w:after="0" w:line="240" w:lineRule="auto"/>
        <w:jc w:val="center"/>
        <w:rPr>
          <w:rFonts w:eastAsia="Times New Roman"/>
          <w:b/>
          <w:bCs/>
          <w:color w:val="000000"/>
          <w:sz w:val="22"/>
          <w:szCs w:val="22"/>
          <w:lang w:eastAsia="en-IE"/>
        </w:rPr>
      </w:pPr>
      <w:r w:rsidRPr="005F259F">
        <w:rPr>
          <w:rFonts w:eastAsia="Times New Roman"/>
          <w:b/>
          <w:bCs/>
          <w:color w:val="000000"/>
          <w:sz w:val="22"/>
          <w:szCs w:val="22"/>
          <w:lang w:eastAsia="en-IE"/>
        </w:rPr>
        <w:t xml:space="preserve">                                 </w:t>
      </w:r>
      <w:r w:rsidRPr="005F259F">
        <w:rPr>
          <w:noProof/>
          <w:sz w:val="22"/>
          <w:szCs w:val="22"/>
        </w:rPr>
        <w:drawing>
          <wp:inline distT="0" distB="0" distL="0" distR="0" wp14:anchorId="4DCF8CE2" wp14:editId="2E5C936B">
            <wp:extent cx="375285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1009650"/>
                    </a:xfrm>
                    <a:prstGeom prst="rect">
                      <a:avLst/>
                    </a:prstGeom>
                    <a:noFill/>
                    <a:ln>
                      <a:noFill/>
                    </a:ln>
                  </pic:spPr>
                </pic:pic>
              </a:graphicData>
            </a:graphic>
          </wp:inline>
        </w:drawing>
      </w:r>
    </w:p>
    <w:p w14:paraId="35099E54" w14:textId="77777777" w:rsidR="00C63EBB" w:rsidRPr="005F259F" w:rsidRDefault="00C63EBB" w:rsidP="00C63EBB">
      <w:pPr>
        <w:spacing w:after="0" w:line="240" w:lineRule="auto"/>
        <w:rPr>
          <w:rFonts w:eastAsia="Times New Roman"/>
          <w:b/>
          <w:bCs/>
          <w:color w:val="000000"/>
          <w:sz w:val="22"/>
          <w:szCs w:val="22"/>
          <w:lang w:eastAsia="en-IE"/>
        </w:rPr>
      </w:pPr>
    </w:p>
    <w:p w14:paraId="4D0BC2B9" w14:textId="77777777" w:rsidR="00C63EBB" w:rsidRPr="005F259F" w:rsidRDefault="00C63EBB" w:rsidP="00C63EBB">
      <w:pPr>
        <w:spacing w:after="0" w:line="240" w:lineRule="auto"/>
        <w:rPr>
          <w:rFonts w:eastAsia="Times New Roman"/>
          <w:b/>
          <w:bCs/>
          <w:color w:val="000000"/>
          <w:sz w:val="22"/>
          <w:szCs w:val="22"/>
          <w:lang w:eastAsia="en-IE"/>
        </w:rPr>
      </w:pPr>
    </w:p>
    <w:p w14:paraId="573A149D" w14:textId="77777777" w:rsidR="00C63EBB" w:rsidRPr="005F259F" w:rsidRDefault="00C63EBB" w:rsidP="00C63EBB">
      <w:pPr>
        <w:spacing w:after="0" w:line="240" w:lineRule="auto"/>
        <w:rPr>
          <w:rFonts w:eastAsia="Times New Roman"/>
          <w:b/>
          <w:bCs/>
          <w:color w:val="000000"/>
          <w:sz w:val="22"/>
          <w:szCs w:val="22"/>
          <w:lang w:eastAsia="en-IE"/>
        </w:rPr>
      </w:pPr>
    </w:p>
    <w:p w14:paraId="6A35A9F8" w14:textId="77777777" w:rsidR="00C63EBB" w:rsidRPr="005F259F" w:rsidRDefault="00C63EBB" w:rsidP="00C63EBB">
      <w:pPr>
        <w:spacing w:after="0" w:line="240" w:lineRule="auto"/>
        <w:rPr>
          <w:rFonts w:eastAsia="Times New Roman"/>
          <w:b/>
          <w:bCs/>
          <w:color w:val="000000"/>
          <w:sz w:val="22"/>
          <w:szCs w:val="22"/>
          <w:lang w:eastAsia="en-IE"/>
        </w:rPr>
      </w:pPr>
    </w:p>
    <w:p w14:paraId="27C66E41" w14:textId="77777777" w:rsidR="00C63EBB" w:rsidRPr="005F259F" w:rsidRDefault="00C63EBB" w:rsidP="00C63EBB">
      <w:pPr>
        <w:spacing w:after="0" w:line="240" w:lineRule="auto"/>
        <w:rPr>
          <w:rFonts w:eastAsia="Times New Roman"/>
          <w:b/>
          <w:bCs/>
          <w:color w:val="000000"/>
          <w:sz w:val="22"/>
          <w:szCs w:val="22"/>
          <w:lang w:eastAsia="en-IE"/>
        </w:rPr>
      </w:pPr>
    </w:p>
    <w:p w14:paraId="02808151" w14:textId="77777777" w:rsidR="00C63EBB" w:rsidRPr="005F259F" w:rsidRDefault="00C63EBB" w:rsidP="00C63EBB">
      <w:pPr>
        <w:spacing w:after="0" w:line="240" w:lineRule="auto"/>
        <w:rPr>
          <w:rFonts w:eastAsia="Times New Roman"/>
          <w:b/>
          <w:bCs/>
          <w:color w:val="000000"/>
          <w:sz w:val="22"/>
          <w:szCs w:val="22"/>
          <w:lang w:eastAsia="en-IE"/>
        </w:rPr>
      </w:pPr>
    </w:p>
    <w:p w14:paraId="16EDC1C4" w14:textId="77777777" w:rsidR="00C63EBB" w:rsidRPr="005F259F" w:rsidRDefault="00C63EBB" w:rsidP="00C63EBB">
      <w:pPr>
        <w:keepNext/>
        <w:keepLines/>
        <w:spacing w:after="0" w:line="480" w:lineRule="auto"/>
        <w:jc w:val="center"/>
        <w:outlineLvl w:val="0"/>
        <w:rPr>
          <w:rFonts w:eastAsia="Times New Roman"/>
          <w:b/>
          <w:bCs/>
          <w:color w:val="365F91"/>
          <w:sz w:val="22"/>
          <w:szCs w:val="22"/>
        </w:rPr>
      </w:pPr>
      <w:r w:rsidRPr="005F259F">
        <w:rPr>
          <w:rFonts w:eastAsia="Times New Roman"/>
          <w:b/>
          <w:bCs/>
          <w:color w:val="365F91"/>
          <w:sz w:val="22"/>
          <w:szCs w:val="22"/>
        </w:rPr>
        <w:t>DEPARTMENT OF SOCIAL PROTECTION</w:t>
      </w:r>
    </w:p>
    <w:p w14:paraId="3A2F3EAB" w14:textId="77777777" w:rsidR="00C63EBB" w:rsidRPr="005F259F" w:rsidRDefault="00C63EBB" w:rsidP="00C63EBB">
      <w:pPr>
        <w:spacing w:after="0" w:line="480" w:lineRule="auto"/>
        <w:rPr>
          <w:sz w:val="22"/>
          <w:szCs w:val="22"/>
        </w:rPr>
      </w:pPr>
    </w:p>
    <w:p w14:paraId="4183F505" w14:textId="77777777" w:rsidR="00C63EBB" w:rsidRPr="005F259F" w:rsidRDefault="00C63EBB" w:rsidP="00C63EBB">
      <w:pPr>
        <w:keepNext/>
        <w:keepLines/>
        <w:spacing w:after="0" w:line="480" w:lineRule="auto"/>
        <w:jc w:val="center"/>
        <w:outlineLvl w:val="0"/>
        <w:rPr>
          <w:rFonts w:eastAsia="Times New Roman"/>
          <w:b/>
          <w:bCs/>
          <w:color w:val="365F91"/>
          <w:sz w:val="22"/>
          <w:szCs w:val="22"/>
        </w:rPr>
      </w:pPr>
      <w:r w:rsidRPr="005F259F">
        <w:rPr>
          <w:rFonts w:eastAsia="Times New Roman"/>
          <w:b/>
          <w:bCs/>
          <w:color w:val="365F91"/>
          <w:sz w:val="22"/>
          <w:szCs w:val="22"/>
        </w:rPr>
        <w:t>CLARIFICATIONS, QUESTIONS and ANSWERS DIGEST</w:t>
      </w:r>
    </w:p>
    <w:p w14:paraId="7E5BA4EB" w14:textId="77777777" w:rsidR="00C63EBB" w:rsidRPr="005F259F" w:rsidRDefault="00C63EBB" w:rsidP="00C63EBB">
      <w:pPr>
        <w:spacing w:after="0" w:line="480" w:lineRule="auto"/>
        <w:rPr>
          <w:sz w:val="22"/>
          <w:szCs w:val="22"/>
        </w:rPr>
      </w:pPr>
    </w:p>
    <w:p w14:paraId="1CD2BEFD" w14:textId="77777777" w:rsidR="00C63EBB" w:rsidRPr="005F259F" w:rsidRDefault="00C63EBB" w:rsidP="00C63EBB">
      <w:pPr>
        <w:spacing w:after="0" w:line="480" w:lineRule="auto"/>
        <w:rPr>
          <w:sz w:val="22"/>
          <w:szCs w:val="22"/>
        </w:rPr>
      </w:pPr>
    </w:p>
    <w:p w14:paraId="5BF5ADE0" w14:textId="77777777" w:rsidR="00C63EBB" w:rsidRPr="005F259F" w:rsidRDefault="00C63EBB" w:rsidP="00C63EBB">
      <w:pPr>
        <w:spacing w:after="0" w:line="360" w:lineRule="auto"/>
        <w:jc w:val="center"/>
        <w:rPr>
          <w:rFonts w:eastAsia="Times New Roman"/>
          <w:b/>
          <w:bCs/>
          <w:color w:val="365F91"/>
          <w:sz w:val="22"/>
          <w:szCs w:val="22"/>
        </w:rPr>
      </w:pPr>
      <w:r w:rsidRPr="005F259F">
        <w:rPr>
          <w:rFonts w:eastAsia="Times New Roman"/>
          <w:b/>
          <w:bCs/>
          <w:color w:val="365F91"/>
          <w:sz w:val="22"/>
          <w:szCs w:val="22"/>
          <w:lang w:val="en-GB"/>
        </w:rPr>
        <w:t xml:space="preserve">Request for Tenders </w:t>
      </w:r>
      <w:r w:rsidRPr="005F259F">
        <w:rPr>
          <w:rFonts w:eastAsia="Times New Roman"/>
          <w:b/>
          <w:bCs/>
          <w:color w:val="365F91"/>
          <w:sz w:val="22"/>
          <w:szCs w:val="22"/>
        </w:rPr>
        <w:t xml:space="preserve">for the supply of </w:t>
      </w:r>
    </w:p>
    <w:p w14:paraId="7B1C4C87" w14:textId="77777777" w:rsidR="00C63EBB" w:rsidRPr="005F259F" w:rsidRDefault="00C63EBB" w:rsidP="00C63EBB">
      <w:pPr>
        <w:spacing w:after="0" w:line="360" w:lineRule="auto"/>
        <w:jc w:val="center"/>
        <w:rPr>
          <w:b/>
          <w:sz w:val="22"/>
          <w:szCs w:val="22"/>
        </w:rPr>
      </w:pPr>
      <w:r w:rsidRPr="005F259F">
        <w:rPr>
          <w:rFonts w:eastAsia="Times New Roman"/>
          <w:b/>
          <w:bCs/>
          <w:color w:val="365F91"/>
          <w:sz w:val="22"/>
          <w:szCs w:val="22"/>
        </w:rPr>
        <w:t>Technical Development Advice</w:t>
      </w:r>
    </w:p>
    <w:p w14:paraId="07B0D54D" w14:textId="77777777" w:rsidR="00C63EBB" w:rsidRPr="005F259F" w:rsidRDefault="00C63EBB" w:rsidP="00C63EBB">
      <w:pPr>
        <w:rPr>
          <w:sz w:val="22"/>
          <w:szCs w:val="22"/>
        </w:rPr>
      </w:pPr>
    </w:p>
    <w:p w14:paraId="25F3A0FF" w14:textId="77777777" w:rsidR="00C63EBB" w:rsidRPr="005F259F" w:rsidRDefault="00C63EBB" w:rsidP="00C63EBB">
      <w:pPr>
        <w:rPr>
          <w:sz w:val="22"/>
          <w:szCs w:val="22"/>
        </w:rPr>
      </w:pPr>
    </w:p>
    <w:p w14:paraId="0E742F0E" w14:textId="77777777" w:rsidR="00C63EBB" w:rsidRPr="005F259F" w:rsidRDefault="00C63EBB" w:rsidP="00C63EBB">
      <w:pPr>
        <w:rPr>
          <w:sz w:val="22"/>
          <w:szCs w:val="22"/>
        </w:rPr>
      </w:pPr>
    </w:p>
    <w:p w14:paraId="1A3DEC74" w14:textId="77777777" w:rsidR="00C63EBB" w:rsidRPr="005F259F" w:rsidRDefault="00C63EBB" w:rsidP="00C63EBB">
      <w:pPr>
        <w:rPr>
          <w:sz w:val="22"/>
          <w:szCs w:val="22"/>
        </w:rPr>
      </w:pPr>
    </w:p>
    <w:p w14:paraId="54A4D2BD" w14:textId="77777777" w:rsidR="00C63EBB" w:rsidRPr="005F259F" w:rsidRDefault="00C63EBB" w:rsidP="00C63EBB">
      <w:pPr>
        <w:rPr>
          <w:sz w:val="22"/>
          <w:szCs w:val="22"/>
        </w:rPr>
      </w:pPr>
    </w:p>
    <w:p w14:paraId="52358A21" w14:textId="77777777" w:rsidR="00C63EBB" w:rsidRPr="005F259F" w:rsidRDefault="00C63EBB" w:rsidP="00C63EBB">
      <w:pPr>
        <w:rPr>
          <w:sz w:val="22"/>
          <w:szCs w:val="22"/>
        </w:rPr>
      </w:pPr>
    </w:p>
    <w:p w14:paraId="6B00FC49" w14:textId="77777777" w:rsidR="00C63EBB" w:rsidRPr="005F259F" w:rsidRDefault="00C63EBB" w:rsidP="00C63EBB">
      <w:pPr>
        <w:rPr>
          <w:sz w:val="22"/>
          <w:szCs w:val="22"/>
        </w:rPr>
      </w:pPr>
    </w:p>
    <w:p w14:paraId="1FDB76BB" w14:textId="77777777" w:rsidR="00C63EBB" w:rsidRPr="005F259F" w:rsidRDefault="00C63EBB" w:rsidP="00C63EBB">
      <w:pPr>
        <w:rPr>
          <w:sz w:val="22"/>
          <w:szCs w:val="22"/>
        </w:rPr>
      </w:pPr>
    </w:p>
    <w:p w14:paraId="4166A14D" w14:textId="77777777" w:rsidR="00C63EBB" w:rsidRPr="005F259F" w:rsidRDefault="00C63EBB" w:rsidP="00C63EBB">
      <w:pPr>
        <w:rPr>
          <w:sz w:val="22"/>
          <w:szCs w:val="22"/>
        </w:rPr>
      </w:pPr>
    </w:p>
    <w:p w14:paraId="6E2213A2" w14:textId="080E0496" w:rsidR="00C63EBB" w:rsidRPr="005F259F" w:rsidRDefault="00C63EBB">
      <w:pPr>
        <w:rPr>
          <w:rStyle w:val="Strong"/>
          <w:rFonts w:eastAsiaTheme="majorEastAsia" w:cs="Calibri"/>
          <w:kern w:val="0"/>
          <w:sz w:val="22"/>
          <w:szCs w:val="22"/>
          <w:lang w:eastAsia="en-IE"/>
          <w14:ligatures w14:val="none"/>
        </w:rPr>
      </w:pPr>
      <w:r w:rsidRPr="005F259F">
        <w:rPr>
          <w:rStyle w:val="Strong"/>
          <w:rFonts w:eastAsiaTheme="majorEastAsia" w:cs="Calibri"/>
          <w:kern w:val="0"/>
          <w:sz w:val="22"/>
          <w:szCs w:val="22"/>
          <w:lang w:eastAsia="en-IE"/>
          <w14:ligatures w14:val="none"/>
        </w:rPr>
        <w:br w:type="page"/>
      </w:r>
    </w:p>
    <w:p w14:paraId="1CD298C1" w14:textId="77777777" w:rsidR="00C63EBB" w:rsidRPr="005F259F" w:rsidRDefault="00C63EBB">
      <w:pPr>
        <w:rPr>
          <w:rStyle w:val="Strong"/>
          <w:rFonts w:eastAsiaTheme="majorEastAsia" w:cs="Calibri"/>
          <w:kern w:val="0"/>
          <w:sz w:val="22"/>
          <w:szCs w:val="22"/>
          <w:lang w:eastAsia="en-IE"/>
          <w14:ligatures w14:val="none"/>
        </w:rPr>
      </w:pPr>
    </w:p>
    <w:p w14:paraId="0EFF8FE4" w14:textId="115B142F" w:rsidR="009D65BA" w:rsidRPr="005F259F" w:rsidRDefault="00576AE9"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 xml:space="preserve">1. </w:t>
      </w:r>
      <w:r w:rsidR="009D65BA" w:rsidRPr="005F259F">
        <w:rPr>
          <w:rStyle w:val="Strong"/>
          <w:rFonts w:asciiTheme="minorHAnsi" w:eastAsiaTheme="majorEastAsia" w:hAnsiTheme="minorHAnsi" w:cs="Calibri"/>
          <w:sz w:val="22"/>
          <w:szCs w:val="22"/>
        </w:rPr>
        <w:t>Naked Objects Framework and the competency lists</w:t>
      </w:r>
      <w:r w:rsidR="009D65BA" w:rsidRPr="005F259F">
        <w:rPr>
          <w:rFonts w:asciiTheme="minorHAnsi" w:hAnsiTheme="minorHAnsi" w:cs="Calibri"/>
          <w:sz w:val="22"/>
          <w:szCs w:val="22"/>
        </w:rPr>
        <w:t> </w:t>
      </w:r>
    </w:p>
    <w:p w14:paraId="7D3FD50C"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Appendix 1 states that all competencies listed in Section 3.10 are critical and that "failure to provide such details will result in disqualification." The Lot 2 resource requirements, however, refer to knowledge of "the majority" of the requirements. Please confirm:</w:t>
      </w:r>
    </w:p>
    <w:p w14:paraId="14DD288B" w14:textId="76038BE9" w:rsidR="009D65BA" w:rsidRPr="005F259F" w:rsidRDefault="009D65BA" w:rsidP="00044733">
      <w:pPr>
        <w:pStyle w:val="NormalWeb"/>
        <w:numPr>
          <w:ilvl w:val="0"/>
          <w:numId w:val="10"/>
        </w:numPr>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whether a proposed resource must evidence </w:t>
      </w:r>
      <w:r w:rsidRPr="005F259F">
        <w:rPr>
          <w:rStyle w:val="Emphasis"/>
          <w:rFonts w:asciiTheme="minorHAnsi" w:eastAsiaTheme="majorEastAsia" w:hAnsiTheme="minorHAnsi" w:cs="Calibri"/>
          <w:sz w:val="22"/>
          <w:szCs w:val="22"/>
        </w:rPr>
        <w:t>every</w:t>
      </w:r>
      <w:r w:rsidRPr="005F259F">
        <w:rPr>
          <w:rFonts w:asciiTheme="minorHAnsi" w:hAnsiTheme="minorHAnsi" w:cs="Calibri"/>
          <w:sz w:val="22"/>
          <w:szCs w:val="22"/>
        </w:rPr>
        <w:t xml:space="preserve"> listed competency, including Naked Objects Framework, to avoid disqualification, or whether competencies are scored under Award Criterion </w:t>
      </w:r>
      <w:proofErr w:type="gramStart"/>
      <w:r w:rsidRPr="005F259F">
        <w:rPr>
          <w:rFonts w:asciiTheme="minorHAnsi" w:hAnsiTheme="minorHAnsi" w:cs="Calibri"/>
          <w:sz w:val="22"/>
          <w:szCs w:val="22"/>
        </w:rPr>
        <w:t>2;</w:t>
      </w:r>
      <w:proofErr w:type="gramEnd"/>
    </w:p>
    <w:p w14:paraId="5699CE74" w14:textId="4AC9B1A5" w:rsidR="00FF2BDE" w:rsidRPr="005F259F" w:rsidRDefault="00FF2BDE" w:rsidP="00044733">
      <w:pPr>
        <w:pStyle w:val="NormalWeb"/>
        <w:numPr>
          <w:ilvl w:val="0"/>
          <w:numId w:val="10"/>
        </w:numPr>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if every competency is mandatory, whether equivalent experience with comparable .NET domain-modelling frameworks will be accepted in place of direct Naked Objects Framework experience.</w:t>
      </w:r>
    </w:p>
    <w:p w14:paraId="1F8DA468" w14:textId="56C2708A" w:rsidR="004F5E29" w:rsidRPr="005F259F" w:rsidRDefault="004F5E29" w:rsidP="00044733">
      <w:pPr>
        <w:spacing w:after="0" w:line="360" w:lineRule="auto"/>
        <w:rPr>
          <w:rFonts w:eastAsia="Times New Roman" w:cs="Calibri"/>
          <w:color w:val="156082" w:themeColor="accent1"/>
          <w:kern w:val="0"/>
          <w:sz w:val="22"/>
          <w:szCs w:val="22"/>
          <w:lang w:eastAsia="en-IE"/>
          <w14:ligatures w14:val="none"/>
        </w:rPr>
      </w:pPr>
      <w:r w:rsidRPr="005F259F">
        <w:rPr>
          <w:rFonts w:eastAsia="Times New Roman" w:cs="Calibri"/>
          <w:b/>
          <w:bCs/>
          <w:color w:val="156082" w:themeColor="accent1"/>
          <w:kern w:val="0"/>
          <w:sz w:val="22"/>
          <w:szCs w:val="22"/>
          <w:lang w:eastAsia="en-IE"/>
          <w14:ligatures w14:val="none"/>
        </w:rPr>
        <w:t>Answer:</w:t>
      </w:r>
      <w:r w:rsidRPr="005F259F">
        <w:rPr>
          <w:rFonts w:eastAsia="Times New Roman" w:cs="Calibri"/>
          <w:color w:val="156082" w:themeColor="accent1"/>
          <w:kern w:val="0"/>
          <w:sz w:val="22"/>
          <w:szCs w:val="22"/>
          <w:lang w:eastAsia="en-IE"/>
          <w14:ligatures w14:val="none"/>
        </w:rPr>
        <w:t xml:space="preserve"> </w:t>
      </w:r>
    </w:p>
    <w:p w14:paraId="213440E5" w14:textId="77777777" w:rsidR="00FF2BDE" w:rsidRPr="005F259F" w:rsidRDefault="00FF2BDE" w:rsidP="00044733">
      <w:pPr>
        <w:pStyle w:val="ListParagraph"/>
        <w:numPr>
          <w:ilvl w:val="0"/>
          <w:numId w:val="9"/>
        </w:numPr>
        <w:spacing w:line="360" w:lineRule="auto"/>
        <w:rPr>
          <w:i/>
          <w:iCs/>
          <w:color w:val="156082" w:themeColor="accent1"/>
          <w:sz w:val="22"/>
          <w:szCs w:val="22"/>
        </w:rPr>
      </w:pPr>
      <w:r w:rsidRPr="005F259F">
        <w:rPr>
          <w:i/>
          <w:iCs/>
          <w:color w:val="156082" w:themeColor="accent1"/>
          <w:sz w:val="22"/>
          <w:szCs w:val="22"/>
        </w:rPr>
        <w:t xml:space="preserve">Proposed resources must evidence every listed competency for both Lot 1 and Lot 2. The reference to </w:t>
      </w:r>
      <w:proofErr w:type="gramStart"/>
      <w:r w:rsidRPr="005F259F">
        <w:rPr>
          <w:i/>
          <w:iCs/>
          <w:color w:val="156082" w:themeColor="accent1"/>
          <w:sz w:val="22"/>
          <w:szCs w:val="22"/>
        </w:rPr>
        <w:t>the “majority” of</w:t>
      </w:r>
      <w:proofErr w:type="gramEnd"/>
      <w:r w:rsidRPr="005F259F">
        <w:rPr>
          <w:i/>
          <w:iCs/>
          <w:color w:val="156082" w:themeColor="accent1"/>
          <w:sz w:val="22"/>
          <w:szCs w:val="22"/>
        </w:rPr>
        <w:t xml:space="preserve"> the requirement is an error. A modified version of the RFT has been uploaded to </w:t>
      </w:r>
      <w:proofErr w:type="spellStart"/>
      <w:r w:rsidRPr="005F259F">
        <w:rPr>
          <w:i/>
          <w:iCs/>
          <w:color w:val="156082" w:themeColor="accent1"/>
          <w:sz w:val="22"/>
          <w:szCs w:val="22"/>
        </w:rPr>
        <w:t>eTenders</w:t>
      </w:r>
      <w:proofErr w:type="spellEnd"/>
      <w:r w:rsidRPr="005F259F">
        <w:rPr>
          <w:i/>
          <w:iCs/>
          <w:color w:val="156082" w:themeColor="accent1"/>
          <w:sz w:val="22"/>
          <w:szCs w:val="22"/>
        </w:rPr>
        <w:t xml:space="preserve">. </w:t>
      </w:r>
    </w:p>
    <w:p w14:paraId="2D883E14" w14:textId="0B9D293A" w:rsidR="00FF2BDE" w:rsidRDefault="00FF2BDE" w:rsidP="00044733">
      <w:pPr>
        <w:pStyle w:val="ListParagraph"/>
        <w:numPr>
          <w:ilvl w:val="0"/>
          <w:numId w:val="9"/>
        </w:numPr>
        <w:spacing w:line="360" w:lineRule="auto"/>
        <w:rPr>
          <w:i/>
          <w:iCs/>
          <w:color w:val="156082" w:themeColor="accent1"/>
          <w:sz w:val="22"/>
          <w:szCs w:val="22"/>
        </w:rPr>
      </w:pPr>
      <w:r w:rsidRPr="00F26084">
        <w:rPr>
          <w:i/>
          <w:iCs/>
          <w:color w:val="156082" w:themeColor="accent1"/>
          <w:sz w:val="22"/>
          <w:szCs w:val="22"/>
        </w:rPr>
        <w:t>Equivalent experience with comparable .NET domain-modelling frameworks is not acceptable. Direct experience of the Naked Objects framework is a mandatory requirement.</w:t>
      </w:r>
    </w:p>
    <w:p w14:paraId="3013EB78" w14:textId="6BD5B99C" w:rsidR="00FF2BDE" w:rsidRPr="005F259F" w:rsidRDefault="00FF2BDE" w:rsidP="00044733">
      <w:pPr>
        <w:pStyle w:val="ListParagraph"/>
        <w:spacing w:after="0" w:line="360" w:lineRule="auto"/>
        <w:rPr>
          <w:rFonts w:eastAsia="Times New Roman" w:cs="Calibri"/>
          <w:kern w:val="0"/>
          <w:sz w:val="22"/>
          <w:szCs w:val="22"/>
          <w:lang w:eastAsia="en-IE"/>
          <w14:ligatures w14:val="none"/>
        </w:rPr>
      </w:pPr>
    </w:p>
    <w:p w14:paraId="7422EC42"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2. Where off-site work can be done</w:t>
      </w:r>
    </w:p>
    <w:p w14:paraId="15403DA9" w14:textId="77777777" w:rsidR="004F5E29"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xml:space="preserve">Appendix 1, Section 4 provides for blended working with on-site attendance "as required." Please indicate </w:t>
      </w:r>
    </w:p>
    <w:p w14:paraId="1C90B6E7" w14:textId="77777777" w:rsidR="004F5E29"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(a) the expected frequency of on-site attendance at DSP Headquarters for each Lot, and</w:t>
      </w:r>
    </w:p>
    <w:p w14:paraId="2B0B8D78" w14:textId="77777777" w:rsidR="00FF2BDE" w:rsidRPr="005F259F" w:rsidRDefault="004F5E29" w:rsidP="00044733">
      <w:pPr>
        <w:spacing w:line="360" w:lineRule="auto"/>
        <w:rPr>
          <w:i/>
          <w:iCs/>
          <w:color w:val="156082" w:themeColor="accent1"/>
          <w:sz w:val="22"/>
          <w:szCs w:val="22"/>
        </w:rPr>
      </w:pPr>
      <w:r w:rsidRPr="005F259F">
        <w:rPr>
          <w:rFonts w:cs="Calibri"/>
          <w:b/>
          <w:bCs/>
          <w:color w:val="156082" w:themeColor="accent1"/>
          <w:sz w:val="22"/>
          <w:szCs w:val="22"/>
        </w:rPr>
        <w:t>Answer:</w:t>
      </w:r>
      <w:r w:rsidRPr="005F259F">
        <w:rPr>
          <w:rFonts w:cs="Calibri"/>
          <w:color w:val="156082" w:themeColor="accent1"/>
          <w:sz w:val="22"/>
          <w:szCs w:val="22"/>
        </w:rPr>
        <w:t xml:space="preserve"> </w:t>
      </w:r>
      <w:r w:rsidR="00FF2BDE" w:rsidRPr="005F259F">
        <w:rPr>
          <w:i/>
          <w:iCs/>
          <w:color w:val="156082" w:themeColor="accent1"/>
          <w:sz w:val="22"/>
          <w:szCs w:val="22"/>
        </w:rPr>
        <w:t xml:space="preserve">The expected frequency </w:t>
      </w:r>
      <w:proofErr w:type="gramStart"/>
      <w:r w:rsidR="00FF2BDE" w:rsidRPr="005F259F">
        <w:rPr>
          <w:i/>
          <w:iCs/>
          <w:color w:val="156082" w:themeColor="accent1"/>
          <w:sz w:val="22"/>
          <w:szCs w:val="22"/>
        </w:rPr>
        <w:t>of  on</w:t>
      </w:r>
      <w:proofErr w:type="gramEnd"/>
      <w:r w:rsidR="00FF2BDE" w:rsidRPr="005F259F">
        <w:rPr>
          <w:i/>
          <w:iCs/>
          <w:color w:val="156082" w:themeColor="accent1"/>
          <w:sz w:val="22"/>
          <w:szCs w:val="22"/>
        </w:rPr>
        <w:t xml:space="preserve">-site attendance at DSP is at minimum 2 days per month for Lot 1. The expected frequency </w:t>
      </w:r>
      <w:proofErr w:type="gramStart"/>
      <w:r w:rsidR="00FF2BDE" w:rsidRPr="005F259F">
        <w:rPr>
          <w:i/>
          <w:iCs/>
          <w:color w:val="156082" w:themeColor="accent1"/>
          <w:sz w:val="22"/>
          <w:szCs w:val="22"/>
        </w:rPr>
        <w:t>of  on</w:t>
      </w:r>
      <w:proofErr w:type="gramEnd"/>
      <w:r w:rsidR="00FF2BDE" w:rsidRPr="005F259F">
        <w:rPr>
          <w:i/>
          <w:iCs/>
          <w:color w:val="156082" w:themeColor="accent1"/>
          <w:sz w:val="22"/>
          <w:szCs w:val="22"/>
        </w:rPr>
        <w:t xml:space="preserve">-site attendance at DSP is at minimum 4 days per month for Lot 2. </w:t>
      </w:r>
    </w:p>
    <w:p w14:paraId="70628DE4" w14:textId="753EF268" w:rsidR="00FF2BDE" w:rsidRPr="005F259F" w:rsidRDefault="00FF2BDE" w:rsidP="00044733">
      <w:pPr>
        <w:spacing w:line="360" w:lineRule="auto"/>
        <w:rPr>
          <w:i/>
          <w:iCs/>
          <w:color w:val="156082" w:themeColor="accent1"/>
          <w:sz w:val="22"/>
          <w:szCs w:val="22"/>
        </w:rPr>
      </w:pPr>
      <w:r w:rsidRPr="005F259F">
        <w:rPr>
          <w:i/>
          <w:iCs/>
          <w:color w:val="156082" w:themeColor="accent1"/>
          <w:sz w:val="22"/>
          <w:szCs w:val="22"/>
        </w:rPr>
        <w:t xml:space="preserve"> However additional attendance may be required subject to Department requirements. </w:t>
      </w:r>
    </w:p>
    <w:p w14:paraId="2F47254C" w14:textId="0FEA47DC" w:rsidR="004F5E29" w:rsidRPr="005F259F" w:rsidRDefault="004F5E29" w:rsidP="00044733">
      <w:pPr>
        <w:pStyle w:val="NormalWeb"/>
        <w:shd w:val="clear" w:color="auto" w:fill="FFFFFF"/>
        <w:spacing w:before="0" w:beforeAutospacing="0" w:line="360" w:lineRule="auto"/>
        <w:rPr>
          <w:rFonts w:asciiTheme="minorHAnsi" w:hAnsiTheme="minorHAnsi" w:cs="Calibri"/>
          <w:sz w:val="22"/>
          <w:szCs w:val="22"/>
        </w:rPr>
      </w:pPr>
    </w:p>
    <w:p w14:paraId="7A160CE4" w14:textId="77777777" w:rsidR="004F5E29" w:rsidRPr="00CC73C1" w:rsidRDefault="004F5E29" w:rsidP="00044733">
      <w:pPr>
        <w:pStyle w:val="NormalWeb"/>
        <w:shd w:val="clear" w:color="auto" w:fill="FFFFFF"/>
        <w:spacing w:before="0" w:beforeAutospacing="0" w:line="360" w:lineRule="auto"/>
        <w:rPr>
          <w:rFonts w:asciiTheme="minorHAnsi" w:hAnsiTheme="minorHAnsi" w:cs="Calibri"/>
          <w:sz w:val="22"/>
          <w:szCs w:val="22"/>
        </w:rPr>
      </w:pPr>
      <w:r w:rsidRPr="00CC73C1">
        <w:rPr>
          <w:rFonts w:asciiTheme="minorHAnsi" w:hAnsiTheme="minorHAnsi" w:cs="Calibri"/>
          <w:sz w:val="22"/>
          <w:szCs w:val="22"/>
        </w:rPr>
        <w:lastRenderedPageBreak/>
        <w:t>(b) whether off-site work may be performed from outside Ireland, within the EU/EEA, subject to the Department's security and ICT Acceptable Use requirements.</w:t>
      </w:r>
    </w:p>
    <w:p w14:paraId="46F121EB" w14:textId="0E3AF533" w:rsidR="00FF2BDE" w:rsidRPr="005F259F" w:rsidRDefault="004F5E29" w:rsidP="00044733">
      <w:pPr>
        <w:spacing w:line="360" w:lineRule="auto"/>
        <w:rPr>
          <w:i/>
          <w:iCs/>
          <w:color w:val="156082" w:themeColor="accent1"/>
          <w:sz w:val="22"/>
          <w:szCs w:val="22"/>
        </w:rPr>
      </w:pPr>
      <w:r w:rsidRPr="005F259F">
        <w:rPr>
          <w:rFonts w:cs="Calibri"/>
          <w:b/>
          <w:bCs/>
          <w:color w:val="156082" w:themeColor="accent1"/>
          <w:sz w:val="22"/>
          <w:szCs w:val="22"/>
        </w:rPr>
        <w:t>Answer:</w:t>
      </w:r>
      <w:r w:rsidRPr="005F259F">
        <w:rPr>
          <w:rFonts w:cs="Calibri"/>
          <w:color w:val="156082" w:themeColor="accent1"/>
          <w:sz w:val="22"/>
          <w:szCs w:val="22"/>
        </w:rPr>
        <w:t xml:space="preserve"> </w:t>
      </w:r>
      <w:r w:rsidR="00FF2BDE" w:rsidRPr="005F259F">
        <w:rPr>
          <w:i/>
          <w:iCs/>
          <w:color w:val="156082" w:themeColor="accent1"/>
          <w:sz w:val="22"/>
          <w:szCs w:val="22"/>
        </w:rPr>
        <w:t>Off-site work may be performed from outside of Ireland, within the EU/EEA and the UK subject to the Department's security and ICT Acceptable Use requirements. Off-site work outside these locations is not permitted under this procurement.</w:t>
      </w:r>
    </w:p>
    <w:p w14:paraId="2405B804" w14:textId="77777777" w:rsidR="00044733" w:rsidRPr="005F259F" w:rsidRDefault="00044733" w:rsidP="00044733">
      <w:pPr>
        <w:pStyle w:val="NormalWeb"/>
        <w:shd w:val="clear" w:color="auto" w:fill="FFFFFF"/>
        <w:spacing w:before="0" w:beforeAutospacing="0" w:line="360" w:lineRule="auto"/>
        <w:rPr>
          <w:rStyle w:val="Strong"/>
          <w:rFonts w:asciiTheme="minorHAnsi" w:eastAsiaTheme="majorEastAsia" w:hAnsiTheme="minorHAnsi" w:cs="Calibri"/>
          <w:sz w:val="22"/>
          <w:szCs w:val="22"/>
        </w:rPr>
      </w:pPr>
    </w:p>
    <w:p w14:paraId="6423139C" w14:textId="0E5312D2"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3. Named resources employed by a subcontractor</w:t>
      </w:r>
    </w:p>
    <w:p w14:paraId="1BE1F510" w14:textId="0399110D" w:rsidR="004F5E29"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Please confirm that a named resource proposed under either Lot may be employed by a subcontractor to the Tenderer (the Prime Contractor), provided that a separate ESPD and a resource undertaking are submitted for the subcontractor in line with Part 3.1 and paragraph 3.2.B.2.</w:t>
      </w:r>
    </w:p>
    <w:p w14:paraId="6C560317" w14:textId="1757B34D" w:rsidR="00FF2BDE" w:rsidRPr="005F259F" w:rsidRDefault="00EA4FCA" w:rsidP="00044733">
      <w:pPr>
        <w:spacing w:line="360" w:lineRule="auto"/>
        <w:rPr>
          <w:i/>
          <w:iCs/>
          <w:color w:val="156082" w:themeColor="accent1"/>
          <w:sz w:val="22"/>
          <w:szCs w:val="22"/>
        </w:rPr>
      </w:pPr>
      <w:r w:rsidRPr="005F259F">
        <w:rPr>
          <w:i/>
          <w:iCs/>
          <w:color w:val="156082" w:themeColor="accent1"/>
          <w:sz w:val="22"/>
          <w:szCs w:val="22"/>
        </w:rPr>
        <w:t xml:space="preserve">Answer: </w:t>
      </w:r>
      <w:r w:rsidR="00FF2BDE" w:rsidRPr="005F259F">
        <w:rPr>
          <w:i/>
          <w:iCs/>
          <w:color w:val="156082" w:themeColor="accent1"/>
          <w:sz w:val="22"/>
          <w:szCs w:val="22"/>
        </w:rPr>
        <w:t xml:space="preserve">Yes. A named resource proposed under either Lot may be employed </w:t>
      </w:r>
      <w:r w:rsidR="00FF2BDE" w:rsidRPr="005F259F">
        <w:rPr>
          <w:b/>
          <w:bCs/>
          <w:i/>
          <w:iCs/>
          <w:color w:val="156082" w:themeColor="accent1"/>
          <w:sz w:val="22"/>
          <w:szCs w:val="22"/>
          <w:u w:val="single"/>
        </w:rPr>
        <w:t>as</w:t>
      </w:r>
      <w:r w:rsidR="00FF2BDE" w:rsidRPr="005F259F">
        <w:rPr>
          <w:i/>
          <w:iCs/>
          <w:color w:val="156082" w:themeColor="accent1"/>
          <w:sz w:val="22"/>
          <w:szCs w:val="22"/>
        </w:rPr>
        <w:t xml:space="preserve"> a subcontractor to the Tenderer (the Prime Contractor), provided that a separate ESPD and a resource undertaking are submitted for the subcontractor in line with </w:t>
      </w:r>
      <w:r w:rsidR="00FF2BDE" w:rsidRPr="000B3450">
        <w:rPr>
          <w:i/>
          <w:iCs/>
          <w:color w:val="156082" w:themeColor="accent1"/>
          <w:sz w:val="22"/>
          <w:szCs w:val="22"/>
        </w:rPr>
        <w:t>Part 3.1 and paragraph 3.2.B.2.</w:t>
      </w:r>
    </w:p>
    <w:p w14:paraId="2CEBC7A0" w14:textId="77777777" w:rsidR="00FF2BDE" w:rsidRPr="005F259F" w:rsidRDefault="00FF2BDE" w:rsidP="00044733">
      <w:pPr>
        <w:pStyle w:val="NormalWeb"/>
        <w:shd w:val="clear" w:color="auto" w:fill="FFFFFF"/>
        <w:spacing w:before="0" w:beforeAutospacing="0" w:line="360" w:lineRule="auto"/>
        <w:rPr>
          <w:rFonts w:asciiTheme="minorHAnsi" w:hAnsiTheme="minorHAnsi" w:cs="Calibri"/>
          <w:sz w:val="22"/>
          <w:szCs w:val="22"/>
        </w:rPr>
      </w:pPr>
    </w:p>
    <w:p w14:paraId="0E1C7AB9"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4. The second Lot 2 resource</w:t>
      </w:r>
    </w:p>
    <w:p w14:paraId="40199C10" w14:textId="77777777" w:rsidR="00BA7BE0"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xml:space="preserve">Appendix 1 states that if the maximum days are required, "a second senior development drawdown resource of equal calibre and cost will be required." Please confirm </w:t>
      </w:r>
    </w:p>
    <w:p w14:paraId="24E061DA" w14:textId="3C1D0C3D" w:rsidR="00BA7BE0" w:rsidRPr="005F259F" w:rsidRDefault="002127F2"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xml:space="preserve">(a) </w:t>
      </w:r>
      <w:r w:rsidR="009D65BA" w:rsidRPr="005F259F">
        <w:rPr>
          <w:rFonts w:asciiTheme="minorHAnsi" w:hAnsiTheme="minorHAnsi" w:cs="Calibri"/>
          <w:sz w:val="22"/>
          <w:szCs w:val="22"/>
        </w:rPr>
        <w:t xml:space="preserve">whether a CV for this second resource must be submitted with the Tender, </w:t>
      </w:r>
    </w:p>
    <w:p w14:paraId="1B969357" w14:textId="23D8E669" w:rsidR="008A0922" w:rsidRPr="00706585" w:rsidRDefault="00BA7BE0" w:rsidP="00044733">
      <w:pPr>
        <w:spacing w:line="360" w:lineRule="auto"/>
        <w:rPr>
          <w:rFonts w:eastAsia="Times New Roman" w:cs="Calibri"/>
          <w:i/>
          <w:iCs/>
          <w:color w:val="156082" w:themeColor="accent1"/>
          <w:kern w:val="0"/>
          <w:sz w:val="22"/>
          <w:szCs w:val="22"/>
          <w:lang w:eastAsia="en-IE"/>
          <w14:ligatures w14:val="none"/>
        </w:rPr>
      </w:pPr>
      <w:r w:rsidRPr="00706585">
        <w:rPr>
          <w:rFonts w:cs="Calibri"/>
          <w:b/>
          <w:bCs/>
          <w:i/>
          <w:iCs/>
          <w:color w:val="156082" w:themeColor="accent1"/>
          <w:sz w:val="22"/>
          <w:szCs w:val="22"/>
        </w:rPr>
        <w:t>Answer:</w:t>
      </w:r>
      <w:r w:rsidRPr="00706585">
        <w:rPr>
          <w:rFonts w:cs="Calibri"/>
          <w:i/>
          <w:iCs/>
          <w:color w:val="156082" w:themeColor="accent1"/>
          <w:sz w:val="22"/>
          <w:szCs w:val="22"/>
        </w:rPr>
        <w:t xml:space="preserve"> </w:t>
      </w:r>
      <w:r w:rsidR="00BD2314" w:rsidRPr="00706585">
        <w:rPr>
          <w:rFonts w:cs="Calibri"/>
          <w:i/>
          <w:iCs/>
          <w:color w:val="156082" w:themeColor="accent1"/>
          <w:sz w:val="22"/>
          <w:szCs w:val="22"/>
        </w:rPr>
        <w:t>No, i</w:t>
      </w:r>
      <w:r w:rsidR="008A0922" w:rsidRPr="00706585">
        <w:rPr>
          <w:rFonts w:eastAsia="Times New Roman" w:cs="Calibri"/>
          <w:i/>
          <w:iCs/>
          <w:color w:val="156082" w:themeColor="accent1"/>
          <w:kern w:val="0"/>
          <w:sz w:val="22"/>
          <w:szCs w:val="22"/>
          <w:lang w:eastAsia="en-IE"/>
          <w14:ligatures w14:val="none"/>
        </w:rPr>
        <w:t xml:space="preserve">f an additional resource is required during the </w:t>
      </w:r>
      <w:r w:rsidR="00581FDA" w:rsidRPr="00706585">
        <w:rPr>
          <w:rFonts w:eastAsia="Times New Roman" w:cs="Calibri"/>
          <w:i/>
          <w:iCs/>
          <w:color w:val="156082" w:themeColor="accent1"/>
          <w:kern w:val="0"/>
          <w:sz w:val="22"/>
          <w:szCs w:val="22"/>
          <w:lang w:eastAsia="en-IE"/>
          <w14:ligatures w14:val="none"/>
        </w:rPr>
        <w:t xml:space="preserve">term of the </w:t>
      </w:r>
      <w:r w:rsidR="008A0922" w:rsidRPr="00706585">
        <w:rPr>
          <w:rFonts w:eastAsia="Times New Roman" w:cs="Calibri"/>
          <w:i/>
          <w:iCs/>
          <w:color w:val="156082" w:themeColor="accent1"/>
          <w:kern w:val="0"/>
          <w:sz w:val="22"/>
          <w:szCs w:val="22"/>
          <w:lang w:eastAsia="en-IE"/>
          <w14:ligatures w14:val="none"/>
        </w:rPr>
        <w:t xml:space="preserve">contract, a CV will need to be submitted to the Department/contract manager for review. </w:t>
      </w:r>
    </w:p>
    <w:p w14:paraId="01288BC5" w14:textId="77777777" w:rsidR="00725BA8" w:rsidRDefault="00725BA8" w:rsidP="00044733">
      <w:pPr>
        <w:pStyle w:val="NormalWeb"/>
        <w:shd w:val="clear" w:color="auto" w:fill="FFFFFF"/>
        <w:spacing w:before="0" w:beforeAutospacing="0" w:line="360" w:lineRule="auto"/>
        <w:rPr>
          <w:rFonts w:asciiTheme="minorHAnsi" w:hAnsiTheme="minorHAnsi" w:cs="Calibri"/>
          <w:sz w:val="22"/>
          <w:szCs w:val="22"/>
        </w:rPr>
      </w:pPr>
    </w:p>
    <w:p w14:paraId="35165C5A" w14:textId="41A20F0F" w:rsidR="00BA7BE0"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xml:space="preserve">(b) whether it will be evaluated under Award Criterion 2, and </w:t>
      </w:r>
    </w:p>
    <w:p w14:paraId="376A1427" w14:textId="682596B4" w:rsidR="00B92C3D" w:rsidRPr="00725BA8" w:rsidRDefault="00B92C3D" w:rsidP="00044733">
      <w:pPr>
        <w:spacing w:line="360" w:lineRule="auto"/>
        <w:rPr>
          <w:rFonts w:eastAsia="Times New Roman" w:cs="Calibri"/>
          <w:i/>
          <w:iCs/>
          <w:color w:val="156082" w:themeColor="accent1"/>
          <w:kern w:val="0"/>
          <w:sz w:val="22"/>
          <w:szCs w:val="22"/>
          <w:lang w:eastAsia="en-IE"/>
          <w14:ligatures w14:val="none"/>
        </w:rPr>
      </w:pPr>
      <w:r w:rsidRPr="00725BA8">
        <w:rPr>
          <w:rFonts w:cs="Calibri"/>
          <w:b/>
          <w:bCs/>
          <w:i/>
          <w:iCs/>
          <w:color w:val="156082" w:themeColor="accent1"/>
          <w:sz w:val="22"/>
          <w:szCs w:val="22"/>
        </w:rPr>
        <w:t xml:space="preserve">Answer: </w:t>
      </w:r>
      <w:r w:rsidR="005A2735" w:rsidRPr="00725BA8">
        <w:rPr>
          <w:rFonts w:eastAsia="Times New Roman" w:cs="Calibri"/>
          <w:i/>
          <w:iCs/>
          <w:color w:val="156082" w:themeColor="accent1"/>
          <w:kern w:val="0"/>
          <w:sz w:val="22"/>
          <w:szCs w:val="22"/>
          <w:lang w:eastAsia="en-IE"/>
          <w14:ligatures w14:val="none"/>
        </w:rPr>
        <w:t>No, see answer to 4(a) above</w:t>
      </w:r>
      <w:r w:rsidR="002A025A" w:rsidRPr="00725BA8">
        <w:rPr>
          <w:rFonts w:eastAsia="Times New Roman" w:cs="Calibri"/>
          <w:i/>
          <w:iCs/>
          <w:color w:val="156082" w:themeColor="accent1"/>
          <w:kern w:val="0"/>
          <w:sz w:val="22"/>
          <w:szCs w:val="22"/>
          <w:lang w:eastAsia="en-IE"/>
          <w14:ligatures w14:val="none"/>
        </w:rPr>
        <w:t>.</w:t>
      </w:r>
    </w:p>
    <w:p w14:paraId="2CAB45D0" w14:textId="77777777" w:rsidR="00725BA8" w:rsidRDefault="00725BA8" w:rsidP="00044733">
      <w:pPr>
        <w:pStyle w:val="NormalWeb"/>
        <w:shd w:val="clear" w:color="auto" w:fill="FFFFFF"/>
        <w:spacing w:before="0" w:beforeAutospacing="0" w:line="360" w:lineRule="auto"/>
        <w:rPr>
          <w:rFonts w:asciiTheme="minorHAnsi" w:hAnsiTheme="minorHAnsi" w:cs="Calibri"/>
          <w:sz w:val="22"/>
          <w:szCs w:val="22"/>
        </w:rPr>
      </w:pPr>
    </w:p>
    <w:p w14:paraId="759CD276" w14:textId="4379A492"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lastRenderedPageBreak/>
        <w:t>(c) that it is priced at the same daily rate as the primary resource.</w:t>
      </w:r>
    </w:p>
    <w:p w14:paraId="026CA968" w14:textId="0FAF5216" w:rsidR="00EE7553" w:rsidRPr="005F259F" w:rsidRDefault="00EE7553" w:rsidP="00044733">
      <w:pPr>
        <w:spacing w:after="0" w:line="360" w:lineRule="auto"/>
        <w:rPr>
          <w:rFonts w:eastAsia="Times New Roman" w:cs="Calibri"/>
          <w:color w:val="156082" w:themeColor="accent1"/>
          <w:kern w:val="0"/>
          <w:sz w:val="22"/>
          <w:szCs w:val="22"/>
          <w:lang w:eastAsia="en-IE"/>
          <w14:ligatures w14:val="none"/>
        </w:rPr>
      </w:pPr>
      <w:r w:rsidRPr="005F259F">
        <w:rPr>
          <w:rFonts w:eastAsia="Times New Roman" w:cs="Calibri"/>
          <w:b/>
          <w:bCs/>
          <w:color w:val="156082" w:themeColor="accent1"/>
          <w:kern w:val="0"/>
          <w:sz w:val="22"/>
          <w:szCs w:val="22"/>
          <w:lang w:eastAsia="en-IE"/>
          <w14:ligatures w14:val="none"/>
        </w:rPr>
        <w:t>Answer:</w:t>
      </w:r>
      <w:r w:rsidRPr="005F259F">
        <w:rPr>
          <w:rFonts w:eastAsia="Times New Roman" w:cs="Calibri"/>
          <w:color w:val="156082" w:themeColor="accent1"/>
          <w:kern w:val="0"/>
          <w:sz w:val="22"/>
          <w:szCs w:val="22"/>
          <w:lang w:eastAsia="en-IE"/>
          <w14:ligatures w14:val="none"/>
        </w:rPr>
        <w:t xml:space="preserve"> Yes. </w:t>
      </w:r>
    </w:p>
    <w:p w14:paraId="5312A111" w14:textId="77777777" w:rsidR="00713134" w:rsidRPr="005F259F" w:rsidRDefault="00713134" w:rsidP="00044733">
      <w:pPr>
        <w:spacing w:after="0" w:line="360" w:lineRule="auto"/>
        <w:rPr>
          <w:rFonts w:eastAsia="Times New Roman" w:cs="Calibri"/>
          <w:kern w:val="0"/>
          <w:sz w:val="22"/>
          <w:szCs w:val="22"/>
          <w:lang w:eastAsia="en-IE"/>
          <w14:ligatures w14:val="none"/>
        </w:rPr>
      </w:pPr>
    </w:p>
    <w:p w14:paraId="1C42EF1B"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5. Travel and subsistence</w:t>
      </w:r>
    </w:p>
    <w:p w14:paraId="4EDBAA8F" w14:textId="048104EA"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Paragraph 2.10 and Appendix 2 paragraph 3(</w:t>
      </w:r>
      <w:proofErr w:type="spellStart"/>
      <w:r w:rsidRPr="005F259F">
        <w:rPr>
          <w:rFonts w:asciiTheme="minorHAnsi" w:hAnsiTheme="minorHAnsi" w:cs="Calibri"/>
          <w:sz w:val="22"/>
          <w:szCs w:val="22"/>
        </w:rPr>
        <w:t>i</w:t>
      </w:r>
      <w:proofErr w:type="spellEnd"/>
      <w:r w:rsidRPr="005F259F">
        <w:rPr>
          <w:rFonts w:asciiTheme="minorHAnsi" w:hAnsiTheme="minorHAnsi" w:cs="Calibri"/>
          <w:sz w:val="22"/>
          <w:szCs w:val="22"/>
        </w:rPr>
        <w:t xml:space="preserve">) say the fixed price must include all travel and subsistence costs. The same paragraph also says unavoidable travel costs "must be reasonable and adequately vouched" and should not exceed Civil Service rates. Please clarify whether travel and subsistence must be fully included in the daily </w:t>
      </w:r>
      <w:r w:rsidR="004F5E29" w:rsidRPr="005F259F">
        <w:rPr>
          <w:rFonts w:asciiTheme="minorHAnsi" w:hAnsiTheme="minorHAnsi" w:cs="Calibri"/>
          <w:sz w:val="22"/>
          <w:szCs w:val="22"/>
        </w:rPr>
        <w:t>rate or</w:t>
      </w:r>
      <w:r w:rsidRPr="005F259F">
        <w:rPr>
          <w:rFonts w:asciiTheme="minorHAnsi" w:hAnsiTheme="minorHAnsi" w:cs="Calibri"/>
          <w:sz w:val="22"/>
          <w:szCs w:val="22"/>
        </w:rPr>
        <w:t xml:space="preserve"> may be claimed separately at Civil Service rates.</w:t>
      </w:r>
    </w:p>
    <w:p w14:paraId="6F5F0825" w14:textId="495C99A8" w:rsidR="00686DD8" w:rsidRPr="000D1882" w:rsidRDefault="00D05D63" w:rsidP="004816BB">
      <w:pPr>
        <w:spacing w:after="0" w:line="360" w:lineRule="auto"/>
        <w:rPr>
          <w:i/>
          <w:iCs/>
          <w:color w:val="156082" w:themeColor="accent1"/>
          <w:sz w:val="22"/>
          <w:szCs w:val="22"/>
        </w:rPr>
      </w:pPr>
      <w:r w:rsidRPr="000D1882">
        <w:rPr>
          <w:rFonts w:eastAsia="Times New Roman" w:cs="Calibri"/>
          <w:b/>
          <w:bCs/>
          <w:i/>
          <w:iCs/>
          <w:color w:val="156082" w:themeColor="accent1"/>
          <w:kern w:val="0"/>
          <w:sz w:val="22"/>
          <w:szCs w:val="22"/>
          <w:lang w:eastAsia="en-IE"/>
          <w14:ligatures w14:val="none"/>
        </w:rPr>
        <w:t>Answer:</w:t>
      </w:r>
      <w:r w:rsidRPr="000D1882">
        <w:rPr>
          <w:rFonts w:eastAsia="Times New Roman" w:cs="Calibri"/>
          <w:i/>
          <w:iCs/>
          <w:color w:val="156082" w:themeColor="accent1"/>
          <w:kern w:val="0"/>
          <w:sz w:val="22"/>
          <w:szCs w:val="22"/>
          <w:lang w:eastAsia="en-IE"/>
          <w14:ligatures w14:val="none"/>
        </w:rPr>
        <w:t xml:space="preserve"> </w:t>
      </w:r>
      <w:r w:rsidR="00686DD8" w:rsidRPr="000D1882">
        <w:rPr>
          <w:i/>
          <w:iCs/>
          <w:color w:val="156082" w:themeColor="accent1"/>
          <w:sz w:val="22"/>
          <w:szCs w:val="22"/>
        </w:rPr>
        <w:t>Travel and subsistence must be fully included in the daily rate.</w:t>
      </w:r>
      <w:r w:rsidR="003E6563" w:rsidRPr="000D1882">
        <w:rPr>
          <w:i/>
          <w:iCs/>
          <w:color w:val="156082" w:themeColor="accent1"/>
          <w:sz w:val="22"/>
          <w:szCs w:val="22"/>
        </w:rPr>
        <w:t xml:space="preserve"> See updated RFT section </w:t>
      </w:r>
      <w:r w:rsidR="009518E5" w:rsidRPr="000D1882">
        <w:rPr>
          <w:i/>
          <w:iCs/>
          <w:color w:val="156082" w:themeColor="accent1"/>
          <w:sz w:val="22"/>
          <w:szCs w:val="22"/>
        </w:rPr>
        <w:t xml:space="preserve">Appendix 2 - </w:t>
      </w:r>
      <w:r w:rsidR="00201B69">
        <w:rPr>
          <w:i/>
          <w:iCs/>
          <w:color w:val="156082" w:themeColor="accent1"/>
          <w:sz w:val="22"/>
          <w:szCs w:val="22"/>
        </w:rPr>
        <w:t>3</w:t>
      </w:r>
      <w:r w:rsidR="003E6563" w:rsidRPr="000D1882">
        <w:rPr>
          <w:i/>
          <w:iCs/>
          <w:color w:val="156082" w:themeColor="accent1"/>
          <w:sz w:val="22"/>
          <w:szCs w:val="22"/>
        </w:rPr>
        <w:t>(</w:t>
      </w:r>
      <w:proofErr w:type="spellStart"/>
      <w:r w:rsidR="00201B69">
        <w:rPr>
          <w:i/>
          <w:iCs/>
          <w:color w:val="156082" w:themeColor="accent1"/>
          <w:sz w:val="22"/>
          <w:szCs w:val="22"/>
        </w:rPr>
        <w:t>i</w:t>
      </w:r>
      <w:proofErr w:type="spellEnd"/>
      <w:r w:rsidR="003E6563" w:rsidRPr="000D1882">
        <w:rPr>
          <w:i/>
          <w:iCs/>
          <w:color w:val="156082" w:themeColor="accent1"/>
          <w:sz w:val="22"/>
          <w:szCs w:val="22"/>
        </w:rPr>
        <w:t>).</w:t>
      </w:r>
      <w:r w:rsidR="00686DD8" w:rsidRPr="000D1882">
        <w:rPr>
          <w:i/>
          <w:iCs/>
          <w:color w:val="156082" w:themeColor="accent1"/>
          <w:sz w:val="22"/>
          <w:szCs w:val="22"/>
        </w:rPr>
        <w:t xml:space="preserve">  </w:t>
      </w:r>
      <w:r w:rsidR="003E6563" w:rsidRPr="000D1882">
        <w:rPr>
          <w:rFonts w:eastAsia="Times New Roman" w:cs="Calibri"/>
          <w:i/>
          <w:iCs/>
          <w:color w:val="156082" w:themeColor="accent1"/>
          <w:kern w:val="0"/>
          <w:sz w:val="22"/>
          <w:szCs w:val="22"/>
          <w:lang w:eastAsia="en-IE"/>
          <w14:ligatures w14:val="none"/>
        </w:rPr>
        <w:t>All travel and subsistence costs associated with the delivery of the services or any other contract related engagement are deemed to be included within the tendered fixed price and are not separately claimable.</w:t>
      </w:r>
    </w:p>
    <w:p w14:paraId="6E565A36" w14:textId="77777777" w:rsidR="00576AE9" w:rsidRPr="005F259F" w:rsidRDefault="00576AE9" w:rsidP="00044733">
      <w:pPr>
        <w:pStyle w:val="NormalWeb"/>
        <w:shd w:val="clear" w:color="auto" w:fill="FFFFFF"/>
        <w:spacing w:before="0" w:beforeAutospacing="0" w:line="360" w:lineRule="auto"/>
        <w:rPr>
          <w:rStyle w:val="Strong"/>
          <w:rFonts w:asciiTheme="minorHAnsi" w:eastAsiaTheme="majorEastAsia" w:hAnsiTheme="minorHAnsi" w:cs="Calibri"/>
          <w:sz w:val="22"/>
          <w:szCs w:val="22"/>
        </w:rPr>
      </w:pPr>
    </w:p>
    <w:p w14:paraId="5C2B224A" w14:textId="70866179"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6. Reference contracts</w:t>
      </w:r>
    </w:p>
    <w:p w14:paraId="7DCF51C3" w14:textId="6F485802"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xml:space="preserve">For the Reference Contracts at paragraph 3.2.B1, please confirm (a) the minimum number of contracts required per Lot, and (b) whether contracts delivered by a subcontractor on whose capacity the Tenderer relies </w:t>
      </w:r>
      <w:r w:rsidR="007549FE" w:rsidRPr="005F259F">
        <w:rPr>
          <w:rFonts w:asciiTheme="minorHAnsi" w:hAnsiTheme="minorHAnsi" w:cs="Calibri"/>
          <w:sz w:val="22"/>
          <w:szCs w:val="22"/>
        </w:rPr>
        <w:t xml:space="preserve">on </w:t>
      </w:r>
      <w:r w:rsidRPr="005F259F">
        <w:rPr>
          <w:rFonts w:asciiTheme="minorHAnsi" w:hAnsiTheme="minorHAnsi" w:cs="Calibri"/>
          <w:sz w:val="22"/>
          <w:szCs w:val="22"/>
        </w:rPr>
        <w:t>may be used.</w:t>
      </w:r>
    </w:p>
    <w:p w14:paraId="776F34BF" w14:textId="3B59A037" w:rsidR="00D05D63" w:rsidRPr="000D1882" w:rsidRDefault="00D05D63" w:rsidP="00044733">
      <w:pPr>
        <w:pStyle w:val="ListParagraph"/>
        <w:numPr>
          <w:ilvl w:val="0"/>
          <w:numId w:val="3"/>
        </w:numPr>
        <w:spacing w:after="0" w:line="360" w:lineRule="auto"/>
        <w:rPr>
          <w:rFonts w:eastAsia="Times New Roman" w:cs="Calibri"/>
          <w:i/>
          <w:iCs/>
          <w:color w:val="156082" w:themeColor="accent1"/>
          <w:kern w:val="0"/>
          <w:sz w:val="22"/>
          <w:szCs w:val="22"/>
          <w:lang w:eastAsia="en-IE"/>
          <w14:ligatures w14:val="none"/>
        </w:rPr>
      </w:pPr>
      <w:r w:rsidRPr="000D1882">
        <w:rPr>
          <w:rFonts w:eastAsia="Times New Roman" w:cs="Calibri"/>
          <w:b/>
          <w:bCs/>
          <w:i/>
          <w:iCs/>
          <w:color w:val="156082" w:themeColor="accent1"/>
          <w:kern w:val="0"/>
          <w:sz w:val="22"/>
          <w:szCs w:val="22"/>
          <w:lang w:eastAsia="en-IE"/>
          <w14:ligatures w14:val="none"/>
        </w:rPr>
        <w:t>Answer:</w:t>
      </w:r>
      <w:r w:rsidRPr="000D1882">
        <w:rPr>
          <w:rFonts w:eastAsia="Times New Roman" w:cs="Calibri"/>
          <w:i/>
          <w:iCs/>
          <w:color w:val="156082" w:themeColor="accent1"/>
          <w:kern w:val="0"/>
          <w:sz w:val="22"/>
          <w:szCs w:val="22"/>
          <w:lang w:eastAsia="en-IE"/>
          <w14:ligatures w14:val="none"/>
        </w:rPr>
        <w:t xml:space="preserve"> The RFT requests details of key contracts undertaken over the previous three years but does not specify a minimum number.</w:t>
      </w:r>
    </w:p>
    <w:p w14:paraId="5F84FF14" w14:textId="0592060B" w:rsidR="00D05D63" w:rsidRPr="00CA13D2" w:rsidRDefault="00851681" w:rsidP="00044733">
      <w:pPr>
        <w:spacing w:after="0" w:line="360" w:lineRule="auto"/>
        <w:ind w:firstLine="360"/>
        <w:rPr>
          <w:rFonts w:eastAsia="Times New Roman" w:cs="Calibri"/>
          <w:color w:val="156082" w:themeColor="accent1"/>
          <w:kern w:val="0"/>
          <w:sz w:val="22"/>
          <w:szCs w:val="22"/>
          <w:lang w:eastAsia="en-IE"/>
          <w14:ligatures w14:val="none"/>
        </w:rPr>
      </w:pPr>
      <w:r w:rsidRPr="00CA13D2">
        <w:rPr>
          <w:rFonts w:eastAsia="Times New Roman" w:cs="Calibri"/>
          <w:color w:val="156082" w:themeColor="accent1"/>
          <w:kern w:val="0"/>
          <w:sz w:val="22"/>
          <w:szCs w:val="22"/>
          <w:lang w:eastAsia="en-IE"/>
          <w14:ligatures w14:val="none"/>
        </w:rPr>
        <w:t xml:space="preserve">The minimum number of contracts per Lot is 2 – see </w:t>
      </w:r>
      <w:r w:rsidR="007B4816" w:rsidRPr="00CA13D2">
        <w:rPr>
          <w:rFonts w:eastAsia="Times New Roman" w:cs="Calibri"/>
          <w:color w:val="156082" w:themeColor="accent1"/>
          <w:kern w:val="0"/>
          <w:sz w:val="22"/>
          <w:szCs w:val="22"/>
          <w:lang w:eastAsia="en-IE"/>
          <w14:ligatures w14:val="none"/>
        </w:rPr>
        <w:t>updated RFT section 3.2.B.1</w:t>
      </w:r>
    </w:p>
    <w:p w14:paraId="27EBABC2" w14:textId="77777777" w:rsidR="00EB39DF" w:rsidRPr="005F259F" w:rsidRDefault="00EB39DF" w:rsidP="00EB39DF">
      <w:pPr>
        <w:spacing w:after="0" w:line="360" w:lineRule="auto"/>
        <w:rPr>
          <w:rFonts w:cs="Calibri"/>
          <w:sz w:val="22"/>
          <w:szCs w:val="22"/>
        </w:rPr>
      </w:pPr>
    </w:p>
    <w:p w14:paraId="18784D08" w14:textId="7DA46CB7" w:rsidR="00EB39DF" w:rsidRPr="005F259F" w:rsidRDefault="00EB39DF" w:rsidP="00EB39DF">
      <w:pPr>
        <w:spacing w:after="0" w:line="360" w:lineRule="auto"/>
        <w:rPr>
          <w:rFonts w:eastAsia="Times New Roman" w:cs="Calibri"/>
          <w:b/>
          <w:bCs/>
          <w:color w:val="156082" w:themeColor="accent1"/>
          <w:kern w:val="0"/>
          <w:sz w:val="22"/>
          <w:szCs w:val="22"/>
          <w:lang w:eastAsia="en-IE"/>
          <w14:ligatures w14:val="none"/>
        </w:rPr>
      </w:pPr>
      <w:r w:rsidRPr="005F259F">
        <w:rPr>
          <w:rFonts w:cs="Calibri"/>
          <w:sz w:val="22"/>
          <w:szCs w:val="22"/>
        </w:rPr>
        <w:t>(b) whether contracts delivered by a subcontractor on whose capacity the Tenderer relies on may be used.</w:t>
      </w:r>
    </w:p>
    <w:p w14:paraId="193E4A0A" w14:textId="0732C209" w:rsidR="00D05D63" w:rsidRPr="000D1882" w:rsidRDefault="00D05D63" w:rsidP="00044733">
      <w:pPr>
        <w:pStyle w:val="ListParagraph"/>
        <w:numPr>
          <w:ilvl w:val="0"/>
          <w:numId w:val="3"/>
        </w:numPr>
        <w:spacing w:after="0" w:line="360" w:lineRule="auto"/>
        <w:rPr>
          <w:rFonts w:eastAsia="Times New Roman" w:cs="Calibri"/>
          <w:i/>
          <w:iCs/>
          <w:color w:val="156082" w:themeColor="accent1"/>
          <w:kern w:val="0"/>
          <w:sz w:val="22"/>
          <w:szCs w:val="22"/>
          <w:lang w:eastAsia="en-IE"/>
          <w14:ligatures w14:val="none"/>
        </w:rPr>
      </w:pPr>
      <w:r w:rsidRPr="000D1882">
        <w:rPr>
          <w:rFonts w:eastAsia="Times New Roman" w:cs="Calibri"/>
          <w:b/>
          <w:bCs/>
          <w:i/>
          <w:iCs/>
          <w:color w:val="156082" w:themeColor="accent1"/>
          <w:kern w:val="0"/>
          <w:sz w:val="22"/>
          <w:szCs w:val="22"/>
          <w:lang w:eastAsia="en-IE"/>
          <w14:ligatures w14:val="none"/>
        </w:rPr>
        <w:t>Answer:</w:t>
      </w:r>
      <w:r w:rsidRPr="000D1882">
        <w:rPr>
          <w:rFonts w:eastAsia="Times New Roman" w:cs="Calibri"/>
          <w:i/>
          <w:iCs/>
          <w:color w:val="156082" w:themeColor="accent1"/>
          <w:kern w:val="0"/>
          <w:sz w:val="22"/>
          <w:szCs w:val="22"/>
          <w:lang w:eastAsia="en-IE"/>
          <w14:ligatures w14:val="none"/>
        </w:rPr>
        <w:t xml:space="preserve"> Yes. </w:t>
      </w:r>
    </w:p>
    <w:p w14:paraId="1A591C3B" w14:textId="77777777" w:rsidR="00576AE9" w:rsidRPr="005F259F" w:rsidRDefault="00576AE9" w:rsidP="00044733">
      <w:pPr>
        <w:pStyle w:val="ListParagraph"/>
        <w:spacing w:after="0" w:line="360" w:lineRule="auto"/>
        <w:rPr>
          <w:rFonts w:eastAsia="Times New Roman" w:cs="Calibri"/>
          <w:kern w:val="0"/>
          <w:sz w:val="22"/>
          <w:szCs w:val="22"/>
          <w:lang w:eastAsia="en-IE"/>
          <w14:ligatures w14:val="none"/>
        </w:rPr>
      </w:pPr>
    </w:p>
    <w:p w14:paraId="183D26CC" w14:textId="77777777" w:rsidR="00EB39DF" w:rsidRPr="005F259F" w:rsidRDefault="00EB39DF">
      <w:pPr>
        <w:rPr>
          <w:rStyle w:val="Strong"/>
          <w:rFonts w:eastAsiaTheme="majorEastAsia" w:cs="Calibri"/>
          <w:kern w:val="0"/>
          <w:sz w:val="22"/>
          <w:szCs w:val="22"/>
          <w:lang w:eastAsia="en-IE"/>
          <w14:ligatures w14:val="none"/>
        </w:rPr>
      </w:pPr>
      <w:r w:rsidRPr="005F259F">
        <w:rPr>
          <w:rStyle w:val="Strong"/>
          <w:rFonts w:eastAsiaTheme="majorEastAsia" w:cs="Calibri"/>
          <w:sz w:val="22"/>
          <w:szCs w:val="22"/>
        </w:rPr>
        <w:br w:type="page"/>
      </w:r>
    </w:p>
    <w:p w14:paraId="1580A0BA" w14:textId="1728EDF2"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lastRenderedPageBreak/>
        <w:t>7. Invoicing basis</w:t>
      </w:r>
    </w:p>
    <w:p w14:paraId="02A2AEDB"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Paragraph 3.7.1 refers to payment "on the satisfactory completion of key deliverables," while paragraph 3.7.3 refers to monthly invoicing in arrears. Please confirm that invoicing will be monthly in arrears for days worked at the contracted daily rate.</w:t>
      </w:r>
    </w:p>
    <w:p w14:paraId="6B65519E" w14:textId="77777777" w:rsidR="0071640F" w:rsidRPr="005F259F" w:rsidRDefault="00D05D63" w:rsidP="00044733">
      <w:pPr>
        <w:pStyle w:val="NormalWeb"/>
        <w:shd w:val="clear" w:color="auto" w:fill="FFFFFF"/>
        <w:spacing w:before="0" w:beforeAutospacing="0" w:line="360" w:lineRule="auto"/>
        <w:rPr>
          <w:rFonts w:asciiTheme="minorHAnsi" w:hAnsiTheme="minorHAnsi" w:cs="Calibri"/>
          <w:color w:val="156082" w:themeColor="accent1"/>
          <w:sz w:val="22"/>
          <w:szCs w:val="22"/>
        </w:rPr>
      </w:pPr>
      <w:r w:rsidRPr="000D1882">
        <w:rPr>
          <w:rFonts w:asciiTheme="minorHAnsi" w:hAnsiTheme="minorHAnsi" w:cs="Calibri"/>
          <w:b/>
          <w:bCs/>
          <w:i/>
          <w:iCs/>
          <w:color w:val="156082" w:themeColor="accent1"/>
          <w:sz w:val="22"/>
          <w:szCs w:val="22"/>
        </w:rPr>
        <w:t>Answer:</w:t>
      </w:r>
      <w:r w:rsidRPr="000D1882">
        <w:rPr>
          <w:rFonts w:asciiTheme="minorHAnsi" w:hAnsiTheme="minorHAnsi" w:cs="Calibri"/>
          <w:i/>
          <w:iCs/>
          <w:color w:val="156082" w:themeColor="accent1"/>
          <w:sz w:val="22"/>
          <w:szCs w:val="22"/>
        </w:rPr>
        <w:t xml:space="preserve"> </w:t>
      </w:r>
      <w:r w:rsidR="00634EB0" w:rsidRPr="000D1882">
        <w:rPr>
          <w:rFonts w:asciiTheme="minorHAnsi" w:hAnsiTheme="minorHAnsi" w:cs="Calibri"/>
          <w:i/>
          <w:iCs/>
          <w:color w:val="156082" w:themeColor="accent1"/>
          <w:sz w:val="22"/>
          <w:szCs w:val="22"/>
        </w:rPr>
        <w:t xml:space="preserve">Yes, </w:t>
      </w:r>
      <w:r w:rsidR="0071640F" w:rsidRPr="000D1882">
        <w:rPr>
          <w:rFonts w:asciiTheme="minorHAnsi" w:hAnsiTheme="minorHAnsi" w:cs="Calibri"/>
          <w:i/>
          <w:iCs/>
          <w:color w:val="156082" w:themeColor="accent1"/>
          <w:sz w:val="22"/>
          <w:szCs w:val="22"/>
        </w:rPr>
        <w:t>invoicing will be monthly in arrears for days worked at the contracted daily rate</w:t>
      </w:r>
      <w:r w:rsidR="0071640F" w:rsidRPr="005F259F">
        <w:rPr>
          <w:rFonts w:asciiTheme="minorHAnsi" w:hAnsiTheme="minorHAnsi" w:cs="Calibri"/>
          <w:color w:val="156082" w:themeColor="accent1"/>
          <w:sz w:val="22"/>
          <w:szCs w:val="22"/>
        </w:rPr>
        <w:t>.</w:t>
      </w:r>
    </w:p>
    <w:p w14:paraId="361AAC46"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Style w:val="Strong"/>
          <w:rFonts w:asciiTheme="minorHAnsi" w:eastAsiaTheme="majorEastAsia" w:hAnsiTheme="minorHAnsi" w:cs="Calibri"/>
          <w:sz w:val="22"/>
          <w:szCs w:val="22"/>
        </w:rPr>
        <w:t>8. Cyber insurance</w:t>
      </w:r>
    </w:p>
    <w:p w14:paraId="384FD36C"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Please confirm that the €5 million cyber insurance in paragraph 2.21.1 is required only from the Effective Date of the Services Contract, and not at tender submission. Please also confirm whether the limit is per claim or in the aggregate.</w:t>
      </w:r>
    </w:p>
    <w:p w14:paraId="647F1640" w14:textId="054EEB3A" w:rsidR="00BA1A9B" w:rsidRPr="005F259F" w:rsidRDefault="00A9113B" w:rsidP="00517841">
      <w:pPr>
        <w:spacing w:line="360" w:lineRule="auto"/>
        <w:rPr>
          <w:i/>
          <w:iCs/>
          <w:color w:val="156082" w:themeColor="accent1"/>
          <w:sz w:val="22"/>
          <w:szCs w:val="22"/>
        </w:rPr>
      </w:pPr>
      <w:r>
        <w:rPr>
          <w:rFonts w:cs="Calibri"/>
          <w:b/>
          <w:bCs/>
          <w:color w:val="156082" w:themeColor="accent1"/>
          <w:sz w:val="22"/>
          <w:szCs w:val="22"/>
        </w:rPr>
        <w:t xml:space="preserve">(a) </w:t>
      </w:r>
      <w:r w:rsidR="00FA3A4D" w:rsidRPr="005F259F">
        <w:rPr>
          <w:rFonts w:cs="Calibri"/>
          <w:b/>
          <w:bCs/>
          <w:color w:val="156082" w:themeColor="accent1"/>
          <w:sz w:val="22"/>
          <w:szCs w:val="22"/>
        </w:rPr>
        <w:t>Answer:</w:t>
      </w:r>
      <w:r w:rsidR="00FA3A4D" w:rsidRPr="005F259F">
        <w:rPr>
          <w:rFonts w:cs="Calibri"/>
          <w:color w:val="156082" w:themeColor="accent1"/>
          <w:sz w:val="22"/>
          <w:szCs w:val="22"/>
        </w:rPr>
        <w:t xml:space="preserve"> </w:t>
      </w:r>
      <w:r w:rsidR="00BA1A9B" w:rsidRPr="005F259F">
        <w:rPr>
          <w:i/>
          <w:iCs/>
          <w:color w:val="156082" w:themeColor="accent1"/>
          <w:sz w:val="22"/>
          <w:szCs w:val="22"/>
        </w:rPr>
        <w:t xml:space="preserve">Yes. Cyber insurance in paragraph 2.21.1 is required only from the Effective Date of the Services Contract. </w:t>
      </w:r>
    </w:p>
    <w:p w14:paraId="77556BDE" w14:textId="7451758E" w:rsidR="00517841" w:rsidRPr="005F259F" w:rsidRDefault="00517841" w:rsidP="00517841">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Please also confirm whether the limit is per claim or in the aggregate.</w:t>
      </w:r>
    </w:p>
    <w:p w14:paraId="6B3A4966" w14:textId="55A965A5" w:rsidR="00FA3A4D" w:rsidRPr="00CA13D2" w:rsidRDefault="00FA3A4D" w:rsidP="00E65CF3">
      <w:pPr>
        <w:pStyle w:val="ListParagraph"/>
        <w:numPr>
          <w:ilvl w:val="0"/>
          <w:numId w:val="11"/>
        </w:numPr>
        <w:spacing w:line="360" w:lineRule="auto"/>
        <w:rPr>
          <w:rFonts w:eastAsia="Times New Roman" w:cs="Calibri"/>
          <w:color w:val="156082" w:themeColor="accent1"/>
          <w:kern w:val="0"/>
          <w:sz w:val="22"/>
          <w:szCs w:val="22"/>
          <w:lang w:eastAsia="en-IE"/>
          <w14:ligatures w14:val="none"/>
        </w:rPr>
      </w:pPr>
      <w:r w:rsidRPr="005F259F">
        <w:rPr>
          <w:rFonts w:cs="Calibri"/>
          <w:b/>
          <w:bCs/>
          <w:color w:val="156082" w:themeColor="accent1"/>
          <w:sz w:val="22"/>
          <w:szCs w:val="22"/>
        </w:rPr>
        <w:t>Answer:</w:t>
      </w:r>
      <w:r w:rsidRPr="005F259F">
        <w:rPr>
          <w:rFonts w:eastAsia="Times New Roman" w:cs="Calibri"/>
          <w:color w:val="156082" w:themeColor="accent1"/>
          <w:kern w:val="0"/>
          <w:sz w:val="22"/>
          <w:szCs w:val="22"/>
          <w:lang w:eastAsia="en-IE"/>
          <w14:ligatures w14:val="none"/>
        </w:rPr>
        <w:t xml:space="preserve"> </w:t>
      </w:r>
      <w:r w:rsidR="000D190E" w:rsidRPr="005F259F">
        <w:rPr>
          <w:rFonts w:eastAsia="Times New Roman" w:cs="Calibri"/>
          <w:color w:val="156082" w:themeColor="accent1"/>
          <w:kern w:val="0"/>
          <w:sz w:val="22"/>
          <w:szCs w:val="22"/>
          <w:lang w:eastAsia="en-IE"/>
          <w14:ligatures w14:val="none"/>
        </w:rPr>
        <w:t>Confirmed, th</w:t>
      </w:r>
      <w:r w:rsidR="000D190E" w:rsidRPr="005F259F">
        <w:rPr>
          <w:i/>
          <w:iCs/>
          <w:color w:val="156082" w:themeColor="accent1"/>
          <w:sz w:val="22"/>
          <w:szCs w:val="22"/>
        </w:rPr>
        <w:t>e limit is in the aggregate</w:t>
      </w:r>
      <w:r w:rsidR="00A9113B">
        <w:rPr>
          <w:i/>
          <w:iCs/>
          <w:color w:val="156082" w:themeColor="accent1"/>
          <w:sz w:val="22"/>
          <w:szCs w:val="22"/>
        </w:rPr>
        <w:t xml:space="preserve"> </w:t>
      </w:r>
      <w:r w:rsidR="00A9113B" w:rsidRPr="00CA13D2">
        <w:rPr>
          <w:i/>
          <w:iCs/>
          <w:color w:val="156082" w:themeColor="accent1"/>
          <w:sz w:val="22"/>
          <w:szCs w:val="22"/>
        </w:rPr>
        <w:t>per year</w:t>
      </w:r>
      <w:r w:rsidR="000D190E" w:rsidRPr="00CA13D2">
        <w:rPr>
          <w:i/>
          <w:iCs/>
          <w:color w:val="156082" w:themeColor="accent1"/>
          <w:sz w:val="22"/>
          <w:szCs w:val="22"/>
        </w:rPr>
        <w:t>.</w:t>
      </w:r>
    </w:p>
    <w:p w14:paraId="696EA67B" w14:textId="77777777" w:rsidR="009D65BA" w:rsidRPr="005F259F" w:rsidRDefault="009D65BA" w:rsidP="00044733">
      <w:pPr>
        <w:pStyle w:val="NormalWeb"/>
        <w:shd w:val="clear" w:color="auto" w:fill="FFFFFF"/>
        <w:spacing w:before="0" w:beforeAutospacing="0" w:line="360" w:lineRule="auto"/>
        <w:rPr>
          <w:rStyle w:val="Strong"/>
          <w:rFonts w:asciiTheme="minorHAnsi" w:eastAsiaTheme="majorEastAsia" w:hAnsiTheme="minorHAnsi" w:cs="Calibri"/>
          <w:sz w:val="22"/>
          <w:szCs w:val="22"/>
        </w:rPr>
      </w:pPr>
      <w:r w:rsidRPr="005F259F">
        <w:rPr>
          <w:rStyle w:val="Strong"/>
          <w:rFonts w:asciiTheme="minorHAnsi" w:eastAsiaTheme="majorEastAsia" w:hAnsiTheme="minorHAnsi" w:cs="Calibri"/>
          <w:sz w:val="22"/>
          <w:szCs w:val="22"/>
        </w:rPr>
        <w:t>9. Word counts and commencement</w:t>
      </w:r>
    </w:p>
    <w:p w14:paraId="54F5AB20" w14:textId="77777777" w:rsidR="009D65BA" w:rsidRPr="005F259F" w:rsidRDefault="009D65BA"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Please confirm (a) that no word or page limits apply to the Award Criterion 3 responses in Appendices 15 and 16, and (b) the anticipated commencement date for each contract.</w:t>
      </w:r>
    </w:p>
    <w:p w14:paraId="76083AEA" w14:textId="0C0CBA4D" w:rsidR="00FA3A4D" w:rsidRPr="000D1882" w:rsidRDefault="00FA3A4D" w:rsidP="00044733">
      <w:pPr>
        <w:pStyle w:val="ListParagraph"/>
        <w:numPr>
          <w:ilvl w:val="0"/>
          <w:numId w:val="5"/>
        </w:numPr>
        <w:spacing w:after="0" w:line="360" w:lineRule="auto"/>
        <w:rPr>
          <w:rFonts w:eastAsia="Times New Roman" w:cs="Calibri"/>
          <w:i/>
          <w:iCs/>
          <w:color w:val="156082" w:themeColor="accent1"/>
          <w:kern w:val="0"/>
          <w:sz w:val="22"/>
          <w:szCs w:val="22"/>
          <w:lang w:eastAsia="en-IE"/>
          <w14:ligatures w14:val="none"/>
        </w:rPr>
      </w:pPr>
      <w:r w:rsidRPr="000D1882">
        <w:rPr>
          <w:rFonts w:eastAsia="Times New Roman" w:cs="Calibri"/>
          <w:b/>
          <w:bCs/>
          <w:i/>
          <w:iCs/>
          <w:color w:val="156082" w:themeColor="accent1"/>
          <w:kern w:val="0"/>
          <w:sz w:val="22"/>
          <w:szCs w:val="22"/>
          <w:lang w:eastAsia="en-IE"/>
          <w14:ligatures w14:val="none"/>
        </w:rPr>
        <w:t>Answer:</w:t>
      </w:r>
      <w:r w:rsidRPr="000D1882">
        <w:rPr>
          <w:rFonts w:eastAsia="Times New Roman" w:cs="Calibri"/>
          <w:i/>
          <w:iCs/>
          <w:color w:val="156082" w:themeColor="accent1"/>
          <w:kern w:val="0"/>
          <w:sz w:val="22"/>
          <w:szCs w:val="22"/>
          <w:lang w:eastAsia="en-IE"/>
          <w14:ligatures w14:val="none"/>
        </w:rPr>
        <w:t xml:space="preserve"> No word or page limits are specified in Appendices 15 or 16. Tenderers are instructed to provide comprehensive but concise responses.</w:t>
      </w:r>
    </w:p>
    <w:p w14:paraId="3EBA1CB8" w14:textId="7B984F44" w:rsidR="00FA3A4D" w:rsidRPr="00A9113B" w:rsidRDefault="00BE5259" w:rsidP="00A9113B">
      <w:pPr>
        <w:pStyle w:val="ListParagraph"/>
        <w:numPr>
          <w:ilvl w:val="0"/>
          <w:numId w:val="5"/>
        </w:numPr>
        <w:spacing w:line="360" w:lineRule="auto"/>
        <w:rPr>
          <w:i/>
          <w:iCs/>
          <w:color w:val="156082" w:themeColor="accent1"/>
          <w:sz w:val="22"/>
          <w:szCs w:val="22"/>
        </w:rPr>
      </w:pPr>
      <w:r w:rsidRPr="005F259F">
        <w:rPr>
          <w:rFonts w:eastAsia="Times New Roman" w:cs="Calibri"/>
          <w:b/>
          <w:bCs/>
          <w:color w:val="156082" w:themeColor="accent1"/>
          <w:kern w:val="0"/>
          <w:sz w:val="22"/>
          <w:szCs w:val="22"/>
          <w:lang w:eastAsia="en-IE"/>
          <w14:ligatures w14:val="none"/>
        </w:rPr>
        <w:t>Answer:</w:t>
      </w:r>
      <w:r w:rsidRPr="005F259F">
        <w:rPr>
          <w:rFonts w:eastAsia="Times New Roman" w:cs="Calibri"/>
          <w:color w:val="156082" w:themeColor="accent1"/>
          <w:kern w:val="0"/>
          <w:sz w:val="22"/>
          <w:szCs w:val="22"/>
          <w:lang w:eastAsia="en-IE"/>
          <w14:ligatures w14:val="none"/>
        </w:rPr>
        <w:t xml:space="preserve"> </w:t>
      </w:r>
      <w:r w:rsidRPr="005F259F">
        <w:rPr>
          <w:i/>
          <w:iCs/>
          <w:color w:val="156082" w:themeColor="accent1"/>
          <w:sz w:val="22"/>
          <w:szCs w:val="22"/>
        </w:rPr>
        <w:t xml:space="preserve">The estimated commencement timeframe is mid-December </w:t>
      </w:r>
      <w:r w:rsidR="00CA13D2" w:rsidRPr="005F259F">
        <w:rPr>
          <w:i/>
          <w:iCs/>
          <w:color w:val="156082" w:themeColor="accent1"/>
          <w:sz w:val="22"/>
          <w:szCs w:val="22"/>
        </w:rPr>
        <w:t>2026 to</w:t>
      </w:r>
      <w:r w:rsidRPr="005F259F">
        <w:rPr>
          <w:i/>
          <w:iCs/>
          <w:color w:val="156082" w:themeColor="accent1"/>
          <w:sz w:val="22"/>
          <w:szCs w:val="22"/>
        </w:rPr>
        <w:t xml:space="preserve"> mid-January 2027 </w:t>
      </w:r>
    </w:p>
    <w:p w14:paraId="6035B828" w14:textId="77777777" w:rsidR="00D03CA7" w:rsidRPr="005F259F" w:rsidRDefault="00D03CA7" w:rsidP="00044733">
      <w:pPr>
        <w:spacing w:after="0" w:line="360" w:lineRule="auto"/>
        <w:rPr>
          <w:rFonts w:eastAsia="Times New Roman" w:cs="Calibri"/>
          <w:b/>
          <w:bCs/>
          <w:kern w:val="0"/>
          <w:sz w:val="22"/>
          <w:szCs w:val="22"/>
          <w:lang w:eastAsia="en-IE"/>
          <w14:ligatures w14:val="none"/>
        </w:rPr>
      </w:pPr>
    </w:p>
    <w:p w14:paraId="42470988" w14:textId="455A3110"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b/>
          <w:bCs/>
          <w:sz w:val="22"/>
          <w:szCs w:val="22"/>
        </w:rPr>
        <w:t>1</w:t>
      </w:r>
      <w:r w:rsidR="009F7EFB" w:rsidRPr="005F259F">
        <w:rPr>
          <w:rFonts w:asciiTheme="minorHAnsi" w:hAnsiTheme="minorHAnsi" w:cs="Calibri"/>
          <w:b/>
          <w:bCs/>
          <w:sz w:val="22"/>
          <w:szCs w:val="22"/>
        </w:rPr>
        <w:t>0</w:t>
      </w:r>
      <w:r w:rsidRPr="005F259F">
        <w:rPr>
          <w:rFonts w:asciiTheme="minorHAnsi" w:hAnsiTheme="minorHAnsi" w:cs="Calibri"/>
          <w:b/>
          <w:bCs/>
          <w:sz w:val="22"/>
          <w:szCs w:val="22"/>
        </w:rPr>
        <w:t>.</w:t>
      </w:r>
      <w:r w:rsidRPr="005F259F">
        <w:rPr>
          <w:rFonts w:asciiTheme="minorHAnsi" w:hAnsiTheme="minorHAnsi" w:cs="Calibri"/>
          <w:sz w:val="22"/>
          <w:szCs w:val="22"/>
        </w:rPr>
        <w:t xml:space="preserve"> </w:t>
      </w:r>
      <w:r w:rsidRPr="005F259F">
        <w:rPr>
          <w:rFonts w:asciiTheme="minorHAnsi" w:hAnsiTheme="minorHAnsi" w:cs="Calibri"/>
          <w:b/>
          <w:bCs/>
          <w:sz w:val="22"/>
          <w:szCs w:val="22"/>
        </w:rPr>
        <w:t>Part 3.2.B.1 states:</w:t>
      </w:r>
    </w:p>
    <w:p w14:paraId="3A4577DB"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For each Lot Tenderers must provide details of key contracts undertaken including contracts currently underway, whether in Ireland or internationally, over the past three (3) years that relate to the scope of activity describe at Appendix 1 2.7 below.</w:t>
      </w:r>
    </w:p>
    <w:p w14:paraId="1613D10C"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lastRenderedPageBreak/>
        <w:t>I don't see an obvious dedicated “Reference Contracts” response section in either the TRD (appendix 15/16) or the template for CV (appendix 17).</w:t>
      </w:r>
    </w:p>
    <w:p w14:paraId="11476D96"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How should this information be provided? As an additional section within the CV, or elsewhere?</w:t>
      </w:r>
    </w:p>
    <w:p w14:paraId="7547FFC7" w14:textId="4F35BEB9" w:rsidR="00D03CA7" w:rsidRPr="000D1882" w:rsidRDefault="00D03CA7" w:rsidP="00044733">
      <w:pPr>
        <w:spacing w:line="360" w:lineRule="auto"/>
        <w:rPr>
          <w:rFonts w:eastAsia="Times New Roman" w:cs="Calibri"/>
          <w:i/>
          <w:iCs/>
          <w:color w:val="156082" w:themeColor="accent1"/>
          <w:kern w:val="0"/>
          <w:sz w:val="22"/>
          <w:szCs w:val="22"/>
          <w:lang w:eastAsia="en-IE"/>
          <w14:ligatures w14:val="none"/>
        </w:rPr>
      </w:pPr>
      <w:r w:rsidRPr="000D1882">
        <w:rPr>
          <w:rFonts w:cs="Calibri"/>
          <w:b/>
          <w:bCs/>
          <w:i/>
          <w:iCs/>
          <w:color w:val="156082" w:themeColor="accent1"/>
          <w:sz w:val="22"/>
          <w:szCs w:val="22"/>
        </w:rPr>
        <w:t>Answer:</w:t>
      </w:r>
      <w:r w:rsidRPr="000D1882">
        <w:rPr>
          <w:rFonts w:cs="Calibri"/>
          <w:i/>
          <w:iCs/>
          <w:color w:val="156082" w:themeColor="accent1"/>
          <w:sz w:val="22"/>
          <w:szCs w:val="22"/>
        </w:rPr>
        <w:t xml:space="preserve"> </w:t>
      </w:r>
      <w:r w:rsidR="005E2696" w:rsidRPr="000D1882">
        <w:rPr>
          <w:rFonts w:eastAsia="Times New Roman" w:cs="Calibri"/>
          <w:i/>
          <w:iCs/>
          <w:color w:val="156082" w:themeColor="accent1"/>
          <w:kern w:val="0"/>
          <w:sz w:val="22"/>
          <w:szCs w:val="22"/>
          <w:lang w:eastAsia="en-IE"/>
          <w14:ligatures w14:val="none"/>
        </w:rPr>
        <w:t xml:space="preserve">See republished RFT – </w:t>
      </w:r>
      <w:r w:rsidR="00201B69">
        <w:rPr>
          <w:rFonts w:eastAsia="Times New Roman" w:cs="Calibri"/>
          <w:i/>
          <w:iCs/>
          <w:color w:val="156082" w:themeColor="accent1"/>
          <w:kern w:val="0"/>
          <w:sz w:val="22"/>
          <w:szCs w:val="22"/>
          <w:lang w:eastAsia="en-IE"/>
          <w14:ligatures w14:val="none"/>
        </w:rPr>
        <w:t>A</w:t>
      </w:r>
      <w:r w:rsidR="005E2696" w:rsidRPr="000D1882">
        <w:rPr>
          <w:rFonts w:eastAsia="Times New Roman" w:cs="Calibri"/>
          <w:i/>
          <w:iCs/>
          <w:color w:val="156082" w:themeColor="accent1"/>
          <w:kern w:val="0"/>
          <w:sz w:val="22"/>
          <w:szCs w:val="22"/>
          <w:lang w:eastAsia="en-IE"/>
          <w14:ligatures w14:val="none"/>
        </w:rPr>
        <w:t xml:space="preserve"> dedicated section for Reference Contract Information </w:t>
      </w:r>
      <w:r w:rsidR="00225D9B" w:rsidRPr="000D1882">
        <w:rPr>
          <w:rFonts w:eastAsia="Times New Roman" w:cs="Calibri"/>
          <w:i/>
          <w:iCs/>
          <w:color w:val="156082" w:themeColor="accent1"/>
          <w:kern w:val="0"/>
          <w:sz w:val="22"/>
          <w:szCs w:val="22"/>
          <w:lang w:eastAsia="en-IE"/>
          <w14:ligatures w14:val="none"/>
        </w:rPr>
        <w:t>has been added</w:t>
      </w:r>
      <w:r w:rsidR="00201B69">
        <w:rPr>
          <w:rFonts w:eastAsia="Times New Roman" w:cs="Calibri"/>
          <w:i/>
          <w:iCs/>
          <w:color w:val="156082" w:themeColor="accent1"/>
          <w:kern w:val="0"/>
          <w:sz w:val="22"/>
          <w:szCs w:val="22"/>
          <w:lang w:eastAsia="en-IE"/>
          <w14:ligatures w14:val="none"/>
        </w:rPr>
        <w:t xml:space="preserve"> to the CV template.</w:t>
      </w:r>
    </w:p>
    <w:p w14:paraId="7A1D5F44" w14:textId="3E36D516" w:rsidR="00D03CA7" w:rsidRPr="005F259F" w:rsidRDefault="009200D5" w:rsidP="00044733">
      <w:pPr>
        <w:pStyle w:val="NormalWeb"/>
        <w:shd w:val="clear" w:color="auto" w:fill="FFFFFF"/>
        <w:spacing w:before="0" w:beforeAutospacing="0" w:line="360" w:lineRule="auto"/>
        <w:rPr>
          <w:rFonts w:asciiTheme="minorHAnsi" w:hAnsiTheme="minorHAnsi" w:cs="Calibri"/>
          <w:b/>
          <w:bCs/>
          <w:sz w:val="22"/>
          <w:szCs w:val="22"/>
        </w:rPr>
      </w:pPr>
      <w:r w:rsidRPr="005F259F">
        <w:rPr>
          <w:rFonts w:asciiTheme="minorHAnsi" w:hAnsiTheme="minorHAnsi" w:cs="Calibri"/>
          <w:b/>
          <w:bCs/>
          <w:sz w:val="22"/>
          <w:szCs w:val="22"/>
        </w:rPr>
        <w:t>11</w:t>
      </w:r>
      <w:r w:rsidR="00D03CA7" w:rsidRPr="005F259F">
        <w:rPr>
          <w:rFonts w:asciiTheme="minorHAnsi" w:hAnsiTheme="minorHAnsi" w:cs="Calibri"/>
          <w:b/>
          <w:bCs/>
          <w:sz w:val="22"/>
          <w:szCs w:val="22"/>
        </w:rPr>
        <w:t>. We noticed that the Tenderer's Statement (appendix 3) appears to have cross-reference error:</w:t>
      </w:r>
    </w:p>
    <w:p w14:paraId="53DC9C87"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 execute the Services Contract at Appendix 5 to the RFT, the Confidentiality Agreement at Appendix 6 to the RFT and the Acceptable Use Policy at Appendix 7 to the RFT.</w:t>
      </w:r>
    </w:p>
    <w:p w14:paraId="516DC560"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In the RFT, these are appendices 6, 7 and 9 respectively.</w:t>
      </w:r>
    </w:p>
    <w:p w14:paraId="7B39E803"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sz w:val="22"/>
          <w:szCs w:val="22"/>
        </w:rPr>
      </w:pPr>
      <w:r w:rsidRPr="005F259F">
        <w:rPr>
          <w:rFonts w:asciiTheme="minorHAnsi" w:hAnsiTheme="minorHAnsi" w:cs="Calibri"/>
          <w:sz w:val="22"/>
          <w:szCs w:val="22"/>
        </w:rPr>
        <w:t>Should we amend the Tenderer's Statement, or include it verbatim with those errors?</w:t>
      </w:r>
    </w:p>
    <w:p w14:paraId="077BFC2C" w14:textId="275EB31B" w:rsidR="00D02976" w:rsidRPr="000D1882" w:rsidRDefault="00364E8E" w:rsidP="00044733">
      <w:pPr>
        <w:spacing w:after="0" w:line="360" w:lineRule="auto"/>
        <w:rPr>
          <w:rFonts w:eastAsia="Times New Roman" w:cs="Calibri"/>
          <w:b/>
          <w:bCs/>
          <w:i/>
          <w:iCs/>
          <w:color w:val="156082" w:themeColor="accent1"/>
          <w:kern w:val="0"/>
          <w:sz w:val="22"/>
          <w:szCs w:val="22"/>
          <w:lang w:eastAsia="en-IE"/>
          <w14:ligatures w14:val="none"/>
        </w:rPr>
      </w:pPr>
      <w:r w:rsidRPr="000D1882">
        <w:rPr>
          <w:rFonts w:eastAsia="Times New Roman" w:cs="Calibri"/>
          <w:b/>
          <w:bCs/>
          <w:i/>
          <w:iCs/>
          <w:color w:val="156082" w:themeColor="accent1"/>
          <w:kern w:val="0"/>
          <w:sz w:val="22"/>
          <w:szCs w:val="22"/>
          <w:lang w:eastAsia="en-IE"/>
          <w14:ligatures w14:val="none"/>
        </w:rPr>
        <w:t>Answer:</w:t>
      </w:r>
      <w:r w:rsidRPr="000D1882">
        <w:rPr>
          <w:rFonts w:eastAsia="Times New Roman" w:cs="Calibri"/>
          <w:i/>
          <w:iCs/>
          <w:color w:val="156082" w:themeColor="accent1"/>
          <w:kern w:val="0"/>
          <w:sz w:val="22"/>
          <w:szCs w:val="22"/>
          <w:lang w:eastAsia="en-IE"/>
          <w14:ligatures w14:val="none"/>
        </w:rPr>
        <w:t xml:space="preserve"> </w:t>
      </w:r>
      <w:r w:rsidR="005666C5" w:rsidRPr="000D1882">
        <w:rPr>
          <w:rFonts w:eastAsia="Times New Roman" w:cs="Calibri"/>
          <w:i/>
          <w:iCs/>
          <w:color w:val="156082" w:themeColor="accent1"/>
          <w:kern w:val="0"/>
          <w:sz w:val="22"/>
          <w:szCs w:val="22"/>
          <w:lang w:eastAsia="en-IE"/>
          <w14:ligatures w14:val="none"/>
        </w:rPr>
        <w:t xml:space="preserve">See republished RFT where this </w:t>
      </w:r>
      <w:proofErr w:type="gramStart"/>
      <w:r w:rsidR="009E5242" w:rsidRPr="000D1882">
        <w:rPr>
          <w:rFonts w:eastAsia="Times New Roman" w:cs="Calibri"/>
          <w:i/>
          <w:iCs/>
          <w:color w:val="156082" w:themeColor="accent1"/>
          <w:kern w:val="0"/>
          <w:sz w:val="22"/>
          <w:szCs w:val="22"/>
          <w:lang w:eastAsia="en-IE"/>
          <w14:ligatures w14:val="none"/>
        </w:rPr>
        <w:t>cross referenced</w:t>
      </w:r>
      <w:proofErr w:type="gramEnd"/>
      <w:r w:rsidR="009E5242" w:rsidRPr="000D1882">
        <w:rPr>
          <w:rFonts w:eastAsia="Times New Roman" w:cs="Calibri"/>
          <w:i/>
          <w:iCs/>
          <w:color w:val="156082" w:themeColor="accent1"/>
          <w:kern w:val="0"/>
          <w:sz w:val="22"/>
          <w:szCs w:val="22"/>
          <w:lang w:eastAsia="en-IE"/>
          <w14:ligatures w14:val="none"/>
        </w:rPr>
        <w:t xml:space="preserve"> </w:t>
      </w:r>
      <w:r w:rsidR="005666C5" w:rsidRPr="000D1882">
        <w:rPr>
          <w:rFonts w:eastAsia="Times New Roman" w:cs="Calibri"/>
          <w:i/>
          <w:iCs/>
          <w:color w:val="156082" w:themeColor="accent1"/>
          <w:kern w:val="0"/>
          <w:sz w:val="22"/>
          <w:szCs w:val="22"/>
          <w:lang w:eastAsia="en-IE"/>
          <w14:ligatures w14:val="none"/>
        </w:rPr>
        <w:t>error has been corrected.</w:t>
      </w:r>
    </w:p>
    <w:p w14:paraId="01FB649D" w14:textId="77777777" w:rsidR="00D02976" w:rsidRPr="005F259F" w:rsidRDefault="00D02976" w:rsidP="00044733">
      <w:pPr>
        <w:spacing w:after="0" w:line="360" w:lineRule="auto"/>
        <w:rPr>
          <w:rFonts w:eastAsia="Times New Roman" w:cs="Calibri"/>
          <w:kern w:val="0"/>
          <w:sz w:val="22"/>
          <w:szCs w:val="22"/>
          <w:lang w:eastAsia="en-IE"/>
          <w14:ligatures w14:val="none"/>
        </w:rPr>
      </w:pPr>
    </w:p>
    <w:p w14:paraId="2EC772F9" w14:textId="77777777" w:rsidR="00D03CA7" w:rsidRPr="005F259F" w:rsidRDefault="00D03CA7" w:rsidP="00044733">
      <w:pPr>
        <w:pStyle w:val="NormalWeb"/>
        <w:shd w:val="clear" w:color="auto" w:fill="FFFFFF"/>
        <w:spacing w:before="0" w:beforeAutospacing="0" w:line="360" w:lineRule="auto"/>
        <w:rPr>
          <w:rFonts w:asciiTheme="minorHAnsi" w:hAnsiTheme="minorHAnsi" w:cs="Calibri"/>
          <w:color w:val="00241A"/>
          <w:sz w:val="22"/>
          <w:szCs w:val="22"/>
        </w:rPr>
      </w:pPr>
    </w:p>
    <w:p w14:paraId="5367D217" w14:textId="7786A9C2" w:rsidR="00D03CA7" w:rsidRPr="005F259F" w:rsidRDefault="00D03CA7" w:rsidP="00044733">
      <w:pPr>
        <w:spacing w:line="360" w:lineRule="auto"/>
        <w:rPr>
          <w:rFonts w:eastAsia="Times New Roman" w:cs="Calibri"/>
          <w:kern w:val="0"/>
          <w:sz w:val="22"/>
          <w:szCs w:val="22"/>
          <w:lang w:eastAsia="en-IE"/>
          <w14:ligatures w14:val="none"/>
        </w:rPr>
      </w:pPr>
      <w:r w:rsidRPr="005F259F">
        <w:rPr>
          <w:rFonts w:eastAsia="Times New Roman" w:cs="Calibri"/>
          <w:kern w:val="0"/>
          <w:sz w:val="22"/>
          <w:szCs w:val="22"/>
          <w:lang w:eastAsia="en-IE"/>
          <w14:ligatures w14:val="none"/>
        </w:rPr>
        <w:tab/>
      </w:r>
    </w:p>
    <w:p w14:paraId="3A14B29B" w14:textId="7C156A2C" w:rsidR="00D03CA7" w:rsidRPr="005F259F" w:rsidRDefault="00D03CA7" w:rsidP="00044733">
      <w:pPr>
        <w:pStyle w:val="NormalWeb"/>
        <w:shd w:val="clear" w:color="auto" w:fill="FFFFFF"/>
        <w:spacing w:before="0" w:beforeAutospacing="0" w:line="360" w:lineRule="auto"/>
        <w:rPr>
          <w:rFonts w:asciiTheme="minorHAnsi" w:hAnsiTheme="minorHAnsi" w:cs="Calibri"/>
          <w:color w:val="00241A"/>
          <w:sz w:val="22"/>
          <w:szCs w:val="22"/>
        </w:rPr>
      </w:pPr>
    </w:p>
    <w:sectPr w:rsidR="00D03CA7" w:rsidRPr="005F25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F27B8" w14:textId="77777777" w:rsidR="000A3749" w:rsidRDefault="000A3749" w:rsidP="00316CBE">
      <w:pPr>
        <w:spacing w:after="0" w:line="240" w:lineRule="auto"/>
      </w:pPr>
      <w:r>
        <w:separator/>
      </w:r>
    </w:p>
  </w:endnote>
  <w:endnote w:type="continuationSeparator" w:id="0">
    <w:p w14:paraId="5D432C99" w14:textId="77777777" w:rsidR="000A3749" w:rsidRDefault="000A3749" w:rsidP="0031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4B88" w14:textId="77777777" w:rsidR="000A3749" w:rsidRDefault="000A3749" w:rsidP="00316CBE">
      <w:pPr>
        <w:spacing w:after="0" w:line="240" w:lineRule="auto"/>
      </w:pPr>
      <w:r>
        <w:separator/>
      </w:r>
    </w:p>
  </w:footnote>
  <w:footnote w:type="continuationSeparator" w:id="0">
    <w:p w14:paraId="0BEC5B6F" w14:textId="77777777" w:rsidR="000A3749" w:rsidRDefault="000A3749" w:rsidP="00316C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22DD"/>
    <w:multiLevelType w:val="hybridMultilevel"/>
    <w:tmpl w:val="C6A08E6C"/>
    <w:lvl w:ilvl="0" w:tplc="04684C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E2B50ED"/>
    <w:multiLevelType w:val="hybridMultilevel"/>
    <w:tmpl w:val="1F28B6D8"/>
    <w:lvl w:ilvl="0" w:tplc="FE6C31AC">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1D4583D"/>
    <w:multiLevelType w:val="hybridMultilevel"/>
    <w:tmpl w:val="0BCE2AF8"/>
    <w:lvl w:ilvl="0" w:tplc="56A0CF6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32617F8E"/>
    <w:multiLevelType w:val="hybridMultilevel"/>
    <w:tmpl w:val="831C53F0"/>
    <w:lvl w:ilvl="0" w:tplc="952C55A8">
      <w:start w:val="2"/>
      <w:numFmt w:val="bullet"/>
      <w:lvlText w:val="-"/>
      <w:lvlJc w:val="left"/>
      <w:pPr>
        <w:ind w:left="720" w:hanging="360"/>
      </w:pPr>
      <w:rPr>
        <w:rFonts w:ascii="Lato" w:eastAsiaTheme="minorHAnsi" w:hAnsi="Lato" w:cstheme="minorBidi" w:hint="default"/>
        <w:color w:val="00241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C430AEA"/>
    <w:multiLevelType w:val="hybridMultilevel"/>
    <w:tmpl w:val="16C83C52"/>
    <w:lvl w:ilvl="0" w:tplc="845E82E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1A521DB"/>
    <w:multiLevelType w:val="hybridMultilevel"/>
    <w:tmpl w:val="ED267FA8"/>
    <w:lvl w:ilvl="0" w:tplc="1809000F">
      <w:start w:val="1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31762FE"/>
    <w:multiLevelType w:val="hybridMultilevel"/>
    <w:tmpl w:val="E17AC768"/>
    <w:lvl w:ilvl="0" w:tplc="3B98BDC0">
      <w:start w:val="1"/>
      <w:numFmt w:val="lowerLetter"/>
      <w:lvlText w:val="(%1)"/>
      <w:lvlJc w:val="left"/>
      <w:pPr>
        <w:ind w:left="360" w:hanging="360"/>
      </w:pPr>
      <w:rPr>
        <w:rFonts w:ascii="Calibri" w:eastAsiaTheme="minorHAnsi" w:hAnsi="Calibri" w:cs="Calibri" w:hint="default"/>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572203B8"/>
    <w:multiLevelType w:val="hybridMultilevel"/>
    <w:tmpl w:val="9DDEE78E"/>
    <w:lvl w:ilvl="0" w:tplc="6D40AA66">
      <w:start w:val="2"/>
      <w:numFmt w:val="lowerLetter"/>
      <w:lvlText w:val="(%1)"/>
      <w:lvlJc w:val="left"/>
      <w:pPr>
        <w:ind w:left="360" w:hanging="360"/>
      </w:pPr>
      <w:rPr>
        <w:rFonts w:ascii="Calibri" w:eastAsiaTheme="minorHAnsi" w:hAnsi="Calibri" w:cs="Calibr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372661E"/>
    <w:multiLevelType w:val="hybridMultilevel"/>
    <w:tmpl w:val="9992240E"/>
    <w:lvl w:ilvl="0" w:tplc="78CE0E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1883B1D"/>
    <w:multiLevelType w:val="hybridMultilevel"/>
    <w:tmpl w:val="24649C08"/>
    <w:lvl w:ilvl="0" w:tplc="564C2760">
      <w:start w:val="1"/>
      <w:numFmt w:val="lowerLetter"/>
      <w:lvlText w:val="(%1)"/>
      <w:lvlJc w:val="left"/>
      <w:pPr>
        <w:ind w:left="360" w:hanging="36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74E073F5"/>
    <w:multiLevelType w:val="hybridMultilevel"/>
    <w:tmpl w:val="8ED04298"/>
    <w:lvl w:ilvl="0" w:tplc="26B8E6B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826483406">
    <w:abstractNumId w:val="0"/>
  </w:num>
  <w:num w:numId="2" w16cid:durableId="189949966">
    <w:abstractNumId w:val="2"/>
  </w:num>
  <w:num w:numId="3" w16cid:durableId="229391023">
    <w:abstractNumId w:val="9"/>
  </w:num>
  <w:num w:numId="4" w16cid:durableId="1819685217">
    <w:abstractNumId w:val="6"/>
  </w:num>
  <w:num w:numId="5" w16cid:durableId="1252817331">
    <w:abstractNumId w:val="10"/>
  </w:num>
  <w:num w:numId="6" w16cid:durableId="1935244205">
    <w:abstractNumId w:val="5"/>
  </w:num>
  <w:num w:numId="7" w16cid:durableId="800731584">
    <w:abstractNumId w:val="3"/>
  </w:num>
  <w:num w:numId="8" w16cid:durableId="2071073368">
    <w:abstractNumId w:val="1"/>
  </w:num>
  <w:num w:numId="9" w16cid:durableId="581186788">
    <w:abstractNumId w:val="8"/>
  </w:num>
  <w:num w:numId="10" w16cid:durableId="2139444778">
    <w:abstractNumId w:val="4"/>
  </w:num>
  <w:num w:numId="11" w16cid:durableId="11236216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BA"/>
    <w:rsid w:val="00044733"/>
    <w:rsid w:val="000A3749"/>
    <w:rsid w:val="000B3450"/>
    <w:rsid w:val="000D1882"/>
    <w:rsid w:val="000D190E"/>
    <w:rsid w:val="0013513C"/>
    <w:rsid w:val="001461D2"/>
    <w:rsid w:val="001F7AC3"/>
    <w:rsid w:val="00201B69"/>
    <w:rsid w:val="002127F2"/>
    <w:rsid w:val="00220F4B"/>
    <w:rsid w:val="00225D9B"/>
    <w:rsid w:val="0026576F"/>
    <w:rsid w:val="002A025A"/>
    <w:rsid w:val="00316CBE"/>
    <w:rsid w:val="00364E8E"/>
    <w:rsid w:val="00394914"/>
    <w:rsid w:val="003E6563"/>
    <w:rsid w:val="00405A4E"/>
    <w:rsid w:val="0041770A"/>
    <w:rsid w:val="004464C0"/>
    <w:rsid w:val="00460ACA"/>
    <w:rsid w:val="004816BB"/>
    <w:rsid w:val="004F5913"/>
    <w:rsid w:val="004F5E29"/>
    <w:rsid w:val="005019A3"/>
    <w:rsid w:val="00517841"/>
    <w:rsid w:val="0055013E"/>
    <w:rsid w:val="005666C5"/>
    <w:rsid w:val="00576AE9"/>
    <w:rsid w:val="00581FDA"/>
    <w:rsid w:val="005A2735"/>
    <w:rsid w:val="005D3C7E"/>
    <w:rsid w:val="005E2696"/>
    <w:rsid w:val="005F259F"/>
    <w:rsid w:val="00634EB0"/>
    <w:rsid w:val="00686DD8"/>
    <w:rsid w:val="006B5367"/>
    <w:rsid w:val="006D2A1C"/>
    <w:rsid w:val="00706585"/>
    <w:rsid w:val="00713134"/>
    <w:rsid w:val="0071640F"/>
    <w:rsid w:val="00725BA8"/>
    <w:rsid w:val="00745AF9"/>
    <w:rsid w:val="007549FE"/>
    <w:rsid w:val="007B4816"/>
    <w:rsid w:val="007B6982"/>
    <w:rsid w:val="007F5439"/>
    <w:rsid w:val="00851681"/>
    <w:rsid w:val="00881B7D"/>
    <w:rsid w:val="008A0922"/>
    <w:rsid w:val="008A3BF4"/>
    <w:rsid w:val="009200D5"/>
    <w:rsid w:val="009370F8"/>
    <w:rsid w:val="009518E5"/>
    <w:rsid w:val="009D65BA"/>
    <w:rsid w:val="009E5242"/>
    <w:rsid w:val="009F7EFB"/>
    <w:rsid w:val="00A50BBC"/>
    <w:rsid w:val="00A73F81"/>
    <w:rsid w:val="00A9113B"/>
    <w:rsid w:val="00AC2843"/>
    <w:rsid w:val="00B04478"/>
    <w:rsid w:val="00B05C7B"/>
    <w:rsid w:val="00B92C3D"/>
    <w:rsid w:val="00BA1A9B"/>
    <w:rsid w:val="00BA7BE0"/>
    <w:rsid w:val="00BC7A3F"/>
    <w:rsid w:val="00BD2314"/>
    <w:rsid w:val="00BD3FED"/>
    <w:rsid w:val="00BE5259"/>
    <w:rsid w:val="00C113BB"/>
    <w:rsid w:val="00C63EBB"/>
    <w:rsid w:val="00C91A8B"/>
    <w:rsid w:val="00CA13D2"/>
    <w:rsid w:val="00CC73C1"/>
    <w:rsid w:val="00CD1A00"/>
    <w:rsid w:val="00CE6AA0"/>
    <w:rsid w:val="00D02976"/>
    <w:rsid w:val="00D03CA7"/>
    <w:rsid w:val="00D05D63"/>
    <w:rsid w:val="00D52649"/>
    <w:rsid w:val="00D82652"/>
    <w:rsid w:val="00D9187F"/>
    <w:rsid w:val="00E65CF3"/>
    <w:rsid w:val="00EA4FCA"/>
    <w:rsid w:val="00EB39DF"/>
    <w:rsid w:val="00EE7553"/>
    <w:rsid w:val="00F26084"/>
    <w:rsid w:val="00F6027B"/>
    <w:rsid w:val="00FA3A4D"/>
    <w:rsid w:val="00FF2B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09D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5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5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5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5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5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5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5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5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5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5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5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5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5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5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5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5BA"/>
    <w:rPr>
      <w:rFonts w:eastAsiaTheme="majorEastAsia" w:cstheme="majorBidi"/>
      <w:color w:val="272727" w:themeColor="text1" w:themeTint="D8"/>
    </w:rPr>
  </w:style>
  <w:style w:type="paragraph" w:styleId="Title">
    <w:name w:val="Title"/>
    <w:basedOn w:val="Normal"/>
    <w:next w:val="Normal"/>
    <w:link w:val="TitleChar"/>
    <w:uiPriority w:val="10"/>
    <w:qFormat/>
    <w:rsid w:val="009D6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5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5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5BA"/>
    <w:pPr>
      <w:spacing w:before="160"/>
      <w:jc w:val="center"/>
    </w:pPr>
    <w:rPr>
      <w:i/>
      <w:iCs/>
      <w:color w:val="404040" w:themeColor="text1" w:themeTint="BF"/>
    </w:rPr>
  </w:style>
  <w:style w:type="character" w:customStyle="1" w:styleId="QuoteChar">
    <w:name w:val="Quote Char"/>
    <w:basedOn w:val="DefaultParagraphFont"/>
    <w:link w:val="Quote"/>
    <w:uiPriority w:val="29"/>
    <w:rsid w:val="009D65BA"/>
    <w:rPr>
      <w:i/>
      <w:iCs/>
      <w:color w:val="404040" w:themeColor="text1" w:themeTint="BF"/>
    </w:rPr>
  </w:style>
  <w:style w:type="paragraph" w:styleId="ListParagraph">
    <w:name w:val="List Paragraph"/>
    <w:aliases w:val="Subtitle Cover Page,igunore,lp1,Add On (orange),List Paragraph11,Bullit 01,Use Case List Paragraph,List Paragraph1,Bullet List,FooterText,numbered,Paragraphe de liste1,Bulletr List Paragraph,列出段落,列出段落1,List Paragraph2,Heading2,lp11,Dot pt"/>
    <w:basedOn w:val="Normal"/>
    <w:link w:val="ListParagraphChar"/>
    <w:uiPriority w:val="34"/>
    <w:qFormat/>
    <w:rsid w:val="009D65BA"/>
    <w:pPr>
      <w:ind w:left="720"/>
      <w:contextualSpacing/>
    </w:pPr>
  </w:style>
  <w:style w:type="character" w:styleId="IntenseEmphasis">
    <w:name w:val="Intense Emphasis"/>
    <w:basedOn w:val="DefaultParagraphFont"/>
    <w:uiPriority w:val="21"/>
    <w:qFormat/>
    <w:rsid w:val="009D65BA"/>
    <w:rPr>
      <w:i/>
      <w:iCs/>
      <w:color w:val="0F4761" w:themeColor="accent1" w:themeShade="BF"/>
    </w:rPr>
  </w:style>
  <w:style w:type="paragraph" w:styleId="IntenseQuote">
    <w:name w:val="Intense Quote"/>
    <w:basedOn w:val="Normal"/>
    <w:next w:val="Normal"/>
    <w:link w:val="IntenseQuoteChar"/>
    <w:uiPriority w:val="30"/>
    <w:qFormat/>
    <w:rsid w:val="009D6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5BA"/>
    <w:rPr>
      <w:i/>
      <w:iCs/>
      <w:color w:val="0F4761" w:themeColor="accent1" w:themeShade="BF"/>
    </w:rPr>
  </w:style>
  <w:style w:type="character" w:styleId="IntenseReference">
    <w:name w:val="Intense Reference"/>
    <w:basedOn w:val="DefaultParagraphFont"/>
    <w:uiPriority w:val="32"/>
    <w:qFormat/>
    <w:rsid w:val="009D65BA"/>
    <w:rPr>
      <w:b/>
      <w:bCs/>
      <w:smallCaps/>
      <w:color w:val="0F4761" w:themeColor="accent1" w:themeShade="BF"/>
      <w:spacing w:val="5"/>
    </w:rPr>
  </w:style>
  <w:style w:type="paragraph" w:styleId="NormalWeb">
    <w:name w:val="Normal (Web)"/>
    <w:basedOn w:val="Normal"/>
    <w:uiPriority w:val="99"/>
    <w:unhideWhenUsed/>
    <w:rsid w:val="009D65BA"/>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9D65BA"/>
    <w:rPr>
      <w:b/>
      <w:bCs/>
    </w:rPr>
  </w:style>
  <w:style w:type="character" w:styleId="Emphasis">
    <w:name w:val="Emphasis"/>
    <w:basedOn w:val="DefaultParagraphFont"/>
    <w:uiPriority w:val="20"/>
    <w:qFormat/>
    <w:rsid w:val="009D65BA"/>
    <w:rPr>
      <w:i/>
      <w:iCs/>
    </w:rPr>
  </w:style>
  <w:style w:type="character" w:customStyle="1" w:styleId="ListParagraphChar">
    <w:name w:val="List Paragraph Char"/>
    <w:aliases w:val="Subtitle Cover Page Char,igunore Char,lp1 Char,Add On (orange) Char,List Paragraph11 Char,Bullit 01 Char,Use Case List Paragraph Char,List Paragraph1 Char,Bullet List Char,FooterText Char,numbered Char,Paragraphe de liste1 Char"/>
    <w:link w:val="ListParagraph"/>
    <w:uiPriority w:val="34"/>
    <w:qFormat/>
    <w:rsid w:val="00FF2BDE"/>
  </w:style>
  <w:style w:type="paragraph" w:styleId="Header">
    <w:name w:val="header"/>
    <w:basedOn w:val="Normal"/>
    <w:link w:val="HeaderChar"/>
    <w:uiPriority w:val="99"/>
    <w:unhideWhenUsed/>
    <w:rsid w:val="00316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CBE"/>
  </w:style>
  <w:style w:type="paragraph" w:styleId="Footer">
    <w:name w:val="footer"/>
    <w:basedOn w:val="Normal"/>
    <w:link w:val="FooterChar"/>
    <w:uiPriority w:val="99"/>
    <w:unhideWhenUsed/>
    <w:rsid w:val="00316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2472">
      <w:bodyDiv w:val="1"/>
      <w:marLeft w:val="0"/>
      <w:marRight w:val="0"/>
      <w:marTop w:val="0"/>
      <w:marBottom w:val="0"/>
      <w:divBdr>
        <w:top w:val="none" w:sz="0" w:space="0" w:color="auto"/>
        <w:left w:val="none" w:sz="0" w:space="0" w:color="auto"/>
        <w:bottom w:val="none" w:sz="0" w:space="0" w:color="auto"/>
        <w:right w:val="none" w:sz="0" w:space="0" w:color="auto"/>
      </w:divBdr>
    </w:div>
    <w:div w:id="186064068">
      <w:bodyDiv w:val="1"/>
      <w:marLeft w:val="0"/>
      <w:marRight w:val="0"/>
      <w:marTop w:val="0"/>
      <w:marBottom w:val="0"/>
      <w:divBdr>
        <w:top w:val="none" w:sz="0" w:space="0" w:color="auto"/>
        <w:left w:val="none" w:sz="0" w:space="0" w:color="auto"/>
        <w:bottom w:val="none" w:sz="0" w:space="0" w:color="auto"/>
        <w:right w:val="none" w:sz="0" w:space="0" w:color="auto"/>
      </w:divBdr>
      <w:divsChild>
        <w:div w:id="686254691">
          <w:marLeft w:val="0"/>
          <w:marRight w:val="0"/>
          <w:marTop w:val="0"/>
          <w:marBottom w:val="0"/>
          <w:divBdr>
            <w:top w:val="none" w:sz="0" w:space="0" w:color="auto"/>
            <w:left w:val="none" w:sz="0" w:space="0" w:color="auto"/>
            <w:bottom w:val="none" w:sz="0" w:space="0" w:color="auto"/>
            <w:right w:val="none" w:sz="0" w:space="0" w:color="auto"/>
          </w:divBdr>
        </w:div>
      </w:divsChild>
    </w:div>
    <w:div w:id="195703593">
      <w:bodyDiv w:val="1"/>
      <w:marLeft w:val="0"/>
      <w:marRight w:val="0"/>
      <w:marTop w:val="0"/>
      <w:marBottom w:val="0"/>
      <w:divBdr>
        <w:top w:val="none" w:sz="0" w:space="0" w:color="auto"/>
        <w:left w:val="none" w:sz="0" w:space="0" w:color="auto"/>
        <w:bottom w:val="none" w:sz="0" w:space="0" w:color="auto"/>
        <w:right w:val="none" w:sz="0" w:space="0" w:color="auto"/>
      </w:divBdr>
      <w:divsChild>
        <w:div w:id="882979543">
          <w:marLeft w:val="0"/>
          <w:marRight w:val="0"/>
          <w:marTop w:val="0"/>
          <w:marBottom w:val="0"/>
          <w:divBdr>
            <w:top w:val="none" w:sz="0" w:space="0" w:color="auto"/>
            <w:left w:val="none" w:sz="0" w:space="0" w:color="auto"/>
            <w:bottom w:val="none" w:sz="0" w:space="0" w:color="auto"/>
            <w:right w:val="none" w:sz="0" w:space="0" w:color="auto"/>
          </w:divBdr>
        </w:div>
      </w:divsChild>
    </w:div>
    <w:div w:id="228001108">
      <w:bodyDiv w:val="1"/>
      <w:marLeft w:val="0"/>
      <w:marRight w:val="0"/>
      <w:marTop w:val="0"/>
      <w:marBottom w:val="0"/>
      <w:divBdr>
        <w:top w:val="none" w:sz="0" w:space="0" w:color="auto"/>
        <w:left w:val="none" w:sz="0" w:space="0" w:color="auto"/>
        <w:bottom w:val="none" w:sz="0" w:space="0" w:color="auto"/>
        <w:right w:val="none" w:sz="0" w:space="0" w:color="auto"/>
      </w:divBdr>
      <w:divsChild>
        <w:div w:id="415173683">
          <w:marLeft w:val="0"/>
          <w:marRight w:val="0"/>
          <w:marTop w:val="0"/>
          <w:marBottom w:val="0"/>
          <w:divBdr>
            <w:top w:val="none" w:sz="0" w:space="0" w:color="auto"/>
            <w:left w:val="none" w:sz="0" w:space="0" w:color="auto"/>
            <w:bottom w:val="none" w:sz="0" w:space="0" w:color="auto"/>
            <w:right w:val="none" w:sz="0" w:space="0" w:color="auto"/>
          </w:divBdr>
        </w:div>
      </w:divsChild>
    </w:div>
    <w:div w:id="269775791">
      <w:bodyDiv w:val="1"/>
      <w:marLeft w:val="0"/>
      <w:marRight w:val="0"/>
      <w:marTop w:val="0"/>
      <w:marBottom w:val="0"/>
      <w:divBdr>
        <w:top w:val="none" w:sz="0" w:space="0" w:color="auto"/>
        <w:left w:val="none" w:sz="0" w:space="0" w:color="auto"/>
        <w:bottom w:val="none" w:sz="0" w:space="0" w:color="auto"/>
        <w:right w:val="none" w:sz="0" w:space="0" w:color="auto"/>
      </w:divBdr>
      <w:divsChild>
        <w:div w:id="1951932338">
          <w:marLeft w:val="0"/>
          <w:marRight w:val="0"/>
          <w:marTop w:val="0"/>
          <w:marBottom w:val="0"/>
          <w:divBdr>
            <w:top w:val="none" w:sz="0" w:space="0" w:color="auto"/>
            <w:left w:val="none" w:sz="0" w:space="0" w:color="auto"/>
            <w:bottom w:val="none" w:sz="0" w:space="0" w:color="auto"/>
            <w:right w:val="none" w:sz="0" w:space="0" w:color="auto"/>
          </w:divBdr>
        </w:div>
      </w:divsChild>
    </w:div>
    <w:div w:id="312024882">
      <w:bodyDiv w:val="1"/>
      <w:marLeft w:val="0"/>
      <w:marRight w:val="0"/>
      <w:marTop w:val="0"/>
      <w:marBottom w:val="0"/>
      <w:divBdr>
        <w:top w:val="none" w:sz="0" w:space="0" w:color="auto"/>
        <w:left w:val="none" w:sz="0" w:space="0" w:color="auto"/>
        <w:bottom w:val="none" w:sz="0" w:space="0" w:color="auto"/>
        <w:right w:val="none" w:sz="0" w:space="0" w:color="auto"/>
      </w:divBdr>
      <w:divsChild>
        <w:div w:id="1831020510">
          <w:marLeft w:val="0"/>
          <w:marRight w:val="0"/>
          <w:marTop w:val="0"/>
          <w:marBottom w:val="0"/>
          <w:divBdr>
            <w:top w:val="none" w:sz="0" w:space="0" w:color="auto"/>
            <w:left w:val="none" w:sz="0" w:space="0" w:color="auto"/>
            <w:bottom w:val="none" w:sz="0" w:space="0" w:color="auto"/>
            <w:right w:val="none" w:sz="0" w:space="0" w:color="auto"/>
          </w:divBdr>
        </w:div>
      </w:divsChild>
    </w:div>
    <w:div w:id="313066186">
      <w:bodyDiv w:val="1"/>
      <w:marLeft w:val="0"/>
      <w:marRight w:val="0"/>
      <w:marTop w:val="0"/>
      <w:marBottom w:val="0"/>
      <w:divBdr>
        <w:top w:val="none" w:sz="0" w:space="0" w:color="auto"/>
        <w:left w:val="none" w:sz="0" w:space="0" w:color="auto"/>
        <w:bottom w:val="none" w:sz="0" w:space="0" w:color="auto"/>
        <w:right w:val="none" w:sz="0" w:space="0" w:color="auto"/>
      </w:divBdr>
      <w:divsChild>
        <w:div w:id="1405643901">
          <w:marLeft w:val="0"/>
          <w:marRight w:val="0"/>
          <w:marTop w:val="0"/>
          <w:marBottom w:val="0"/>
          <w:divBdr>
            <w:top w:val="none" w:sz="0" w:space="0" w:color="auto"/>
            <w:left w:val="none" w:sz="0" w:space="0" w:color="auto"/>
            <w:bottom w:val="none" w:sz="0" w:space="0" w:color="auto"/>
            <w:right w:val="none" w:sz="0" w:space="0" w:color="auto"/>
          </w:divBdr>
        </w:div>
      </w:divsChild>
    </w:div>
    <w:div w:id="369261579">
      <w:bodyDiv w:val="1"/>
      <w:marLeft w:val="0"/>
      <w:marRight w:val="0"/>
      <w:marTop w:val="0"/>
      <w:marBottom w:val="0"/>
      <w:divBdr>
        <w:top w:val="none" w:sz="0" w:space="0" w:color="auto"/>
        <w:left w:val="none" w:sz="0" w:space="0" w:color="auto"/>
        <w:bottom w:val="none" w:sz="0" w:space="0" w:color="auto"/>
        <w:right w:val="none" w:sz="0" w:space="0" w:color="auto"/>
      </w:divBdr>
      <w:divsChild>
        <w:div w:id="1988895103">
          <w:marLeft w:val="0"/>
          <w:marRight w:val="0"/>
          <w:marTop w:val="0"/>
          <w:marBottom w:val="0"/>
          <w:divBdr>
            <w:top w:val="none" w:sz="0" w:space="0" w:color="auto"/>
            <w:left w:val="none" w:sz="0" w:space="0" w:color="auto"/>
            <w:bottom w:val="none" w:sz="0" w:space="0" w:color="auto"/>
            <w:right w:val="none" w:sz="0" w:space="0" w:color="auto"/>
          </w:divBdr>
        </w:div>
      </w:divsChild>
    </w:div>
    <w:div w:id="372074673">
      <w:bodyDiv w:val="1"/>
      <w:marLeft w:val="0"/>
      <w:marRight w:val="0"/>
      <w:marTop w:val="0"/>
      <w:marBottom w:val="0"/>
      <w:divBdr>
        <w:top w:val="none" w:sz="0" w:space="0" w:color="auto"/>
        <w:left w:val="none" w:sz="0" w:space="0" w:color="auto"/>
        <w:bottom w:val="none" w:sz="0" w:space="0" w:color="auto"/>
        <w:right w:val="none" w:sz="0" w:space="0" w:color="auto"/>
      </w:divBdr>
      <w:divsChild>
        <w:div w:id="759565400">
          <w:marLeft w:val="0"/>
          <w:marRight w:val="0"/>
          <w:marTop w:val="0"/>
          <w:marBottom w:val="0"/>
          <w:divBdr>
            <w:top w:val="none" w:sz="0" w:space="0" w:color="auto"/>
            <w:left w:val="none" w:sz="0" w:space="0" w:color="auto"/>
            <w:bottom w:val="none" w:sz="0" w:space="0" w:color="auto"/>
            <w:right w:val="none" w:sz="0" w:space="0" w:color="auto"/>
          </w:divBdr>
        </w:div>
      </w:divsChild>
    </w:div>
    <w:div w:id="433794560">
      <w:bodyDiv w:val="1"/>
      <w:marLeft w:val="0"/>
      <w:marRight w:val="0"/>
      <w:marTop w:val="0"/>
      <w:marBottom w:val="0"/>
      <w:divBdr>
        <w:top w:val="none" w:sz="0" w:space="0" w:color="auto"/>
        <w:left w:val="none" w:sz="0" w:space="0" w:color="auto"/>
        <w:bottom w:val="none" w:sz="0" w:space="0" w:color="auto"/>
        <w:right w:val="none" w:sz="0" w:space="0" w:color="auto"/>
      </w:divBdr>
    </w:div>
    <w:div w:id="489561269">
      <w:bodyDiv w:val="1"/>
      <w:marLeft w:val="0"/>
      <w:marRight w:val="0"/>
      <w:marTop w:val="0"/>
      <w:marBottom w:val="0"/>
      <w:divBdr>
        <w:top w:val="none" w:sz="0" w:space="0" w:color="auto"/>
        <w:left w:val="none" w:sz="0" w:space="0" w:color="auto"/>
        <w:bottom w:val="none" w:sz="0" w:space="0" w:color="auto"/>
        <w:right w:val="none" w:sz="0" w:space="0" w:color="auto"/>
      </w:divBdr>
      <w:divsChild>
        <w:div w:id="847863211">
          <w:marLeft w:val="0"/>
          <w:marRight w:val="0"/>
          <w:marTop w:val="0"/>
          <w:marBottom w:val="0"/>
          <w:divBdr>
            <w:top w:val="none" w:sz="0" w:space="0" w:color="auto"/>
            <w:left w:val="none" w:sz="0" w:space="0" w:color="auto"/>
            <w:bottom w:val="none" w:sz="0" w:space="0" w:color="auto"/>
            <w:right w:val="none" w:sz="0" w:space="0" w:color="auto"/>
          </w:divBdr>
        </w:div>
      </w:divsChild>
    </w:div>
    <w:div w:id="592207708">
      <w:bodyDiv w:val="1"/>
      <w:marLeft w:val="0"/>
      <w:marRight w:val="0"/>
      <w:marTop w:val="0"/>
      <w:marBottom w:val="0"/>
      <w:divBdr>
        <w:top w:val="none" w:sz="0" w:space="0" w:color="auto"/>
        <w:left w:val="none" w:sz="0" w:space="0" w:color="auto"/>
        <w:bottom w:val="none" w:sz="0" w:space="0" w:color="auto"/>
        <w:right w:val="none" w:sz="0" w:space="0" w:color="auto"/>
      </w:divBdr>
    </w:div>
    <w:div w:id="615603111">
      <w:bodyDiv w:val="1"/>
      <w:marLeft w:val="0"/>
      <w:marRight w:val="0"/>
      <w:marTop w:val="0"/>
      <w:marBottom w:val="0"/>
      <w:divBdr>
        <w:top w:val="none" w:sz="0" w:space="0" w:color="auto"/>
        <w:left w:val="none" w:sz="0" w:space="0" w:color="auto"/>
        <w:bottom w:val="none" w:sz="0" w:space="0" w:color="auto"/>
        <w:right w:val="none" w:sz="0" w:space="0" w:color="auto"/>
      </w:divBdr>
      <w:divsChild>
        <w:div w:id="444738380">
          <w:marLeft w:val="0"/>
          <w:marRight w:val="0"/>
          <w:marTop w:val="0"/>
          <w:marBottom w:val="0"/>
          <w:divBdr>
            <w:top w:val="none" w:sz="0" w:space="0" w:color="auto"/>
            <w:left w:val="none" w:sz="0" w:space="0" w:color="auto"/>
            <w:bottom w:val="none" w:sz="0" w:space="0" w:color="auto"/>
            <w:right w:val="none" w:sz="0" w:space="0" w:color="auto"/>
          </w:divBdr>
        </w:div>
      </w:divsChild>
    </w:div>
    <w:div w:id="790126966">
      <w:bodyDiv w:val="1"/>
      <w:marLeft w:val="0"/>
      <w:marRight w:val="0"/>
      <w:marTop w:val="0"/>
      <w:marBottom w:val="0"/>
      <w:divBdr>
        <w:top w:val="none" w:sz="0" w:space="0" w:color="auto"/>
        <w:left w:val="none" w:sz="0" w:space="0" w:color="auto"/>
        <w:bottom w:val="none" w:sz="0" w:space="0" w:color="auto"/>
        <w:right w:val="none" w:sz="0" w:space="0" w:color="auto"/>
      </w:divBdr>
      <w:divsChild>
        <w:div w:id="1550796142">
          <w:marLeft w:val="0"/>
          <w:marRight w:val="0"/>
          <w:marTop w:val="0"/>
          <w:marBottom w:val="0"/>
          <w:divBdr>
            <w:top w:val="none" w:sz="0" w:space="0" w:color="auto"/>
            <w:left w:val="none" w:sz="0" w:space="0" w:color="auto"/>
            <w:bottom w:val="none" w:sz="0" w:space="0" w:color="auto"/>
            <w:right w:val="none" w:sz="0" w:space="0" w:color="auto"/>
          </w:divBdr>
        </w:div>
      </w:divsChild>
    </w:div>
    <w:div w:id="860244967">
      <w:bodyDiv w:val="1"/>
      <w:marLeft w:val="0"/>
      <w:marRight w:val="0"/>
      <w:marTop w:val="0"/>
      <w:marBottom w:val="0"/>
      <w:divBdr>
        <w:top w:val="none" w:sz="0" w:space="0" w:color="auto"/>
        <w:left w:val="none" w:sz="0" w:space="0" w:color="auto"/>
        <w:bottom w:val="none" w:sz="0" w:space="0" w:color="auto"/>
        <w:right w:val="none" w:sz="0" w:space="0" w:color="auto"/>
      </w:divBdr>
      <w:divsChild>
        <w:div w:id="1438981724">
          <w:marLeft w:val="0"/>
          <w:marRight w:val="0"/>
          <w:marTop w:val="0"/>
          <w:marBottom w:val="0"/>
          <w:divBdr>
            <w:top w:val="none" w:sz="0" w:space="0" w:color="auto"/>
            <w:left w:val="none" w:sz="0" w:space="0" w:color="auto"/>
            <w:bottom w:val="none" w:sz="0" w:space="0" w:color="auto"/>
            <w:right w:val="none" w:sz="0" w:space="0" w:color="auto"/>
          </w:divBdr>
        </w:div>
      </w:divsChild>
    </w:div>
    <w:div w:id="1103111934">
      <w:bodyDiv w:val="1"/>
      <w:marLeft w:val="0"/>
      <w:marRight w:val="0"/>
      <w:marTop w:val="0"/>
      <w:marBottom w:val="0"/>
      <w:divBdr>
        <w:top w:val="none" w:sz="0" w:space="0" w:color="auto"/>
        <w:left w:val="none" w:sz="0" w:space="0" w:color="auto"/>
        <w:bottom w:val="none" w:sz="0" w:space="0" w:color="auto"/>
        <w:right w:val="none" w:sz="0" w:space="0" w:color="auto"/>
      </w:divBdr>
      <w:divsChild>
        <w:div w:id="433209844">
          <w:marLeft w:val="0"/>
          <w:marRight w:val="0"/>
          <w:marTop w:val="0"/>
          <w:marBottom w:val="0"/>
          <w:divBdr>
            <w:top w:val="none" w:sz="0" w:space="0" w:color="auto"/>
            <w:left w:val="none" w:sz="0" w:space="0" w:color="auto"/>
            <w:bottom w:val="none" w:sz="0" w:space="0" w:color="auto"/>
            <w:right w:val="none" w:sz="0" w:space="0" w:color="auto"/>
          </w:divBdr>
        </w:div>
      </w:divsChild>
    </w:div>
    <w:div w:id="1196500617">
      <w:bodyDiv w:val="1"/>
      <w:marLeft w:val="0"/>
      <w:marRight w:val="0"/>
      <w:marTop w:val="0"/>
      <w:marBottom w:val="0"/>
      <w:divBdr>
        <w:top w:val="none" w:sz="0" w:space="0" w:color="auto"/>
        <w:left w:val="none" w:sz="0" w:space="0" w:color="auto"/>
        <w:bottom w:val="none" w:sz="0" w:space="0" w:color="auto"/>
        <w:right w:val="none" w:sz="0" w:space="0" w:color="auto"/>
      </w:divBdr>
      <w:divsChild>
        <w:div w:id="1388190253">
          <w:marLeft w:val="0"/>
          <w:marRight w:val="0"/>
          <w:marTop w:val="0"/>
          <w:marBottom w:val="0"/>
          <w:divBdr>
            <w:top w:val="none" w:sz="0" w:space="0" w:color="auto"/>
            <w:left w:val="none" w:sz="0" w:space="0" w:color="auto"/>
            <w:bottom w:val="none" w:sz="0" w:space="0" w:color="auto"/>
            <w:right w:val="none" w:sz="0" w:space="0" w:color="auto"/>
          </w:divBdr>
        </w:div>
      </w:divsChild>
    </w:div>
    <w:div w:id="1299074160">
      <w:bodyDiv w:val="1"/>
      <w:marLeft w:val="0"/>
      <w:marRight w:val="0"/>
      <w:marTop w:val="0"/>
      <w:marBottom w:val="0"/>
      <w:divBdr>
        <w:top w:val="none" w:sz="0" w:space="0" w:color="auto"/>
        <w:left w:val="none" w:sz="0" w:space="0" w:color="auto"/>
        <w:bottom w:val="none" w:sz="0" w:space="0" w:color="auto"/>
        <w:right w:val="none" w:sz="0" w:space="0" w:color="auto"/>
      </w:divBdr>
      <w:divsChild>
        <w:div w:id="1590773206">
          <w:marLeft w:val="0"/>
          <w:marRight w:val="0"/>
          <w:marTop w:val="0"/>
          <w:marBottom w:val="0"/>
          <w:divBdr>
            <w:top w:val="none" w:sz="0" w:space="0" w:color="auto"/>
            <w:left w:val="none" w:sz="0" w:space="0" w:color="auto"/>
            <w:bottom w:val="none" w:sz="0" w:space="0" w:color="auto"/>
            <w:right w:val="none" w:sz="0" w:space="0" w:color="auto"/>
          </w:divBdr>
        </w:div>
      </w:divsChild>
    </w:div>
    <w:div w:id="1538085997">
      <w:bodyDiv w:val="1"/>
      <w:marLeft w:val="0"/>
      <w:marRight w:val="0"/>
      <w:marTop w:val="0"/>
      <w:marBottom w:val="0"/>
      <w:divBdr>
        <w:top w:val="none" w:sz="0" w:space="0" w:color="auto"/>
        <w:left w:val="none" w:sz="0" w:space="0" w:color="auto"/>
        <w:bottom w:val="none" w:sz="0" w:space="0" w:color="auto"/>
        <w:right w:val="none" w:sz="0" w:space="0" w:color="auto"/>
      </w:divBdr>
      <w:divsChild>
        <w:div w:id="343635935">
          <w:marLeft w:val="0"/>
          <w:marRight w:val="0"/>
          <w:marTop w:val="0"/>
          <w:marBottom w:val="0"/>
          <w:divBdr>
            <w:top w:val="none" w:sz="0" w:space="0" w:color="auto"/>
            <w:left w:val="none" w:sz="0" w:space="0" w:color="auto"/>
            <w:bottom w:val="none" w:sz="0" w:space="0" w:color="auto"/>
            <w:right w:val="none" w:sz="0" w:space="0" w:color="auto"/>
          </w:divBdr>
        </w:div>
      </w:divsChild>
    </w:div>
    <w:div w:id="1545678430">
      <w:bodyDiv w:val="1"/>
      <w:marLeft w:val="0"/>
      <w:marRight w:val="0"/>
      <w:marTop w:val="0"/>
      <w:marBottom w:val="0"/>
      <w:divBdr>
        <w:top w:val="none" w:sz="0" w:space="0" w:color="auto"/>
        <w:left w:val="none" w:sz="0" w:space="0" w:color="auto"/>
        <w:bottom w:val="none" w:sz="0" w:space="0" w:color="auto"/>
        <w:right w:val="none" w:sz="0" w:space="0" w:color="auto"/>
      </w:divBdr>
      <w:divsChild>
        <w:div w:id="2032950361">
          <w:marLeft w:val="0"/>
          <w:marRight w:val="0"/>
          <w:marTop w:val="0"/>
          <w:marBottom w:val="0"/>
          <w:divBdr>
            <w:top w:val="none" w:sz="0" w:space="0" w:color="auto"/>
            <w:left w:val="none" w:sz="0" w:space="0" w:color="auto"/>
            <w:bottom w:val="none" w:sz="0" w:space="0" w:color="auto"/>
            <w:right w:val="none" w:sz="0" w:space="0" w:color="auto"/>
          </w:divBdr>
        </w:div>
      </w:divsChild>
    </w:div>
    <w:div w:id="1552305309">
      <w:bodyDiv w:val="1"/>
      <w:marLeft w:val="0"/>
      <w:marRight w:val="0"/>
      <w:marTop w:val="0"/>
      <w:marBottom w:val="0"/>
      <w:divBdr>
        <w:top w:val="none" w:sz="0" w:space="0" w:color="auto"/>
        <w:left w:val="none" w:sz="0" w:space="0" w:color="auto"/>
        <w:bottom w:val="none" w:sz="0" w:space="0" w:color="auto"/>
        <w:right w:val="none" w:sz="0" w:space="0" w:color="auto"/>
      </w:divBdr>
      <w:divsChild>
        <w:div w:id="1173568488">
          <w:marLeft w:val="0"/>
          <w:marRight w:val="0"/>
          <w:marTop w:val="0"/>
          <w:marBottom w:val="0"/>
          <w:divBdr>
            <w:top w:val="none" w:sz="0" w:space="0" w:color="auto"/>
            <w:left w:val="none" w:sz="0" w:space="0" w:color="auto"/>
            <w:bottom w:val="none" w:sz="0" w:space="0" w:color="auto"/>
            <w:right w:val="none" w:sz="0" w:space="0" w:color="auto"/>
          </w:divBdr>
        </w:div>
      </w:divsChild>
    </w:div>
    <w:div w:id="1737900447">
      <w:bodyDiv w:val="1"/>
      <w:marLeft w:val="0"/>
      <w:marRight w:val="0"/>
      <w:marTop w:val="0"/>
      <w:marBottom w:val="0"/>
      <w:divBdr>
        <w:top w:val="none" w:sz="0" w:space="0" w:color="auto"/>
        <w:left w:val="none" w:sz="0" w:space="0" w:color="auto"/>
        <w:bottom w:val="none" w:sz="0" w:space="0" w:color="auto"/>
        <w:right w:val="none" w:sz="0" w:space="0" w:color="auto"/>
      </w:divBdr>
      <w:divsChild>
        <w:div w:id="215707959">
          <w:marLeft w:val="0"/>
          <w:marRight w:val="0"/>
          <w:marTop w:val="0"/>
          <w:marBottom w:val="0"/>
          <w:divBdr>
            <w:top w:val="none" w:sz="0" w:space="0" w:color="auto"/>
            <w:left w:val="none" w:sz="0" w:space="0" w:color="auto"/>
            <w:bottom w:val="none" w:sz="0" w:space="0" w:color="auto"/>
            <w:right w:val="none" w:sz="0" w:space="0" w:color="auto"/>
          </w:divBdr>
        </w:div>
      </w:divsChild>
    </w:div>
    <w:div w:id="1804810815">
      <w:bodyDiv w:val="1"/>
      <w:marLeft w:val="0"/>
      <w:marRight w:val="0"/>
      <w:marTop w:val="0"/>
      <w:marBottom w:val="0"/>
      <w:divBdr>
        <w:top w:val="none" w:sz="0" w:space="0" w:color="auto"/>
        <w:left w:val="none" w:sz="0" w:space="0" w:color="auto"/>
        <w:bottom w:val="none" w:sz="0" w:space="0" w:color="auto"/>
        <w:right w:val="none" w:sz="0" w:space="0" w:color="auto"/>
      </w:divBdr>
      <w:divsChild>
        <w:div w:id="52125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E0DCFC808D9C448CE2258830C4D3EA" ma:contentTypeVersion="2" ma:contentTypeDescription="Create a new document." ma:contentTypeScope="" ma:versionID="fd89e3e5e8c930389cdf3d70de4686e4">
  <xsd:schema xmlns:xsd="http://www.w3.org/2001/XMLSchema" xmlns:xs="http://www.w3.org/2001/XMLSchema" xmlns:p="http://schemas.microsoft.com/office/2006/metadata/properties" xmlns:ns2="5d842d19-cf93-4ab1-a172-e3807e573797" targetNamespace="http://schemas.microsoft.com/office/2006/metadata/properties" ma:root="true" ma:fieldsID="ab7645e223c44fb87b6d866fa961ede4" ns2:_="">
    <xsd:import namespace="5d842d19-cf93-4ab1-a172-e3807e57379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42d19-cf93-4ab1-a172-e3807e5737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10c9901-c772-4913-8105-4fa4937d0c44"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DE1DB1-2229-4D2B-8602-7CAD734E9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42d19-cf93-4ab1-a172-e3807e573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FE70D3-7CAD-4C0C-8462-EE80766C4BE0}">
  <ds:schemaRefs>
    <ds:schemaRef ds:uri="Microsoft.SharePoint.Taxonomy.ContentTypeSync"/>
  </ds:schemaRefs>
</ds:datastoreItem>
</file>

<file path=customXml/itemProps3.xml><?xml version="1.0" encoding="utf-8"?>
<ds:datastoreItem xmlns:ds="http://schemas.openxmlformats.org/officeDocument/2006/customXml" ds:itemID="{95B97F36-52C5-406F-8AD4-BC5ED31CBE6F}">
  <ds:schemaRefs>
    <ds:schemaRef ds:uri="http://schemas.microsoft.com/sharepoint/v3/contenttype/forms"/>
  </ds:schemaRefs>
</ds:datastoreItem>
</file>

<file path=customXml/itemProps4.xml><?xml version="1.0" encoding="utf-8"?>
<ds:datastoreItem xmlns:ds="http://schemas.openxmlformats.org/officeDocument/2006/customXml" ds:itemID="{5D1A7D3E-D557-4822-BBB7-720BF9BB4D1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3b1af8-ed4d-44e7-9838-e9c0c21c8947}" enabled="1" method="Standard" siteId="{8f7cec2f-be32-44bc-8611-9ff05a2583f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6121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2026-10-06T07:17:00Z</dcterms:created>
  <dcterms:modified xsi:type="dcterms:W3CDTF">2026-10-06T07:17:00Z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0x010100BDE0DCFC808D9C448CE2258830C4D3EA</vt:lpwstr>
  </property>
</Properties>
</file>