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75C57" w14:textId="0AB59FDF" w:rsidR="00EB5098" w:rsidRPr="0056116D" w:rsidRDefault="005F4136">
      <w:pPr>
        <w:rPr>
          <w:rFonts w:cs="Calibri"/>
        </w:rPr>
      </w:pPr>
      <w:r w:rsidRPr="0056116D">
        <w:rPr>
          <w:rFonts w:cs="Calibri"/>
        </w:rPr>
        <w:t>Tender Questions and Clarifications</w:t>
      </w:r>
    </w:p>
    <w:p w14:paraId="7203D915" w14:textId="77777777" w:rsidR="005F4136" w:rsidRPr="0056116D" w:rsidRDefault="005F4136">
      <w:pPr>
        <w:rPr>
          <w:rFonts w:cs="Calibri"/>
        </w:rPr>
      </w:pPr>
    </w:p>
    <w:p w14:paraId="7AB76085" w14:textId="77288A79" w:rsidR="00A819AD" w:rsidRPr="0056116D" w:rsidRDefault="00394EEB" w:rsidP="005F4136">
      <w:pPr>
        <w:pStyle w:val="ListParagraph"/>
        <w:numPr>
          <w:ilvl w:val="0"/>
          <w:numId w:val="3"/>
        </w:numPr>
        <w:rPr>
          <w:rFonts w:cs="Calibri"/>
        </w:rPr>
      </w:pPr>
      <w:r w:rsidRPr="0056116D">
        <w:rPr>
          <w:rFonts w:cs="Calibri"/>
        </w:rPr>
        <w:t>Section 3.2 of the RFT states that "A list of at least two projects" should be provided. However, Section 2 of the TRD only provides space for two project examples. Please confirm whether we should be providing two project examples only, or whether we can provide more than two?</w:t>
      </w:r>
    </w:p>
    <w:p w14:paraId="1A455DCD" w14:textId="7AD15A7C" w:rsidR="007060F9" w:rsidRDefault="005F4136" w:rsidP="005F4136">
      <w:pPr>
        <w:ind w:firstLine="720"/>
        <w:rPr>
          <w:rFonts w:cs="Calibri"/>
          <w:color w:val="0070C0"/>
        </w:rPr>
      </w:pPr>
      <w:r w:rsidRPr="0056116D">
        <w:rPr>
          <w:rFonts w:cs="Calibri"/>
          <w:color w:val="0070C0"/>
        </w:rPr>
        <w:t xml:space="preserve">Clarification: </w:t>
      </w:r>
      <w:r w:rsidR="007A6EAE" w:rsidRPr="0056116D">
        <w:rPr>
          <w:rFonts w:cs="Calibri"/>
          <w:color w:val="0070C0"/>
        </w:rPr>
        <w:t xml:space="preserve">Tenderers </w:t>
      </w:r>
      <w:r w:rsidRPr="0056116D">
        <w:rPr>
          <w:rFonts w:cs="Calibri"/>
          <w:color w:val="0070C0"/>
        </w:rPr>
        <w:t>should provide</w:t>
      </w:r>
      <w:r w:rsidR="007A6EAE" w:rsidRPr="0056116D">
        <w:rPr>
          <w:rFonts w:cs="Calibri"/>
          <w:color w:val="0070C0"/>
        </w:rPr>
        <w:t xml:space="preserve"> two project examples</w:t>
      </w:r>
      <w:r w:rsidRPr="0056116D">
        <w:rPr>
          <w:rFonts w:cs="Calibri"/>
          <w:color w:val="0070C0"/>
        </w:rPr>
        <w:t xml:space="preserve"> only</w:t>
      </w:r>
      <w:r w:rsidR="007A6EAE" w:rsidRPr="0056116D">
        <w:rPr>
          <w:rFonts w:cs="Calibri"/>
          <w:color w:val="0070C0"/>
        </w:rPr>
        <w:t>.</w:t>
      </w:r>
    </w:p>
    <w:p w14:paraId="55C75486" w14:textId="77777777" w:rsidR="0056116D" w:rsidRPr="0056116D" w:rsidRDefault="0056116D" w:rsidP="005F4136">
      <w:pPr>
        <w:ind w:firstLine="720"/>
        <w:rPr>
          <w:rFonts w:cs="Calibri"/>
          <w:color w:val="0070C0"/>
        </w:rPr>
      </w:pPr>
    </w:p>
    <w:p w14:paraId="27878277" w14:textId="21A1C031" w:rsidR="007060F9" w:rsidRPr="0056116D" w:rsidRDefault="00394EEB" w:rsidP="005F4136">
      <w:pPr>
        <w:pStyle w:val="ListParagraph"/>
        <w:numPr>
          <w:ilvl w:val="0"/>
          <w:numId w:val="3"/>
        </w:numPr>
        <w:rPr>
          <w:rFonts w:cs="Calibri"/>
        </w:rPr>
      </w:pPr>
      <w:r w:rsidRPr="0056116D">
        <w:rPr>
          <w:rFonts w:cs="Calibri"/>
        </w:rPr>
        <w:t xml:space="preserve">Please confirm whether costs </w:t>
      </w:r>
      <w:r w:rsidR="007F468F" w:rsidRPr="0056116D">
        <w:rPr>
          <w:rFonts w:cs="Calibri"/>
        </w:rPr>
        <w:t>associated</w:t>
      </w:r>
      <w:r w:rsidRPr="0056116D">
        <w:rPr>
          <w:rFonts w:cs="Calibri"/>
        </w:rPr>
        <w:t xml:space="preserve"> with data collection </w:t>
      </w:r>
      <w:proofErr w:type="spellStart"/>
      <w:r w:rsidRPr="0056116D">
        <w:rPr>
          <w:rFonts w:cs="Calibri"/>
        </w:rPr>
        <w:t>e.g</w:t>
      </w:r>
      <w:proofErr w:type="spellEnd"/>
      <w:r w:rsidRPr="0056116D">
        <w:rPr>
          <w:rFonts w:cs="Calibri"/>
        </w:rPr>
        <w:t xml:space="preserve"> parking occupancy and turnover surveys, should be included within the fee? If so, will an updated version of Appendix 2 be provided to ensure a fair and transparent tender process?</w:t>
      </w:r>
    </w:p>
    <w:p w14:paraId="50143B17" w14:textId="42183A32" w:rsidR="007060F9" w:rsidRDefault="005F4136" w:rsidP="005F4136">
      <w:pPr>
        <w:ind w:left="720"/>
        <w:rPr>
          <w:rFonts w:cs="Calibri"/>
          <w:color w:val="0070C0"/>
        </w:rPr>
      </w:pPr>
      <w:r w:rsidRPr="0056116D">
        <w:rPr>
          <w:rFonts w:cs="Calibri"/>
          <w:color w:val="0070C0"/>
        </w:rPr>
        <w:t xml:space="preserve">Clarification: </w:t>
      </w:r>
      <w:r w:rsidR="00F54894" w:rsidRPr="0056116D">
        <w:rPr>
          <w:rFonts w:cs="Calibri"/>
          <w:color w:val="0070C0"/>
        </w:rPr>
        <w:t>Costs associated with data collection should be included within the fee</w:t>
      </w:r>
      <w:r w:rsidR="00A95E7A" w:rsidRPr="0056116D">
        <w:rPr>
          <w:rFonts w:cs="Calibri"/>
          <w:color w:val="0070C0"/>
        </w:rPr>
        <w:t xml:space="preserve"> under the Stage 1: Baseline Assessment, Data Collection and Existing Conditions Review. Appendix 2 will not be amended.</w:t>
      </w:r>
    </w:p>
    <w:p w14:paraId="092C5BC4" w14:textId="77777777" w:rsidR="0056116D" w:rsidRPr="0056116D" w:rsidRDefault="0056116D" w:rsidP="005F4136">
      <w:pPr>
        <w:ind w:left="720"/>
        <w:rPr>
          <w:rFonts w:cs="Calibri"/>
          <w:color w:val="0070C0"/>
        </w:rPr>
      </w:pPr>
    </w:p>
    <w:p w14:paraId="31F824F9" w14:textId="60DA15EA" w:rsidR="007060F9" w:rsidRPr="0056116D" w:rsidRDefault="00394EEB" w:rsidP="005F4136">
      <w:pPr>
        <w:pStyle w:val="ListParagraph"/>
        <w:numPr>
          <w:ilvl w:val="0"/>
          <w:numId w:val="3"/>
        </w:numPr>
        <w:rPr>
          <w:rFonts w:cs="Calibri"/>
        </w:rPr>
      </w:pPr>
      <w:r w:rsidRPr="0056116D">
        <w:rPr>
          <w:rFonts w:cs="Calibri"/>
        </w:rPr>
        <w:t xml:space="preserve">At what geographic scale is the implementation strategy expected to be presented? For example, should individual interventions be identified at a </w:t>
      </w:r>
      <w:proofErr w:type="gramStart"/>
      <w:r w:rsidRPr="0056116D">
        <w:rPr>
          <w:rFonts w:cs="Calibri"/>
        </w:rPr>
        <w:t>street by street</w:t>
      </w:r>
      <w:proofErr w:type="gramEnd"/>
      <w:r w:rsidRPr="0056116D">
        <w:rPr>
          <w:rFonts w:cs="Calibri"/>
        </w:rPr>
        <w:t xml:space="preserve"> scale, or should a zonal approach be used?</w:t>
      </w:r>
    </w:p>
    <w:p w14:paraId="10EDB6B6" w14:textId="4D127584" w:rsidR="007060F9" w:rsidRDefault="005F4136" w:rsidP="005F4136">
      <w:pPr>
        <w:ind w:firstLine="720"/>
        <w:rPr>
          <w:rFonts w:cs="Calibri"/>
          <w:color w:val="0070C0"/>
        </w:rPr>
      </w:pPr>
      <w:r w:rsidRPr="0056116D">
        <w:rPr>
          <w:rFonts w:cs="Calibri"/>
          <w:color w:val="0070C0"/>
        </w:rPr>
        <w:t xml:space="preserve">Clarification: </w:t>
      </w:r>
      <w:r w:rsidR="007F468F" w:rsidRPr="0056116D">
        <w:rPr>
          <w:rFonts w:cs="Calibri"/>
          <w:color w:val="0070C0"/>
        </w:rPr>
        <w:t xml:space="preserve">The implementation strategy should be presented on a </w:t>
      </w:r>
      <w:r w:rsidRPr="0056116D">
        <w:rPr>
          <w:rFonts w:cs="Calibri"/>
          <w:color w:val="0070C0"/>
        </w:rPr>
        <w:t>street-by-street</w:t>
      </w:r>
      <w:r w:rsidR="007F468F" w:rsidRPr="0056116D">
        <w:rPr>
          <w:rFonts w:cs="Calibri"/>
          <w:color w:val="0070C0"/>
        </w:rPr>
        <w:t xml:space="preserve"> scale.</w:t>
      </w:r>
    </w:p>
    <w:p w14:paraId="111AD681" w14:textId="77777777" w:rsidR="0056116D" w:rsidRPr="0056116D" w:rsidRDefault="0056116D" w:rsidP="005F4136">
      <w:pPr>
        <w:ind w:firstLine="720"/>
        <w:rPr>
          <w:rFonts w:cs="Calibri"/>
          <w:color w:val="0070C0"/>
        </w:rPr>
      </w:pPr>
    </w:p>
    <w:p w14:paraId="7B44F807" w14:textId="1DEA197E" w:rsidR="007060F9" w:rsidRPr="0056116D" w:rsidRDefault="00394EEB" w:rsidP="005F4136">
      <w:pPr>
        <w:pStyle w:val="ListParagraph"/>
        <w:numPr>
          <w:ilvl w:val="0"/>
          <w:numId w:val="3"/>
        </w:numPr>
        <w:rPr>
          <w:rFonts w:cs="Calibri"/>
        </w:rPr>
      </w:pPr>
      <w:r w:rsidRPr="0056116D">
        <w:rPr>
          <w:rFonts w:cs="Calibri"/>
        </w:rPr>
        <w:t>Is the response to 'Contract Management- Professional Qualifications' limited to the provision of 2 CVs only or can this be supported by a statement addressing the proposed approach to contract management? </w:t>
      </w:r>
    </w:p>
    <w:p w14:paraId="3CB33111" w14:textId="137298BB" w:rsidR="00EB5098" w:rsidRDefault="005F4136" w:rsidP="00695EF3">
      <w:pPr>
        <w:ind w:left="720"/>
        <w:rPr>
          <w:rFonts w:cs="Calibri"/>
          <w:color w:val="0070C0"/>
        </w:rPr>
      </w:pPr>
      <w:r w:rsidRPr="0056116D">
        <w:rPr>
          <w:rFonts w:cs="Calibri"/>
          <w:color w:val="0070C0"/>
        </w:rPr>
        <w:t xml:space="preserve">Clarification: Tenderers should provide 2 CVs only, i.e. for the Dedicated Project Manager and Assistant Project Manager. </w:t>
      </w:r>
    </w:p>
    <w:p w14:paraId="221065D8" w14:textId="77777777" w:rsidR="0056116D" w:rsidRPr="0056116D" w:rsidRDefault="0056116D" w:rsidP="00695EF3">
      <w:pPr>
        <w:ind w:left="720"/>
        <w:rPr>
          <w:rFonts w:cs="Calibri"/>
          <w:b/>
          <w:bCs/>
          <w:color w:val="FF0000"/>
        </w:rPr>
      </w:pPr>
    </w:p>
    <w:p w14:paraId="79196CBE" w14:textId="6C9B25F6" w:rsidR="00552205" w:rsidRPr="0056116D" w:rsidRDefault="00552205" w:rsidP="00552205">
      <w:pPr>
        <w:pStyle w:val="ListParagraph"/>
        <w:numPr>
          <w:ilvl w:val="0"/>
          <w:numId w:val="3"/>
        </w:numPr>
        <w:rPr>
          <w:rFonts w:cs="Calibri"/>
        </w:rPr>
      </w:pPr>
      <w:r w:rsidRPr="0056116D">
        <w:rPr>
          <w:rFonts w:cs="Calibri"/>
        </w:rPr>
        <w:t>Previous experience references for consortium members:</w:t>
      </w:r>
      <w:r w:rsidR="005F4136" w:rsidRPr="0056116D">
        <w:rPr>
          <w:rFonts w:cs="Calibri"/>
        </w:rPr>
        <w:t xml:space="preserve"> </w:t>
      </w:r>
      <w:r w:rsidRPr="0056116D">
        <w:rPr>
          <w:rFonts w:cs="Calibri"/>
        </w:rPr>
        <w:t xml:space="preserve">Where a Tender is submitted by a </w:t>
      </w:r>
      <w:proofErr w:type="gramStart"/>
      <w:r w:rsidRPr="0056116D">
        <w:rPr>
          <w:rFonts w:cs="Calibri"/>
        </w:rPr>
        <w:t>consortium</w:t>
      </w:r>
      <w:proofErr w:type="gramEnd"/>
      <w:r w:rsidRPr="0056116D">
        <w:rPr>
          <w:rFonts w:cs="Calibri"/>
        </w:rPr>
        <w:t xml:space="preserve"> please confirm if each consortium member must provide two reference contracts.</w:t>
      </w:r>
    </w:p>
    <w:p w14:paraId="5242BEAA" w14:textId="3D28F361" w:rsidR="000B1195" w:rsidRDefault="005F4136" w:rsidP="005F4136">
      <w:pPr>
        <w:ind w:firstLine="720"/>
        <w:rPr>
          <w:rFonts w:cs="Calibri"/>
          <w:color w:val="0070C0"/>
        </w:rPr>
      </w:pPr>
      <w:r w:rsidRPr="0056116D">
        <w:rPr>
          <w:rFonts w:cs="Calibri"/>
          <w:color w:val="0070C0"/>
        </w:rPr>
        <w:t>Clarification: Yes, each consortium member</w:t>
      </w:r>
      <w:r w:rsidR="00695EF3" w:rsidRPr="0056116D">
        <w:rPr>
          <w:rFonts w:cs="Calibri"/>
          <w:color w:val="0070C0"/>
        </w:rPr>
        <w:t xml:space="preserve"> must provide two reference contracts.</w:t>
      </w:r>
      <w:r w:rsidRPr="0056116D">
        <w:rPr>
          <w:rFonts w:cs="Calibri"/>
          <w:color w:val="0070C0"/>
        </w:rPr>
        <w:t xml:space="preserve"> </w:t>
      </w:r>
    </w:p>
    <w:p w14:paraId="62B6EADB" w14:textId="77777777" w:rsidR="0056116D" w:rsidRPr="0056116D" w:rsidRDefault="0056116D" w:rsidP="005F4136">
      <w:pPr>
        <w:ind w:firstLine="720"/>
        <w:rPr>
          <w:rFonts w:cs="Calibri"/>
          <w:color w:val="0070C0"/>
        </w:rPr>
      </w:pPr>
    </w:p>
    <w:p w14:paraId="0E108C5B" w14:textId="18AA06A0" w:rsidR="00552205" w:rsidRPr="0056116D" w:rsidRDefault="00552205" w:rsidP="00552205">
      <w:pPr>
        <w:pStyle w:val="ListParagraph"/>
        <w:numPr>
          <w:ilvl w:val="0"/>
          <w:numId w:val="3"/>
        </w:numPr>
        <w:rPr>
          <w:rFonts w:cs="Calibri"/>
        </w:rPr>
      </w:pPr>
      <w:r w:rsidRPr="0056116D">
        <w:rPr>
          <w:rFonts w:cs="Calibri"/>
        </w:rPr>
        <w:t>Timing of Stage 1 data collection</w:t>
      </w:r>
      <w:r w:rsidR="00695EF3" w:rsidRPr="0056116D">
        <w:rPr>
          <w:rFonts w:cs="Calibri"/>
        </w:rPr>
        <w:t>:</w:t>
      </w:r>
      <w:proofErr w:type="gramStart"/>
      <w:r w:rsidR="00695EF3" w:rsidRPr="0056116D">
        <w:rPr>
          <w:rFonts w:cs="Calibri"/>
          <w:b/>
          <w:bCs/>
        </w:rPr>
        <w:tab/>
        <w:t xml:space="preserve">  </w:t>
      </w:r>
      <w:r w:rsidRPr="0056116D">
        <w:rPr>
          <w:rFonts w:cs="Calibri"/>
        </w:rPr>
        <w:t>Appendix</w:t>
      </w:r>
      <w:proofErr w:type="gramEnd"/>
      <w:r w:rsidRPr="0056116D">
        <w:rPr>
          <w:rFonts w:cs="Calibri"/>
        </w:rPr>
        <w:t xml:space="preserve"> 1, section 4 states that the programme is based on a project commencement of 2 November 2026. On that basis, Stage 1 parking occupancy, utilisation and user surveys would take place in November and December, which may coincide with pre-Christmas trading and may not reflect typical parking demand. Please confirm:</w:t>
      </w:r>
    </w:p>
    <w:p w14:paraId="2BE53C80" w14:textId="77777777" w:rsidR="00552205" w:rsidRPr="0056116D" w:rsidRDefault="00552205" w:rsidP="00695EF3">
      <w:pPr>
        <w:ind w:firstLine="720"/>
        <w:rPr>
          <w:rFonts w:cs="Calibri"/>
        </w:rPr>
      </w:pPr>
      <w:r w:rsidRPr="0056116D">
        <w:rPr>
          <w:rFonts w:cs="Calibri"/>
        </w:rPr>
        <w:t>(a) whether the Council intends Stage 1 data collection to take place during this period;</w:t>
      </w:r>
    </w:p>
    <w:p w14:paraId="144ED23E" w14:textId="77777777" w:rsidR="00552205" w:rsidRPr="0056116D" w:rsidRDefault="00552205" w:rsidP="00695EF3">
      <w:pPr>
        <w:ind w:left="720"/>
        <w:rPr>
          <w:rFonts w:cs="Calibri"/>
        </w:rPr>
      </w:pPr>
      <w:r w:rsidRPr="0056116D">
        <w:rPr>
          <w:rFonts w:cs="Calibri"/>
        </w:rPr>
        <w:t>(b) if not, whether Tenderers may schedule surveys for a period the Council considers representative, and which period that is; and</w:t>
      </w:r>
    </w:p>
    <w:p w14:paraId="2EE462E6" w14:textId="77777777" w:rsidR="00552205" w:rsidRPr="0056116D" w:rsidRDefault="00552205" w:rsidP="00695EF3">
      <w:pPr>
        <w:ind w:left="720"/>
        <w:rPr>
          <w:rFonts w:cs="Calibri"/>
        </w:rPr>
      </w:pPr>
      <w:r w:rsidRPr="0056116D">
        <w:rPr>
          <w:rFonts w:cs="Calibri"/>
        </w:rPr>
        <w:lastRenderedPageBreak/>
        <w:t>(c) whether the Council would accept a programme with surveys in both a representative period and a peak period, to capture seasonal variation.</w:t>
      </w:r>
    </w:p>
    <w:p w14:paraId="75951C84" w14:textId="77777777" w:rsidR="00490303" w:rsidRPr="0056116D" w:rsidRDefault="00490303" w:rsidP="00490303">
      <w:pPr>
        <w:ind w:left="720"/>
        <w:rPr>
          <w:rFonts w:cs="Calibri"/>
          <w:color w:val="0070C0"/>
        </w:rPr>
      </w:pPr>
      <w:r w:rsidRPr="0056116D">
        <w:rPr>
          <w:rFonts w:cs="Calibri"/>
          <w:color w:val="0070C0"/>
        </w:rPr>
        <w:t>Clarification:</w:t>
      </w:r>
      <w:r w:rsidR="000B1195" w:rsidRPr="0056116D">
        <w:rPr>
          <w:rFonts w:cs="Calibri"/>
          <w:color w:val="0070C0"/>
        </w:rPr>
        <w:br/>
      </w:r>
      <w:r w:rsidRPr="0056116D">
        <w:rPr>
          <w:rFonts w:cs="Calibri"/>
          <w:color w:val="0070C0"/>
        </w:rPr>
        <w:t xml:space="preserve">(a) </w:t>
      </w:r>
      <w:r w:rsidR="000B1195" w:rsidRPr="0056116D">
        <w:rPr>
          <w:rFonts w:cs="Calibri"/>
          <w:color w:val="0070C0"/>
        </w:rPr>
        <w:t>The 2 November 2026 date is the anticipated project commencement date and does not require all Stage 1 data collection and surveys to be undertaken during November and December 2026.</w:t>
      </w:r>
      <w:r w:rsidRPr="0056116D">
        <w:rPr>
          <w:rFonts w:cs="Calibri"/>
          <w:color w:val="0070C0"/>
        </w:rPr>
        <w:t xml:space="preserve"> </w:t>
      </w:r>
    </w:p>
    <w:p w14:paraId="502F1EF0" w14:textId="616F6DCC" w:rsidR="000B1195" w:rsidRPr="0056116D" w:rsidRDefault="00490303" w:rsidP="00AF081E">
      <w:pPr>
        <w:ind w:left="720"/>
        <w:rPr>
          <w:rFonts w:cs="Calibri"/>
          <w:color w:val="0070C0"/>
        </w:rPr>
      </w:pPr>
      <w:r w:rsidRPr="0056116D">
        <w:rPr>
          <w:rFonts w:cs="Calibri"/>
          <w:color w:val="0070C0"/>
        </w:rPr>
        <w:t>(b)</w:t>
      </w:r>
      <w:r w:rsidRPr="0056116D">
        <w:rPr>
          <w:rFonts w:cs="Calibri"/>
          <w:b/>
          <w:bCs/>
          <w:color w:val="0070C0"/>
        </w:rPr>
        <w:t xml:space="preserve"> </w:t>
      </w:r>
      <w:r w:rsidRPr="0056116D">
        <w:rPr>
          <w:rFonts w:cs="Calibri"/>
          <w:color w:val="0070C0"/>
        </w:rPr>
        <w:t>The Council does not consider that pre-Christmas trading in December and holiday periods in August reflect typical parking demand, and these periods should not solely be relied on to</w:t>
      </w:r>
      <w:r w:rsidR="00AF081E" w:rsidRPr="0056116D">
        <w:rPr>
          <w:rFonts w:cs="Calibri"/>
          <w:color w:val="0070C0"/>
        </w:rPr>
        <w:t xml:space="preserve"> inform Stage 1 Baseline Assessment, Data Collection and Existing Conditions Review</w:t>
      </w:r>
      <w:r w:rsidRPr="0056116D">
        <w:rPr>
          <w:rFonts w:cs="Calibri"/>
          <w:color w:val="0070C0"/>
        </w:rPr>
        <w:t>.</w:t>
      </w:r>
    </w:p>
    <w:p w14:paraId="0B30C33B" w14:textId="68BE6401" w:rsidR="00AF081E" w:rsidRDefault="000B1195" w:rsidP="00AF081E">
      <w:pPr>
        <w:ind w:left="720"/>
        <w:rPr>
          <w:rFonts w:cs="Calibri"/>
          <w:color w:val="0070C0"/>
        </w:rPr>
      </w:pPr>
      <w:r w:rsidRPr="0056116D">
        <w:rPr>
          <w:rFonts w:cs="Calibri"/>
          <w:color w:val="0070C0"/>
        </w:rPr>
        <w:t>(c)</w:t>
      </w:r>
      <w:r w:rsidR="00AF081E" w:rsidRPr="0056116D">
        <w:rPr>
          <w:rFonts w:cs="Calibri"/>
          <w:color w:val="0070C0"/>
        </w:rPr>
        <w:t xml:space="preserve"> Tenderers may propose, as part of their methodology and programme, the timing of surveys that they consider appropriate to provide a representative assessment of typical parking occupancy, utilisation and user behaviour. The proposed survey periods and rationale should be clearly identified in the Tenderer's methodology and programme. </w:t>
      </w:r>
      <w:r w:rsidRPr="0056116D">
        <w:rPr>
          <w:rFonts w:cs="Calibri"/>
          <w:color w:val="0070C0"/>
        </w:rPr>
        <w:t>The Council would accept proposals incorporating surveys during both representative and peak periods where the Tenderer considers this appropriate to identify seasonal variation and strengthen the evidence base for the Parking Strategy.</w:t>
      </w:r>
      <w:r w:rsidR="00AF081E" w:rsidRPr="0056116D">
        <w:rPr>
          <w:rFonts w:cs="Calibri"/>
          <w:color w:val="0070C0"/>
        </w:rPr>
        <w:t xml:space="preserve"> </w:t>
      </w:r>
      <w:r w:rsidRPr="0056116D">
        <w:rPr>
          <w:rFonts w:cs="Calibri"/>
          <w:color w:val="0070C0"/>
        </w:rPr>
        <w:t>Tenderers should clearly identify the proposed survey periods, methodology and associated rationale within their submission.</w:t>
      </w:r>
    </w:p>
    <w:p w14:paraId="673813E9" w14:textId="77777777" w:rsidR="0056116D" w:rsidRPr="0056116D" w:rsidRDefault="0056116D" w:rsidP="00AF081E">
      <w:pPr>
        <w:ind w:left="720"/>
        <w:rPr>
          <w:rFonts w:cs="Calibri"/>
          <w:color w:val="0070C0"/>
        </w:rPr>
      </w:pPr>
    </w:p>
    <w:p w14:paraId="0CF793A0" w14:textId="67E57BBF" w:rsidR="00552205" w:rsidRPr="0056116D" w:rsidRDefault="00552205" w:rsidP="00AF081E">
      <w:pPr>
        <w:pStyle w:val="ListParagraph"/>
        <w:numPr>
          <w:ilvl w:val="0"/>
          <w:numId w:val="3"/>
        </w:numPr>
        <w:rPr>
          <w:rFonts w:cs="Calibri"/>
        </w:rPr>
      </w:pPr>
      <w:r w:rsidRPr="0056116D">
        <w:rPr>
          <w:rFonts w:cs="Calibri"/>
        </w:rPr>
        <w:t>Environmental Considerations response limit</w:t>
      </w:r>
      <w:r w:rsidR="00AF081E" w:rsidRPr="0056116D">
        <w:rPr>
          <w:rFonts w:cs="Calibri"/>
        </w:rPr>
        <w:t xml:space="preserve">: </w:t>
      </w:r>
      <w:r w:rsidRPr="0056116D">
        <w:rPr>
          <w:rFonts w:cs="Calibri"/>
        </w:rPr>
        <w:t xml:space="preserve">Appendix 1, section 5 of the RFT states a </w:t>
      </w:r>
      <w:proofErr w:type="gramStart"/>
      <w:r w:rsidRPr="0056116D">
        <w:rPr>
          <w:rFonts w:cs="Calibri"/>
        </w:rPr>
        <w:t>2 page</w:t>
      </w:r>
      <w:proofErr w:type="gramEnd"/>
      <w:r w:rsidRPr="0056116D">
        <w:rPr>
          <w:rFonts w:cs="Calibri"/>
        </w:rPr>
        <w:t xml:space="preserve"> maximum for the Environmental Considerations methodology. TRD Part A states a maximum of 1,000 words. Please confirm which limit applies, or whether the response must meet both.</w:t>
      </w:r>
    </w:p>
    <w:p w14:paraId="3B91C9E0" w14:textId="043DC588" w:rsidR="00BC6788" w:rsidRPr="0056116D" w:rsidRDefault="00BC6788" w:rsidP="00AF081E">
      <w:pPr>
        <w:ind w:firstLine="709"/>
        <w:rPr>
          <w:rFonts w:cs="Calibri"/>
          <w:color w:val="0070C0"/>
        </w:rPr>
      </w:pPr>
      <w:r w:rsidRPr="0056116D">
        <w:rPr>
          <w:rFonts w:cs="Calibri"/>
          <w:color w:val="0070C0"/>
        </w:rPr>
        <w:t>Clarification</w:t>
      </w:r>
      <w:r w:rsidR="00AF081E" w:rsidRPr="0056116D">
        <w:rPr>
          <w:rFonts w:cs="Calibri"/>
          <w:color w:val="0070C0"/>
        </w:rPr>
        <w:t>:</w:t>
      </w:r>
    </w:p>
    <w:p w14:paraId="62FA5BAF" w14:textId="77777777" w:rsidR="00BC6788" w:rsidRPr="0056116D" w:rsidRDefault="00BC6788" w:rsidP="00AF081E">
      <w:pPr>
        <w:ind w:left="709"/>
        <w:rPr>
          <w:rFonts w:cs="Calibri"/>
          <w:color w:val="0070C0"/>
        </w:rPr>
      </w:pPr>
      <w:r w:rsidRPr="0056116D">
        <w:rPr>
          <w:rFonts w:cs="Calibri"/>
          <w:color w:val="0070C0"/>
        </w:rPr>
        <w:t>The Contracting Authority wishes to clarify the maximum permitted length of the response to the Environmental Considerations Award Criterion.</w:t>
      </w:r>
    </w:p>
    <w:p w14:paraId="399C2317" w14:textId="77777777" w:rsidR="00BC6788" w:rsidRPr="0056116D" w:rsidRDefault="00BC6788" w:rsidP="00AF081E">
      <w:pPr>
        <w:ind w:left="709"/>
        <w:rPr>
          <w:rFonts w:cs="Calibri"/>
          <w:color w:val="0070C0"/>
        </w:rPr>
      </w:pPr>
      <w:r w:rsidRPr="0056116D">
        <w:rPr>
          <w:rFonts w:cs="Calibri"/>
          <w:color w:val="0070C0"/>
        </w:rPr>
        <w:t>Appendix 1 of the RFT refers to a maximum response length of two pages, while the Tender Response Document (TRD Part A) refers to a maximum response length of 1,000 words.</w:t>
      </w:r>
    </w:p>
    <w:p w14:paraId="35FAED04" w14:textId="77777777" w:rsidR="00BC6788" w:rsidRPr="0056116D" w:rsidRDefault="00BC6788" w:rsidP="00AF081E">
      <w:pPr>
        <w:ind w:left="709"/>
        <w:rPr>
          <w:rFonts w:cs="Calibri"/>
          <w:color w:val="0070C0"/>
        </w:rPr>
      </w:pPr>
      <w:r w:rsidRPr="0056116D">
        <w:rPr>
          <w:rFonts w:cs="Calibri"/>
          <w:b/>
          <w:bCs/>
          <w:color w:val="0070C0"/>
        </w:rPr>
        <w:t>For the avoidance of doubt, the maximum permitted response length for the Environmental Considerations Award Criterion is 1,000 words. The reference to a two-page maximum in Appendix 1 of the RFT should therefore be disregarded.</w:t>
      </w:r>
    </w:p>
    <w:p w14:paraId="76638D1D" w14:textId="77777777" w:rsidR="00BC6788" w:rsidRDefault="00BC6788" w:rsidP="00AF081E">
      <w:pPr>
        <w:ind w:left="709"/>
        <w:rPr>
          <w:rFonts w:cs="Calibri"/>
          <w:color w:val="0070C0"/>
        </w:rPr>
      </w:pPr>
      <w:r w:rsidRPr="0056116D">
        <w:rPr>
          <w:rFonts w:cs="Calibri"/>
          <w:color w:val="0070C0"/>
        </w:rPr>
        <w:t>All other requirements relating to the Environmental Considerations Award Criterion remain unchanged.</w:t>
      </w:r>
    </w:p>
    <w:p w14:paraId="33DB6079" w14:textId="77777777" w:rsidR="0056116D" w:rsidRPr="0056116D" w:rsidRDefault="0056116D" w:rsidP="00AF081E">
      <w:pPr>
        <w:ind w:left="709"/>
        <w:rPr>
          <w:rFonts w:cs="Calibri"/>
          <w:color w:val="0070C0"/>
        </w:rPr>
      </w:pPr>
    </w:p>
    <w:p w14:paraId="0D391C2C" w14:textId="6B20E1B9" w:rsidR="00552205" w:rsidRPr="0056116D" w:rsidRDefault="00552205" w:rsidP="00AF081E">
      <w:pPr>
        <w:pStyle w:val="ListParagraph"/>
        <w:numPr>
          <w:ilvl w:val="0"/>
          <w:numId w:val="5"/>
        </w:numPr>
        <w:ind w:left="709"/>
        <w:rPr>
          <w:rFonts w:cs="Calibri"/>
        </w:rPr>
      </w:pPr>
      <w:r w:rsidRPr="0056116D">
        <w:rPr>
          <w:rFonts w:cs="Calibri"/>
        </w:rPr>
        <w:t>Previous experience information</w:t>
      </w:r>
      <w:r w:rsidR="00AF081E" w:rsidRPr="0056116D">
        <w:rPr>
          <w:rFonts w:cs="Calibri"/>
        </w:rPr>
        <w:t xml:space="preserve">: </w:t>
      </w:r>
      <w:r w:rsidRPr="0056116D">
        <w:rPr>
          <w:rFonts w:cs="Calibri"/>
        </w:rPr>
        <w:t>Appendix 1, section 3.2 asks for the identity of the individuals who worked on each project, planned and actual completion dates, and details for the employer and main contractor. Please confirm if this information counts towards the 500-word limit for the comparability statement.</w:t>
      </w:r>
    </w:p>
    <w:p w14:paraId="5BFD0464" w14:textId="113545F0" w:rsidR="00BC6788" w:rsidRPr="0056116D" w:rsidRDefault="009E17A1" w:rsidP="009E17A1">
      <w:pPr>
        <w:ind w:left="709"/>
        <w:rPr>
          <w:rFonts w:cs="Calibri"/>
          <w:color w:val="0070C0"/>
        </w:rPr>
      </w:pPr>
      <w:r w:rsidRPr="0056116D">
        <w:rPr>
          <w:rFonts w:cs="Calibri"/>
          <w:color w:val="0070C0"/>
        </w:rPr>
        <w:t xml:space="preserve">Clarification: </w:t>
      </w:r>
      <w:r w:rsidR="00BC6788" w:rsidRPr="0056116D">
        <w:rPr>
          <w:rFonts w:cs="Calibri"/>
          <w:color w:val="0070C0"/>
        </w:rPr>
        <w:t xml:space="preserve">The 500-word limit applies to the </w:t>
      </w:r>
      <w:r w:rsidR="00BC6788" w:rsidRPr="0056116D">
        <w:rPr>
          <w:rFonts w:cs="Calibri"/>
          <w:b/>
          <w:bCs/>
          <w:color w:val="0070C0"/>
        </w:rPr>
        <w:t>comparability statement only</w:t>
      </w:r>
      <w:r w:rsidR="00BC6788" w:rsidRPr="0056116D">
        <w:rPr>
          <w:rFonts w:cs="Calibri"/>
          <w:color w:val="0070C0"/>
        </w:rPr>
        <w:t>, i.e. the section requiring the Tenderer to outline the extent to which the previous contract was comparable with the Contracting Authority's requirements.</w:t>
      </w:r>
    </w:p>
    <w:p w14:paraId="149E5CFA" w14:textId="77777777" w:rsidR="00BC6788" w:rsidRPr="0056116D" w:rsidRDefault="00BC6788" w:rsidP="009E17A1">
      <w:pPr>
        <w:ind w:left="709"/>
        <w:rPr>
          <w:rFonts w:cs="Calibri"/>
          <w:color w:val="0070C0"/>
        </w:rPr>
      </w:pPr>
      <w:r w:rsidRPr="0056116D">
        <w:rPr>
          <w:rFonts w:cs="Calibri"/>
          <w:color w:val="0070C0"/>
        </w:rPr>
        <w:lastRenderedPageBreak/>
        <w:t xml:space="preserve">The other information requested in respect of each previous project, including the identity of individuals who worked on the project, planned and actual completion dates, and employer/main contractor details, </w:t>
      </w:r>
      <w:r w:rsidRPr="0056116D">
        <w:rPr>
          <w:rFonts w:cs="Calibri"/>
          <w:b/>
          <w:bCs/>
          <w:color w:val="0070C0"/>
        </w:rPr>
        <w:t>does not count towards the 500-word limit</w:t>
      </w:r>
      <w:r w:rsidRPr="0056116D">
        <w:rPr>
          <w:rFonts w:cs="Calibri"/>
          <w:color w:val="0070C0"/>
        </w:rPr>
        <w:t>.</w:t>
      </w:r>
    </w:p>
    <w:p w14:paraId="7D6EB3FB" w14:textId="77777777" w:rsidR="00BC6788" w:rsidRPr="0056116D" w:rsidRDefault="00BC6788" w:rsidP="00552205">
      <w:pPr>
        <w:rPr>
          <w:rFonts w:cs="Calibri"/>
        </w:rPr>
      </w:pPr>
    </w:p>
    <w:p w14:paraId="3CB787B2" w14:textId="22CDDB9F" w:rsidR="00552205" w:rsidRPr="0056116D" w:rsidRDefault="00552205" w:rsidP="00552205">
      <w:pPr>
        <w:pStyle w:val="ListParagraph"/>
        <w:numPr>
          <w:ilvl w:val="0"/>
          <w:numId w:val="5"/>
        </w:numPr>
        <w:ind w:left="709"/>
        <w:rPr>
          <w:rFonts w:cs="Calibri"/>
        </w:rPr>
      </w:pPr>
      <w:r w:rsidRPr="0056116D">
        <w:rPr>
          <w:rFonts w:cs="Calibri"/>
        </w:rPr>
        <w:t>Turnover requirement for consortia</w:t>
      </w:r>
      <w:r w:rsidR="009E17A1" w:rsidRPr="0056116D">
        <w:rPr>
          <w:rFonts w:cs="Calibri"/>
        </w:rPr>
        <w:t>:</w:t>
      </w:r>
      <w:r w:rsidR="009E17A1" w:rsidRPr="0056116D">
        <w:rPr>
          <w:rFonts w:cs="Calibri"/>
          <w:b/>
          <w:bCs/>
        </w:rPr>
        <w:t xml:space="preserve"> </w:t>
      </w:r>
      <w:r w:rsidRPr="0056116D">
        <w:rPr>
          <w:rFonts w:cs="Calibri"/>
        </w:rPr>
        <w:t xml:space="preserve">Where a Tender is submitted by a group of </w:t>
      </w:r>
      <w:proofErr w:type="gramStart"/>
      <w:r w:rsidRPr="0056116D">
        <w:rPr>
          <w:rFonts w:cs="Calibri"/>
        </w:rPr>
        <w:t>undertakings</w:t>
      </w:r>
      <w:proofErr w:type="gramEnd"/>
      <w:r w:rsidRPr="0056116D">
        <w:rPr>
          <w:rFonts w:cs="Calibri"/>
        </w:rPr>
        <w:t xml:space="preserve"> please confirm whether the turnover requirement may be met:</w:t>
      </w:r>
    </w:p>
    <w:p w14:paraId="67DD94CC" w14:textId="77777777" w:rsidR="00552205" w:rsidRPr="0056116D" w:rsidRDefault="00552205" w:rsidP="009E17A1">
      <w:pPr>
        <w:ind w:firstLine="709"/>
        <w:rPr>
          <w:rFonts w:cs="Calibri"/>
        </w:rPr>
      </w:pPr>
      <w:r w:rsidRPr="0056116D">
        <w:rPr>
          <w:rFonts w:cs="Calibri"/>
        </w:rPr>
        <w:t>(a) by the lead member alone;</w:t>
      </w:r>
    </w:p>
    <w:p w14:paraId="3AA24DD8" w14:textId="77777777" w:rsidR="00552205" w:rsidRPr="0056116D" w:rsidRDefault="00552205" w:rsidP="009E17A1">
      <w:pPr>
        <w:ind w:firstLine="720"/>
        <w:rPr>
          <w:rFonts w:cs="Calibri"/>
        </w:rPr>
      </w:pPr>
      <w:r w:rsidRPr="0056116D">
        <w:rPr>
          <w:rFonts w:cs="Calibri"/>
        </w:rPr>
        <w:t>(b) by any one consortium member on whose capacity the Tenderer relies; or</w:t>
      </w:r>
    </w:p>
    <w:p w14:paraId="7F913B58" w14:textId="77777777" w:rsidR="00552205" w:rsidRPr="0056116D" w:rsidRDefault="00552205" w:rsidP="009E17A1">
      <w:pPr>
        <w:ind w:left="720"/>
        <w:rPr>
          <w:rFonts w:cs="Calibri"/>
        </w:rPr>
      </w:pPr>
      <w:r w:rsidRPr="0056116D">
        <w:rPr>
          <w:rFonts w:cs="Calibri"/>
        </w:rPr>
        <w:t>(c) by the combined turnover of the consortium members.</w:t>
      </w:r>
    </w:p>
    <w:p w14:paraId="0641C41F" w14:textId="1FEBE037" w:rsidR="00EB5098" w:rsidRDefault="009E17A1" w:rsidP="009E17A1">
      <w:pPr>
        <w:ind w:left="720"/>
        <w:rPr>
          <w:rFonts w:cs="Calibri"/>
          <w:color w:val="0070C0"/>
        </w:rPr>
      </w:pPr>
      <w:r w:rsidRPr="0056116D">
        <w:rPr>
          <w:rFonts w:cs="Calibri"/>
          <w:color w:val="0070C0"/>
        </w:rPr>
        <w:t>Clarification</w:t>
      </w:r>
      <w:r w:rsidR="000B1195" w:rsidRPr="0056116D">
        <w:rPr>
          <w:rFonts w:cs="Calibri"/>
          <w:b/>
          <w:bCs/>
          <w:color w:val="0070C0"/>
        </w:rPr>
        <w:t>:</w:t>
      </w:r>
      <w:r w:rsidRPr="0056116D">
        <w:rPr>
          <w:rFonts w:cs="Calibri"/>
          <w:b/>
          <w:bCs/>
          <w:color w:val="0070C0"/>
        </w:rPr>
        <w:t xml:space="preserve"> </w:t>
      </w:r>
      <w:r w:rsidR="000B1195" w:rsidRPr="0056116D">
        <w:rPr>
          <w:rFonts w:cs="Calibri"/>
          <w:color w:val="0070C0"/>
        </w:rPr>
        <w:t xml:space="preserve">Where a Tender is submitted by a group of undertakings, the turnover requirement may be satisfied by </w:t>
      </w:r>
      <w:r w:rsidRPr="0056116D">
        <w:rPr>
          <w:rFonts w:cs="Calibri"/>
          <w:color w:val="0070C0"/>
        </w:rPr>
        <w:t>the lead member alone.</w:t>
      </w:r>
    </w:p>
    <w:p w14:paraId="5C1D6F29" w14:textId="77777777" w:rsidR="0056116D" w:rsidRPr="0056116D" w:rsidRDefault="0056116D" w:rsidP="009E17A1">
      <w:pPr>
        <w:ind w:left="720"/>
        <w:rPr>
          <w:rFonts w:cs="Calibri"/>
        </w:rPr>
      </w:pPr>
    </w:p>
    <w:p w14:paraId="5651F822" w14:textId="432643BC" w:rsidR="00EB5098" w:rsidRPr="0056116D" w:rsidRDefault="00EB5098" w:rsidP="009E17A1">
      <w:pPr>
        <w:pStyle w:val="ListParagraph"/>
        <w:numPr>
          <w:ilvl w:val="0"/>
          <w:numId w:val="5"/>
        </w:numPr>
        <w:ind w:left="709" w:hanging="567"/>
        <w:rPr>
          <w:rFonts w:cs="Calibri"/>
        </w:rPr>
      </w:pPr>
      <w:r w:rsidRPr="0056116D">
        <w:rPr>
          <w:rFonts w:cs="Calibri"/>
        </w:rPr>
        <w:t xml:space="preserve">We would request that the payment period is amended from 60 days to 30 days from receipt </w:t>
      </w:r>
      <w:proofErr w:type="gramStart"/>
      <w:r w:rsidRPr="0056116D">
        <w:rPr>
          <w:rFonts w:cs="Calibri"/>
        </w:rPr>
        <w:t xml:space="preserve">of </w:t>
      </w:r>
      <w:r w:rsidR="009E17A1" w:rsidRPr="0056116D">
        <w:rPr>
          <w:rFonts w:cs="Calibri"/>
        </w:rPr>
        <w:t xml:space="preserve"> </w:t>
      </w:r>
      <w:r w:rsidRPr="0056116D">
        <w:rPr>
          <w:rFonts w:cs="Calibri"/>
        </w:rPr>
        <w:t>a</w:t>
      </w:r>
      <w:proofErr w:type="gramEnd"/>
      <w:r w:rsidRPr="0056116D">
        <w:rPr>
          <w:rFonts w:cs="Calibri"/>
        </w:rPr>
        <w:t xml:space="preserve"> valid invoice. In our view, a 60-day payment period is unreasonable and does not reflect standard industry practice. A 30-day payment period is the more usual commercial position and would provide a fairer and more appropriate payment timetable in the context of the services.</w:t>
      </w:r>
    </w:p>
    <w:p w14:paraId="21B5C344" w14:textId="0CF7BCE9" w:rsidR="0056116D" w:rsidRPr="002B200E" w:rsidRDefault="002B200E" w:rsidP="00D87B0A">
      <w:pPr>
        <w:spacing w:after="0" w:line="300" w:lineRule="atLeast"/>
        <w:ind w:left="720"/>
        <w:rPr>
          <w:rFonts w:eastAsia="Times New Roman" w:cs="Calibri"/>
          <w:color w:val="0070C0"/>
          <w:kern w:val="0"/>
          <w:lang w:eastAsia="en-IE"/>
          <w14:ligatures w14:val="none"/>
        </w:rPr>
      </w:pPr>
      <w:r w:rsidRPr="002B200E">
        <w:rPr>
          <w:rFonts w:eastAsia="Times New Roman" w:cs="Calibri"/>
          <w:color w:val="0070C0"/>
          <w:kern w:val="0"/>
          <w:lang w:eastAsia="en-IE"/>
          <w14:ligatures w14:val="none"/>
        </w:rPr>
        <w:t>Clarification: The Contracting Authority accepts this request</w:t>
      </w:r>
      <w:r w:rsidRPr="002B200E">
        <w:rPr>
          <w:rFonts w:eastAsia="Times New Roman" w:cs="Calibri"/>
          <w:b/>
          <w:bCs/>
          <w:color w:val="0070C0"/>
          <w:kern w:val="0"/>
          <w:lang w:eastAsia="en-IE"/>
          <w14:ligatures w14:val="none"/>
        </w:rPr>
        <w:t>. All valid invoices shall be payable within 30 calendar days</w:t>
      </w:r>
      <w:r w:rsidRPr="002B200E">
        <w:rPr>
          <w:rFonts w:eastAsia="Times New Roman" w:cs="Calibri"/>
          <w:color w:val="0070C0"/>
          <w:kern w:val="0"/>
          <w:lang w:eastAsia="en-IE"/>
          <w14:ligatures w14:val="none"/>
        </w:rPr>
        <w:t>, subject to applicable invoicing, acceptance and payment provisions of the Services Contract.</w:t>
      </w:r>
    </w:p>
    <w:p w14:paraId="02AC6E8D" w14:textId="77777777" w:rsidR="0056116D" w:rsidRPr="0056116D" w:rsidRDefault="0056116D" w:rsidP="00D87B0A">
      <w:pPr>
        <w:spacing w:after="0" w:line="300" w:lineRule="atLeast"/>
        <w:ind w:left="720"/>
        <w:rPr>
          <w:rFonts w:eastAsia="Times New Roman" w:cs="Calibri"/>
          <w:color w:val="FF0000"/>
          <w:kern w:val="0"/>
          <w:lang w:eastAsia="en-IE"/>
          <w14:ligatures w14:val="none"/>
        </w:rPr>
      </w:pPr>
    </w:p>
    <w:p w14:paraId="62078C24" w14:textId="77777777" w:rsidR="00D87B0A" w:rsidRPr="0056116D" w:rsidRDefault="00D87B0A" w:rsidP="00D87B0A">
      <w:pPr>
        <w:ind w:left="720"/>
        <w:rPr>
          <w:rFonts w:cs="Calibri"/>
          <w:color w:val="4EA72E" w:themeColor="accent6"/>
        </w:rPr>
      </w:pPr>
    </w:p>
    <w:p w14:paraId="21A90F4A" w14:textId="77777777" w:rsidR="00EB5098" w:rsidRPr="0056116D" w:rsidRDefault="00EB5098" w:rsidP="009E17A1">
      <w:pPr>
        <w:numPr>
          <w:ilvl w:val="0"/>
          <w:numId w:val="5"/>
        </w:numPr>
        <w:ind w:left="709" w:hanging="567"/>
        <w:rPr>
          <w:rFonts w:cs="Calibri"/>
        </w:rPr>
      </w:pPr>
      <w:r w:rsidRPr="0056116D">
        <w:rPr>
          <w:rFonts w:cs="Calibri"/>
        </w:rPr>
        <w:t>We would request that the professional indemnity insurance requirement is expressed as €1 million for any one claim and in the aggregate. We would also request that the employers’ liability insurance requirement is reduced to €6.5 million, having regard to the value and nature of the services being provided.</w:t>
      </w:r>
    </w:p>
    <w:p w14:paraId="028AE83C" w14:textId="46C91ECD" w:rsidR="00D87B0A" w:rsidRPr="0056116D" w:rsidRDefault="0056116D" w:rsidP="00D87B0A">
      <w:pPr>
        <w:pStyle w:val="ListParagraph"/>
        <w:spacing w:after="0" w:line="300" w:lineRule="atLeast"/>
        <w:rPr>
          <w:rFonts w:eastAsia="Times New Roman" w:cs="Calibri"/>
          <w:color w:val="0070C0"/>
          <w:kern w:val="0"/>
          <w:lang w:eastAsia="en-IE"/>
          <w14:ligatures w14:val="none"/>
        </w:rPr>
      </w:pPr>
      <w:r w:rsidRPr="0056116D">
        <w:rPr>
          <w:rFonts w:eastAsia="Times New Roman" w:cs="Calibri"/>
          <w:color w:val="0070C0"/>
          <w:kern w:val="0"/>
          <w:lang w:eastAsia="en-IE"/>
          <w14:ligatures w14:val="none"/>
        </w:rPr>
        <w:t xml:space="preserve">Clarification: </w:t>
      </w:r>
      <w:r w:rsidR="00D87B0A" w:rsidRPr="0056116D">
        <w:rPr>
          <w:rFonts w:eastAsia="Times New Roman" w:cs="Calibri"/>
          <w:color w:val="0070C0"/>
          <w:kern w:val="0"/>
          <w:lang w:eastAsia="en-IE"/>
          <w14:ligatures w14:val="none"/>
        </w:rPr>
        <w:t xml:space="preserve">The Contracting Authority notes the request. The Professional Indemnity requirement remains </w:t>
      </w:r>
      <w:r w:rsidR="00D87B0A" w:rsidRPr="0056116D">
        <w:rPr>
          <w:rFonts w:eastAsia="Times New Roman" w:cs="Calibri"/>
          <w:b/>
          <w:bCs/>
          <w:color w:val="0070C0"/>
          <w:kern w:val="0"/>
          <w:lang w:eastAsia="en-IE"/>
          <w14:ligatures w14:val="none"/>
        </w:rPr>
        <w:t>€1 million for any one claim or series of claims arising out of a single occurrence</w:t>
      </w:r>
      <w:r w:rsidR="00D87B0A" w:rsidRPr="0056116D">
        <w:rPr>
          <w:rFonts w:eastAsia="Times New Roman" w:cs="Calibri"/>
          <w:color w:val="0070C0"/>
          <w:kern w:val="0"/>
          <w:lang w:eastAsia="en-IE"/>
          <w14:ligatures w14:val="none"/>
        </w:rPr>
        <w:t xml:space="preserve">, as stated in the RFT. The Contracting Authority does not propose to amend the Employer's Liability requirement, which remains </w:t>
      </w:r>
      <w:r w:rsidR="00D87B0A" w:rsidRPr="0056116D">
        <w:rPr>
          <w:rFonts w:eastAsia="Times New Roman" w:cs="Calibri"/>
          <w:b/>
          <w:bCs/>
          <w:color w:val="0070C0"/>
          <w:kern w:val="0"/>
          <w:lang w:eastAsia="en-IE"/>
          <w14:ligatures w14:val="none"/>
        </w:rPr>
        <w:t>€13 million for any one claim or series of claims arising out of a single occurrence</w:t>
      </w:r>
      <w:r w:rsidR="00D87B0A" w:rsidRPr="0056116D">
        <w:rPr>
          <w:rFonts w:eastAsia="Times New Roman" w:cs="Calibri"/>
          <w:color w:val="0070C0"/>
          <w:kern w:val="0"/>
          <w:lang w:eastAsia="en-IE"/>
          <w14:ligatures w14:val="none"/>
        </w:rPr>
        <w:t>, where applicable. Tenderers are required to comply with the insurance requirements set out in the RFT.</w:t>
      </w:r>
    </w:p>
    <w:p w14:paraId="4D3EDF58" w14:textId="77777777" w:rsidR="00D87B0A" w:rsidRPr="0056116D" w:rsidRDefault="00D87B0A" w:rsidP="00D87B0A">
      <w:pPr>
        <w:ind w:left="720"/>
        <w:rPr>
          <w:rFonts w:cs="Calibri"/>
        </w:rPr>
      </w:pPr>
    </w:p>
    <w:p w14:paraId="6DBC42AD" w14:textId="77777777" w:rsidR="00EB5098" w:rsidRPr="0056116D" w:rsidRDefault="00EB5098" w:rsidP="0056116D">
      <w:pPr>
        <w:numPr>
          <w:ilvl w:val="0"/>
          <w:numId w:val="5"/>
        </w:numPr>
        <w:ind w:left="709" w:hanging="567"/>
        <w:rPr>
          <w:rFonts w:cs="Calibri"/>
        </w:rPr>
      </w:pPr>
      <w:r w:rsidRPr="0056116D">
        <w:rPr>
          <w:rFonts w:cs="Calibri"/>
        </w:rPr>
        <w:t>We would request that clause 3C is amended so that any right of set-off is limited to sums arising under this Agreement only and does not extend to amounts said to be due under any other agreement or contract between the parties.</w:t>
      </w:r>
    </w:p>
    <w:p w14:paraId="42635E9B" w14:textId="59459CD5" w:rsidR="00D87B0A" w:rsidRPr="0056116D" w:rsidRDefault="0056116D" w:rsidP="00D87B0A">
      <w:pPr>
        <w:pStyle w:val="ListParagraph"/>
        <w:spacing w:after="0" w:line="300" w:lineRule="atLeast"/>
        <w:rPr>
          <w:rFonts w:eastAsia="Times New Roman" w:cs="Calibri"/>
          <w:color w:val="0070C0"/>
          <w:kern w:val="0"/>
          <w:lang w:eastAsia="en-IE"/>
          <w14:ligatures w14:val="none"/>
        </w:rPr>
      </w:pPr>
      <w:r w:rsidRPr="0056116D">
        <w:rPr>
          <w:rFonts w:eastAsia="Times New Roman" w:cs="Calibri"/>
          <w:color w:val="0070C0"/>
          <w:kern w:val="0"/>
          <w:lang w:eastAsia="en-IE"/>
          <w14:ligatures w14:val="none"/>
        </w:rPr>
        <w:t xml:space="preserve">Clarification: </w:t>
      </w:r>
      <w:r w:rsidR="00D87B0A" w:rsidRPr="0056116D">
        <w:rPr>
          <w:rFonts w:eastAsia="Times New Roman" w:cs="Calibri"/>
          <w:color w:val="0070C0"/>
          <w:kern w:val="0"/>
          <w:lang w:eastAsia="en-IE"/>
          <w14:ligatures w14:val="none"/>
        </w:rPr>
        <w:t>The Contracting Authority does not propose to amend this provision. The existing provision will remain as stated in the Services Contract.</w:t>
      </w:r>
    </w:p>
    <w:p w14:paraId="59A5A59B" w14:textId="77777777" w:rsidR="00D87B0A" w:rsidRPr="0056116D" w:rsidRDefault="00D87B0A" w:rsidP="00D87B0A">
      <w:pPr>
        <w:ind w:left="720"/>
        <w:rPr>
          <w:rFonts w:cs="Calibri"/>
        </w:rPr>
      </w:pPr>
    </w:p>
    <w:p w14:paraId="6A56DAE9" w14:textId="77777777" w:rsidR="00EB5098" w:rsidRPr="0056116D" w:rsidRDefault="00EB5098" w:rsidP="0056116D">
      <w:pPr>
        <w:numPr>
          <w:ilvl w:val="0"/>
          <w:numId w:val="5"/>
        </w:numPr>
        <w:ind w:left="709" w:hanging="567"/>
        <w:rPr>
          <w:rFonts w:cs="Calibri"/>
        </w:rPr>
      </w:pPr>
      <w:r w:rsidRPr="0056116D">
        <w:rPr>
          <w:rFonts w:cs="Calibri"/>
        </w:rPr>
        <w:lastRenderedPageBreak/>
        <w:t>We would request that clause 5 is amended so that the Contractor is expressed “to be liable” for the relevant losses, rather than being required to indemnify the Client. We would also request that any liability under this clause is limited to direct losses only.</w:t>
      </w:r>
    </w:p>
    <w:p w14:paraId="63B86284" w14:textId="2B50BA58" w:rsidR="00D87B0A" w:rsidRPr="0056116D" w:rsidRDefault="0056116D" w:rsidP="00D87B0A">
      <w:pPr>
        <w:pStyle w:val="ListParagraph"/>
        <w:spacing w:after="0" w:line="300" w:lineRule="atLeast"/>
        <w:rPr>
          <w:rFonts w:eastAsia="Times New Roman" w:cs="Calibri"/>
          <w:color w:val="0070C0"/>
          <w:kern w:val="0"/>
          <w:lang w:eastAsia="en-IE"/>
          <w14:ligatures w14:val="none"/>
        </w:rPr>
      </w:pPr>
      <w:r w:rsidRPr="0056116D">
        <w:rPr>
          <w:rFonts w:eastAsia="Times New Roman" w:cs="Calibri"/>
          <w:color w:val="0070C0"/>
          <w:kern w:val="0"/>
          <w:lang w:eastAsia="en-IE"/>
          <w14:ligatures w14:val="none"/>
        </w:rPr>
        <w:t xml:space="preserve">Clarification: </w:t>
      </w:r>
      <w:r w:rsidR="00D87B0A" w:rsidRPr="0056116D">
        <w:rPr>
          <w:rFonts w:eastAsia="Times New Roman" w:cs="Calibri"/>
          <w:color w:val="0070C0"/>
          <w:kern w:val="0"/>
          <w:lang w:eastAsia="en-IE"/>
          <w14:ligatures w14:val="none"/>
        </w:rPr>
        <w:t>The Contracting Authority does not propose to amend clause 5 as requested. The liability and indemnity provisions, including the exclusions and limitations of liability contained in clause 5, will remain as set out in the Services Contract.</w:t>
      </w:r>
    </w:p>
    <w:p w14:paraId="69CA2F67" w14:textId="77777777" w:rsidR="00D87B0A" w:rsidRPr="0056116D" w:rsidRDefault="00D87B0A" w:rsidP="00D87B0A">
      <w:pPr>
        <w:ind w:left="720"/>
        <w:rPr>
          <w:rFonts w:cs="Calibri"/>
        </w:rPr>
      </w:pPr>
    </w:p>
    <w:p w14:paraId="2119046C" w14:textId="77777777" w:rsidR="00EB5098" w:rsidRPr="0056116D" w:rsidRDefault="00EB5098" w:rsidP="0056116D">
      <w:pPr>
        <w:numPr>
          <w:ilvl w:val="0"/>
          <w:numId w:val="5"/>
        </w:numPr>
        <w:ind w:left="709" w:hanging="567"/>
        <w:rPr>
          <w:rFonts w:cs="Calibri"/>
        </w:rPr>
      </w:pPr>
      <w:r w:rsidRPr="0056116D">
        <w:rPr>
          <w:rFonts w:cs="Calibri"/>
        </w:rPr>
        <w:t>We would request that clause 5F is deleted in full. As drafted, it gives the Client a unilateral right to withhold payment by reference to dissatisfaction with the Services, while preserving all other remedies under the Agreement. We consider that any issues relating to incomplete or non-compliant Services should instead be dealt with under the contract’s acceptance, remediation, and default provisions, rather than through a separate retention mechanism.</w:t>
      </w:r>
    </w:p>
    <w:p w14:paraId="1CC52D76" w14:textId="193319C8" w:rsidR="00D87B0A" w:rsidRPr="0056116D" w:rsidRDefault="0056116D" w:rsidP="00D87B0A">
      <w:pPr>
        <w:pStyle w:val="ListParagraph"/>
        <w:spacing w:after="0" w:line="300" w:lineRule="atLeast"/>
        <w:rPr>
          <w:rFonts w:eastAsia="Times New Roman" w:cs="Calibri"/>
          <w:color w:val="0070C0"/>
          <w:kern w:val="0"/>
          <w:lang w:eastAsia="en-IE"/>
          <w14:ligatures w14:val="none"/>
        </w:rPr>
      </w:pPr>
      <w:r w:rsidRPr="0056116D">
        <w:rPr>
          <w:rFonts w:eastAsia="Times New Roman" w:cs="Calibri"/>
          <w:color w:val="0070C0"/>
          <w:kern w:val="0"/>
          <w:lang w:eastAsia="en-IE"/>
          <w14:ligatures w14:val="none"/>
        </w:rPr>
        <w:t xml:space="preserve">Clarification: </w:t>
      </w:r>
      <w:r w:rsidR="00D87B0A" w:rsidRPr="0056116D">
        <w:rPr>
          <w:rFonts w:eastAsia="Times New Roman" w:cs="Calibri"/>
          <w:color w:val="0070C0"/>
          <w:kern w:val="0"/>
          <w:lang w:eastAsia="en-IE"/>
          <w14:ligatures w14:val="none"/>
        </w:rPr>
        <w:t xml:space="preserve">The Contracting Authority does not propose to delete clause 5F. The provision is intended to provide a proportionate mechanism for addressing deficient performance pending replacement, remediation or resolution of the relevant Services. The clause requires the Client to identify the </w:t>
      </w:r>
      <w:proofErr w:type="gramStart"/>
      <w:r w:rsidR="00D87B0A" w:rsidRPr="0056116D">
        <w:rPr>
          <w:rFonts w:eastAsia="Times New Roman" w:cs="Calibri"/>
          <w:color w:val="0070C0"/>
          <w:kern w:val="0"/>
          <w:lang w:eastAsia="en-IE"/>
          <w14:ligatures w14:val="none"/>
        </w:rPr>
        <w:t>particular Services</w:t>
      </w:r>
      <w:proofErr w:type="gramEnd"/>
      <w:r w:rsidR="00D87B0A" w:rsidRPr="0056116D">
        <w:rPr>
          <w:rFonts w:eastAsia="Times New Roman" w:cs="Calibri"/>
          <w:color w:val="0070C0"/>
          <w:kern w:val="0"/>
          <w:lang w:eastAsia="en-IE"/>
          <w14:ligatures w14:val="none"/>
        </w:rPr>
        <w:t xml:space="preserve"> concerned and the reasons for dissatisfaction, and the Retention Amount is subject to the limits specified in the Agreement.</w:t>
      </w:r>
    </w:p>
    <w:p w14:paraId="2EDD0C21" w14:textId="77777777" w:rsidR="00D87B0A" w:rsidRPr="0056116D" w:rsidRDefault="00D87B0A" w:rsidP="00D87B0A">
      <w:pPr>
        <w:ind w:left="720"/>
        <w:rPr>
          <w:rFonts w:cs="Calibri"/>
        </w:rPr>
      </w:pPr>
    </w:p>
    <w:p w14:paraId="57CB6CAA" w14:textId="77777777" w:rsidR="00EB5098" w:rsidRPr="0056116D" w:rsidRDefault="00EB5098" w:rsidP="0056116D">
      <w:pPr>
        <w:numPr>
          <w:ilvl w:val="0"/>
          <w:numId w:val="5"/>
        </w:numPr>
        <w:ind w:left="709" w:hanging="567"/>
        <w:rPr>
          <w:rFonts w:cs="Calibri"/>
        </w:rPr>
      </w:pPr>
      <w:r w:rsidRPr="0056116D">
        <w:rPr>
          <w:rFonts w:cs="Calibri"/>
        </w:rPr>
        <w:t>We would request that clause 5G is deleted in full. As drafted, it makes time of delivery of the essence and gives the Client an immediate right to refuse acceptance, withhold payment and terminate for any delay, without regard to materiality or any opportunity to remedy. We consider this to be disproportionate, and that delay should instead be dealt with through the agreement’s ordinary default and termination provisions.</w:t>
      </w:r>
    </w:p>
    <w:p w14:paraId="5D607437" w14:textId="671566C3" w:rsidR="000F711F" w:rsidRPr="0056116D" w:rsidRDefault="0056116D" w:rsidP="000F711F">
      <w:pPr>
        <w:pStyle w:val="NormalWeb"/>
        <w:spacing w:line="300" w:lineRule="atLeast"/>
        <w:ind w:left="720"/>
        <w:rPr>
          <w:rFonts w:asciiTheme="minorHAnsi" w:hAnsiTheme="minorHAnsi" w:cs="Calibri"/>
          <w:color w:val="0070C0"/>
        </w:rPr>
      </w:pPr>
      <w:r w:rsidRPr="0056116D">
        <w:rPr>
          <w:rStyle w:val="xxxjie0"/>
          <w:rFonts w:asciiTheme="minorHAnsi" w:hAnsiTheme="minorHAnsi" w:cs="Calibri"/>
          <w:color w:val="0070C0"/>
        </w:rPr>
        <w:t>Clarification:</w:t>
      </w:r>
      <w:r w:rsidRPr="0056116D">
        <w:rPr>
          <w:rStyle w:val="xxxjie0"/>
          <w:rFonts w:asciiTheme="minorHAnsi" w:hAnsiTheme="minorHAnsi" w:cs="Calibri"/>
          <w:b/>
          <w:bCs/>
          <w:color w:val="0070C0"/>
        </w:rPr>
        <w:t xml:space="preserve"> </w:t>
      </w:r>
      <w:r w:rsidR="000F711F" w:rsidRPr="0056116D">
        <w:rPr>
          <w:rStyle w:val="1cs5bdp"/>
          <w:rFonts w:asciiTheme="minorHAnsi" w:hAnsiTheme="minorHAnsi" w:cs="Calibri"/>
          <w:color w:val="0070C0"/>
        </w:rPr>
        <w:t>The</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Contracting</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Authority</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has</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considered</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the</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request.</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However,</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timely</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delivery</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of</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the</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Strategy</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is</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strategically</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important</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to</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the</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Contracting</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Authority,</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and</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adherence</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to</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the</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agreed</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programme</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and</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key</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milestones</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is</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a</w:t>
      </w:r>
      <w:r w:rsidR="000F711F" w:rsidRPr="0056116D">
        <w:rPr>
          <w:rFonts w:asciiTheme="minorHAnsi" w:hAnsiTheme="minorHAnsi" w:cs="Calibri"/>
          <w:color w:val="0070C0"/>
        </w:rPr>
        <w:t xml:space="preserve"> </w:t>
      </w:r>
      <w:r w:rsidR="000F711F" w:rsidRPr="0056116D">
        <w:rPr>
          <w:rStyle w:val="1cs5bdp"/>
          <w:rFonts w:asciiTheme="minorHAnsi" w:hAnsiTheme="minorHAnsi" w:cs="Calibri"/>
          <w:color w:val="0070C0"/>
        </w:rPr>
        <w:t>material</w:t>
      </w:r>
      <w:r w:rsidR="000F711F" w:rsidRPr="0056116D">
        <w:rPr>
          <w:rFonts w:asciiTheme="minorHAnsi" w:hAnsiTheme="minorHAnsi" w:cs="Calibri"/>
          <w:color w:val="0070C0"/>
        </w:rPr>
        <w:t xml:space="preserve"> </w:t>
      </w:r>
      <w:r w:rsidR="000F711F" w:rsidRPr="0056116D">
        <w:rPr>
          <w:rStyle w:val="xxxjie0"/>
          <w:rFonts w:asciiTheme="minorHAnsi" w:hAnsiTheme="minorHAnsi" w:cs="Calibri"/>
          <w:color w:val="0070C0"/>
        </w:rPr>
        <w:t>requirement</w:t>
      </w:r>
      <w:r w:rsidR="000F711F" w:rsidRPr="0056116D">
        <w:rPr>
          <w:rFonts w:asciiTheme="minorHAnsi" w:hAnsiTheme="minorHAnsi" w:cs="Calibri"/>
          <w:color w:val="0070C0"/>
        </w:rPr>
        <w:t xml:space="preserve"> </w:t>
      </w:r>
      <w:r w:rsidR="000F711F" w:rsidRPr="0056116D">
        <w:rPr>
          <w:rStyle w:val="xxxjie0"/>
          <w:rFonts w:asciiTheme="minorHAnsi" w:hAnsiTheme="minorHAnsi" w:cs="Calibri"/>
          <w:color w:val="0070C0"/>
        </w:rPr>
        <w:t>of</w:t>
      </w:r>
      <w:r w:rsidR="000F711F" w:rsidRPr="0056116D">
        <w:rPr>
          <w:rFonts w:asciiTheme="minorHAnsi" w:hAnsiTheme="minorHAnsi" w:cs="Calibri"/>
          <w:color w:val="0070C0"/>
        </w:rPr>
        <w:t xml:space="preserve"> </w:t>
      </w:r>
      <w:r w:rsidR="000F711F" w:rsidRPr="0056116D">
        <w:rPr>
          <w:rStyle w:val="xxxjie0"/>
          <w:rFonts w:asciiTheme="minorHAnsi" w:hAnsiTheme="minorHAnsi" w:cs="Calibri"/>
          <w:color w:val="0070C0"/>
        </w:rPr>
        <w:t>the</w:t>
      </w:r>
      <w:r w:rsidR="000F711F" w:rsidRPr="0056116D">
        <w:rPr>
          <w:rFonts w:asciiTheme="minorHAnsi" w:hAnsiTheme="minorHAnsi" w:cs="Calibri"/>
          <w:color w:val="0070C0"/>
        </w:rPr>
        <w:t xml:space="preserve"> </w:t>
      </w:r>
      <w:r w:rsidR="000F711F" w:rsidRPr="0056116D">
        <w:rPr>
          <w:rStyle w:val="xxxjie0"/>
          <w:rFonts w:asciiTheme="minorHAnsi" w:hAnsiTheme="minorHAnsi" w:cs="Calibri"/>
          <w:color w:val="0070C0"/>
        </w:rPr>
        <w:t>Services.</w:t>
      </w:r>
    </w:p>
    <w:p w14:paraId="58575B70" w14:textId="77777777" w:rsidR="000F711F" w:rsidRPr="0056116D" w:rsidRDefault="000F711F" w:rsidP="000F711F">
      <w:pPr>
        <w:pStyle w:val="NormalWeb"/>
        <w:spacing w:line="300" w:lineRule="atLeast"/>
        <w:ind w:left="720"/>
        <w:rPr>
          <w:rFonts w:asciiTheme="minorHAnsi" w:hAnsiTheme="minorHAnsi" w:cs="Calibri"/>
          <w:color w:val="0070C0"/>
        </w:rPr>
      </w:pPr>
      <w:r w:rsidRPr="0056116D">
        <w:rPr>
          <w:rFonts w:asciiTheme="minorHAnsi" w:hAnsiTheme="minorHAnsi" w:cs="Calibri"/>
          <w:color w:val="0070C0"/>
        </w:rPr>
        <w:t xml:space="preserve">In </w:t>
      </w:r>
      <w:r w:rsidRPr="0056116D">
        <w:rPr>
          <w:rStyle w:val="1cs5bdp"/>
          <w:rFonts w:asciiTheme="minorHAnsi" w:hAnsiTheme="minorHAnsi" w:cs="Calibri"/>
          <w:color w:val="0070C0"/>
        </w:rPr>
        <w:t>this</w:t>
      </w:r>
      <w:r w:rsidRPr="0056116D">
        <w:rPr>
          <w:rFonts w:asciiTheme="minorHAnsi" w:hAnsiTheme="minorHAnsi" w:cs="Calibri"/>
          <w:color w:val="0070C0"/>
        </w:rPr>
        <w:t xml:space="preserve"> </w:t>
      </w:r>
      <w:r w:rsidRPr="0056116D">
        <w:rPr>
          <w:rStyle w:val="1cs5bdp"/>
          <w:rFonts w:asciiTheme="minorHAnsi" w:hAnsiTheme="minorHAnsi" w:cs="Calibri"/>
          <w:color w:val="0070C0"/>
        </w:rPr>
        <w:t>context,</w:t>
      </w:r>
      <w:r w:rsidRPr="0056116D">
        <w:rPr>
          <w:rFonts w:asciiTheme="minorHAnsi" w:hAnsiTheme="minorHAnsi" w:cs="Calibri"/>
          <w:color w:val="0070C0"/>
        </w:rPr>
        <w:t xml:space="preserve"> </w:t>
      </w:r>
      <w:r w:rsidRPr="0056116D">
        <w:rPr>
          <w:rStyle w:val="1cs5bdp"/>
          <w:rFonts w:asciiTheme="minorHAnsi" w:hAnsiTheme="minorHAnsi" w:cs="Calibri"/>
          <w:color w:val="0070C0"/>
        </w:rPr>
        <w:t>the</w:t>
      </w:r>
      <w:r w:rsidRPr="0056116D">
        <w:rPr>
          <w:rFonts w:asciiTheme="minorHAnsi" w:hAnsiTheme="minorHAnsi" w:cs="Calibri"/>
          <w:color w:val="0070C0"/>
        </w:rPr>
        <w:t xml:space="preserve"> </w:t>
      </w:r>
      <w:r w:rsidRPr="0056116D">
        <w:rPr>
          <w:rStyle w:val="1cs5bdp"/>
          <w:rFonts w:asciiTheme="minorHAnsi" w:hAnsiTheme="minorHAnsi" w:cs="Calibri"/>
          <w:color w:val="0070C0"/>
        </w:rPr>
        <w:t>Contracting</w:t>
      </w:r>
      <w:r w:rsidRPr="0056116D">
        <w:rPr>
          <w:rFonts w:asciiTheme="minorHAnsi" w:hAnsiTheme="minorHAnsi" w:cs="Calibri"/>
          <w:color w:val="0070C0"/>
        </w:rPr>
        <w:t xml:space="preserve"> </w:t>
      </w:r>
      <w:r w:rsidRPr="0056116D">
        <w:rPr>
          <w:rStyle w:val="1cs5bdp"/>
          <w:rFonts w:asciiTheme="minorHAnsi" w:hAnsiTheme="minorHAnsi" w:cs="Calibri"/>
          <w:color w:val="0070C0"/>
        </w:rPr>
        <w:t>Authority</w:t>
      </w:r>
      <w:r w:rsidRPr="0056116D">
        <w:rPr>
          <w:rFonts w:asciiTheme="minorHAnsi" w:hAnsiTheme="minorHAnsi" w:cs="Calibri"/>
          <w:color w:val="0070C0"/>
        </w:rPr>
        <w:t xml:space="preserve"> </w:t>
      </w:r>
      <w:r w:rsidRPr="0056116D">
        <w:rPr>
          <w:rStyle w:val="1cs5bdp"/>
          <w:rFonts w:asciiTheme="minorHAnsi" w:hAnsiTheme="minorHAnsi" w:cs="Calibri"/>
          <w:color w:val="0070C0"/>
        </w:rPr>
        <w:t>considers</w:t>
      </w:r>
      <w:r w:rsidRPr="0056116D">
        <w:rPr>
          <w:rFonts w:asciiTheme="minorHAnsi" w:hAnsiTheme="minorHAnsi" w:cs="Calibri"/>
          <w:color w:val="0070C0"/>
        </w:rPr>
        <w:t xml:space="preserve"> </w:t>
      </w:r>
      <w:r w:rsidRPr="0056116D">
        <w:rPr>
          <w:rStyle w:val="1cs5bdp"/>
          <w:rFonts w:asciiTheme="minorHAnsi" w:hAnsiTheme="minorHAnsi" w:cs="Calibri"/>
          <w:color w:val="0070C0"/>
        </w:rPr>
        <w:t>the</w:t>
      </w:r>
      <w:r w:rsidRPr="0056116D">
        <w:rPr>
          <w:rFonts w:asciiTheme="minorHAnsi" w:hAnsiTheme="minorHAnsi" w:cs="Calibri"/>
          <w:color w:val="0070C0"/>
        </w:rPr>
        <w:t xml:space="preserve"> </w:t>
      </w:r>
      <w:r w:rsidRPr="0056116D">
        <w:rPr>
          <w:rStyle w:val="1cs5bdp"/>
          <w:rFonts w:asciiTheme="minorHAnsi" w:hAnsiTheme="minorHAnsi" w:cs="Calibri"/>
          <w:color w:val="0070C0"/>
        </w:rPr>
        <w:t>provisions</w:t>
      </w:r>
      <w:r w:rsidRPr="0056116D">
        <w:rPr>
          <w:rFonts w:asciiTheme="minorHAnsi" w:hAnsiTheme="minorHAnsi" w:cs="Calibri"/>
          <w:color w:val="0070C0"/>
        </w:rPr>
        <w:t xml:space="preserve"> </w:t>
      </w:r>
      <w:r w:rsidRPr="0056116D">
        <w:rPr>
          <w:rStyle w:val="1cs5bdp"/>
          <w:rFonts w:asciiTheme="minorHAnsi" w:hAnsiTheme="minorHAnsi" w:cs="Calibri"/>
          <w:color w:val="0070C0"/>
        </w:rPr>
        <w:t>of</w:t>
      </w:r>
      <w:r w:rsidRPr="0056116D">
        <w:rPr>
          <w:rFonts w:asciiTheme="minorHAnsi" w:hAnsiTheme="minorHAnsi" w:cs="Calibri"/>
          <w:color w:val="0070C0"/>
        </w:rPr>
        <w:t xml:space="preserve"> </w:t>
      </w:r>
      <w:r w:rsidRPr="0056116D">
        <w:rPr>
          <w:rStyle w:val="1cs5bdp"/>
          <w:rFonts w:asciiTheme="minorHAnsi" w:hAnsiTheme="minorHAnsi" w:cs="Calibri"/>
          <w:color w:val="0070C0"/>
        </w:rPr>
        <w:t>Clause</w:t>
      </w:r>
      <w:r w:rsidRPr="0056116D">
        <w:rPr>
          <w:rFonts w:asciiTheme="minorHAnsi" w:hAnsiTheme="minorHAnsi" w:cs="Calibri"/>
          <w:color w:val="0070C0"/>
        </w:rPr>
        <w:t xml:space="preserve"> </w:t>
      </w:r>
      <w:r w:rsidRPr="0056116D">
        <w:rPr>
          <w:rStyle w:val="1cs5bdp"/>
          <w:rFonts w:asciiTheme="minorHAnsi" w:hAnsiTheme="minorHAnsi" w:cs="Calibri"/>
          <w:color w:val="0070C0"/>
        </w:rPr>
        <w:t>5G</w:t>
      </w:r>
      <w:r w:rsidRPr="0056116D">
        <w:rPr>
          <w:rFonts w:asciiTheme="minorHAnsi" w:hAnsiTheme="minorHAnsi" w:cs="Calibri"/>
          <w:color w:val="0070C0"/>
        </w:rPr>
        <w:t xml:space="preserve"> </w:t>
      </w:r>
      <w:r w:rsidRPr="0056116D">
        <w:rPr>
          <w:rStyle w:val="1cs5bdp"/>
          <w:rFonts w:asciiTheme="minorHAnsi" w:hAnsiTheme="minorHAnsi" w:cs="Calibri"/>
          <w:color w:val="0070C0"/>
        </w:rPr>
        <w:t>to</w:t>
      </w:r>
      <w:r w:rsidRPr="0056116D">
        <w:rPr>
          <w:rFonts w:asciiTheme="minorHAnsi" w:hAnsiTheme="minorHAnsi" w:cs="Calibri"/>
          <w:color w:val="0070C0"/>
        </w:rPr>
        <w:t xml:space="preserve"> </w:t>
      </w:r>
      <w:r w:rsidRPr="0056116D">
        <w:rPr>
          <w:rStyle w:val="1cs5bdp"/>
          <w:rFonts w:asciiTheme="minorHAnsi" w:hAnsiTheme="minorHAnsi" w:cs="Calibri"/>
          <w:color w:val="0070C0"/>
        </w:rPr>
        <w:t>be</w:t>
      </w:r>
      <w:r w:rsidRPr="0056116D">
        <w:rPr>
          <w:rFonts w:asciiTheme="minorHAnsi" w:hAnsiTheme="minorHAnsi" w:cs="Calibri"/>
          <w:color w:val="0070C0"/>
        </w:rPr>
        <w:t xml:space="preserve"> </w:t>
      </w:r>
      <w:r w:rsidRPr="0056116D">
        <w:rPr>
          <w:rStyle w:val="1cs5bdp"/>
          <w:rFonts w:asciiTheme="minorHAnsi" w:hAnsiTheme="minorHAnsi" w:cs="Calibri"/>
          <w:color w:val="0070C0"/>
        </w:rPr>
        <w:t>appropriate</w:t>
      </w:r>
      <w:r w:rsidRPr="0056116D">
        <w:rPr>
          <w:rFonts w:asciiTheme="minorHAnsi" w:hAnsiTheme="minorHAnsi" w:cs="Calibri"/>
          <w:color w:val="0070C0"/>
        </w:rPr>
        <w:t xml:space="preserve"> </w:t>
      </w:r>
      <w:r w:rsidRPr="0056116D">
        <w:rPr>
          <w:rStyle w:val="1cs5bdp"/>
          <w:rFonts w:asciiTheme="minorHAnsi" w:hAnsiTheme="minorHAnsi" w:cs="Calibri"/>
          <w:color w:val="0070C0"/>
        </w:rPr>
        <w:t>and</w:t>
      </w:r>
      <w:r w:rsidRPr="0056116D">
        <w:rPr>
          <w:rFonts w:asciiTheme="minorHAnsi" w:hAnsiTheme="minorHAnsi" w:cs="Calibri"/>
          <w:color w:val="0070C0"/>
        </w:rPr>
        <w:t xml:space="preserve"> </w:t>
      </w:r>
      <w:r w:rsidRPr="0056116D">
        <w:rPr>
          <w:rStyle w:val="1cs5bdp"/>
          <w:rFonts w:asciiTheme="minorHAnsi" w:hAnsiTheme="minorHAnsi" w:cs="Calibri"/>
          <w:color w:val="0070C0"/>
        </w:rPr>
        <w:t>proportionate</w:t>
      </w:r>
      <w:r w:rsidRPr="0056116D">
        <w:rPr>
          <w:rFonts w:asciiTheme="minorHAnsi" w:hAnsiTheme="minorHAnsi" w:cs="Calibri"/>
          <w:color w:val="0070C0"/>
        </w:rPr>
        <w:t xml:space="preserve"> </w:t>
      </w:r>
      <w:r w:rsidRPr="0056116D">
        <w:rPr>
          <w:rStyle w:val="1cs5bdp"/>
          <w:rFonts w:asciiTheme="minorHAnsi" w:hAnsiTheme="minorHAnsi" w:cs="Calibri"/>
          <w:color w:val="0070C0"/>
        </w:rPr>
        <w:t>to</w:t>
      </w:r>
      <w:r w:rsidRPr="0056116D">
        <w:rPr>
          <w:rFonts w:asciiTheme="minorHAnsi" w:hAnsiTheme="minorHAnsi" w:cs="Calibri"/>
          <w:color w:val="0070C0"/>
        </w:rPr>
        <w:t xml:space="preserve"> </w:t>
      </w:r>
      <w:r w:rsidRPr="0056116D">
        <w:rPr>
          <w:rStyle w:val="1cs5bdp"/>
          <w:rFonts w:asciiTheme="minorHAnsi" w:hAnsiTheme="minorHAnsi" w:cs="Calibri"/>
          <w:color w:val="0070C0"/>
        </w:rPr>
        <w:t>the</w:t>
      </w:r>
      <w:r w:rsidRPr="0056116D">
        <w:rPr>
          <w:rFonts w:asciiTheme="minorHAnsi" w:hAnsiTheme="minorHAnsi" w:cs="Calibri"/>
          <w:color w:val="0070C0"/>
        </w:rPr>
        <w:t xml:space="preserve"> </w:t>
      </w:r>
      <w:r w:rsidRPr="0056116D">
        <w:rPr>
          <w:rStyle w:val="1cs5bdp"/>
          <w:rFonts w:asciiTheme="minorHAnsi" w:hAnsiTheme="minorHAnsi" w:cs="Calibri"/>
          <w:color w:val="0070C0"/>
        </w:rPr>
        <w:t>importance</w:t>
      </w:r>
      <w:r w:rsidRPr="0056116D">
        <w:rPr>
          <w:rFonts w:asciiTheme="minorHAnsi" w:hAnsiTheme="minorHAnsi" w:cs="Calibri"/>
          <w:color w:val="0070C0"/>
        </w:rPr>
        <w:t xml:space="preserve"> </w:t>
      </w:r>
      <w:r w:rsidRPr="0056116D">
        <w:rPr>
          <w:rStyle w:val="1cs5bdp"/>
          <w:rFonts w:asciiTheme="minorHAnsi" w:hAnsiTheme="minorHAnsi" w:cs="Calibri"/>
          <w:color w:val="0070C0"/>
        </w:rPr>
        <w:t>of</w:t>
      </w:r>
      <w:r w:rsidRPr="0056116D">
        <w:rPr>
          <w:rFonts w:asciiTheme="minorHAnsi" w:hAnsiTheme="minorHAnsi" w:cs="Calibri"/>
          <w:color w:val="0070C0"/>
        </w:rPr>
        <w:t xml:space="preserve"> </w:t>
      </w:r>
      <w:r w:rsidRPr="0056116D">
        <w:rPr>
          <w:rStyle w:val="1cs5bdp"/>
          <w:rFonts w:asciiTheme="minorHAnsi" w:hAnsiTheme="minorHAnsi" w:cs="Calibri"/>
          <w:color w:val="0070C0"/>
        </w:rPr>
        <w:t>timely</w:t>
      </w:r>
      <w:r w:rsidRPr="0056116D">
        <w:rPr>
          <w:rFonts w:asciiTheme="minorHAnsi" w:hAnsiTheme="minorHAnsi" w:cs="Calibri"/>
          <w:color w:val="0070C0"/>
        </w:rPr>
        <w:t xml:space="preserve"> </w:t>
      </w:r>
      <w:r w:rsidRPr="0056116D">
        <w:rPr>
          <w:rStyle w:val="1cs5bdp"/>
          <w:rFonts w:asciiTheme="minorHAnsi" w:hAnsiTheme="minorHAnsi" w:cs="Calibri"/>
          <w:color w:val="0070C0"/>
        </w:rPr>
        <w:t>delivery.</w:t>
      </w:r>
      <w:r w:rsidRPr="0056116D">
        <w:rPr>
          <w:rFonts w:asciiTheme="minorHAnsi" w:hAnsiTheme="minorHAnsi" w:cs="Calibri"/>
          <w:color w:val="0070C0"/>
        </w:rPr>
        <w:t xml:space="preserve"> </w:t>
      </w:r>
      <w:r w:rsidRPr="0056116D">
        <w:rPr>
          <w:rStyle w:val="1cs5bdp"/>
          <w:rFonts w:asciiTheme="minorHAnsi" w:hAnsiTheme="minorHAnsi" w:cs="Calibri"/>
          <w:color w:val="0070C0"/>
        </w:rPr>
        <w:t>The</w:t>
      </w:r>
      <w:r w:rsidRPr="0056116D">
        <w:rPr>
          <w:rFonts w:asciiTheme="minorHAnsi" w:hAnsiTheme="minorHAnsi" w:cs="Calibri"/>
          <w:color w:val="0070C0"/>
        </w:rPr>
        <w:t xml:space="preserve"> </w:t>
      </w:r>
      <w:r w:rsidRPr="0056116D">
        <w:rPr>
          <w:rStyle w:val="1cs5bdp"/>
          <w:rFonts w:asciiTheme="minorHAnsi" w:hAnsiTheme="minorHAnsi" w:cs="Calibri"/>
          <w:color w:val="0070C0"/>
        </w:rPr>
        <w:t>request</w:t>
      </w:r>
      <w:r w:rsidRPr="0056116D">
        <w:rPr>
          <w:rFonts w:asciiTheme="minorHAnsi" w:hAnsiTheme="minorHAnsi" w:cs="Calibri"/>
          <w:color w:val="0070C0"/>
        </w:rPr>
        <w:t xml:space="preserve"> </w:t>
      </w:r>
      <w:r w:rsidRPr="0056116D">
        <w:rPr>
          <w:rStyle w:val="1cs5bdp"/>
          <w:rFonts w:asciiTheme="minorHAnsi" w:hAnsiTheme="minorHAnsi" w:cs="Calibri"/>
          <w:color w:val="0070C0"/>
        </w:rPr>
        <w:t>to</w:t>
      </w:r>
      <w:r w:rsidRPr="0056116D">
        <w:rPr>
          <w:rFonts w:asciiTheme="minorHAnsi" w:hAnsiTheme="minorHAnsi" w:cs="Calibri"/>
          <w:color w:val="0070C0"/>
        </w:rPr>
        <w:t xml:space="preserve"> </w:t>
      </w:r>
      <w:r w:rsidRPr="0056116D">
        <w:rPr>
          <w:rStyle w:val="1cs5bdp"/>
          <w:rFonts w:asciiTheme="minorHAnsi" w:hAnsiTheme="minorHAnsi" w:cs="Calibri"/>
          <w:color w:val="0070C0"/>
        </w:rPr>
        <w:t>delete</w:t>
      </w:r>
      <w:r w:rsidRPr="0056116D">
        <w:rPr>
          <w:rFonts w:asciiTheme="minorHAnsi" w:hAnsiTheme="minorHAnsi" w:cs="Calibri"/>
          <w:color w:val="0070C0"/>
        </w:rPr>
        <w:t xml:space="preserve"> </w:t>
      </w:r>
      <w:r w:rsidRPr="0056116D">
        <w:rPr>
          <w:rStyle w:val="1cs5bdp"/>
          <w:rFonts w:asciiTheme="minorHAnsi" w:hAnsiTheme="minorHAnsi" w:cs="Calibri"/>
          <w:color w:val="0070C0"/>
        </w:rPr>
        <w:t>Clause</w:t>
      </w:r>
      <w:r w:rsidRPr="0056116D">
        <w:rPr>
          <w:rFonts w:asciiTheme="minorHAnsi" w:hAnsiTheme="minorHAnsi" w:cs="Calibri"/>
          <w:color w:val="0070C0"/>
        </w:rPr>
        <w:t xml:space="preserve"> </w:t>
      </w:r>
      <w:r w:rsidRPr="0056116D">
        <w:rPr>
          <w:rStyle w:val="1cs5bdp"/>
          <w:rFonts w:asciiTheme="minorHAnsi" w:hAnsiTheme="minorHAnsi" w:cs="Calibri"/>
          <w:color w:val="0070C0"/>
        </w:rPr>
        <w:t>5G</w:t>
      </w:r>
      <w:r w:rsidRPr="0056116D">
        <w:rPr>
          <w:rFonts w:asciiTheme="minorHAnsi" w:hAnsiTheme="minorHAnsi" w:cs="Calibri"/>
          <w:color w:val="0070C0"/>
        </w:rPr>
        <w:t xml:space="preserve"> </w:t>
      </w:r>
      <w:r w:rsidRPr="0056116D">
        <w:rPr>
          <w:rStyle w:val="1cs5bdp"/>
          <w:rFonts w:asciiTheme="minorHAnsi" w:hAnsiTheme="minorHAnsi" w:cs="Calibri"/>
          <w:color w:val="0070C0"/>
        </w:rPr>
        <w:t>is</w:t>
      </w:r>
      <w:r w:rsidRPr="0056116D">
        <w:rPr>
          <w:rFonts w:asciiTheme="minorHAnsi" w:hAnsiTheme="minorHAnsi" w:cs="Calibri"/>
          <w:color w:val="0070C0"/>
        </w:rPr>
        <w:t xml:space="preserve"> </w:t>
      </w:r>
      <w:r w:rsidRPr="0056116D">
        <w:rPr>
          <w:rStyle w:val="1cs5bdp"/>
          <w:rFonts w:asciiTheme="minorHAnsi" w:hAnsiTheme="minorHAnsi" w:cs="Calibri"/>
          <w:color w:val="0070C0"/>
        </w:rPr>
        <w:t>therefore</w:t>
      </w:r>
      <w:r w:rsidRPr="0056116D">
        <w:rPr>
          <w:rFonts w:asciiTheme="minorHAnsi" w:hAnsiTheme="minorHAnsi" w:cs="Calibri"/>
          <w:color w:val="0070C0"/>
        </w:rPr>
        <w:t xml:space="preserve"> </w:t>
      </w:r>
      <w:r w:rsidRPr="0056116D">
        <w:rPr>
          <w:rStyle w:val="1cs5bdp"/>
          <w:rFonts w:asciiTheme="minorHAnsi" w:hAnsiTheme="minorHAnsi" w:cs="Calibri"/>
          <w:color w:val="0070C0"/>
        </w:rPr>
        <w:t>not</w:t>
      </w:r>
      <w:r w:rsidRPr="0056116D">
        <w:rPr>
          <w:rFonts w:asciiTheme="minorHAnsi" w:hAnsiTheme="minorHAnsi" w:cs="Calibri"/>
          <w:color w:val="0070C0"/>
        </w:rPr>
        <w:t xml:space="preserve"> </w:t>
      </w:r>
      <w:r w:rsidRPr="0056116D">
        <w:rPr>
          <w:rStyle w:val="1cs5bdp"/>
          <w:rFonts w:asciiTheme="minorHAnsi" w:hAnsiTheme="minorHAnsi" w:cs="Calibri"/>
          <w:color w:val="0070C0"/>
        </w:rPr>
        <w:t>accepted</w:t>
      </w:r>
      <w:r w:rsidRPr="0056116D">
        <w:rPr>
          <w:rFonts w:asciiTheme="minorHAnsi" w:hAnsiTheme="minorHAnsi" w:cs="Calibri"/>
          <w:color w:val="0070C0"/>
        </w:rPr>
        <w:t xml:space="preserve"> </w:t>
      </w:r>
      <w:r w:rsidRPr="0056116D">
        <w:rPr>
          <w:rStyle w:val="1cs5bdp"/>
          <w:rFonts w:asciiTheme="minorHAnsi" w:hAnsiTheme="minorHAnsi" w:cs="Calibri"/>
          <w:color w:val="0070C0"/>
        </w:rPr>
        <w:t>and</w:t>
      </w:r>
      <w:r w:rsidRPr="0056116D">
        <w:rPr>
          <w:rFonts w:asciiTheme="minorHAnsi" w:hAnsiTheme="minorHAnsi" w:cs="Calibri"/>
          <w:color w:val="0070C0"/>
        </w:rPr>
        <w:t xml:space="preserve"> </w:t>
      </w:r>
      <w:r w:rsidRPr="0056116D">
        <w:rPr>
          <w:rStyle w:val="1cs5bdp"/>
          <w:rFonts w:asciiTheme="minorHAnsi" w:hAnsiTheme="minorHAnsi" w:cs="Calibri"/>
          <w:color w:val="0070C0"/>
        </w:rPr>
        <w:t>the</w:t>
      </w:r>
      <w:r w:rsidRPr="0056116D">
        <w:rPr>
          <w:rFonts w:asciiTheme="minorHAnsi" w:hAnsiTheme="minorHAnsi" w:cs="Calibri"/>
          <w:color w:val="0070C0"/>
        </w:rPr>
        <w:t xml:space="preserve"> </w:t>
      </w:r>
      <w:r w:rsidRPr="0056116D">
        <w:rPr>
          <w:rStyle w:val="1cs5bdp"/>
          <w:rFonts w:asciiTheme="minorHAnsi" w:hAnsiTheme="minorHAnsi" w:cs="Calibri"/>
          <w:color w:val="0070C0"/>
        </w:rPr>
        <w:t>clause</w:t>
      </w:r>
      <w:r w:rsidRPr="0056116D">
        <w:rPr>
          <w:rFonts w:asciiTheme="minorHAnsi" w:hAnsiTheme="minorHAnsi" w:cs="Calibri"/>
          <w:color w:val="0070C0"/>
        </w:rPr>
        <w:t xml:space="preserve"> </w:t>
      </w:r>
      <w:r w:rsidRPr="0056116D">
        <w:rPr>
          <w:rStyle w:val="1cs5bdp"/>
          <w:rFonts w:asciiTheme="minorHAnsi" w:hAnsiTheme="minorHAnsi" w:cs="Calibri"/>
          <w:color w:val="0070C0"/>
        </w:rPr>
        <w:t>will</w:t>
      </w:r>
      <w:r w:rsidRPr="0056116D">
        <w:rPr>
          <w:rFonts w:asciiTheme="minorHAnsi" w:hAnsiTheme="minorHAnsi" w:cs="Calibri"/>
          <w:color w:val="0070C0"/>
        </w:rPr>
        <w:t xml:space="preserve"> </w:t>
      </w:r>
      <w:r w:rsidRPr="0056116D">
        <w:rPr>
          <w:rStyle w:val="1cs5bdp"/>
          <w:rFonts w:asciiTheme="minorHAnsi" w:hAnsiTheme="minorHAnsi" w:cs="Calibri"/>
          <w:color w:val="0070C0"/>
        </w:rPr>
        <w:t>remain</w:t>
      </w:r>
      <w:r w:rsidRPr="0056116D">
        <w:rPr>
          <w:rFonts w:asciiTheme="minorHAnsi" w:hAnsiTheme="minorHAnsi" w:cs="Calibri"/>
          <w:color w:val="0070C0"/>
        </w:rPr>
        <w:t xml:space="preserve"> </w:t>
      </w:r>
      <w:r w:rsidRPr="0056116D">
        <w:rPr>
          <w:rStyle w:val="1cs5bdp"/>
          <w:rFonts w:asciiTheme="minorHAnsi" w:hAnsiTheme="minorHAnsi" w:cs="Calibri"/>
          <w:color w:val="0070C0"/>
        </w:rPr>
        <w:t>unchanged.</w:t>
      </w:r>
    </w:p>
    <w:p w14:paraId="63066F71" w14:textId="77777777" w:rsidR="00D87B0A" w:rsidRPr="0056116D" w:rsidRDefault="00D87B0A" w:rsidP="00D87B0A">
      <w:pPr>
        <w:ind w:left="720"/>
        <w:rPr>
          <w:rFonts w:cs="Calibri"/>
        </w:rPr>
      </w:pPr>
    </w:p>
    <w:p w14:paraId="14CB5DA9" w14:textId="5470E5E3" w:rsidR="000F711F" w:rsidRPr="0056116D" w:rsidRDefault="00EB5098" w:rsidP="0056116D">
      <w:pPr>
        <w:numPr>
          <w:ilvl w:val="0"/>
          <w:numId w:val="5"/>
        </w:numPr>
        <w:ind w:left="709" w:hanging="567"/>
        <w:rPr>
          <w:rFonts w:cs="Calibri"/>
        </w:rPr>
      </w:pPr>
      <w:r w:rsidRPr="0056116D">
        <w:rPr>
          <w:rFonts w:cs="Calibri"/>
        </w:rPr>
        <w:t>We would request that clause 6G is amended so that any liability arising under it is expressly made subject to the agreement’s overall limitation of liability and included within the general liability cap, rather than operating as a separate or uncapped liability exposure. We would also request that liability under this clause is limited to direct losses only, with indirect and consequential losses expressly excluded.</w:t>
      </w:r>
    </w:p>
    <w:p w14:paraId="555FD72B" w14:textId="3093CB39" w:rsidR="00EB5098" w:rsidRDefault="0056116D" w:rsidP="0056116D">
      <w:pPr>
        <w:ind w:left="720"/>
        <w:rPr>
          <w:rFonts w:cs="Calibri"/>
          <w:color w:val="0070C0"/>
        </w:rPr>
      </w:pPr>
      <w:r w:rsidRPr="0056116D">
        <w:rPr>
          <w:rFonts w:cs="Calibri"/>
          <w:color w:val="0070C0"/>
        </w:rPr>
        <w:t xml:space="preserve">Clarification: </w:t>
      </w:r>
      <w:r w:rsidR="000F711F" w:rsidRPr="0056116D">
        <w:rPr>
          <w:rFonts w:cs="Calibri"/>
          <w:color w:val="0070C0"/>
        </w:rPr>
        <w:t>The Contracting Authority does not propose to amend clause 6G. The intellectual property provisions, including the indemnity relating to infringement of third-party intellectual property rights, will remain as stated in the Services Contract.</w:t>
      </w:r>
    </w:p>
    <w:p w14:paraId="789AFE0D" w14:textId="77777777" w:rsidR="0056116D" w:rsidRPr="0056116D" w:rsidRDefault="0056116D" w:rsidP="0056116D">
      <w:pPr>
        <w:ind w:left="720"/>
        <w:rPr>
          <w:rFonts w:cs="Calibri"/>
        </w:rPr>
      </w:pPr>
    </w:p>
    <w:p w14:paraId="0F48A174" w14:textId="607C688F" w:rsidR="00EB5098" w:rsidRPr="0056116D" w:rsidRDefault="00EB5098" w:rsidP="0056116D">
      <w:pPr>
        <w:pStyle w:val="ListParagraph"/>
        <w:numPr>
          <w:ilvl w:val="0"/>
          <w:numId w:val="5"/>
        </w:numPr>
        <w:ind w:left="709" w:hanging="567"/>
        <w:rPr>
          <w:rFonts w:cs="Calibri"/>
        </w:rPr>
      </w:pPr>
      <w:r w:rsidRPr="0056116D">
        <w:rPr>
          <w:rFonts w:cs="Calibri"/>
        </w:rPr>
        <w:lastRenderedPageBreak/>
        <w:t>We would like request for an extension to the clarification deadline which is currently today at 5pm, to allow our legal team sufficient time to review the terms and conditions.</w:t>
      </w:r>
    </w:p>
    <w:p w14:paraId="70668906" w14:textId="77777777" w:rsidR="00EB5098" w:rsidRPr="0056116D" w:rsidRDefault="00EB5098" w:rsidP="00EB5098">
      <w:pPr>
        <w:ind w:left="720"/>
        <w:rPr>
          <w:rFonts w:cs="Calibri"/>
        </w:rPr>
      </w:pPr>
      <w:r w:rsidRPr="0056116D">
        <w:rPr>
          <w:rFonts w:cs="Calibri"/>
        </w:rPr>
        <w:t>In addition, we would seek to include our standard wording of reasonable skill and care and suggest to TQ whether an amendment could be made here. </w:t>
      </w:r>
    </w:p>
    <w:p w14:paraId="28A399A0" w14:textId="77777777" w:rsidR="00EB5098" w:rsidRPr="0056116D" w:rsidRDefault="00EB5098" w:rsidP="00EB5098">
      <w:pPr>
        <w:ind w:left="720"/>
        <w:rPr>
          <w:rFonts w:cs="Calibri"/>
        </w:rPr>
      </w:pPr>
      <w:r w:rsidRPr="0056116D">
        <w:rPr>
          <w:rFonts w:cs="Calibri"/>
        </w:rPr>
        <w:t>Can you please let us know if the above request can be accommodated?</w:t>
      </w:r>
    </w:p>
    <w:p w14:paraId="21D776E0" w14:textId="59B6D4DA" w:rsidR="00E70D01" w:rsidRPr="0056116D" w:rsidRDefault="0056116D" w:rsidP="00E70D01">
      <w:pPr>
        <w:ind w:left="720"/>
        <w:rPr>
          <w:rFonts w:cs="Calibri"/>
          <w:color w:val="0070C0"/>
        </w:rPr>
      </w:pPr>
      <w:r w:rsidRPr="0056116D">
        <w:rPr>
          <w:rFonts w:cs="Calibri"/>
          <w:color w:val="0070C0"/>
        </w:rPr>
        <w:t xml:space="preserve">Clarification: </w:t>
      </w:r>
      <w:r w:rsidR="00E70D01" w:rsidRPr="0056116D">
        <w:rPr>
          <w:rFonts w:cs="Calibri"/>
          <w:color w:val="0070C0"/>
        </w:rPr>
        <w:t>The Contracting Authority notes the request. The deadline for submission of queries and clarifications has now passed and the Contracting Authority does not propose to extend or reopen the clarification period.</w:t>
      </w:r>
    </w:p>
    <w:p w14:paraId="61F827CB" w14:textId="77777777" w:rsidR="00E70D01" w:rsidRPr="0056116D" w:rsidRDefault="00E70D01" w:rsidP="00E70D01">
      <w:pPr>
        <w:ind w:left="720"/>
        <w:rPr>
          <w:rFonts w:cs="Calibri"/>
          <w:color w:val="0070C0"/>
        </w:rPr>
      </w:pPr>
      <w:r w:rsidRPr="0056116D">
        <w:rPr>
          <w:rFonts w:cs="Calibri"/>
          <w:color w:val="0070C0"/>
        </w:rPr>
        <w:t>In relation to the proposed amendment concerning reasonable skill and care, the Contracting Authority notes that the Services Contract already requires the Contractor to act with due care, skill and diligence in the provision of the Services. The Contracting Authority does not propose to amend this provision.</w:t>
      </w:r>
    </w:p>
    <w:p w14:paraId="081B8E56" w14:textId="77777777" w:rsidR="00E70D01" w:rsidRPr="0056116D" w:rsidRDefault="00E70D01" w:rsidP="00E70D01">
      <w:pPr>
        <w:ind w:left="720"/>
        <w:rPr>
          <w:rFonts w:cs="Calibri"/>
          <w:color w:val="0070C0"/>
        </w:rPr>
      </w:pPr>
      <w:r w:rsidRPr="0056116D">
        <w:rPr>
          <w:rFonts w:cs="Calibri"/>
          <w:color w:val="0070C0"/>
        </w:rPr>
        <w:t xml:space="preserve">Tenderers should prepare their Tenders </w:t>
      </w:r>
      <w:proofErr w:type="gramStart"/>
      <w:r w:rsidRPr="0056116D">
        <w:rPr>
          <w:rFonts w:cs="Calibri"/>
          <w:color w:val="0070C0"/>
        </w:rPr>
        <w:t>on the basis of</w:t>
      </w:r>
      <w:proofErr w:type="gramEnd"/>
      <w:r w:rsidRPr="0056116D">
        <w:rPr>
          <w:rFonts w:cs="Calibri"/>
          <w:color w:val="0070C0"/>
        </w:rPr>
        <w:t xml:space="preserve"> the RFT and Services Contract, together with any clarifications or amendments issued by the Contracting Authority through eTenders.</w:t>
      </w:r>
    </w:p>
    <w:p w14:paraId="4FE1F307" w14:textId="77777777" w:rsidR="00EB5098" w:rsidRPr="0056116D" w:rsidRDefault="00EB5098" w:rsidP="00EB5098">
      <w:pPr>
        <w:ind w:left="720"/>
        <w:rPr>
          <w:rFonts w:cs="Calibri"/>
        </w:rPr>
      </w:pPr>
    </w:p>
    <w:p w14:paraId="01548886" w14:textId="77777777" w:rsidR="00552205" w:rsidRPr="0056116D" w:rsidRDefault="00552205"/>
    <w:sectPr w:rsidR="00552205" w:rsidRPr="0056116D" w:rsidSect="00695EF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E3610"/>
    <w:multiLevelType w:val="hybridMultilevel"/>
    <w:tmpl w:val="EA462454"/>
    <w:lvl w:ilvl="0" w:tplc="0A2EFD3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4FB23FC"/>
    <w:multiLevelType w:val="hybridMultilevel"/>
    <w:tmpl w:val="46DCB79E"/>
    <w:lvl w:ilvl="0" w:tplc="97CCFD78">
      <w:start w:val="8"/>
      <w:numFmt w:val="decimal"/>
      <w:lvlText w:val="(%1)"/>
      <w:lvlJc w:val="left"/>
      <w:pPr>
        <w:ind w:left="1440" w:hanging="360"/>
      </w:pPr>
      <w:rPr>
        <w:rFonts w:hint="default"/>
        <w:b/>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 w15:restartNumberingAfterBreak="0">
    <w:nsid w:val="1AD45AB1"/>
    <w:multiLevelType w:val="multilevel"/>
    <w:tmpl w:val="02FA9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2173E2"/>
    <w:multiLevelType w:val="hybridMultilevel"/>
    <w:tmpl w:val="48ECDC8E"/>
    <w:lvl w:ilvl="0" w:tplc="D2ACD0A0">
      <w:start w:val="8"/>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42A3405"/>
    <w:multiLevelType w:val="multilevel"/>
    <w:tmpl w:val="65E68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B6D6949"/>
    <w:multiLevelType w:val="hybridMultilevel"/>
    <w:tmpl w:val="BAE0BED4"/>
    <w:lvl w:ilvl="0" w:tplc="3B20B198">
      <w:start w:val="8"/>
      <w:numFmt w:val="decimal"/>
      <w:lvlText w:val="(%1)"/>
      <w:lvlJc w:val="left"/>
      <w:pPr>
        <w:ind w:left="502" w:hanging="360"/>
      </w:pPr>
      <w:rPr>
        <w:rFonts w:hint="default"/>
        <w:b w:val="0"/>
        <w:bCs/>
      </w:rPr>
    </w:lvl>
    <w:lvl w:ilvl="1" w:tplc="18090019">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num w:numId="1" w16cid:durableId="324356057">
    <w:abstractNumId w:val="4"/>
  </w:num>
  <w:num w:numId="2" w16cid:durableId="827477868">
    <w:abstractNumId w:val="2"/>
  </w:num>
  <w:num w:numId="3" w16cid:durableId="115410847">
    <w:abstractNumId w:val="0"/>
  </w:num>
  <w:num w:numId="4" w16cid:durableId="112333997">
    <w:abstractNumId w:val="3"/>
  </w:num>
  <w:num w:numId="5" w16cid:durableId="1548910515">
    <w:abstractNumId w:val="5"/>
  </w:num>
  <w:num w:numId="6" w16cid:durableId="231347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0F9"/>
    <w:rsid w:val="00085D7F"/>
    <w:rsid w:val="000B1195"/>
    <w:rsid w:val="000F711F"/>
    <w:rsid w:val="002B200E"/>
    <w:rsid w:val="00360A44"/>
    <w:rsid w:val="003857E1"/>
    <w:rsid w:val="00394EEB"/>
    <w:rsid w:val="00490303"/>
    <w:rsid w:val="00552205"/>
    <w:rsid w:val="0056116D"/>
    <w:rsid w:val="005F4136"/>
    <w:rsid w:val="005F4439"/>
    <w:rsid w:val="00695EF3"/>
    <w:rsid w:val="007060F9"/>
    <w:rsid w:val="0078404B"/>
    <w:rsid w:val="007A6EAE"/>
    <w:rsid w:val="007F468F"/>
    <w:rsid w:val="00933FC9"/>
    <w:rsid w:val="009E17A1"/>
    <w:rsid w:val="00A11159"/>
    <w:rsid w:val="00A819AD"/>
    <w:rsid w:val="00A95E7A"/>
    <w:rsid w:val="00AF081E"/>
    <w:rsid w:val="00BC6788"/>
    <w:rsid w:val="00C93F7C"/>
    <w:rsid w:val="00D87B0A"/>
    <w:rsid w:val="00E65FA2"/>
    <w:rsid w:val="00E70D01"/>
    <w:rsid w:val="00EB5098"/>
    <w:rsid w:val="00EC70E7"/>
    <w:rsid w:val="00F4552E"/>
    <w:rsid w:val="00F5489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75574"/>
  <w15:chartTrackingRefBased/>
  <w15:docId w15:val="{A979AC42-01ED-4604-8DCA-6C971D44B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60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60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60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60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60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60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60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60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60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0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60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60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60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60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60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60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60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60F9"/>
    <w:rPr>
      <w:rFonts w:eastAsiaTheme="majorEastAsia" w:cstheme="majorBidi"/>
      <w:color w:val="272727" w:themeColor="text1" w:themeTint="D8"/>
    </w:rPr>
  </w:style>
  <w:style w:type="paragraph" w:styleId="Title">
    <w:name w:val="Title"/>
    <w:basedOn w:val="Normal"/>
    <w:next w:val="Normal"/>
    <w:link w:val="TitleChar"/>
    <w:uiPriority w:val="10"/>
    <w:qFormat/>
    <w:rsid w:val="007060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60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60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60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60F9"/>
    <w:pPr>
      <w:spacing w:before="160"/>
      <w:jc w:val="center"/>
    </w:pPr>
    <w:rPr>
      <w:i/>
      <w:iCs/>
      <w:color w:val="404040" w:themeColor="text1" w:themeTint="BF"/>
    </w:rPr>
  </w:style>
  <w:style w:type="character" w:customStyle="1" w:styleId="QuoteChar">
    <w:name w:val="Quote Char"/>
    <w:basedOn w:val="DefaultParagraphFont"/>
    <w:link w:val="Quote"/>
    <w:uiPriority w:val="29"/>
    <w:rsid w:val="007060F9"/>
    <w:rPr>
      <w:i/>
      <w:iCs/>
      <w:color w:val="404040" w:themeColor="text1" w:themeTint="BF"/>
    </w:rPr>
  </w:style>
  <w:style w:type="paragraph" w:styleId="ListParagraph">
    <w:name w:val="List Paragraph"/>
    <w:basedOn w:val="Normal"/>
    <w:uiPriority w:val="34"/>
    <w:qFormat/>
    <w:rsid w:val="007060F9"/>
    <w:pPr>
      <w:ind w:left="720"/>
      <w:contextualSpacing/>
    </w:pPr>
  </w:style>
  <w:style w:type="character" w:styleId="IntenseEmphasis">
    <w:name w:val="Intense Emphasis"/>
    <w:basedOn w:val="DefaultParagraphFont"/>
    <w:uiPriority w:val="21"/>
    <w:qFormat/>
    <w:rsid w:val="007060F9"/>
    <w:rPr>
      <w:i/>
      <w:iCs/>
      <w:color w:val="0F4761" w:themeColor="accent1" w:themeShade="BF"/>
    </w:rPr>
  </w:style>
  <w:style w:type="paragraph" w:styleId="IntenseQuote">
    <w:name w:val="Intense Quote"/>
    <w:basedOn w:val="Normal"/>
    <w:next w:val="Normal"/>
    <w:link w:val="IntenseQuoteChar"/>
    <w:uiPriority w:val="30"/>
    <w:qFormat/>
    <w:rsid w:val="007060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60F9"/>
    <w:rPr>
      <w:i/>
      <w:iCs/>
      <w:color w:val="0F4761" w:themeColor="accent1" w:themeShade="BF"/>
    </w:rPr>
  </w:style>
  <w:style w:type="character" w:styleId="IntenseReference">
    <w:name w:val="Intense Reference"/>
    <w:basedOn w:val="DefaultParagraphFont"/>
    <w:uiPriority w:val="32"/>
    <w:qFormat/>
    <w:rsid w:val="007060F9"/>
    <w:rPr>
      <w:b/>
      <w:bCs/>
      <w:smallCaps/>
      <w:color w:val="0F4761" w:themeColor="accent1" w:themeShade="BF"/>
      <w:spacing w:val="5"/>
    </w:rPr>
  </w:style>
  <w:style w:type="character" w:styleId="Strong">
    <w:name w:val="Strong"/>
    <w:basedOn w:val="DefaultParagraphFont"/>
    <w:uiPriority w:val="22"/>
    <w:qFormat/>
    <w:rsid w:val="00D87B0A"/>
    <w:rPr>
      <w:b/>
      <w:bCs/>
    </w:rPr>
  </w:style>
  <w:style w:type="paragraph" w:styleId="NormalWeb">
    <w:name w:val="Normal (Web)"/>
    <w:basedOn w:val="Normal"/>
    <w:uiPriority w:val="99"/>
    <w:semiHidden/>
    <w:unhideWhenUsed/>
    <w:rsid w:val="000F711F"/>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xxxjie0">
    <w:name w:val="___xxxjie0"/>
    <w:basedOn w:val="DefaultParagraphFont"/>
    <w:rsid w:val="000F711F"/>
  </w:style>
  <w:style w:type="character" w:customStyle="1" w:styleId="1cs5bdp">
    <w:name w:val="___1cs5bdp"/>
    <w:basedOn w:val="DefaultParagraphFont"/>
    <w:rsid w:val="000F71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1759</Words>
  <Characters>10027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Browne, Liam</dc:creator>
  <cp:keywords/>
  <dc:description/>
  <cp:lastModifiedBy>Corrigan, Mairead</cp:lastModifiedBy>
  <cp:revision>2</cp:revision>
  <cp:lastPrinted>2026-10-05T11:19:00Z</cp:lastPrinted>
  <dcterms:created xsi:type="dcterms:W3CDTF">2026-10-05T16:16:00Z</dcterms:created>
  <dcterms:modified xsi:type="dcterms:W3CDTF">2026-10-05T16:16:00Z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f85b55-fb29-46c8-afd7-228a0b9f7560_Enabled">
    <vt:lpwstr>true</vt:lpwstr>
  </property>
  <property fmtid="{D5CDD505-2E9C-101B-9397-08002B2CF9AE}" pid="3" name="MSIP_Label_e7f85b55-fb29-46c8-afd7-228a0b9f7560_SetDate">
    <vt:lpwstr>2026-09-28T17:37:59Z</vt:lpwstr>
  </property>
  <property fmtid="{D5CDD505-2E9C-101B-9397-08002B2CF9AE}" pid="4" name="MSIP_Label_e7f85b55-fb29-46c8-afd7-228a0b9f7560_Method">
    <vt:lpwstr>Standard</vt:lpwstr>
  </property>
  <property fmtid="{D5CDD505-2E9C-101B-9397-08002B2CF9AE}" pid="5" name="MSIP_Label_e7f85b55-fb29-46c8-afd7-228a0b9f7560_Name">
    <vt:lpwstr>Internal</vt:lpwstr>
  </property>
  <property fmtid="{D5CDD505-2E9C-101B-9397-08002B2CF9AE}" pid="6" name="MSIP_Label_e7f85b55-fb29-46c8-afd7-228a0b9f7560_SiteId">
    <vt:lpwstr>1e1a5d0d-c1d7-4802-a649-86e3a852284b</vt:lpwstr>
  </property>
  <property fmtid="{D5CDD505-2E9C-101B-9397-08002B2CF9AE}" pid="7" name="MSIP_Label_e7f85b55-fb29-46c8-afd7-228a0b9f7560_ActionId">
    <vt:lpwstr>fa198686-01a8-488a-b54d-ccba5cc6c8be</vt:lpwstr>
  </property>
  <property fmtid="{D5CDD505-2E9C-101B-9397-08002B2CF9AE}" pid="8" name="MSIP_Label_e7f85b55-fb29-46c8-afd7-228a0b9f7560_ContentBits">
    <vt:lpwstr>0</vt:lpwstr>
  </property>
  <property fmtid="{D5CDD505-2E9C-101B-9397-08002B2CF9AE}" pid="9" name="MSIP_Label_e7f85b55-fb29-46c8-afd7-228a0b9f7560_Tag">
    <vt:lpwstr>10, 3, 0, 1</vt:lpwstr>
  </property>
</Properties>
</file>