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B966" w14:textId="1021AF64" w:rsidR="00F66A12" w:rsidRDefault="00B3411B" w:rsidP="00B3411B">
      <w:pPr>
        <w:pStyle w:val="NormalWeb"/>
        <w:shd w:val="clear" w:color="auto" w:fill="FFFFFF"/>
        <w:spacing w:before="0" w:beforeAutospacing="0"/>
        <w:jc w:val="center"/>
        <w:rPr>
          <w:rFonts w:ascii="Lato" w:hAnsi="Lato"/>
          <w:color w:val="00241A"/>
          <w:sz w:val="21"/>
          <w:szCs w:val="21"/>
        </w:rPr>
      </w:pPr>
      <w:r>
        <w:rPr>
          <w:rFonts w:ascii="Lato" w:hAnsi="Lato"/>
          <w:color w:val="00241A"/>
          <w:sz w:val="21"/>
          <w:szCs w:val="21"/>
        </w:rPr>
        <w:t>Clarification document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1121F6" w14:paraId="7C1D819F" w14:textId="77777777" w:rsidTr="00BD779C">
        <w:tc>
          <w:tcPr>
            <w:tcW w:w="1271" w:type="dxa"/>
          </w:tcPr>
          <w:p w14:paraId="3395C998" w14:textId="6512FEF9" w:rsidR="001121F6" w:rsidRDefault="00B3411B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Reference</w:t>
            </w:r>
          </w:p>
        </w:tc>
        <w:tc>
          <w:tcPr>
            <w:tcW w:w="4739" w:type="dxa"/>
          </w:tcPr>
          <w:p w14:paraId="1463AE4E" w14:textId="743CED86" w:rsidR="001121F6" w:rsidRDefault="00B3411B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Item</w:t>
            </w:r>
          </w:p>
        </w:tc>
        <w:tc>
          <w:tcPr>
            <w:tcW w:w="3006" w:type="dxa"/>
          </w:tcPr>
          <w:p w14:paraId="4F2290E5" w14:textId="27E6AAE0" w:rsidR="001121F6" w:rsidRDefault="00B3411B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Clarification</w:t>
            </w:r>
          </w:p>
        </w:tc>
      </w:tr>
      <w:tr w:rsidR="001121F6" w14:paraId="19BCD47C" w14:textId="77777777" w:rsidTr="00BD779C">
        <w:tc>
          <w:tcPr>
            <w:tcW w:w="1271" w:type="dxa"/>
          </w:tcPr>
          <w:p w14:paraId="1302A833" w14:textId="5C1E4FC8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Quantity</w:t>
            </w:r>
          </w:p>
        </w:tc>
        <w:tc>
          <w:tcPr>
            <w:tcW w:w="4739" w:type="dxa"/>
          </w:tcPr>
          <w:p w14:paraId="67FB74AE" w14:textId="1F1BDD43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Variance in number of units stated in the tender notice (13) and that contained in the RFT and TRD (14)</w:t>
            </w:r>
          </w:p>
        </w:tc>
        <w:tc>
          <w:tcPr>
            <w:tcW w:w="3006" w:type="dxa"/>
          </w:tcPr>
          <w:p w14:paraId="34B83458" w14:textId="3B4707B0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Quantity required is 14 units</w:t>
            </w:r>
          </w:p>
        </w:tc>
      </w:tr>
      <w:tr w:rsidR="001121F6" w14:paraId="704742D7" w14:textId="77777777" w:rsidTr="00BD779C">
        <w:tc>
          <w:tcPr>
            <w:tcW w:w="1271" w:type="dxa"/>
          </w:tcPr>
          <w:p w14:paraId="7C305B94" w14:textId="70EF806F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Ref A4</w:t>
            </w:r>
          </w:p>
        </w:tc>
        <w:tc>
          <w:tcPr>
            <w:tcW w:w="4739" w:type="dxa"/>
          </w:tcPr>
          <w:p w14:paraId="6636485B" w14:textId="0B8E8BC1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Variation in certification standard stated in Appendix A (A4) of the RFT and the TRD</w:t>
            </w:r>
          </w:p>
        </w:tc>
        <w:tc>
          <w:tcPr>
            <w:tcW w:w="3006" w:type="dxa"/>
          </w:tcPr>
          <w:p w14:paraId="4B82B42F" w14:textId="1E40F533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AMCA 240-22 is the certification required for this tender</w:t>
            </w:r>
          </w:p>
        </w:tc>
      </w:tr>
      <w:tr w:rsidR="001121F6" w14:paraId="5082209C" w14:textId="77777777" w:rsidTr="00BD779C">
        <w:tc>
          <w:tcPr>
            <w:tcW w:w="1271" w:type="dxa"/>
          </w:tcPr>
          <w:p w14:paraId="78DC3527" w14:textId="42B5CC45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Ref A1</w:t>
            </w:r>
          </w:p>
        </w:tc>
        <w:tc>
          <w:tcPr>
            <w:tcW w:w="4739" w:type="dxa"/>
          </w:tcPr>
          <w:p w14:paraId="32F00D88" w14:textId="5FD846B8" w:rsidR="001121F6" w:rsidRDefault="001121F6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 xml:space="preserve">Variation in warranty - warranty of 3 years on the fan and 1 year or 500 cycles on the batteries. Criterion C states a minimum acceptable warranty of 12 months. </w:t>
            </w:r>
          </w:p>
        </w:tc>
        <w:tc>
          <w:tcPr>
            <w:tcW w:w="3006" w:type="dxa"/>
          </w:tcPr>
          <w:p w14:paraId="3E43F7B1" w14:textId="17F56064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The minimum acceptable warranty is as outlined in Appendix A1</w:t>
            </w:r>
          </w:p>
        </w:tc>
      </w:tr>
      <w:tr w:rsidR="001121F6" w14:paraId="6DD55D19" w14:textId="77777777" w:rsidTr="00BD779C">
        <w:tc>
          <w:tcPr>
            <w:tcW w:w="1271" w:type="dxa"/>
          </w:tcPr>
          <w:p w14:paraId="2B29DC50" w14:textId="225E4A13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Criterion C</w:t>
            </w:r>
          </w:p>
        </w:tc>
        <w:tc>
          <w:tcPr>
            <w:tcW w:w="4739" w:type="dxa"/>
          </w:tcPr>
          <w:p w14:paraId="7FF5A227" w14:textId="2B61C16B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 xml:space="preserve">Criterion looks for 1 year warranty but RFT looks for </w:t>
            </w:r>
            <w:proofErr w:type="gramStart"/>
            <w:r>
              <w:rPr>
                <w:rFonts w:ascii="Lato" w:hAnsi="Lato"/>
                <w:color w:val="00241A"/>
                <w:sz w:val="21"/>
                <w:szCs w:val="21"/>
              </w:rPr>
              <w:t>1 and 3 years</w:t>
            </w:r>
            <w:proofErr w:type="gramEnd"/>
            <w:r>
              <w:rPr>
                <w:rFonts w:ascii="Lato" w:hAnsi="Lato"/>
                <w:color w:val="00241A"/>
                <w:sz w:val="21"/>
                <w:szCs w:val="21"/>
              </w:rPr>
              <w:t xml:space="preserve"> warranty for the batteries and fan respectively.</w:t>
            </w:r>
          </w:p>
        </w:tc>
        <w:tc>
          <w:tcPr>
            <w:tcW w:w="3006" w:type="dxa"/>
          </w:tcPr>
          <w:p w14:paraId="0D5AC21C" w14:textId="33C9D85E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Full marks will be awarded for any unit submitted that complies with both warranties outlined in the RFT.</w:t>
            </w:r>
          </w:p>
        </w:tc>
      </w:tr>
      <w:tr w:rsidR="001121F6" w14:paraId="1B6694AE" w14:textId="77777777" w:rsidTr="00BD779C">
        <w:tc>
          <w:tcPr>
            <w:tcW w:w="1271" w:type="dxa"/>
          </w:tcPr>
          <w:p w14:paraId="2D617960" w14:textId="17E587A3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Ref B5</w:t>
            </w:r>
          </w:p>
        </w:tc>
        <w:tc>
          <w:tcPr>
            <w:tcW w:w="4739" w:type="dxa"/>
          </w:tcPr>
          <w:p w14:paraId="0F7A23EE" w14:textId="0024F742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Variation in flow rate and step back from opening.</w:t>
            </w:r>
          </w:p>
        </w:tc>
        <w:tc>
          <w:tcPr>
            <w:tcW w:w="3006" w:type="dxa"/>
          </w:tcPr>
          <w:p w14:paraId="5BC122F2" w14:textId="5ABFA1D4" w:rsidR="001121F6" w:rsidRDefault="00BD779C" w:rsidP="00F66A12">
            <w:pPr>
              <w:pStyle w:val="NormalWeb"/>
              <w:spacing w:before="0" w:beforeAutospacing="0"/>
              <w:rPr>
                <w:rFonts w:ascii="Lato" w:hAnsi="Lato"/>
                <w:color w:val="00241A"/>
                <w:sz w:val="21"/>
                <w:szCs w:val="21"/>
              </w:rPr>
            </w:pPr>
            <w:r>
              <w:rPr>
                <w:rFonts w:ascii="Lato" w:hAnsi="Lato"/>
                <w:color w:val="00241A"/>
                <w:sz w:val="21"/>
                <w:szCs w:val="21"/>
              </w:rPr>
              <w:t>The requirement is for 15,000</w:t>
            </w:r>
            <w:r>
              <w:t xml:space="preserve"> </w:t>
            </w:r>
            <w:r w:rsidRPr="00BD779C">
              <w:rPr>
                <w:rFonts w:ascii="Lato" w:hAnsi="Lato"/>
                <w:color w:val="00241A"/>
                <w:sz w:val="21"/>
                <w:szCs w:val="21"/>
              </w:rPr>
              <w:t>m³/h</w:t>
            </w:r>
            <w:r>
              <w:rPr>
                <w:rFonts w:ascii="Lato" w:hAnsi="Lato"/>
                <w:color w:val="00241A"/>
                <w:sz w:val="21"/>
                <w:szCs w:val="21"/>
              </w:rPr>
              <w:t xml:space="preserve"> which is equal to 8,828.67 c</w:t>
            </w:r>
            <w:r w:rsidR="003F35E2">
              <w:rPr>
                <w:rFonts w:ascii="Lato" w:hAnsi="Lato"/>
                <w:color w:val="00241A"/>
                <w:sz w:val="21"/>
                <w:szCs w:val="21"/>
              </w:rPr>
              <w:t xml:space="preserve">fm. The step back is 14’ or 4.26m as per </w:t>
            </w:r>
            <w:r w:rsidR="003F35E2" w:rsidRPr="003F35E2">
              <w:rPr>
                <w:rFonts w:ascii="Lato" w:hAnsi="Lato"/>
                <w:color w:val="00241A"/>
                <w:sz w:val="21"/>
                <w:szCs w:val="21"/>
              </w:rPr>
              <w:t>AMCA 240-22</w:t>
            </w:r>
          </w:p>
        </w:tc>
      </w:tr>
    </w:tbl>
    <w:p w14:paraId="16DB5FB4" w14:textId="77777777" w:rsidR="00ED3B14" w:rsidRDefault="00ED3B14"/>
    <w:sectPr w:rsidR="00ED3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12"/>
    <w:rsid w:val="001121F6"/>
    <w:rsid w:val="001D2EF5"/>
    <w:rsid w:val="002E280C"/>
    <w:rsid w:val="00366AFA"/>
    <w:rsid w:val="003F35E2"/>
    <w:rsid w:val="00596569"/>
    <w:rsid w:val="005E48B1"/>
    <w:rsid w:val="009D2152"/>
    <w:rsid w:val="00B3411B"/>
    <w:rsid w:val="00BD779C"/>
    <w:rsid w:val="00ED3B14"/>
    <w:rsid w:val="00F22A90"/>
    <w:rsid w:val="00F60A81"/>
    <w:rsid w:val="00F6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C8CA8"/>
  <w15:chartTrackingRefBased/>
  <w15:docId w15:val="{4B8A891E-DFA8-430E-8E60-14ECD42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A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A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A1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39"/>
    <w:rsid w:val="00112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Seamus Joyce</dc:creator>
  <cp:keywords/>
  <dc:description/>
  <cp:lastModifiedBy>John Dunne</cp:lastModifiedBy>
  <cp:revision>2</cp:revision>
  <dcterms:created xsi:type="dcterms:W3CDTF">2026-10-02T13:40:00Z</dcterms:created>
  <dcterms:modified xsi:type="dcterms:W3CDTF">2026-10-02T13:40:00Z</dcterms:modified>
</cp:coreProperties>
</file>