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A60C6" w14:textId="6D331656" w:rsidR="00100DE9" w:rsidRPr="00CD034E" w:rsidRDefault="4F628C65" w:rsidP="1D7B4B6F">
      <w:pPr>
        <w:spacing w:after="120" w:line="259" w:lineRule="auto"/>
      </w:pPr>
      <w:r w:rsidRPr="1D7B4B6F">
        <w:rPr>
          <w:b/>
          <w:bCs/>
          <w:color w:val="1F3864"/>
          <w:sz w:val="44"/>
          <w:szCs w:val="44"/>
        </w:rPr>
        <w:t xml:space="preserve">Call </w:t>
      </w:r>
      <w:r w:rsidR="00A408A4" w:rsidRPr="00CD034E">
        <w:rPr>
          <w:b/>
          <w:bCs/>
          <w:color w:val="1F3864"/>
          <w:sz w:val="44"/>
          <w:szCs w:val="44"/>
        </w:rPr>
        <w:t>for Tender (</w:t>
      </w:r>
      <w:r w:rsidR="7336BC28" w:rsidRPr="00CD034E">
        <w:rPr>
          <w:b/>
          <w:bCs/>
          <w:color w:val="1F3864"/>
          <w:sz w:val="44"/>
          <w:szCs w:val="44"/>
        </w:rPr>
        <w:t>C</w:t>
      </w:r>
      <w:r w:rsidR="00A408A4" w:rsidRPr="00CD034E">
        <w:rPr>
          <w:b/>
          <w:bCs/>
          <w:color w:val="1F3864"/>
          <w:sz w:val="44"/>
          <w:szCs w:val="44"/>
        </w:rPr>
        <w:t>FT)</w:t>
      </w:r>
    </w:p>
    <w:p w14:paraId="0A7F5C68" w14:textId="7DF43E3C" w:rsidR="00100DE9" w:rsidRPr="00CD034E" w:rsidRDefault="00A408A4">
      <w:pPr>
        <w:spacing w:after="60"/>
      </w:pPr>
      <w:r w:rsidRPr="00CD034E">
        <w:rPr>
          <w:sz w:val="30"/>
          <w:szCs w:val="30"/>
        </w:rPr>
        <w:t>Sequence Synthesis, Transient Antibody Production &amp; Characterisation Services</w:t>
      </w:r>
    </w:p>
    <w:p w14:paraId="5308B867" w14:textId="14F7748F" w:rsidR="00100DE9" w:rsidRPr="00CD034E" w:rsidRDefault="00A408A4" w:rsidP="1D7B4B6F">
      <w:pPr>
        <w:spacing w:after="400" w:line="259" w:lineRule="auto"/>
      </w:pPr>
      <w:r w:rsidRPr="00CD034E">
        <w:rPr>
          <w:i/>
          <w:iCs/>
          <w:color w:val="555555"/>
          <w:sz w:val="22"/>
          <w:szCs w:val="22"/>
        </w:rPr>
        <w:t xml:space="preserve">Instructions, scope of work, and evaluation criteria — to be read alongside the accompanying </w:t>
      </w:r>
      <w:r w:rsidR="19A2E3DD" w:rsidRPr="00CD034E">
        <w:rPr>
          <w:i/>
          <w:iCs/>
          <w:color w:val="555555"/>
          <w:sz w:val="22"/>
          <w:szCs w:val="22"/>
        </w:rPr>
        <w:t xml:space="preserve">CFT </w:t>
      </w:r>
      <w:r w:rsidRPr="00CD034E">
        <w:rPr>
          <w:i/>
          <w:iCs/>
          <w:color w:val="555555"/>
          <w:sz w:val="22"/>
          <w:szCs w:val="22"/>
        </w:rPr>
        <w:t>Evaluation Workbook</w:t>
      </w:r>
    </w:p>
    <w:p w14:paraId="10973138" w14:textId="42D52D63" w:rsidR="00100DE9" w:rsidRPr="00CD034E" w:rsidRDefault="00A408A4" w:rsidP="1D7B4B6F">
      <w:pPr>
        <w:spacing w:after="160" w:line="259" w:lineRule="auto"/>
      </w:pPr>
      <w:r w:rsidRPr="00CD034E">
        <w:t xml:space="preserve">Issuing organisation: </w:t>
      </w:r>
      <w:r w:rsidR="4F2C937B" w:rsidRPr="00CD034E">
        <w:t>National Institute for Bioprocessing Research and Training</w:t>
      </w:r>
    </w:p>
    <w:p w14:paraId="1347F71B" w14:textId="7F113AE7" w:rsidR="00100DE9" w:rsidRPr="00CD034E" w:rsidRDefault="00A408A4" w:rsidP="1D7B4B6F">
      <w:pPr>
        <w:spacing w:after="160" w:line="259" w:lineRule="auto"/>
      </w:pPr>
      <w:r w:rsidRPr="00CD034E">
        <w:t xml:space="preserve">RFT reference / Project No.: </w:t>
      </w:r>
    </w:p>
    <w:p w14:paraId="4ADF7E68" w14:textId="35C2A6B1" w:rsidR="00100DE9" w:rsidRPr="00CD034E" w:rsidRDefault="00A408A4" w:rsidP="1D7B4B6F">
      <w:pPr>
        <w:spacing w:after="160" w:line="259" w:lineRule="auto"/>
      </w:pPr>
      <w:r w:rsidRPr="00CD034E">
        <w:t xml:space="preserve">Date issued: </w:t>
      </w:r>
    </w:p>
    <w:p w14:paraId="7B012D13" w14:textId="68EEFE23" w:rsidR="00100DE9" w:rsidRPr="00CD034E" w:rsidRDefault="00A408A4" w:rsidP="1D7B4B6F">
      <w:pPr>
        <w:spacing w:after="160" w:line="259" w:lineRule="auto"/>
      </w:pPr>
      <w:r w:rsidRPr="00CD034E">
        <w:t xml:space="preserve">Proposal due date: </w:t>
      </w:r>
    </w:p>
    <w:p w14:paraId="772B352C" w14:textId="6A4857DE" w:rsidR="00100DE9" w:rsidRPr="00CD034E" w:rsidRDefault="00A408A4">
      <w:pPr>
        <w:spacing w:after="160"/>
      </w:pPr>
      <w:r w:rsidRPr="00CD034E">
        <w:t>Point of contact:</w:t>
      </w:r>
      <w:r w:rsidR="0057052F" w:rsidRPr="00CD034E">
        <w:t xml:space="preserve"> Clair Gallagher</w:t>
      </w:r>
      <w:r w:rsidRPr="00CD034E">
        <w:t xml:space="preserve"> </w:t>
      </w:r>
      <w:hyperlink r:id="rId10">
        <w:r w:rsidR="0057052F" w:rsidRPr="00CD034E">
          <w:rPr>
            <w:rStyle w:val="Hyperlink"/>
          </w:rPr>
          <w:t>clair.gallagher@nibrt.ie</w:t>
        </w:r>
      </w:hyperlink>
      <w:r w:rsidR="0057052F" w:rsidRPr="00CD034E">
        <w:t xml:space="preserve">, Karl Kelly </w:t>
      </w:r>
      <w:hyperlink r:id="rId11">
        <w:r w:rsidR="0057052F" w:rsidRPr="00CD034E">
          <w:rPr>
            <w:rStyle w:val="Hyperlink"/>
          </w:rPr>
          <w:t>karl.kelly@nibrt.ie</w:t>
        </w:r>
      </w:hyperlink>
    </w:p>
    <w:p w14:paraId="04DC682D" w14:textId="77777777" w:rsidR="0057052F" w:rsidRPr="00CD034E" w:rsidRDefault="0057052F">
      <w:pPr>
        <w:spacing w:after="160"/>
      </w:pPr>
    </w:p>
    <w:p w14:paraId="4FA3E22D" w14:textId="77777777" w:rsidR="00100DE9" w:rsidRPr="00CD034E" w:rsidRDefault="00A408A4">
      <w:r w:rsidRPr="00CD034E">
        <w:br w:type="page"/>
      </w:r>
    </w:p>
    <w:p w14:paraId="5D28C8AA" w14:textId="77777777" w:rsidR="00100DE9" w:rsidRPr="00CD034E" w:rsidRDefault="00A408A4">
      <w:pPr>
        <w:pStyle w:val="Heading1"/>
        <w:spacing w:before="320" w:after="160"/>
      </w:pPr>
      <w:r w:rsidRPr="00CD034E">
        <w:lastRenderedPageBreak/>
        <w:t>1. Purpose and Background</w:t>
      </w:r>
    </w:p>
    <w:p w14:paraId="00A70651" w14:textId="77777777" w:rsidR="00100DE9" w:rsidRPr="00CD034E" w:rsidRDefault="00A408A4">
      <w:pPr>
        <w:spacing w:after="160"/>
      </w:pPr>
      <w:r w:rsidRPr="00CD034E">
        <w:t xml:space="preserve">This Request for Tender (RFT) invites qualified contract research organisations (CROs) and antibody production vendors to submit a technical and commercial proposal for sequence synthesis, transient antibody production and characterisation services in support of an active discovery programme. This is a research-use programme; GMP manufacture is not required, but the issuing organisation requires vendors to demonstrate data integrity practices aligned with 21 CFR Part 11 principles </w:t>
      </w:r>
      <w:proofErr w:type="gramStart"/>
      <w:r w:rsidRPr="00CD034E">
        <w:t>where</w:t>
      </w:r>
      <w:proofErr w:type="gramEnd"/>
      <w:r w:rsidRPr="00CD034E">
        <w:t xml:space="preserve"> reasonably achievable, in line with our internal data governance standards.</w:t>
      </w:r>
    </w:p>
    <w:p w14:paraId="22A9FBC3" w14:textId="77777777" w:rsidR="00100DE9" w:rsidRPr="00CD034E" w:rsidRDefault="00A408A4">
      <w:pPr>
        <w:spacing w:after="160"/>
      </w:pPr>
      <w:r w:rsidRPr="00CD034E">
        <w:t>This document sets out the purpose, scope, submission instructions, evaluation criteria, and confidentiality/IP requirements for this RFT. The detailed, individually scored technical, flexibility, and commercial requirements are set out in the accompanying RFT Evaluation Workbook and are not duplicated in full here; this document and the workbook should be read together, and the workbook is the authoritative source for the exact wording of each scored requirement.</w:t>
      </w:r>
    </w:p>
    <w:p w14:paraId="6E2C335E" w14:textId="77777777" w:rsidR="00100DE9" w:rsidRPr="00CD034E" w:rsidRDefault="00A408A4">
      <w:pPr>
        <w:pStyle w:val="Heading1"/>
        <w:spacing w:before="320" w:after="160"/>
      </w:pPr>
      <w:r w:rsidRPr="00CD034E">
        <w:t xml:space="preserve">2. </w:t>
      </w:r>
      <w:proofErr w:type="gramStart"/>
      <w:r w:rsidRPr="00CD034E">
        <w:t>Overall</w:t>
      </w:r>
      <w:proofErr w:type="gramEnd"/>
      <w:r w:rsidRPr="00CD034E">
        <w:t xml:space="preserve"> Scope of Work</w:t>
      </w:r>
    </w:p>
    <w:p w14:paraId="30BB8616" w14:textId="38D40197" w:rsidR="00100DE9" w:rsidRPr="00CD034E" w:rsidRDefault="00A408A4">
      <w:pPr>
        <w:pStyle w:val="ListParagraph"/>
        <w:numPr>
          <w:ilvl w:val="0"/>
          <w:numId w:val="3"/>
        </w:numPr>
        <w:spacing w:after="80"/>
      </w:pPr>
      <w:r w:rsidRPr="00CD034E">
        <w:t>Total candidates: Minimum of 500 antibodies, comprising a fixed base commitment of 100 antibodies (BLI and SPR head-to-head) plus at least 400 additional antibodies; the quantity above 500 is to be maximised within the €375,000 budget cap</w:t>
      </w:r>
    </w:p>
    <w:p w14:paraId="2513CFA3" w14:textId="1CFECDA5" w:rsidR="00100DE9" w:rsidRPr="00CD034E" w:rsidRDefault="00A408A4">
      <w:pPr>
        <w:pStyle w:val="ListParagraph"/>
        <w:numPr>
          <w:ilvl w:val="0"/>
          <w:numId w:val="3"/>
        </w:numPr>
        <w:spacing w:after="80"/>
      </w:pPr>
      <w:r w:rsidRPr="00CD034E">
        <w:t>Total budget cap: €375,000 (all-inclusive, excluding taxes unless specified by vendor)</w:t>
      </w:r>
      <w:r w:rsidR="1919B2A8" w:rsidRPr="00CD034E">
        <w:t>. Please note that NIBRT has a non-recoverable VAT rate of 40%. The total cost to NIBRT will be the Net plus 40% of the VAT.</w:t>
      </w:r>
    </w:p>
    <w:p w14:paraId="04116B4C" w14:textId="77777777" w:rsidR="00100DE9" w:rsidRPr="00CD034E" w:rsidRDefault="00A408A4">
      <w:pPr>
        <w:pStyle w:val="ListParagraph"/>
        <w:numPr>
          <w:ilvl w:val="0"/>
          <w:numId w:val="3"/>
        </w:numPr>
        <w:spacing w:after="80"/>
      </w:pPr>
      <w:r w:rsidRPr="00CD034E">
        <w:t>Three-stage workflow: (1) in silico sequence optimisation, gene synthesis, and validation; (2) small-scale transient expression (4 mL), with one-step purification performed directly from the 4 mL expression material where SPR is required; (3) analytics — titre and binding/affinity via BLI and/or SPR</w:t>
      </w:r>
    </w:p>
    <w:p w14:paraId="2B4DF63D" w14:textId="77777777" w:rsidR="00100DE9" w:rsidRPr="00CD034E" w:rsidRDefault="00A408A4">
      <w:pPr>
        <w:pStyle w:val="ListParagraph"/>
        <w:numPr>
          <w:ilvl w:val="0"/>
          <w:numId w:val="3"/>
        </w:numPr>
        <w:spacing w:after="80"/>
      </w:pPr>
      <w:r w:rsidRPr="00CD034E">
        <w:t>Platform: CHO transient expression. The issuing organisation will supply amino acid (AA) sequences only; the vendor is responsible for AA-to-nucleic-acid (NA) back-translation and codon optimisation in-house prior to synthesis</w:t>
      </w:r>
    </w:p>
    <w:p w14:paraId="2C91CE4E" w14:textId="77777777" w:rsidR="00100DE9" w:rsidRPr="00CD034E" w:rsidRDefault="00A408A4">
      <w:pPr>
        <w:pStyle w:val="ListParagraph"/>
        <w:numPr>
          <w:ilvl w:val="0"/>
          <w:numId w:val="3"/>
        </w:numPr>
        <w:spacing w:after="80"/>
      </w:pPr>
      <w:r w:rsidRPr="00CD034E">
        <w:t>Minimum batch size: approximately 20 full antibody candidates (40 individual sequences, HC + LC), or close to this figure, at each process step</w:t>
      </w:r>
    </w:p>
    <w:p w14:paraId="68EC3B67" w14:textId="77777777" w:rsidR="00100DE9" w:rsidRPr="00CD034E" w:rsidRDefault="00A408A4">
      <w:pPr>
        <w:spacing w:after="160"/>
      </w:pPr>
      <w:r w:rsidRPr="00CD034E">
        <w:t>Vendors must price the fixed base commitment per batch and the additional antibodies per antibody in the Pricing tab of the RFT Evaluation Workbook. The Pricing Summary tab will calculate the number of additional antibodies achievable within the €375,000 cap under each of the three analytical options described in Section 2.2.</w:t>
      </w:r>
    </w:p>
    <w:p w14:paraId="49AFD5EE" w14:textId="770F1B03" w:rsidR="00100DE9" w:rsidRPr="00CD034E" w:rsidRDefault="00A408A4">
      <w:pPr>
        <w:pStyle w:val="Heading2"/>
        <w:spacing w:before="240" w:after="120"/>
      </w:pPr>
      <w:r w:rsidRPr="00CD034E">
        <w:t>2.1 Fixed Base Commitment — 100 Antibodies</w:t>
      </w:r>
    </w:p>
    <w:p w14:paraId="70A4644B" w14:textId="77777777" w:rsidR="00100DE9" w:rsidRPr="00CD034E" w:rsidRDefault="00A408A4">
      <w:pPr>
        <w:spacing w:after="160"/>
      </w:pPr>
      <w:r w:rsidRPr="00CD034E">
        <w:t>The fixed base commitment of 100 antibodies will be analysed head-to-head by both BLI and SPR. All 100 antibodies are therefore purified, and are priced by batch in the Pricing tab.</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650"/>
        <w:gridCol w:w="1600"/>
        <w:gridCol w:w="2500"/>
      </w:tblGrid>
      <w:tr w:rsidR="00100DE9" w:rsidRPr="00CD034E" w14:paraId="0BABEAF3" w14:textId="77777777">
        <w:trPr>
          <w:tblHeader/>
        </w:trPr>
        <w:tc>
          <w:tcPr>
            <w:tcW w:w="2600" w:type="dxa"/>
            <w:shd w:val="clear" w:color="auto" w:fill="1F3864"/>
            <w:tcMar>
              <w:top w:w="80" w:type="dxa"/>
              <w:left w:w="100" w:type="dxa"/>
              <w:bottom w:w="80" w:type="dxa"/>
              <w:right w:w="100" w:type="dxa"/>
            </w:tcMar>
            <w:vAlign w:val="center"/>
          </w:tcPr>
          <w:p w14:paraId="79AEDA6F" w14:textId="77777777" w:rsidR="00100DE9" w:rsidRPr="00CD034E" w:rsidRDefault="00A408A4">
            <w:r w:rsidRPr="00CD034E">
              <w:rPr>
                <w:b/>
                <w:bCs/>
                <w:color w:val="FFFFFF"/>
              </w:rPr>
              <w:t>Requirement</w:t>
            </w:r>
          </w:p>
        </w:tc>
        <w:tc>
          <w:tcPr>
            <w:tcW w:w="2650" w:type="dxa"/>
            <w:shd w:val="clear" w:color="auto" w:fill="1F3864"/>
            <w:tcMar>
              <w:top w:w="80" w:type="dxa"/>
              <w:left w:w="100" w:type="dxa"/>
              <w:bottom w:w="80" w:type="dxa"/>
              <w:right w:w="100" w:type="dxa"/>
            </w:tcMar>
            <w:vAlign w:val="center"/>
          </w:tcPr>
          <w:p w14:paraId="43FEBF66" w14:textId="77777777" w:rsidR="00100DE9" w:rsidRPr="00CD034E" w:rsidRDefault="00A408A4">
            <w:r w:rsidRPr="00CD034E">
              <w:rPr>
                <w:b/>
                <w:bCs/>
                <w:color w:val="FFFFFF"/>
              </w:rPr>
              <w:t>Method</w:t>
            </w:r>
          </w:p>
        </w:tc>
        <w:tc>
          <w:tcPr>
            <w:tcW w:w="1600" w:type="dxa"/>
            <w:shd w:val="clear" w:color="auto" w:fill="1F3864"/>
            <w:tcMar>
              <w:top w:w="80" w:type="dxa"/>
              <w:left w:w="100" w:type="dxa"/>
              <w:bottom w:w="80" w:type="dxa"/>
              <w:right w:w="100" w:type="dxa"/>
            </w:tcMar>
            <w:vAlign w:val="center"/>
          </w:tcPr>
          <w:p w14:paraId="1F017543" w14:textId="4C99D8BF" w:rsidR="00100DE9" w:rsidRPr="00CD034E" w:rsidRDefault="004E0843">
            <w:r w:rsidRPr="00CD034E">
              <w:rPr>
                <w:b/>
                <w:bCs/>
                <w:color w:val="FFFFFF"/>
              </w:rPr>
              <w:t>Minimum Number</w:t>
            </w:r>
          </w:p>
        </w:tc>
        <w:tc>
          <w:tcPr>
            <w:tcW w:w="2500" w:type="dxa"/>
            <w:shd w:val="clear" w:color="auto" w:fill="1F3864"/>
            <w:tcMar>
              <w:top w:w="80" w:type="dxa"/>
              <w:left w:w="100" w:type="dxa"/>
              <w:bottom w:w="80" w:type="dxa"/>
              <w:right w:w="100" w:type="dxa"/>
            </w:tcMar>
            <w:vAlign w:val="center"/>
          </w:tcPr>
          <w:p w14:paraId="15FC5094" w14:textId="77777777" w:rsidR="00100DE9" w:rsidRPr="00CD034E" w:rsidRDefault="00A408A4">
            <w:r w:rsidRPr="00CD034E">
              <w:rPr>
                <w:b/>
                <w:bCs/>
                <w:color w:val="FFFFFF"/>
              </w:rPr>
              <w:t>Notes</w:t>
            </w:r>
          </w:p>
        </w:tc>
      </w:tr>
      <w:tr w:rsidR="00100DE9" w:rsidRPr="00CD034E" w14:paraId="6549DF43" w14:textId="77777777">
        <w:tc>
          <w:tcPr>
            <w:tcW w:w="2600" w:type="dxa"/>
            <w:tcMar>
              <w:top w:w="80" w:type="dxa"/>
              <w:left w:w="100" w:type="dxa"/>
              <w:bottom w:w="80" w:type="dxa"/>
              <w:right w:w="100" w:type="dxa"/>
            </w:tcMar>
            <w:vAlign w:val="center"/>
          </w:tcPr>
          <w:p w14:paraId="5D61340F" w14:textId="77777777" w:rsidR="00100DE9" w:rsidRPr="00CD034E" w:rsidRDefault="00A408A4">
            <w:r w:rsidRPr="00CD034E">
              <w:t>Gene synthesis &amp; validation</w:t>
            </w:r>
          </w:p>
        </w:tc>
        <w:tc>
          <w:tcPr>
            <w:tcW w:w="2650" w:type="dxa"/>
            <w:tcMar>
              <w:top w:w="80" w:type="dxa"/>
              <w:left w:w="100" w:type="dxa"/>
              <w:bottom w:w="80" w:type="dxa"/>
              <w:right w:w="100" w:type="dxa"/>
            </w:tcMar>
            <w:vAlign w:val="center"/>
          </w:tcPr>
          <w:p w14:paraId="7516FDBC" w14:textId="77777777" w:rsidR="00100DE9" w:rsidRPr="00CD034E" w:rsidRDefault="00A408A4">
            <w:r w:rsidRPr="00CD034E">
              <w:t xml:space="preserve">De novo synthesis, HC + LC. Client supplies AA sequences; vendor performs AA-to-NA </w:t>
            </w:r>
            <w:proofErr w:type="gramStart"/>
            <w:r w:rsidRPr="00CD034E">
              <w:t>back-translation</w:t>
            </w:r>
            <w:proofErr w:type="gramEnd"/>
            <w:r w:rsidRPr="00CD034E">
              <w:t xml:space="preserve"> and codon optimisation.</w:t>
            </w:r>
          </w:p>
        </w:tc>
        <w:tc>
          <w:tcPr>
            <w:tcW w:w="1600" w:type="dxa"/>
            <w:tcMar>
              <w:top w:w="80" w:type="dxa"/>
              <w:left w:w="100" w:type="dxa"/>
              <w:bottom w:w="80" w:type="dxa"/>
              <w:right w:w="100" w:type="dxa"/>
            </w:tcMar>
            <w:vAlign w:val="center"/>
          </w:tcPr>
          <w:p w14:paraId="0E1110C8" w14:textId="3FE48E3B" w:rsidR="00100DE9" w:rsidRPr="00CD034E" w:rsidRDefault="004E0843">
            <w:r w:rsidRPr="00CD034E">
              <w:t>≥ 200 sequences (100 Abs), 5 batches of 40 sequences</w:t>
            </w:r>
          </w:p>
        </w:tc>
        <w:tc>
          <w:tcPr>
            <w:tcW w:w="2500" w:type="dxa"/>
            <w:tcMar>
              <w:top w:w="80" w:type="dxa"/>
              <w:left w:w="100" w:type="dxa"/>
              <w:bottom w:w="80" w:type="dxa"/>
              <w:right w:w="100" w:type="dxa"/>
            </w:tcMar>
            <w:vAlign w:val="center"/>
          </w:tcPr>
          <w:p w14:paraId="3FBD8952" w14:textId="77777777" w:rsidR="00100DE9" w:rsidRPr="00CD034E" w:rsidRDefault="00A408A4">
            <w:r w:rsidRPr="00CD034E">
              <w:t>Variable region &lt;300 aa: no additional cost. Vendor to state €/bp for sequences &gt;900 bp / 300 aa, up to 3 kb, and confirm no separate charge for back-translation/codon optimisation, sequence generation, validation or expression in this size range</w:t>
            </w:r>
          </w:p>
        </w:tc>
      </w:tr>
      <w:tr w:rsidR="00100DE9" w:rsidRPr="00CD034E" w14:paraId="0E1DE2C1" w14:textId="77777777">
        <w:tc>
          <w:tcPr>
            <w:tcW w:w="2600" w:type="dxa"/>
            <w:shd w:val="clear" w:color="auto" w:fill="F5F5F5"/>
            <w:tcMar>
              <w:top w:w="80" w:type="dxa"/>
              <w:left w:w="100" w:type="dxa"/>
              <w:bottom w:w="80" w:type="dxa"/>
              <w:right w:w="100" w:type="dxa"/>
            </w:tcMar>
            <w:vAlign w:val="center"/>
          </w:tcPr>
          <w:p w14:paraId="5E06EA53" w14:textId="77777777" w:rsidR="00100DE9" w:rsidRPr="00CD034E" w:rsidRDefault="00A408A4">
            <w:r w:rsidRPr="00CD034E">
              <w:t>Small-scale transient expression</w:t>
            </w:r>
          </w:p>
        </w:tc>
        <w:tc>
          <w:tcPr>
            <w:tcW w:w="2650" w:type="dxa"/>
            <w:shd w:val="clear" w:color="auto" w:fill="F5F5F5"/>
            <w:tcMar>
              <w:top w:w="80" w:type="dxa"/>
              <w:left w:w="100" w:type="dxa"/>
              <w:bottom w:w="80" w:type="dxa"/>
              <w:right w:w="100" w:type="dxa"/>
            </w:tcMar>
            <w:vAlign w:val="center"/>
          </w:tcPr>
          <w:p w14:paraId="4A585BF3" w14:textId="77777777" w:rsidR="00100DE9" w:rsidRPr="00CD034E" w:rsidRDefault="00A408A4">
            <w:r w:rsidRPr="00CD034E">
              <w:t>4 mL transient expression</w:t>
            </w:r>
          </w:p>
        </w:tc>
        <w:tc>
          <w:tcPr>
            <w:tcW w:w="1600" w:type="dxa"/>
            <w:shd w:val="clear" w:color="auto" w:fill="F5F5F5"/>
            <w:tcMar>
              <w:top w:w="80" w:type="dxa"/>
              <w:left w:w="100" w:type="dxa"/>
              <w:bottom w:w="80" w:type="dxa"/>
              <w:right w:w="100" w:type="dxa"/>
            </w:tcMar>
            <w:vAlign w:val="center"/>
          </w:tcPr>
          <w:p w14:paraId="3ACC6566" w14:textId="5AF7F07E" w:rsidR="00100DE9" w:rsidRPr="00CD034E" w:rsidRDefault="004E0843">
            <w:r w:rsidRPr="00CD034E">
              <w:t>≥ 100 antibodies, 5 batches of 20</w:t>
            </w:r>
          </w:p>
        </w:tc>
        <w:tc>
          <w:tcPr>
            <w:tcW w:w="2500" w:type="dxa"/>
            <w:shd w:val="clear" w:color="auto" w:fill="F5F5F5"/>
            <w:tcMar>
              <w:top w:w="80" w:type="dxa"/>
              <w:left w:w="100" w:type="dxa"/>
              <w:bottom w:w="80" w:type="dxa"/>
              <w:right w:w="100" w:type="dxa"/>
            </w:tcMar>
            <w:vAlign w:val="center"/>
          </w:tcPr>
          <w:p w14:paraId="4E5AD804" w14:textId="77777777" w:rsidR="00100DE9" w:rsidRPr="00CD034E" w:rsidRDefault="00100DE9"/>
        </w:tc>
      </w:tr>
      <w:tr w:rsidR="00100DE9" w:rsidRPr="00CD034E" w14:paraId="224A122E" w14:textId="77777777">
        <w:tc>
          <w:tcPr>
            <w:tcW w:w="2600" w:type="dxa"/>
            <w:tcMar>
              <w:top w:w="80" w:type="dxa"/>
              <w:left w:w="100" w:type="dxa"/>
              <w:bottom w:w="80" w:type="dxa"/>
              <w:right w:w="100" w:type="dxa"/>
            </w:tcMar>
            <w:vAlign w:val="center"/>
          </w:tcPr>
          <w:p w14:paraId="2B90BCAA" w14:textId="77777777" w:rsidR="00100DE9" w:rsidRPr="00CD034E" w:rsidRDefault="00A408A4">
            <w:r w:rsidRPr="00CD034E">
              <w:lastRenderedPageBreak/>
              <w:t>Titre analysis (BLI)</w:t>
            </w:r>
          </w:p>
        </w:tc>
        <w:tc>
          <w:tcPr>
            <w:tcW w:w="2650" w:type="dxa"/>
            <w:tcMar>
              <w:top w:w="80" w:type="dxa"/>
              <w:left w:w="100" w:type="dxa"/>
              <w:bottom w:w="80" w:type="dxa"/>
              <w:right w:w="100" w:type="dxa"/>
            </w:tcMar>
            <w:vAlign w:val="center"/>
          </w:tcPr>
          <w:p w14:paraId="6AA28239" w14:textId="77777777" w:rsidR="00100DE9" w:rsidRPr="00CD034E" w:rsidRDefault="00A408A4">
            <w:r w:rsidRPr="00CD034E">
              <w:t>BLI, 2 biological duplicates — same instrument used for binding/affinity ranking below</w:t>
            </w:r>
          </w:p>
        </w:tc>
        <w:tc>
          <w:tcPr>
            <w:tcW w:w="1600" w:type="dxa"/>
            <w:tcMar>
              <w:top w:w="80" w:type="dxa"/>
              <w:left w:w="100" w:type="dxa"/>
              <w:bottom w:w="80" w:type="dxa"/>
              <w:right w:w="100" w:type="dxa"/>
            </w:tcMar>
            <w:vAlign w:val="center"/>
          </w:tcPr>
          <w:p w14:paraId="776AB4F2" w14:textId="23384B0E" w:rsidR="00100DE9" w:rsidRPr="00CD034E" w:rsidRDefault="004E0843">
            <w:r w:rsidRPr="00CD034E">
              <w:t>≥ 100 antibodies, 5 batches of 20</w:t>
            </w:r>
          </w:p>
        </w:tc>
        <w:tc>
          <w:tcPr>
            <w:tcW w:w="2500" w:type="dxa"/>
            <w:tcMar>
              <w:top w:w="80" w:type="dxa"/>
              <w:left w:w="100" w:type="dxa"/>
              <w:bottom w:w="80" w:type="dxa"/>
              <w:right w:w="100" w:type="dxa"/>
            </w:tcMar>
            <w:vAlign w:val="center"/>
          </w:tcPr>
          <w:p w14:paraId="53ACABDD" w14:textId="77777777" w:rsidR="00100DE9" w:rsidRPr="00CD034E" w:rsidRDefault="00A408A4">
            <w:r w:rsidRPr="00CD034E">
              <w:t>BLI is used for both titre and binding on this programme</w:t>
            </w:r>
          </w:p>
        </w:tc>
      </w:tr>
      <w:tr w:rsidR="00100DE9" w:rsidRPr="00CD034E" w14:paraId="42E51BBA" w14:textId="77777777">
        <w:tc>
          <w:tcPr>
            <w:tcW w:w="2600" w:type="dxa"/>
            <w:tcMar>
              <w:top w:w="80" w:type="dxa"/>
              <w:left w:w="100" w:type="dxa"/>
              <w:bottom w:w="80" w:type="dxa"/>
              <w:right w:w="100" w:type="dxa"/>
            </w:tcMar>
            <w:vAlign w:val="center"/>
          </w:tcPr>
          <w:p w14:paraId="001FC02E" w14:textId="77777777" w:rsidR="00100DE9" w:rsidRPr="00CD034E" w:rsidRDefault="00A408A4">
            <w:r w:rsidRPr="00CD034E">
              <w:t>Protein purification</w:t>
            </w:r>
          </w:p>
        </w:tc>
        <w:tc>
          <w:tcPr>
            <w:tcW w:w="2650" w:type="dxa"/>
            <w:tcMar>
              <w:top w:w="80" w:type="dxa"/>
              <w:left w:w="100" w:type="dxa"/>
              <w:bottom w:w="80" w:type="dxa"/>
              <w:right w:w="100" w:type="dxa"/>
            </w:tcMar>
            <w:vAlign w:val="center"/>
          </w:tcPr>
          <w:p w14:paraId="5D1C5E1B" w14:textId="77777777" w:rsidR="00100DE9" w:rsidRPr="00CD034E" w:rsidRDefault="00A408A4">
            <w:r w:rsidRPr="00CD034E">
              <w:t>Standard one-step purification, performed directly from 4 mL transient expression material</w:t>
            </w:r>
          </w:p>
        </w:tc>
        <w:tc>
          <w:tcPr>
            <w:tcW w:w="1600" w:type="dxa"/>
            <w:tcMar>
              <w:top w:w="80" w:type="dxa"/>
              <w:left w:w="100" w:type="dxa"/>
              <w:bottom w:w="80" w:type="dxa"/>
              <w:right w:w="100" w:type="dxa"/>
            </w:tcMar>
            <w:vAlign w:val="center"/>
          </w:tcPr>
          <w:p w14:paraId="245310E5" w14:textId="545176E1" w:rsidR="00100DE9" w:rsidRPr="00CD034E" w:rsidRDefault="004E0843">
            <w:r w:rsidRPr="00CD034E">
              <w:t>≥ 100 antibodies, 5 batches of 20</w:t>
            </w:r>
          </w:p>
        </w:tc>
        <w:tc>
          <w:tcPr>
            <w:tcW w:w="2500" w:type="dxa"/>
            <w:tcMar>
              <w:top w:w="80" w:type="dxa"/>
              <w:left w:w="100" w:type="dxa"/>
              <w:bottom w:w="80" w:type="dxa"/>
              <w:right w:w="100" w:type="dxa"/>
            </w:tcMar>
            <w:vAlign w:val="center"/>
          </w:tcPr>
          <w:p w14:paraId="21BBF650" w14:textId="77777777" w:rsidR="00100DE9" w:rsidRPr="00CD034E" w:rsidRDefault="00A408A4">
            <w:r w:rsidRPr="00CD034E">
              <w:t>Required for all 100, since all receive SPR affinity ranking</w:t>
            </w:r>
          </w:p>
        </w:tc>
      </w:tr>
      <w:tr w:rsidR="00100DE9" w:rsidRPr="00CD034E" w14:paraId="3431C24C" w14:textId="77777777">
        <w:tc>
          <w:tcPr>
            <w:tcW w:w="2600" w:type="dxa"/>
            <w:shd w:val="clear" w:color="auto" w:fill="F5F5F5"/>
            <w:tcMar>
              <w:top w:w="80" w:type="dxa"/>
              <w:left w:w="100" w:type="dxa"/>
              <w:bottom w:w="80" w:type="dxa"/>
              <w:right w:w="100" w:type="dxa"/>
            </w:tcMar>
            <w:vAlign w:val="center"/>
          </w:tcPr>
          <w:p w14:paraId="6A657F0B" w14:textId="77777777" w:rsidR="00100DE9" w:rsidRPr="00CD034E" w:rsidRDefault="00A408A4">
            <w:r w:rsidRPr="00CD034E">
              <w:t>BLI affinity ranking</w:t>
            </w:r>
          </w:p>
        </w:tc>
        <w:tc>
          <w:tcPr>
            <w:tcW w:w="2650" w:type="dxa"/>
            <w:shd w:val="clear" w:color="auto" w:fill="F5F5F5"/>
            <w:tcMar>
              <w:top w:w="80" w:type="dxa"/>
              <w:left w:w="100" w:type="dxa"/>
              <w:bottom w:w="80" w:type="dxa"/>
              <w:right w:w="100" w:type="dxa"/>
            </w:tcMar>
            <w:vAlign w:val="center"/>
          </w:tcPr>
          <w:p w14:paraId="52C7A5FB" w14:textId="77777777" w:rsidR="00100DE9" w:rsidRPr="00CD034E" w:rsidRDefault="00A408A4">
            <w:r w:rsidRPr="00CD034E">
              <w:t>1 concentration (additional concentrations per Question 2 flexibility)</w:t>
            </w:r>
          </w:p>
        </w:tc>
        <w:tc>
          <w:tcPr>
            <w:tcW w:w="1600" w:type="dxa"/>
            <w:shd w:val="clear" w:color="auto" w:fill="F5F5F5"/>
            <w:tcMar>
              <w:top w:w="80" w:type="dxa"/>
              <w:left w:w="100" w:type="dxa"/>
              <w:bottom w:w="80" w:type="dxa"/>
              <w:right w:w="100" w:type="dxa"/>
            </w:tcMar>
            <w:vAlign w:val="center"/>
          </w:tcPr>
          <w:p w14:paraId="503777FB" w14:textId="6134D953" w:rsidR="00100DE9" w:rsidRPr="00CD034E" w:rsidRDefault="004E0843">
            <w:r w:rsidRPr="00CD034E">
              <w:t>≥ 100 antibodies, 5 batches of 20</w:t>
            </w:r>
          </w:p>
        </w:tc>
        <w:tc>
          <w:tcPr>
            <w:tcW w:w="2500" w:type="dxa"/>
            <w:shd w:val="clear" w:color="auto" w:fill="F5F5F5"/>
            <w:tcMar>
              <w:top w:w="80" w:type="dxa"/>
              <w:left w:w="100" w:type="dxa"/>
              <w:bottom w:w="80" w:type="dxa"/>
              <w:right w:w="100" w:type="dxa"/>
            </w:tcMar>
            <w:vAlign w:val="center"/>
          </w:tcPr>
          <w:p w14:paraId="7B02C44D" w14:textId="77777777" w:rsidR="00100DE9" w:rsidRPr="00CD034E" w:rsidRDefault="00A408A4">
            <w:r w:rsidRPr="00CD034E">
              <w:t xml:space="preserve">Report </w:t>
            </w:r>
            <w:proofErr w:type="spellStart"/>
            <w:r w:rsidRPr="00CD034E">
              <w:t>kon</w:t>
            </w:r>
            <w:proofErr w:type="spellEnd"/>
            <w:r w:rsidRPr="00CD034E">
              <w:t xml:space="preserve">, </w:t>
            </w:r>
            <w:proofErr w:type="spellStart"/>
            <w:r w:rsidRPr="00CD034E">
              <w:t>koff</w:t>
            </w:r>
            <w:proofErr w:type="spellEnd"/>
            <w:r w:rsidRPr="00CD034E">
              <w:t xml:space="preserve"> and KD</w:t>
            </w:r>
          </w:p>
        </w:tc>
      </w:tr>
      <w:tr w:rsidR="00100DE9" w:rsidRPr="00CD034E" w14:paraId="5E6F00DC" w14:textId="77777777">
        <w:tc>
          <w:tcPr>
            <w:tcW w:w="2600" w:type="dxa"/>
            <w:tcMar>
              <w:top w:w="80" w:type="dxa"/>
              <w:left w:w="100" w:type="dxa"/>
              <w:bottom w:w="80" w:type="dxa"/>
              <w:right w:w="100" w:type="dxa"/>
            </w:tcMar>
            <w:vAlign w:val="center"/>
          </w:tcPr>
          <w:p w14:paraId="73F7AF0E" w14:textId="77777777" w:rsidR="00100DE9" w:rsidRPr="00CD034E" w:rsidRDefault="00A408A4">
            <w:r w:rsidRPr="00CD034E">
              <w:t>SPR affinity ranking</w:t>
            </w:r>
          </w:p>
        </w:tc>
        <w:tc>
          <w:tcPr>
            <w:tcW w:w="2650" w:type="dxa"/>
            <w:tcMar>
              <w:top w:w="80" w:type="dxa"/>
              <w:left w:w="100" w:type="dxa"/>
              <w:bottom w:w="80" w:type="dxa"/>
              <w:right w:w="100" w:type="dxa"/>
            </w:tcMar>
            <w:vAlign w:val="center"/>
          </w:tcPr>
          <w:p w14:paraId="000396F0" w14:textId="77777777" w:rsidR="00100DE9" w:rsidRPr="00CD034E" w:rsidRDefault="00A408A4">
            <w:r w:rsidRPr="00CD034E">
              <w:t>1 concentration (additional concentrations per Question 2 flexibility)</w:t>
            </w:r>
          </w:p>
        </w:tc>
        <w:tc>
          <w:tcPr>
            <w:tcW w:w="1600" w:type="dxa"/>
            <w:tcMar>
              <w:top w:w="80" w:type="dxa"/>
              <w:left w:w="100" w:type="dxa"/>
              <w:bottom w:w="80" w:type="dxa"/>
              <w:right w:w="100" w:type="dxa"/>
            </w:tcMar>
            <w:vAlign w:val="center"/>
          </w:tcPr>
          <w:p w14:paraId="24C22990" w14:textId="7818188B" w:rsidR="00100DE9" w:rsidRPr="00CD034E" w:rsidRDefault="004E0843">
            <w:r w:rsidRPr="00CD034E">
              <w:t>≥ 100 antibodies, 5 batches of 20</w:t>
            </w:r>
          </w:p>
        </w:tc>
        <w:tc>
          <w:tcPr>
            <w:tcW w:w="2500" w:type="dxa"/>
            <w:tcMar>
              <w:top w:w="80" w:type="dxa"/>
              <w:left w:w="100" w:type="dxa"/>
              <w:bottom w:w="80" w:type="dxa"/>
              <w:right w:w="100" w:type="dxa"/>
            </w:tcMar>
            <w:vAlign w:val="center"/>
          </w:tcPr>
          <w:p w14:paraId="47C151E1" w14:textId="77777777" w:rsidR="00100DE9" w:rsidRPr="00CD034E" w:rsidRDefault="00A408A4">
            <w:r w:rsidRPr="00CD034E">
              <w:t xml:space="preserve">Report </w:t>
            </w:r>
            <w:proofErr w:type="spellStart"/>
            <w:r w:rsidRPr="00CD034E">
              <w:t>kon</w:t>
            </w:r>
            <w:proofErr w:type="spellEnd"/>
            <w:r w:rsidRPr="00CD034E">
              <w:t xml:space="preserve">, </w:t>
            </w:r>
            <w:proofErr w:type="spellStart"/>
            <w:r w:rsidRPr="00CD034E">
              <w:t>koff</w:t>
            </w:r>
            <w:proofErr w:type="spellEnd"/>
            <w:r w:rsidRPr="00CD034E">
              <w:t xml:space="preserve"> and KD</w:t>
            </w:r>
          </w:p>
        </w:tc>
      </w:tr>
    </w:tbl>
    <w:p w14:paraId="6380F174" w14:textId="77777777" w:rsidR="00100DE9" w:rsidRPr="00CD034E" w:rsidRDefault="00100DE9">
      <w:pPr>
        <w:spacing w:after="200"/>
      </w:pPr>
    </w:p>
    <w:p w14:paraId="64BBE0CE" w14:textId="6E262970" w:rsidR="00100DE9" w:rsidRPr="00CD034E" w:rsidRDefault="00A408A4">
      <w:pPr>
        <w:pStyle w:val="Heading2"/>
        <w:spacing w:before="240" w:after="120"/>
      </w:pPr>
      <w:r w:rsidRPr="00CD034E">
        <w:t>2.2 Additional Antibodies — Minimum of 400 (priced per antibody)</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650"/>
        <w:gridCol w:w="1600"/>
        <w:gridCol w:w="2500"/>
      </w:tblGrid>
      <w:tr w:rsidR="00100DE9" w:rsidRPr="00CD034E" w14:paraId="4B6E75A0" w14:textId="77777777">
        <w:trPr>
          <w:tblHeader/>
        </w:trPr>
        <w:tc>
          <w:tcPr>
            <w:tcW w:w="2600" w:type="dxa"/>
            <w:shd w:val="clear" w:color="auto" w:fill="1F3864"/>
            <w:tcMar>
              <w:top w:w="80" w:type="dxa"/>
              <w:left w:w="100" w:type="dxa"/>
              <w:bottom w:w="80" w:type="dxa"/>
              <w:right w:w="100" w:type="dxa"/>
            </w:tcMar>
            <w:vAlign w:val="center"/>
          </w:tcPr>
          <w:p w14:paraId="16AC2DBC" w14:textId="77777777" w:rsidR="00100DE9" w:rsidRPr="00CD034E" w:rsidRDefault="00A408A4">
            <w:r w:rsidRPr="00CD034E">
              <w:rPr>
                <w:b/>
                <w:bCs/>
                <w:color w:val="FFFFFF"/>
              </w:rPr>
              <w:t>Requirement</w:t>
            </w:r>
          </w:p>
        </w:tc>
        <w:tc>
          <w:tcPr>
            <w:tcW w:w="2650" w:type="dxa"/>
            <w:shd w:val="clear" w:color="auto" w:fill="1F3864"/>
            <w:tcMar>
              <w:top w:w="80" w:type="dxa"/>
              <w:left w:w="100" w:type="dxa"/>
              <w:bottom w:w="80" w:type="dxa"/>
              <w:right w:w="100" w:type="dxa"/>
            </w:tcMar>
            <w:vAlign w:val="center"/>
          </w:tcPr>
          <w:p w14:paraId="6663322D" w14:textId="77777777" w:rsidR="00100DE9" w:rsidRPr="00CD034E" w:rsidRDefault="00A408A4">
            <w:r w:rsidRPr="00CD034E">
              <w:rPr>
                <w:b/>
                <w:bCs/>
                <w:color w:val="FFFFFF"/>
              </w:rPr>
              <w:t>Method</w:t>
            </w:r>
          </w:p>
        </w:tc>
        <w:tc>
          <w:tcPr>
            <w:tcW w:w="1600" w:type="dxa"/>
            <w:shd w:val="clear" w:color="auto" w:fill="1F3864"/>
            <w:tcMar>
              <w:top w:w="80" w:type="dxa"/>
              <w:left w:w="100" w:type="dxa"/>
              <w:bottom w:w="80" w:type="dxa"/>
              <w:right w:w="100" w:type="dxa"/>
            </w:tcMar>
            <w:vAlign w:val="center"/>
          </w:tcPr>
          <w:p w14:paraId="0688E0FC" w14:textId="75125C2A" w:rsidR="00100DE9" w:rsidRPr="00CD034E" w:rsidRDefault="004E0843">
            <w:r w:rsidRPr="00CD034E">
              <w:rPr>
                <w:b/>
                <w:bCs/>
                <w:color w:val="FFFFFF"/>
              </w:rPr>
              <w:t>Minimum Number</w:t>
            </w:r>
          </w:p>
        </w:tc>
        <w:tc>
          <w:tcPr>
            <w:tcW w:w="2500" w:type="dxa"/>
            <w:shd w:val="clear" w:color="auto" w:fill="1F3864"/>
            <w:tcMar>
              <w:top w:w="80" w:type="dxa"/>
              <w:left w:w="100" w:type="dxa"/>
              <w:bottom w:w="80" w:type="dxa"/>
              <w:right w:w="100" w:type="dxa"/>
            </w:tcMar>
            <w:vAlign w:val="center"/>
          </w:tcPr>
          <w:p w14:paraId="4C2BE7F5" w14:textId="77777777" w:rsidR="00100DE9" w:rsidRPr="00CD034E" w:rsidRDefault="00A408A4">
            <w:r w:rsidRPr="00CD034E">
              <w:rPr>
                <w:b/>
                <w:bCs/>
                <w:color w:val="FFFFFF"/>
              </w:rPr>
              <w:t>Notes</w:t>
            </w:r>
          </w:p>
        </w:tc>
      </w:tr>
      <w:tr w:rsidR="00100DE9" w:rsidRPr="00CD034E" w14:paraId="61426A9C" w14:textId="77777777">
        <w:tc>
          <w:tcPr>
            <w:tcW w:w="2600" w:type="dxa"/>
            <w:tcMar>
              <w:top w:w="80" w:type="dxa"/>
              <w:left w:w="100" w:type="dxa"/>
              <w:bottom w:w="80" w:type="dxa"/>
              <w:right w:w="100" w:type="dxa"/>
            </w:tcMar>
            <w:vAlign w:val="center"/>
          </w:tcPr>
          <w:p w14:paraId="67A349DF" w14:textId="77777777" w:rsidR="00100DE9" w:rsidRPr="00CD034E" w:rsidRDefault="00A408A4">
            <w:r w:rsidRPr="00CD034E">
              <w:t>Gene synthesis &amp; validation</w:t>
            </w:r>
          </w:p>
        </w:tc>
        <w:tc>
          <w:tcPr>
            <w:tcW w:w="2650" w:type="dxa"/>
            <w:tcMar>
              <w:top w:w="80" w:type="dxa"/>
              <w:left w:w="100" w:type="dxa"/>
              <w:bottom w:w="80" w:type="dxa"/>
              <w:right w:w="100" w:type="dxa"/>
            </w:tcMar>
            <w:vAlign w:val="center"/>
          </w:tcPr>
          <w:p w14:paraId="7E55EC8A" w14:textId="77777777" w:rsidR="00100DE9" w:rsidRPr="00CD034E" w:rsidRDefault="00A408A4">
            <w:r w:rsidRPr="00CD034E">
              <w:t>De novo synthesis, HC + LC (2 sequences per antibody). Client supplies AA sequences; vendor performs AA-to-NA back-translation and codon optimisation.</w:t>
            </w:r>
          </w:p>
        </w:tc>
        <w:tc>
          <w:tcPr>
            <w:tcW w:w="1600" w:type="dxa"/>
            <w:tcMar>
              <w:top w:w="80" w:type="dxa"/>
              <w:left w:w="100" w:type="dxa"/>
              <w:bottom w:w="80" w:type="dxa"/>
              <w:right w:w="100" w:type="dxa"/>
            </w:tcMar>
            <w:vAlign w:val="center"/>
          </w:tcPr>
          <w:p w14:paraId="416065FD" w14:textId="1BB66256" w:rsidR="00100DE9" w:rsidRPr="00CD034E" w:rsidRDefault="004E0843">
            <w:r w:rsidRPr="00CD034E">
              <w:t>Per antibody (≥ 400 in total)</w:t>
            </w:r>
          </w:p>
        </w:tc>
        <w:tc>
          <w:tcPr>
            <w:tcW w:w="2500" w:type="dxa"/>
            <w:tcMar>
              <w:top w:w="80" w:type="dxa"/>
              <w:left w:w="100" w:type="dxa"/>
              <w:bottom w:w="80" w:type="dxa"/>
              <w:right w:w="100" w:type="dxa"/>
            </w:tcMar>
            <w:vAlign w:val="center"/>
          </w:tcPr>
          <w:p w14:paraId="2A357E7E" w14:textId="77777777" w:rsidR="00100DE9" w:rsidRPr="00CD034E" w:rsidRDefault="00A408A4">
            <w:r w:rsidRPr="00CD034E">
              <w:t>Variable region &lt;300 aa: no additional cost. Vendor to state €/bp for sequences &gt;900 bp / 300 aa, up to 3 kb, and confirm no separate charge for back-translation/codon optimisation, sequence generation, validation or expression in this size range</w:t>
            </w:r>
          </w:p>
        </w:tc>
      </w:tr>
      <w:tr w:rsidR="00100DE9" w:rsidRPr="00CD034E" w14:paraId="62310313" w14:textId="77777777">
        <w:tc>
          <w:tcPr>
            <w:tcW w:w="2600" w:type="dxa"/>
            <w:shd w:val="clear" w:color="auto" w:fill="F5F5F5"/>
            <w:tcMar>
              <w:top w:w="80" w:type="dxa"/>
              <w:left w:w="100" w:type="dxa"/>
              <w:bottom w:w="80" w:type="dxa"/>
              <w:right w:w="100" w:type="dxa"/>
            </w:tcMar>
            <w:vAlign w:val="center"/>
          </w:tcPr>
          <w:p w14:paraId="4C00BD69" w14:textId="77777777" w:rsidR="00100DE9" w:rsidRPr="00CD034E" w:rsidRDefault="00A408A4">
            <w:r w:rsidRPr="00CD034E">
              <w:t>Small-scale transient expression</w:t>
            </w:r>
          </w:p>
        </w:tc>
        <w:tc>
          <w:tcPr>
            <w:tcW w:w="2650" w:type="dxa"/>
            <w:shd w:val="clear" w:color="auto" w:fill="F5F5F5"/>
            <w:tcMar>
              <w:top w:w="80" w:type="dxa"/>
              <w:left w:w="100" w:type="dxa"/>
              <w:bottom w:w="80" w:type="dxa"/>
              <w:right w:w="100" w:type="dxa"/>
            </w:tcMar>
            <w:vAlign w:val="center"/>
          </w:tcPr>
          <w:p w14:paraId="536F3DB5" w14:textId="77777777" w:rsidR="00100DE9" w:rsidRPr="00CD034E" w:rsidRDefault="00A408A4">
            <w:r w:rsidRPr="00CD034E">
              <w:t>4 mL transient expression</w:t>
            </w:r>
          </w:p>
        </w:tc>
        <w:tc>
          <w:tcPr>
            <w:tcW w:w="1600" w:type="dxa"/>
            <w:shd w:val="clear" w:color="auto" w:fill="F5F5F5"/>
            <w:tcMar>
              <w:top w:w="80" w:type="dxa"/>
              <w:left w:w="100" w:type="dxa"/>
              <w:bottom w:w="80" w:type="dxa"/>
              <w:right w:w="100" w:type="dxa"/>
            </w:tcMar>
            <w:vAlign w:val="center"/>
          </w:tcPr>
          <w:p w14:paraId="6D9F3D6A" w14:textId="4C3FC62F" w:rsidR="00100DE9" w:rsidRPr="00CD034E" w:rsidRDefault="004E0843">
            <w:r w:rsidRPr="00CD034E">
              <w:t>Per antibody (≥ 400 in total)</w:t>
            </w:r>
          </w:p>
        </w:tc>
        <w:tc>
          <w:tcPr>
            <w:tcW w:w="2500" w:type="dxa"/>
            <w:shd w:val="clear" w:color="auto" w:fill="F5F5F5"/>
            <w:tcMar>
              <w:top w:w="80" w:type="dxa"/>
              <w:left w:w="100" w:type="dxa"/>
              <w:bottom w:w="80" w:type="dxa"/>
              <w:right w:w="100" w:type="dxa"/>
            </w:tcMar>
            <w:vAlign w:val="center"/>
          </w:tcPr>
          <w:p w14:paraId="11040498" w14:textId="77777777" w:rsidR="00100DE9" w:rsidRPr="00CD034E" w:rsidRDefault="00100DE9"/>
        </w:tc>
      </w:tr>
      <w:tr w:rsidR="00100DE9" w:rsidRPr="00CD034E" w14:paraId="0F96BE59" w14:textId="77777777">
        <w:tc>
          <w:tcPr>
            <w:tcW w:w="2600" w:type="dxa"/>
            <w:tcMar>
              <w:top w:w="80" w:type="dxa"/>
              <w:left w:w="100" w:type="dxa"/>
              <w:bottom w:w="80" w:type="dxa"/>
              <w:right w:w="100" w:type="dxa"/>
            </w:tcMar>
            <w:vAlign w:val="center"/>
          </w:tcPr>
          <w:p w14:paraId="0D4FD12A" w14:textId="77777777" w:rsidR="00100DE9" w:rsidRPr="00CD034E" w:rsidRDefault="00A408A4">
            <w:r w:rsidRPr="00CD034E">
              <w:t>Titre analysis (BLI)</w:t>
            </w:r>
          </w:p>
        </w:tc>
        <w:tc>
          <w:tcPr>
            <w:tcW w:w="2650" w:type="dxa"/>
            <w:tcMar>
              <w:top w:w="80" w:type="dxa"/>
              <w:left w:w="100" w:type="dxa"/>
              <w:bottom w:w="80" w:type="dxa"/>
              <w:right w:w="100" w:type="dxa"/>
            </w:tcMar>
            <w:vAlign w:val="center"/>
          </w:tcPr>
          <w:p w14:paraId="4A17E2E4" w14:textId="77777777" w:rsidR="00100DE9" w:rsidRPr="00CD034E" w:rsidRDefault="00A408A4">
            <w:r w:rsidRPr="00CD034E">
              <w:t>BLI, 2 biological duplicates</w:t>
            </w:r>
          </w:p>
        </w:tc>
        <w:tc>
          <w:tcPr>
            <w:tcW w:w="1600" w:type="dxa"/>
            <w:tcMar>
              <w:top w:w="80" w:type="dxa"/>
              <w:left w:w="100" w:type="dxa"/>
              <w:bottom w:w="80" w:type="dxa"/>
              <w:right w:w="100" w:type="dxa"/>
            </w:tcMar>
            <w:vAlign w:val="center"/>
          </w:tcPr>
          <w:p w14:paraId="11682C3B" w14:textId="07373D6F" w:rsidR="00100DE9" w:rsidRPr="00CD034E" w:rsidRDefault="004E0843">
            <w:r w:rsidRPr="00CD034E">
              <w:t>Per antibody (≥ 400 in total)</w:t>
            </w:r>
          </w:p>
        </w:tc>
        <w:tc>
          <w:tcPr>
            <w:tcW w:w="2500" w:type="dxa"/>
            <w:tcMar>
              <w:top w:w="80" w:type="dxa"/>
              <w:left w:w="100" w:type="dxa"/>
              <w:bottom w:w="80" w:type="dxa"/>
              <w:right w:w="100" w:type="dxa"/>
            </w:tcMar>
            <w:vAlign w:val="center"/>
          </w:tcPr>
          <w:p w14:paraId="6475A062" w14:textId="77777777" w:rsidR="00100DE9" w:rsidRPr="00CD034E" w:rsidRDefault="00A408A4">
            <w:r w:rsidRPr="00CD034E">
              <w:t>Applies to all additional antibodies under all three options</w:t>
            </w:r>
          </w:p>
        </w:tc>
      </w:tr>
      <w:tr w:rsidR="00100DE9" w:rsidRPr="00CD034E" w14:paraId="3386B984" w14:textId="77777777">
        <w:tc>
          <w:tcPr>
            <w:tcW w:w="2600" w:type="dxa"/>
            <w:shd w:val="clear" w:color="auto" w:fill="F5F5F5"/>
            <w:tcMar>
              <w:top w:w="80" w:type="dxa"/>
              <w:left w:w="100" w:type="dxa"/>
              <w:bottom w:w="80" w:type="dxa"/>
              <w:right w:w="100" w:type="dxa"/>
            </w:tcMar>
            <w:vAlign w:val="center"/>
          </w:tcPr>
          <w:p w14:paraId="251121A5" w14:textId="77777777" w:rsidR="00100DE9" w:rsidRPr="00CD034E" w:rsidRDefault="00A408A4">
            <w:r w:rsidRPr="00CD034E">
              <w:t>Protein purification</w:t>
            </w:r>
          </w:p>
        </w:tc>
        <w:tc>
          <w:tcPr>
            <w:tcW w:w="2650" w:type="dxa"/>
            <w:shd w:val="clear" w:color="auto" w:fill="F5F5F5"/>
            <w:tcMar>
              <w:top w:w="80" w:type="dxa"/>
              <w:left w:w="100" w:type="dxa"/>
              <w:bottom w:w="80" w:type="dxa"/>
              <w:right w:w="100" w:type="dxa"/>
            </w:tcMar>
            <w:vAlign w:val="center"/>
          </w:tcPr>
          <w:p w14:paraId="1D446B18" w14:textId="77777777" w:rsidR="00100DE9" w:rsidRPr="00CD034E" w:rsidRDefault="00A408A4">
            <w:r w:rsidRPr="00CD034E">
              <w:t>Standard one-step purification, performed directly from 4 mL transient expression material</w:t>
            </w:r>
          </w:p>
        </w:tc>
        <w:tc>
          <w:tcPr>
            <w:tcW w:w="1600" w:type="dxa"/>
            <w:shd w:val="clear" w:color="auto" w:fill="F5F5F5"/>
            <w:tcMar>
              <w:top w:w="80" w:type="dxa"/>
              <w:left w:w="100" w:type="dxa"/>
              <w:bottom w:w="80" w:type="dxa"/>
              <w:right w:w="100" w:type="dxa"/>
            </w:tcMar>
            <w:vAlign w:val="center"/>
          </w:tcPr>
          <w:p w14:paraId="64CD3B61" w14:textId="118C2610" w:rsidR="00100DE9" w:rsidRPr="00CD034E" w:rsidRDefault="004E0843">
            <w:r w:rsidRPr="00CD034E">
              <w:t>Per antibody</w:t>
            </w:r>
          </w:p>
        </w:tc>
        <w:tc>
          <w:tcPr>
            <w:tcW w:w="2500" w:type="dxa"/>
            <w:shd w:val="clear" w:color="auto" w:fill="F5F5F5"/>
            <w:tcMar>
              <w:top w:w="80" w:type="dxa"/>
              <w:left w:w="100" w:type="dxa"/>
              <w:bottom w:w="80" w:type="dxa"/>
              <w:right w:w="100" w:type="dxa"/>
            </w:tcMar>
            <w:vAlign w:val="center"/>
          </w:tcPr>
          <w:p w14:paraId="306BD2E7" w14:textId="77777777" w:rsidR="00100DE9" w:rsidRPr="00CD034E" w:rsidRDefault="00100DE9">
            <w:r w:rsidRPr="00CD034E">
              <w:t>Required only for antibodies receiving SPR (Option 2 or Option 3); not required for BLI only (Option 1)</w:t>
            </w:r>
          </w:p>
        </w:tc>
      </w:tr>
      <w:tr w:rsidR="00100DE9" w:rsidRPr="00CD034E" w14:paraId="5F530DF9" w14:textId="77777777">
        <w:tc>
          <w:tcPr>
            <w:tcW w:w="2600" w:type="dxa"/>
            <w:tcMar>
              <w:top w:w="80" w:type="dxa"/>
              <w:left w:w="100" w:type="dxa"/>
              <w:bottom w:w="80" w:type="dxa"/>
              <w:right w:w="100" w:type="dxa"/>
            </w:tcMar>
            <w:vAlign w:val="center"/>
          </w:tcPr>
          <w:p w14:paraId="5287CF60" w14:textId="77777777" w:rsidR="00100DE9" w:rsidRPr="00CD034E" w:rsidRDefault="00A408A4">
            <w:r w:rsidRPr="00CD034E">
              <w:t>BLI affinity ranking</w:t>
            </w:r>
          </w:p>
        </w:tc>
        <w:tc>
          <w:tcPr>
            <w:tcW w:w="2650" w:type="dxa"/>
            <w:tcMar>
              <w:top w:w="80" w:type="dxa"/>
              <w:left w:w="100" w:type="dxa"/>
              <w:bottom w:w="80" w:type="dxa"/>
              <w:right w:w="100" w:type="dxa"/>
            </w:tcMar>
            <w:vAlign w:val="center"/>
          </w:tcPr>
          <w:p w14:paraId="3F2B6839" w14:textId="77777777" w:rsidR="00100DE9" w:rsidRPr="00CD034E" w:rsidRDefault="00A408A4">
            <w:r w:rsidRPr="00CD034E">
              <w:t>1 concentration</w:t>
            </w:r>
          </w:p>
        </w:tc>
        <w:tc>
          <w:tcPr>
            <w:tcW w:w="1600" w:type="dxa"/>
            <w:tcMar>
              <w:top w:w="80" w:type="dxa"/>
              <w:left w:w="100" w:type="dxa"/>
              <w:bottom w:w="80" w:type="dxa"/>
              <w:right w:w="100" w:type="dxa"/>
            </w:tcMar>
            <w:vAlign w:val="center"/>
          </w:tcPr>
          <w:p w14:paraId="7F4A1E15" w14:textId="290DEB72" w:rsidR="00100DE9" w:rsidRPr="00CD034E" w:rsidRDefault="004E0843">
            <w:r w:rsidRPr="00CD034E">
              <w:t>Per antibody</w:t>
            </w:r>
          </w:p>
        </w:tc>
        <w:tc>
          <w:tcPr>
            <w:tcW w:w="2500" w:type="dxa"/>
            <w:tcMar>
              <w:top w:w="80" w:type="dxa"/>
              <w:left w:w="100" w:type="dxa"/>
              <w:bottom w:w="80" w:type="dxa"/>
              <w:right w:w="100" w:type="dxa"/>
            </w:tcMar>
            <w:vAlign w:val="center"/>
          </w:tcPr>
          <w:p w14:paraId="5971017D" w14:textId="77777777" w:rsidR="00100DE9" w:rsidRPr="00CD034E" w:rsidRDefault="00A408A4">
            <w:r w:rsidRPr="00CD034E">
              <w:t>Option 1 (BLI only) and Option 3 (BLI and SPR). Report kon, koff and KD</w:t>
            </w:r>
          </w:p>
        </w:tc>
      </w:tr>
      <w:tr w:rsidR="00100DE9" w:rsidRPr="00CD034E" w14:paraId="1259EDB7" w14:textId="77777777">
        <w:tc>
          <w:tcPr>
            <w:tcW w:w="2600" w:type="dxa"/>
            <w:shd w:val="clear" w:color="auto" w:fill="F5F5F5"/>
            <w:tcMar>
              <w:top w:w="80" w:type="dxa"/>
              <w:left w:w="100" w:type="dxa"/>
              <w:bottom w:w="80" w:type="dxa"/>
              <w:right w:w="100" w:type="dxa"/>
            </w:tcMar>
            <w:vAlign w:val="center"/>
          </w:tcPr>
          <w:p w14:paraId="104BE313" w14:textId="77777777" w:rsidR="00100DE9" w:rsidRPr="00CD034E" w:rsidRDefault="00A408A4">
            <w:r w:rsidRPr="00CD034E">
              <w:t>SPR affinity ranking</w:t>
            </w:r>
          </w:p>
        </w:tc>
        <w:tc>
          <w:tcPr>
            <w:tcW w:w="2650" w:type="dxa"/>
            <w:shd w:val="clear" w:color="auto" w:fill="F5F5F5"/>
            <w:tcMar>
              <w:top w:w="80" w:type="dxa"/>
              <w:left w:w="100" w:type="dxa"/>
              <w:bottom w:w="80" w:type="dxa"/>
              <w:right w:w="100" w:type="dxa"/>
            </w:tcMar>
            <w:vAlign w:val="center"/>
          </w:tcPr>
          <w:p w14:paraId="4A530CAB" w14:textId="77777777" w:rsidR="00100DE9" w:rsidRPr="00CD034E" w:rsidRDefault="00A408A4">
            <w:r w:rsidRPr="00CD034E">
              <w:t>1 concentration</w:t>
            </w:r>
          </w:p>
        </w:tc>
        <w:tc>
          <w:tcPr>
            <w:tcW w:w="1600" w:type="dxa"/>
            <w:shd w:val="clear" w:color="auto" w:fill="F5F5F5"/>
            <w:tcMar>
              <w:top w:w="80" w:type="dxa"/>
              <w:left w:w="100" w:type="dxa"/>
              <w:bottom w:w="80" w:type="dxa"/>
              <w:right w:w="100" w:type="dxa"/>
            </w:tcMar>
            <w:vAlign w:val="center"/>
          </w:tcPr>
          <w:p w14:paraId="6F19E1DF" w14:textId="34954D84" w:rsidR="00100DE9" w:rsidRPr="00CD034E" w:rsidRDefault="004E0843">
            <w:r w:rsidRPr="00CD034E">
              <w:t>Per antibody</w:t>
            </w:r>
          </w:p>
        </w:tc>
        <w:tc>
          <w:tcPr>
            <w:tcW w:w="2500" w:type="dxa"/>
            <w:shd w:val="clear" w:color="auto" w:fill="F5F5F5"/>
            <w:tcMar>
              <w:top w:w="80" w:type="dxa"/>
              <w:left w:w="100" w:type="dxa"/>
              <w:bottom w:w="80" w:type="dxa"/>
              <w:right w:w="100" w:type="dxa"/>
            </w:tcMar>
            <w:vAlign w:val="center"/>
          </w:tcPr>
          <w:p w14:paraId="4EFB1B7A" w14:textId="77777777" w:rsidR="00100DE9" w:rsidRPr="00CD034E" w:rsidRDefault="00A408A4">
            <w:r w:rsidRPr="00CD034E">
              <w:t>Option 2 (SPR only) and Option 3 (BLI and SPR). Report kon, koff and KD</w:t>
            </w:r>
          </w:p>
        </w:tc>
      </w:tr>
    </w:tbl>
    <w:p w14:paraId="1F014985" w14:textId="77777777" w:rsidR="00100DE9" w:rsidRPr="00CD034E" w:rsidRDefault="00A408A4">
      <w:r w:rsidRPr="00CD034E">
        <w:t xml:space="preserve">Beyond the fixed base commitment, each additional antibody will be analysed under one of three options: Option 1 — BLI only (gene synthesis, 4 mL expression, BLI titre and BLI affinity ranking; no purification required); Option 2 — SPR only (as Option 1, but with purification and SPR affinity ranking in place of BLI affinity ranking); or Option 3 — BLI and SPR (purification plus both BLI and SPR affinity ranking). The </w:t>
      </w:r>
      <w:r w:rsidRPr="00CD034E">
        <w:lastRenderedPageBreak/>
        <w:t>number of additional antibodies achievable within the cap will be calculated for each option once unit prices are entered.</w:t>
      </w:r>
    </w:p>
    <w:p w14:paraId="6DA888E7" w14:textId="77777777" w:rsidR="00100DE9" w:rsidRPr="00CD034E" w:rsidRDefault="00A408A4">
      <w:pPr>
        <w:pStyle w:val="Heading2"/>
        <w:spacing w:before="240" w:after="120"/>
      </w:pPr>
      <w:r w:rsidRPr="00CD034E">
        <w:t>2.3 Optional Add-ons</w:t>
      </w:r>
    </w:p>
    <w:p w14:paraId="75990944" w14:textId="77777777" w:rsidR="00100DE9" w:rsidRPr="00CD034E" w:rsidRDefault="00A408A4">
      <w:pPr>
        <w:spacing w:after="160"/>
      </w:pPr>
      <w:r w:rsidRPr="00CD034E">
        <w:t>Vendors are also asked to price an additional antigen concentration for BLI affinity ranking and for SPR affinity ranking of the fixed base 100 antibodies (per Question 2 flexibility). These optional add-ons are priced separately and are not counted toward the €375,000 budget cap.</w:t>
      </w:r>
    </w:p>
    <w:p w14:paraId="0F6E2419" w14:textId="77777777" w:rsidR="00100DE9" w:rsidRPr="00CD034E" w:rsidRDefault="00A408A4">
      <w:pPr>
        <w:pStyle w:val="Heading1"/>
        <w:spacing w:before="320" w:after="160"/>
      </w:pPr>
      <w:r w:rsidRPr="00CD034E">
        <w:t>3. How to Respond to This Request</w:t>
      </w:r>
    </w:p>
    <w:p w14:paraId="0F6B9014" w14:textId="77777777" w:rsidR="00100DE9" w:rsidRPr="00CD034E" w:rsidRDefault="00A408A4">
      <w:pPr>
        <w:spacing w:after="160"/>
      </w:pPr>
      <w:r w:rsidRPr="00CD034E">
        <w:t>Vendors must submit a completed response using the accompanying RFT Evaluation Workbook together with any supporting attachments referenced from it. Please do not submit a separate free-text technical proposal in place of the workbook; a narrative technical proposal may be attached in addition, but the workbook is the primary evaluated document.</w:t>
      </w:r>
    </w:p>
    <w:p w14:paraId="2C82FD33" w14:textId="77777777" w:rsidR="00100DE9" w:rsidRPr="00CD034E" w:rsidRDefault="00A408A4">
      <w:pPr>
        <w:pStyle w:val="Heading2"/>
        <w:spacing w:before="240" w:after="120"/>
      </w:pPr>
      <w:r w:rsidRPr="00CD034E">
        <w:t>3.1 Requirements tab</w:t>
      </w:r>
    </w:p>
    <w:p w14:paraId="38384E44" w14:textId="77777777" w:rsidR="00100DE9" w:rsidRPr="00CD034E" w:rsidRDefault="00A408A4">
      <w:pPr>
        <w:pStyle w:val="ListParagraph"/>
        <w:numPr>
          <w:ilvl w:val="0"/>
          <w:numId w:val="3"/>
        </w:numPr>
        <w:spacing w:after="80"/>
      </w:pPr>
      <w:r w:rsidRPr="00CD034E">
        <w:t>Each row is an individually scored requirement, grouped under four categories: Technical Capability &amp; Platform Qualification; Flexibility &amp; Change Management; Cost &amp; Value; and Track Record, Case Studies &amp; References.</w:t>
      </w:r>
    </w:p>
    <w:p w14:paraId="631F5E25" w14:textId="77777777" w:rsidR="00100DE9" w:rsidRPr="00CD034E" w:rsidRDefault="00A408A4">
      <w:pPr>
        <w:pStyle w:val="ListParagraph"/>
        <w:numPr>
          <w:ilvl w:val="0"/>
          <w:numId w:val="3"/>
        </w:numPr>
        <w:spacing w:after="80"/>
      </w:pPr>
      <w:r w:rsidRPr="00CD034E">
        <w:t>For each row, tick the “Per Vendor” column to confirm you are responding to that requirement, and provide your full narrative response in the “Notes from Vendor” column (or reference a numbered attachment where a full answer will not fit, e.g. case study documents, CVs, or accreditation certificates).</w:t>
      </w:r>
    </w:p>
    <w:p w14:paraId="456B8A4E" w14:textId="77777777" w:rsidR="00100DE9" w:rsidRPr="00CD034E" w:rsidRDefault="00A408A4">
      <w:pPr>
        <w:pStyle w:val="ListParagraph"/>
        <w:numPr>
          <w:ilvl w:val="0"/>
          <w:numId w:val="3"/>
        </w:numPr>
        <w:spacing w:after="80"/>
      </w:pPr>
      <w:r w:rsidRPr="00CD034E">
        <w:t>Do not edit the “Max Marks” column, the requirement wording, or any cell not shaded orange — these are fixed and used for scoring.</w:t>
      </w:r>
    </w:p>
    <w:p w14:paraId="49A5BC82" w14:textId="77777777" w:rsidR="00100DE9" w:rsidRPr="00CD034E" w:rsidRDefault="00A408A4">
      <w:pPr>
        <w:pStyle w:val="ListParagraph"/>
        <w:numPr>
          <w:ilvl w:val="0"/>
          <w:numId w:val="3"/>
        </w:numPr>
        <w:spacing w:after="80"/>
      </w:pPr>
      <w:r w:rsidRPr="00CD034E">
        <w:t>Several rows explicitly request anonymised historical data from at least three comparable prior programmes (ideally batches of &gt;100 antibodies/constructs where possible). This historical performance data is a significant component of the technical evaluation and should be as complete and specific as possible; generic assurances without supporting data will score poorly.</w:t>
      </w:r>
    </w:p>
    <w:p w14:paraId="763DAFD3" w14:textId="77777777" w:rsidR="00100DE9" w:rsidRPr="00CD034E" w:rsidRDefault="00A408A4">
      <w:pPr>
        <w:pStyle w:val="Heading2"/>
        <w:spacing w:before="240" w:after="120"/>
      </w:pPr>
      <w:r w:rsidRPr="00CD034E">
        <w:t>3.2 Pricing tabs</w:t>
      </w:r>
    </w:p>
    <w:p w14:paraId="378F215F" w14:textId="77777777" w:rsidR="00100DE9" w:rsidRPr="00CD034E" w:rsidRDefault="00A408A4">
      <w:pPr>
        <w:pStyle w:val="ListParagraph"/>
        <w:numPr>
          <w:ilvl w:val="0"/>
          <w:numId w:val="3"/>
        </w:numPr>
        <w:spacing w:after="80"/>
      </w:pPr>
      <w:r w:rsidRPr="00CD034E">
        <w:t>Complete the orange “Unit Price (€)” cells in the Pricing tab, for both the fixed base commitment (priced per batch) and the additional antibodies (priced per antibody). The fixed base subtotal, budget remaining, blended cost per additional antibody for each option, number of additional antibodies achievable, and total spend versus the €375,000 cap will calculate automatically in the Pricing Summary tab.</w:t>
      </w:r>
    </w:p>
    <w:p w14:paraId="09000CC3" w14:textId="77777777" w:rsidR="00100DE9" w:rsidRPr="00CD034E" w:rsidRDefault="00A408A4">
      <w:pPr>
        <w:pStyle w:val="ListParagraph"/>
        <w:numPr>
          <w:ilvl w:val="0"/>
          <w:numId w:val="3"/>
        </w:numPr>
        <w:spacing w:after="80"/>
      </w:pPr>
      <w:r w:rsidRPr="00CD034E">
        <w:t>Do not edit quantities, batch numbers, or formulas. If your organisation requires different batch sizes to remain cost-effective, state this in your response to the batch-size flexibility requirement (Question 3), noting the minimum batch size of approximately 20 full antibody candidates (40 sequences), rather than editing the quantities directly.</w:t>
      </w:r>
    </w:p>
    <w:p w14:paraId="61F640BF" w14:textId="77777777" w:rsidR="00100DE9" w:rsidRPr="00CD034E" w:rsidRDefault="00A408A4">
      <w:pPr>
        <w:pStyle w:val="ListParagraph"/>
        <w:numPr>
          <w:ilvl w:val="0"/>
          <w:numId w:val="3"/>
        </w:numPr>
        <w:spacing w:after="80"/>
      </w:pPr>
      <w:r w:rsidRPr="00CD034E">
        <w:t>The Pricing Summary tab reports total antibodies and total spend for Option 1 (BLI only), Option 2 (SPR only) and Option 3 (BLI and SPR) for the additional antibodies, per the BLI vs SPR flexibility requirement (Question 1), and confirms whether each option meets the programme minimum of 500 antibodies. Optional add-ons are reported separately and are not counted toward the cap.</w:t>
      </w:r>
    </w:p>
    <w:p w14:paraId="3F1ECA29" w14:textId="77777777" w:rsidR="00100DE9" w:rsidRPr="00CD034E" w:rsidRDefault="00A408A4">
      <w:pPr>
        <w:pStyle w:val="Heading2"/>
        <w:spacing w:before="240" w:after="120"/>
      </w:pPr>
      <w:r w:rsidRPr="00CD034E">
        <w:t>3.3 Attachments</w:t>
      </w:r>
    </w:p>
    <w:p w14:paraId="1B3E5A84" w14:textId="77777777" w:rsidR="00100DE9" w:rsidRPr="00CD034E" w:rsidRDefault="00A408A4">
      <w:pPr>
        <w:pStyle w:val="ListParagraph"/>
        <w:numPr>
          <w:ilvl w:val="0"/>
          <w:numId w:val="3"/>
        </w:numPr>
        <w:spacing w:after="80"/>
      </w:pPr>
      <w:r w:rsidRPr="00CD034E">
        <w:t>Case studies and references (anonymised where necessary)</w:t>
      </w:r>
    </w:p>
    <w:p w14:paraId="422348B4" w14:textId="7EA1DB74" w:rsidR="00100DE9" w:rsidRPr="00CD034E" w:rsidRDefault="0057052F">
      <w:pPr>
        <w:pStyle w:val="ListParagraph"/>
        <w:numPr>
          <w:ilvl w:val="0"/>
          <w:numId w:val="3"/>
        </w:numPr>
        <w:spacing w:after="80"/>
      </w:pPr>
      <w:r w:rsidRPr="00CD034E">
        <w:t>Qualifications or role summaries for key analysts/scientists proposed for this programme</w:t>
      </w:r>
    </w:p>
    <w:p w14:paraId="5EA8F78E" w14:textId="77777777" w:rsidR="00100DE9" w:rsidRPr="00CD034E" w:rsidRDefault="00A408A4">
      <w:pPr>
        <w:pStyle w:val="ListParagraph"/>
        <w:numPr>
          <w:ilvl w:val="0"/>
          <w:numId w:val="3"/>
        </w:numPr>
        <w:spacing w:after="80"/>
      </w:pPr>
      <w:r w:rsidRPr="00CD034E">
        <w:t>Relevant accreditations/certifications</w:t>
      </w:r>
    </w:p>
    <w:p w14:paraId="132DFE72" w14:textId="77777777" w:rsidR="00100DE9" w:rsidRPr="00CD034E" w:rsidRDefault="00A408A4">
      <w:pPr>
        <w:pStyle w:val="ListParagraph"/>
        <w:numPr>
          <w:ilvl w:val="0"/>
          <w:numId w:val="3"/>
        </w:numPr>
        <w:spacing w:after="80"/>
      </w:pPr>
      <w:r w:rsidRPr="00CD034E">
        <w:t>Any narrative technical proposal or company overview the vendor wishes to include in addition to the workbook</w:t>
      </w:r>
    </w:p>
    <w:p w14:paraId="6687188E" w14:textId="77777777" w:rsidR="00100DE9" w:rsidRPr="00CD034E" w:rsidRDefault="00A408A4">
      <w:pPr>
        <w:pStyle w:val="Heading1"/>
        <w:spacing w:before="320" w:after="160"/>
      </w:pPr>
      <w:r w:rsidRPr="00CD034E">
        <w:t>4. Evaluation Criteria and Weightings</w:t>
      </w:r>
    </w:p>
    <w:p w14:paraId="67C5E1D1" w14:textId="77777777" w:rsidR="00100DE9" w:rsidRPr="00CD034E" w:rsidRDefault="00A408A4">
      <w:pPr>
        <w:spacing w:after="160"/>
      </w:pPr>
      <w:r w:rsidRPr="00CD034E">
        <w:lastRenderedPageBreak/>
        <w:t>Proposals will be evaluated against the four categories below, each scored out of the points shown, for a maximum total of 1000. The full set of individually scored requirements underlying each category is set out in the Requirements tab of the RFT Evaluation Workbook.</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0"/>
        <w:gridCol w:w="2000"/>
        <w:gridCol w:w="1850"/>
      </w:tblGrid>
      <w:tr w:rsidR="00100DE9" w:rsidRPr="00CD034E" w14:paraId="75D3E503" w14:textId="77777777">
        <w:trPr>
          <w:tblHeader/>
        </w:trPr>
        <w:tc>
          <w:tcPr>
            <w:tcW w:w="5500" w:type="dxa"/>
            <w:shd w:val="clear" w:color="auto" w:fill="1F3864"/>
            <w:tcMar>
              <w:top w:w="80" w:type="dxa"/>
              <w:left w:w="100" w:type="dxa"/>
              <w:bottom w:w="80" w:type="dxa"/>
              <w:right w:w="100" w:type="dxa"/>
            </w:tcMar>
            <w:vAlign w:val="center"/>
          </w:tcPr>
          <w:p w14:paraId="2D74EDC9" w14:textId="77777777" w:rsidR="00100DE9" w:rsidRPr="00CD034E" w:rsidRDefault="00A408A4">
            <w:r w:rsidRPr="00CD034E">
              <w:rPr>
                <w:b/>
                <w:bCs/>
                <w:color w:val="FFFFFF"/>
              </w:rPr>
              <w:t>Award Criterion</w:t>
            </w:r>
          </w:p>
        </w:tc>
        <w:tc>
          <w:tcPr>
            <w:tcW w:w="2000" w:type="dxa"/>
            <w:shd w:val="clear" w:color="auto" w:fill="1F3864"/>
            <w:tcMar>
              <w:top w:w="80" w:type="dxa"/>
              <w:left w:w="100" w:type="dxa"/>
              <w:bottom w:w="80" w:type="dxa"/>
              <w:right w:w="100" w:type="dxa"/>
            </w:tcMar>
            <w:vAlign w:val="center"/>
          </w:tcPr>
          <w:p w14:paraId="79D31035" w14:textId="77777777" w:rsidR="00100DE9" w:rsidRPr="00CD034E" w:rsidRDefault="00A408A4">
            <w:r w:rsidRPr="00CD034E">
              <w:rPr>
                <w:b/>
                <w:bCs/>
                <w:color w:val="FFFFFF"/>
              </w:rPr>
              <w:t>Weighting</w:t>
            </w:r>
          </w:p>
        </w:tc>
        <w:tc>
          <w:tcPr>
            <w:tcW w:w="1850" w:type="dxa"/>
            <w:shd w:val="clear" w:color="auto" w:fill="1F3864"/>
            <w:tcMar>
              <w:top w:w="80" w:type="dxa"/>
              <w:left w:w="100" w:type="dxa"/>
              <w:bottom w:w="80" w:type="dxa"/>
              <w:right w:w="100" w:type="dxa"/>
            </w:tcMar>
            <w:vAlign w:val="center"/>
          </w:tcPr>
          <w:p w14:paraId="3121B971" w14:textId="77777777" w:rsidR="00100DE9" w:rsidRPr="00CD034E" w:rsidRDefault="00A408A4">
            <w:r w:rsidRPr="00CD034E">
              <w:rPr>
                <w:b/>
                <w:bCs/>
                <w:color w:val="FFFFFF"/>
              </w:rPr>
              <w:t>Max Score</w:t>
            </w:r>
          </w:p>
        </w:tc>
      </w:tr>
      <w:tr w:rsidR="00100DE9" w:rsidRPr="00CD034E" w14:paraId="7002D71C" w14:textId="77777777">
        <w:tc>
          <w:tcPr>
            <w:tcW w:w="5500" w:type="dxa"/>
            <w:tcMar>
              <w:top w:w="80" w:type="dxa"/>
              <w:left w:w="100" w:type="dxa"/>
              <w:bottom w:w="80" w:type="dxa"/>
              <w:right w:w="100" w:type="dxa"/>
            </w:tcMar>
            <w:vAlign w:val="center"/>
          </w:tcPr>
          <w:p w14:paraId="5D05906F" w14:textId="77777777" w:rsidR="00100DE9" w:rsidRPr="00CD034E" w:rsidRDefault="00A408A4">
            <w:r w:rsidRPr="00CD034E">
              <w:t>Technical Capability &amp; Platform Qualification</w:t>
            </w:r>
          </w:p>
        </w:tc>
        <w:tc>
          <w:tcPr>
            <w:tcW w:w="2000" w:type="dxa"/>
            <w:tcMar>
              <w:top w:w="80" w:type="dxa"/>
              <w:left w:w="100" w:type="dxa"/>
              <w:bottom w:w="80" w:type="dxa"/>
              <w:right w:w="100" w:type="dxa"/>
            </w:tcMar>
            <w:vAlign w:val="center"/>
          </w:tcPr>
          <w:p w14:paraId="3982E557" w14:textId="77777777" w:rsidR="00100DE9" w:rsidRPr="00CD034E" w:rsidRDefault="00A408A4">
            <w:r w:rsidRPr="00CD034E">
              <w:t>35%</w:t>
            </w:r>
          </w:p>
        </w:tc>
        <w:tc>
          <w:tcPr>
            <w:tcW w:w="1850" w:type="dxa"/>
            <w:tcMar>
              <w:top w:w="80" w:type="dxa"/>
              <w:left w:w="100" w:type="dxa"/>
              <w:bottom w:w="80" w:type="dxa"/>
              <w:right w:w="100" w:type="dxa"/>
            </w:tcMar>
            <w:vAlign w:val="center"/>
          </w:tcPr>
          <w:p w14:paraId="6DA50D79" w14:textId="77777777" w:rsidR="00100DE9" w:rsidRPr="00CD034E" w:rsidRDefault="00A408A4">
            <w:r w:rsidRPr="00CD034E">
              <w:t>350</w:t>
            </w:r>
          </w:p>
        </w:tc>
      </w:tr>
      <w:tr w:rsidR="00100DE9" w:rsidRPr="00CD034E" w14:paraId="161C0657" w14:textId="77777777">
        <w:tc>
          <w:tcPr>
            <w:tcW w:w="5500" w:type="dxa"/>
            <w:shd w:val="clear" w:color="auto" w:fill="F5F5F5"/>
            <w:tcMar>
              <w:top w:w="80" w:type="dxa"/>
              <w:left w:w="100" w:type="dxa"/>
              <w:bottom w:w="80" w:type="dxa"/>
              <w:right w:w="100" w:type="dxa"/>
            </w:tcMar>
            <w:vAlign w:val="center"/>
          </w:tcPr>
          <w:p w14:paraId="38034CA0" w14:textId="77777777" w:rsidR="00100DE9" w:rsidRPr="00CD034E" w:rsidRDefault="00A408A4">
            <w:r w:rsidRPr="00CD034E">
              <w:t>Flexibility &amp; Change Management</w:t>
            </w:r>
          </w:p>
        </w:tc>
        <w:tc>
          <w:tcPr>
            <w:tcW w:w="2000" w:type="dxa"/>
            <w:shd w:val="clear" w:color="auto" w:fill="F5F5F5"/>
            <w:tcMar>
              <w:top w:w="80" w:type="dxa"/>
              <w:left w:w="100" w:type="dxa"/>
              <w:bottom w:w="80" w:type="dxa"/>
              <w:right w:w="100" w:type="dxa"/>
            </w:tcMar>
            <w:vAlign w:val="center"/>
          </w:tcPr>
          <w:p w14:paraId="719F6EEA" w14:textId="77777777" w:rsidR="00100DE9" w:rsidRPr="00CD034E" w:rsidRDefault="00A408A4">
            <w:r w:rsidRPr="00CD034E">
              <w:t>30%</w:t>
            </w:r>
          </w:p>
        </w:tc>
        <w:tc>
          <w:tcPr>
            <w:tcW w:w="1850" w:type="dxa"/>
            <w:shd w:val="clear" w:color="auto" w:fill="F5F5F5"/>
            <w:tcMar>
              <w:top w:w="80" w:type="dxa"/>
              <w:left w:w="100" w:type="dxa"/>
              <w:bottom w:w="80" w:type="dxa"/>
              <w:right w:w="100" w:type="dxa"/>
            </w:tcMar>
            <w:vAlign w:val="center"/>
          </w:tcPr>
          <w:p w14:paraId="0C6EEA37" w14:textId="77777777" w:rsidR="00100DE9" w:rsidRPr="00CD034E" w:rsidRDefault="00A408A4">
            <w:r w:rsidRPr="00CD034E">
              <w:t>300</w:t>
            </w:r>
          </w:p>
        </w:tc>
      </w:tr>
      <w:tr w:rsidR="00100DE9" w:rsidRPr="00CD034E" w14:paraId="138E2535" w14:textId="77777777">
        <w:tc>
          <w:tcPr>
            <w:tcW w:w="5500" w:type="dxa"/>
            <w:tcMar>
              <w:top w:w="80" w:type="dxa"/>
              <w:left w:w="100" w:type="dxa"/>
              <w:bottom w:w="80" w:type="dxa"/>
              <w:right w:w="100" w:type="dxa"/>
            </w:tcMar>
            <w:vAlign w:val="center"/>
          </w:tcPr>
          <w:p w14:paraId="4C2C0096" w14:textId="77777777" w:rsidR="00100DE9" w:rsidRPr="00CD034E" w:rsidRDefault="00A408A4">
            <w:r w:rsidRPr="00CD034E">
              <w:t>Cost &amp; Value</w:t>
            </w:r>
          </w:p>
        </w:tc>
        <w:tc>
          <w:tcPr>
            <w:tcW w:w="2000" w:type="dxa"/>
            <w:tcMar>
              <w:top w:w="80" w:type="dxa"/>
              <w:left w:w="100" w:type="dxa"/>
              <w:bottom w:w="80" w:type="dxa"/>
              <w:right w:w="100" w:type="dxa"/>
            </w:tcMar>
            <w:vAlign w:val="center"/>
          </w:tcPr>
          <w:p w14:paraId="4F1F512F" w14:textId="77777777" w:rsidR="00100DE9" w:rsidRPr="00CD034E" w:rsidRDefault="00A408A4">
            <w:r w:rsidRPr="00CD034E">
              <w:t>25%</w:t>
            </w:r>
          </w:p>
        </w:tc>
        <w:tc>
          <w:tcPr>
            <w:tcW w:w="1850" w:type="dxa"/>
            <w:tcMar>
              <w:top w:w="80" w:type="dxa"/>
              <w:left w:w="100" w:type="dxa"/>
              <w:bottom w:w="80" w:type="dxa"/>
              <w:right w:w="100" w:type="dxa"/>
            </w:tcMar>
            <w:vAlign w:val="center"/>
          </w:tcPr>
          <w:p w14:paraId="7F7A57FB" w14:textId="77777777" w:rsidR="00100DE9" w:rsidRPr="00CD034E" w:rsidRDefault="00A408A4">
            <w:r w:rsidRPr="00CD034E">
              <w:t>250</w:t>
            </w:r>
          </w:p>
        </w:tc>
      </w:tr>
      <w:tr w:rsidR="00100DE9" w:rsidRPr="00CD034E" w14:paraId="38751E43" w14:textId="77777777">
        <w:tc>
          <w:tcPr>
            <w:tcW w:w="5500" w:type="dxa"/>
            <w:shd w:val="clear" w:color="auto" w:fill="F5F5F5"/>
            <w:tcMar>
              <w:top w:w="80" w:type="dxa"/>
              <w:left w:w="100" w:type="dxa"/>
              <w:bottom w:w="80" w:type="dxa"/>
              <w:right w:w="100" w:type="dxa"/>
            </w:tcMar>
            <w:vAlign w:val="center"/>
          </w:tcPr>
          <w:p w14:paraId="4F3620D2" w14:textId="77777777" w:rsidR="00100DE9" w:rsidRPr="00CD034E" w:rsidRDefault="00A408A4">
            <w:r w:rsidRPr="00CD034E">
              <w:t>Track Record, Case Studies &amp; References</w:t>
            </w:r>
          </w:p>
        </w:tc>
        <w:tc>
          <w:tcPr>
            <w:tcW w:w="2000" w:type="dxa"/>
            <w:shd w:val="clear" w:color="auto" w:fill="F5F5F5"/>
            <w:tcMar>
              <w:top w:w="80" w:type="dxa"/>
              <w:left w:w="100" w:type="dxa"/>
              <w:bottom w:w="80" w:type="dxa"/>
              <w:right w:w="100" w:type="dxa"/>
            </w:tcMar>
            <w:vAlign w:val="center"/>
          </w:tcPr>
          <w:p w14:paraId="6A95E577" w14:textId="77777777" w:rsidR="00100DE9" w:rsidRPr="00CD034E" w:rsidRDefault="00A408A4">
            <w:r w:rsidRPr="00CD034E">
              <w:t>10%</w:t>
            </w:r>
          </w:p>
        </w:tc>
        <w:tc>
          <w:tcPr>
            <w:tcW w:w="1850" w:type="dxa"/>
            <w:shd w:val="clear" w:color="auto" w:fill="F5F5F5"/>
            <w:tcMar>
              <w:top w:w="80" w:type="dxa"/>
              <w:left w:w="100" w:type="dxa"/>
              <w:bottom w:w="80" w:type="dxa"/>
              <w:right w:w="100" w:type="dxa"/>
            </w:tcMar>
            <w:vAlign w:val="center"/>
          </w:tcPr>
          <w:p w14:paraId="1390E385" w14:textId="77777777" w:rsidR="00100DE9" w:rsidRPr="00CD034E" w:rsidRDefault="00A408A4">
            <w:r w:rsidRPr="00CD034E">
              <w:t>100</w:t>
            </w:r>
          </w:p>
        </w:tc>
      </w:tr>
      <w:tr w:rsidR="00100DE9" w:rsidRPr="00CD034E" w14:paraId="3FA4B105" w14:textId="77777777">
        <w:tc>
          <w:tcPr>
            <w:tcW w:w="5500" w:type="dxa"/>
            <w:tcMar>
              <w:top w:w="80" w:type="dxa"/>
              <w:left w:w="100" w:type="dxa"/>
              <w:bottom w:w="80" w:type="dxa"/>
              <w:right w:w="100" w:type="dxa"/>
            </w:tcMar>
            <w:vAlign w:val="center"/>
          </w:tcPr>
          <w:p w14:paraId="0016CBFB" w14:textId="77777777" w:rsidR="00100DE9" w:rsidRPr="00CD034E" w:rsidRDefault="00A408A4">
            <w:r w:rsidRPr="00CD034E">
              <w:t>Total</w:t>
            </w:r>
          </w:p>
        </w:tc>
        <w:tc>
          <w:tcPr>
            <w:tcW w:w="2000" w:type="dxa"/>
            <w:tcMar>
              <w:top w:w="80" w:type="dxa"/>
              <w:left w:w="100" w:type="dxa"/>
              <w:bottom w:w="80" w:type="dxa"/>
              <w:right w:w="100" w:type="dxa"/>
            </w:tcMar>
            <w:vAlign w:val="center"/>
          </w:tcPr>
          <w:p w14:paraId="059C1548" w14:textId="77777777" w:rsidR="00100DE9" w:rsidRPr="00CD034E" w:rsidRDefault="00A408A4">
            <w:r w:rsidRPr="00CD034E">
              <w:t>100%</w:t>
            </w:r>
          </w:p>
        </w:tc>
        <w:tc>
          <w:tcPr>
            <w:tcW w:w="1850" w:type="dxa"/>
            <w:tcMar>
              <w:top w:w="80" w:type="dxa"/>
              <w:left w:w="100" w:type="dxa"/>
              <w:bottom w:w="80" w:type="dxa"/>
              <w:right w:w="100" w:type="dxa"/>
            </w:tcMar>
            <w:vAlign w:val="center"/>
          </w:tcPr>
          <w:p w14:paraId="4FE92E5E" w14:textId="77777777" w:rsidR="00100DE9" w:rsidRPr="00CD034E" w:rsidRDefault="00A408A4">
            <w:r w:rsidRPr="00CD034E">
              <w:t>1000</w:t>
            </w:r>
          </w:p>
        </w:tc>
      </w:tr>
    </w:tbl>
    <w:p w14:paraId="2C27F186" w14:textId="77777777" w:rsidR="00100DE9" w:rsidRPr="00CD034E" w:rsidRDefault="00100DE9">
      <w:pPr>
        <w:spacing w:after="200"/>
      </w:pPr>
    </w:p>
    <w:p w14:paraId="136959F4" w14:textId="77777777" w:rsidR="00100DE9" w:rsidRPr="00CD034E" w:rsidRDefault="00A408A4">
      <w:pPr>
        <w:spacing w:after="160"/>
      </w:pPr>
      <w:r w:rsidRPr="00CD034E">
        <w:t>Within the Technical Capability category, particular weight is placed on in silico sequence optimisation/codon optimisation and on the historical performance data requested for gene synthesis, expression, BLI, and SPR. Within the Flexibility category, particular weight is placed on the six worked examples of prior flexibility, as genuine historical evidence of how the vendor has accommodated change on comparable programmes, including at least one example of an unforeseen requirement that fell outside the scope of Questions 1–4. Within the Cost &amp; Value category, particular weight is placed on the number of antibodies delivered within the €375,000 cap above the programme minimum of 500.</w:t>
      </w:r>
    </w:p>
    <w:p w14:paraId="4BACA8ED" w14:textId="77777777" w:rsidR="00100DE9" w:rsidRPr="00CD034E" w:rsidRDefault="00A408A4">
      <w:pPr>
        <w:pStyle w:val="Heading1"/>
        <w:spacing w:before="320" w:after="160"/>
      </w:pPr>
      <w:r w:rsidRPr="00CD034E">
        <w:t>5. Confidentiality, Intellectual Property, and Data Protection</w:t>
      </w:r>
    </w:p>
    <w:p w14:paraId="39D96A49" w14:textId="77777777" w:rsidR="00100DE9" w:rsidRPr="00CD034E" w:rsidRDefault="00A408A4">
      <w:pPr>
        <w:spacing w:after="160"/>
      </w:pPr>
      <w:r w:rsidRPr="00CD034E">
        <w:t xml:space="preserve">The antibody sequences, constructs, and data associated with this programme are proprietary and commercially sensitive to the issuing organisation. Vendors must treat this RFT, the accompanying workbook, and all information exchanged during this process as strictly </w:t>
      </w:r>
      <w:proofErr w:type="gramStart"/>
      <w:r w:rsidRPr="00CD034E">
        <w:t>confidential, and</w:t>
      </w:r>
      <w:proofErr w:type="gramEnd"/>
      <w:r w:rsidRPr="00CD034E">
        <w:t xml:space="preserve"> must not disclose them to any third party without prior written consent.</w:t>
      </w:r>
    </w:p>
    <w:p w14:paraId="64CF325B" w14:textId="77777777" w:rsidR="00100DE9" w:rsidRPr="00CD034E" w:rsidRDefault="00A408A4">
      <w:pPr>
        <w:pStyle w:val="ListParagraph"/>
        <w:numPr>
          <w:ilvl w:val="0"/>
          <w:numId w:val="3"/>
        </w:numPr>
        <w:spacing w:after="80"/>
      </w:pPr>
      <w:r w:rsidRPr="00CD034E">
        <w:t>All antibody sequences, constructs, and data generated under this programme (including intermediate NA sequences, expression data, and BLI/SPR results) shall remain the sole intellectual property of the consortium partner designated as the IP owner, with no ownership rights retained by the vendor.</w:t>
      </w:r>
    </w:p>
    <w:p w14:paraId="7BCBC3F7" w14:textId="77777777" w:rsidR="00100DE9" w:rsidRPr="00CD034E" w:rsidRDefault="00A408A4">
      <w:pPr>
        <w:pStyle w:val="ListParagraph"/>
        <w:numPr>
          <w:ilvl w:val="0"/>
          <w:numId w:val="3"/>
        </w:numPr>
        <w:spacing w:after="80"/>
      </w:pPr>
      <w:r w:rsidRPr="00CD034E">
        <w:t>Vendors must confirm their data protection and information security practices for sequence and data handling (storage, transmission, and access control), in their response to the corresponding Requirements tab row.</w:t>
      </w:r>
    </w:p>
    <w:p w14:paraId="5329E50C" w14:textId="77777777" w:rsidR="00100DE9" w:rsidRPr="00CD034E" w:rsidRDefault="00A408A4">
      <w:pPr>
        <w:pStyle w:val="ListParagraph"/>
        <w:numPr>
          <w:ilvl w:val="0"/>
          <w:numId w:val="3"/>
        </w:numPr>
        <w:spacing w:after="80"/>
      </w:pPr>
      <w:r w:rsidRPr="00CD034E">
        <w:t>Vendors must disclose whether any part of the proposed workflow would be subcontracted to a third party, and if so, confirm that equivalent confidentiality and IP obligations would be imposed on that subcontractor.</w:t>
      </w:r>
    </w:p>
    <w:p w14:paraId="0944E331" w14:textId="77777777" w:rsidR="00100DE9" w:rsidRPr="00CD034E" w:rsidRDefault="00A408A4">
      <w:pPr>
        <w:pStyle w:val="ListParagraph"/>
        <w:numPr>
          <w:ilvl w:val="0"/>
          <w:numId w:val="3"/>
        </w:numPr>
        <w:spacing w:after="80"/>
      </w:pPr>
      <w:r w:rsidRPr="00CD034E">
        <w:t>A mutual non-disclosure agreement may be required prior to any exchange of actual antibody sequences or detailed technical discussion beyond this RFT.</w:t>
      </w:r>
    </w:p>
    <w:p w14:paraId="32CC7C82" w14:textId="0CB8185D" w:rsidR="00100DE9" w:rsidRPr="00CD034E" w:rsidRDefault="00A408A4">
      <w:pPr>
        <w:pStyle w:val="ListParagraph"/>
        <w:numPr>
          <w:ilvl w:val="0"/>
          <w:numId w:val="3"/>
        </w:numPr>
        <w:spacing w:after="80"/>
      </w:pPr>
      <w:r w:rsidRPr="00CD034E">
        <w:t xml:space="preserve">At study close-out or contract termination, the vendor must securely return or destroy all sequence and data holdings related to this </w:t>
      </w:r>
      <w:r w:rsidR="000528D3" w:rsidRPr="00CD034E">
        <w:t>programme and</w:t>
      </w:r>
      <w:r w:rsidRPr="00CD034E">
        <w:t xml:space="preserve"> confirm this in writing.</w:t>
      </w:r>
    </w:p>
    <w:p w14:paraId="69D1596C" w14:textId="77777777" w:rsidR="00100DE9" w:rsidRPr="00CD034E" w:rsidRDefault="00A408A4">
      <w:pPr>
        <w:spacing w:after="160"/>
      </w:pPr>
      <w:r w:rsidRPr="00CD034E">
        <w:t>Vendors should provide their detailed response to these points against the “IP, Confidentiality, and Data Protection” row of the Requirements tab.</w:t>
      </w:r>
    </w:p>
    <w:p w14:paraId="1F60680B" w14:textId="77777777" w:rsidR="00100DE9" w:rsidRPr="00CD034E" w:rsidRDefault="00A408A4">
      <w:pPr>
        <w:pStyle w:val="Heading1"/>
        <w:spacing w:before="320" w:after="160"/>
      </w:pPr>
      <w:r w:rsidRPr="00CD034E">
        <w:t>6. Submission Requirements and Logistics</w:t>
      </w:r>
    </w:p>
    <w:p w14:paraId="287FA45D" w14:textId="5BA674B2" w:rsidR="00100DE9" w:rsidRPr="00CD034E" w:rsidRDefault="6855841A">
      <w:pPr>
        <w:spacing w:after="200"/>
      </w:pPr>
      <w:r w:rsidRPr="00CD034E">
        <w:t>Tender Submissions must include at a minimum:</w:t>
      </w:r>
    </w:p>
    <w:p w14:paraId="33EE8888" w14:textId="215840A4" w:rsidR="6855841A" w:rsidRPr="00CD034E" w:rsidRDefault="6855841A" w:rsidP="1D7B4B6F">
      <w:pPr>
        <w:pStyle w:val="ListParagraph"/>
        <w:numPr>
          <w:ilvl w:val="0"/>
          <w:numId w:val="2"/>
        </w:numPr>
      </w:pPr>
      <w:r w:rsidRPr="00CD034E">
        <w:t xml:space="preserve">The required documentation to demonstrate the Tenderer’s economic and financial standing (Selection Criteria 3.2.A of </w:t>
      </w:r>
      <w:proofErr w:type="spellStart"/>
      <w:r w:rsidRPr="00CD034E">
        <w:t>CfT</w:t>
      </w:r>
      <w:proofErr w:type="spellEnd"/>
      <w:r w:rsidRPr="00CD034E">
        <w:t xml:space="preserve"> Document).</w:t>
      </w:r>
    </w:p>
    <w:p w14:paraId="3DE45BB1" w14:textId="2655C64C" w:rsidR="6855841A" w:rsidRPr="00CD034E" w:rsidRDefault="6855841A" w:rsidP="1D7B4B6F">
      <w:pPr>
        <w:pStyle w:val="ListParagraph"/>
        <w:numPr>
          <w:ilvl w:val="0"/>
          <w:numId w:val="2"/>
        </w:numPr>
      </w:pPr>
      <w:r w:rsidRPr="00CD034E">
        <w:t xml:space="preserve">The required documentation to demonstrate the Tenderer’s technical competence (Selection Criteria 3.2.B of </w:t>
      </w:r>
      <w:proofErr w:type="spellStart"/>
      <w:r w:rsidRPr="00CD034E">
        <w:t>CfT</w:t>
      </w:r>
      <w:proofErr w:type="spellEnd"/>
      <w:r w:rsidRPr="00CD034E">
        <w:t xml:space="preserve"> Document).</w:t>
      </w:r>
    </w:p>
    <w:p w14:paraId="0C238D98" w14:textId="72A7CFBE" w:rsidR="7729C361" w:rsidRPr="00CD034E" w:rsidRDefault="7729C361" w:rsidP="1D7B4B6F">
      <w:pPr>
        <w:pStyle w:val="ListParagraph"/>
        <w:numPr>
          <w:ilvl w:val="0"/>
          <w:numId w:val="2"/>
        </w:numPr>
      </w:pPr>
      <w:r w:rsidRPr="00CD034E">
        <w:t xml:space="preserve">The required documentation to demonstrate the Tenderer’s </w:t>
      </w:r>
      <w:r w:rsidR="0149D7B1" w:rsidRPr="00CD034E">
        <w:t xml:space="preserve">Insurance Capacity (2.21 of the </w:t>
      </w:r>
      <w:proofErr w:type="spellStart"/>
      <w:r w:rsidR="0149D7B1" w:rsidRPr="00CD034E">
        <w:t>CfT</w:t>
      </w:r>
      <w:proofErr w:type="spellEnd"/>
      <w:r w:rsidR="0149D7B1" w:rsidRPr="00CD034E">
        <w:t xml:space="preserve"> Document).</w:t>
      </w:r>
    </w:p>
    <w:p w14:paraId="7265A0A8" w14:textId="2B415A9E" w:rsidR="0149D7B1" w:rsidRPr="00CD034E" w:rsidRDefault="0149D7B1" w:rsidP="1D7B4B6F">
      <w:pPr>
        <w:pStyle w:val="ListParagraph"/>
        <w:numPr>
          <w:ilvl w:val="0"/>
          <w:numId w:val="2"/>
        </w:numPr>
      </w:pPr>
      <w:r w:rsidRPr="00CD034E">
        <w:lastRenderedPageBreak/>
        <w:t xml:space="preserve">Completed </w:t>
      </w:r>
      <w:r w:rsidR="22041AA6" w:rsidRPr="00CD034E">
        <w:t xml:space="preserve">“NIBRT </w:t>
      </w:r>
      <w:proofErr w:type="spellStart"/>
      <w:r w:rsidR="22041AA6" w:rsidRPr="00CD034E">
        <w:t>CfT</w:t>
      </w:r>
      <w:proofErr w:type="spellEnd"/>
      <w:r w:rsidR="22041AA6" w:rsidRPr="00CD034E">
        <w:t xml:space="preserve"> Transient Antibody Production Technical Requirements and Pricing Document”.</w:t>
      </w:r>
    </w:p>
    <w:p w14:paraId="7F89A448" w14:textId="6D8F2972" w:rsidR="22041AA6" w:rsidRPr="00CD034E" w:rsidRDefault="22041AA6" w:rsidP="1D7B4B6F">
      <w:pPr>
        <w:pStyle w:val="ListParagraph"/>
        <w:numPr>
          <w:ilvl w:val="0"/>
          <w:numId w:val="2"/>
        </w:numPr>
      </w:pPr>
      <w:r w:rsidRPr="00CD034E">
        <w:t xml:space="preserve">Completed Tenderer’s Statement in Appendix 3 of the </w:t>
      </w:r>
      <w:proofErr w:type="spellStart"/>
      <w:r w:rsidRPr="00CD034E">
        <w:t>CfT</w:t>
      </w:r>
      <w:proofErr w:type="spellEnd"/>
      <w:r w:rsidRPr="00CD034E">
        <w:t xml:space="preserve"> Document.</w:t>
      </w:r>
    </w:p>
    <w:p w14:paraId="5A24A6FE" w14:textId="591D94D9" w:rsidR="22041AA6" w:rsidRPr="00CD034E" w:rsidRDefault="22041AA6" w:rsidP="1D7B4B6F">
      <w:pPr>
        <w:pStyle w:val="ListParagraph"/>
        <w:numPr>
          <w:ilvl w:val="0"/>
          <w:numId w:val="2"/>
        </w:numPr>
      </w:pPr>
      <w:r w:rsidRPr="00CD034E">
        <w:t xml:space="preserve">Completed Declaration as to Personal Circumstances of Tender in Appendix 4 of the </w:t>
      </w:r>
      <w:proofErr w:type="spellStart"/>
      <w:r w:rsidRPr="00CD034E">
        <w:t>CfT</w:t>
      </w:r>
      <w:proofErr w:type="spellEnd"/>
      <w:r w:rsidRPr="00CD034E">
        <w:t xml:space="preserve"> Document.</w:t>
      </w:r>
    </w:p>
    <w:p w14:paraId="43D15070" w14:textId="77777777" w:rsidR="00100DE9" w:rsidRDefault="00A408A4">
      <w:pPr>
        <w:spacing w:after="160"/>
      </w:pPr>
      <w:r w:rsidRPr="00CD034E">
        <w:rPr>
          <w:i/>
          <w:iCs/>
          <w:color w:val="555555"/>
        </w:rPr>
        <w:t>Please direct all questions regarding this RFT to the point of contact listed on the cover page. Vendors should not contact other staff of the issuing organisation regarding this tender.</w:t>
      </w:r>
    </w:p>
    <w:sectPr w:rsidR="00100DE9">
      <w:footerReference w:type="even" r:id="rId12"/>
      <w:footerReference w:type="default" r:id="rId13"/>
      <w:footerReference w:type="firs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52E25" w14:textId="77777777" w:rsidR="00BC2FB3" w:rsidRDefault="00BC2FB3" w:rsidP="0057052F">
      <w:r>
        <w:separator/>
      </w:r>
    </w:p>
  </w:endnote>
  <w:endnote w:type="continuationSeparator" w:id="0">
    <w:p w14:paraId="24B1B781" w14:textId="77777777" w:rsidR="00BC2FB3" w:rsidRDefault="00BC2FB3" w:rsidP="00570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8897" w14:textId="782DC2FB" w:rsidR="0057052F" w:rsidRDefault="0057052F">
    <w:pPr>
      <w:pStyle w:val="Footer"/>
    </w:pPr>
    <w:r>
      <w:rPr>
        <w:noProof/>
      </w:rPr>
      <mc:AlternateContent>
        <mc:Choice Requires="wps">
          <w:drawing>
            <wp:anchor distT="0" distB="0" distL="0" distR="0" simplePos="0" relativeHeight="251659264" behindDoc="0" locked="0" layoutInCell="1" allowOverlap="1" wp14:anchorId="0E9E1A76" wp14:editId="5AAF1CB1">
              <wp:simplePos x="635" y="635"/>
              <wp:positionH relativeFrom="page">
                <wp:align>left</wp:align>
              </wp:positionH>
              <wp:positionV relativeFrom="page">
                <wp:align>bottom</wp:align>
              </wp:positionV>
              <wp:extent cx="969010" cy="283210"/>
              <wp:effectExtent l="0" t="0" r="2540" b="0"/>
              <wp:wrapNone/>
              <wp:docPr id="1922054838" name="Text Box 2" descr="NIBRT Protected Data">
                <a:extLst xmlns:a="http://schemas.openxmlformats.org/drawingml/2006/main">
                  <a:ext uri="{FF2B5EF4-FFF2-40B4-BE49-F238E27FC236}">
                    <a16:creationId xmlns:a16="http://schemas.microsoft.com/office/drawing/2014/main" id="{EFBEDA2E-5456-44EC-BB8A-95C4CE48D53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69010" cy="283210"/>
                      </a:xfrm>
                      <a:prstGeom prst="rect">
                        <a:avLst/>
                      </a:prstGeom>
                      <a:noFill/>
                      <a:ln>
                        <a:noFill/>
                      </a:ln>
                    </wps:spPr>
                    <wps:txbx>
                      <w:txbxContent>
                        <w:p w14:paraId="135AE0DA" w14:textId="2070B9A7" w:rsidR="0057052F" w:rsidRPr="0057052F" w:rsidRDefault="0057052F" w:rsidP="0057052F">
                          <w:pPr>
                            <w:rPr>
                              <w:rFonts w:ascii="Aptos" w:eastAsia="Aptos" w:hAnsi="Aptos" w:cs="Aptos"/>
                              <w:noProof/>
                              <w:color w:val="0000FF"/>
                              <w:sz w:val="12"/>
                              <w:szCs w:val="12"/>
                            </w:rPr>
                          </w:pPr>
                          <w:r w:rsidRPr="0057052F">
                            <w:rPr>
                              <w:rFonts w:ascii="Aptos" w:eastAsia="Aptos" w:hAnsi="Aptos" w:cs="Aptos"/>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E9E1A76" id="_x0000_t202" coordsize="21600,21600" o:spt="202" path="m,l,21600r21600,l21600,xe">
              <v:stroke joinstyle="miter"/>
              <v:path gradientshapeok="t" o:connecttype="rect"/>
            </v:shapetype>
            <v:shape id="Text Box 2" o:spid="_x0000_s1026" type="#_x0000_t202" alt="NIBRT Protected Data" style="position:absolute;margin-left:0;margin-top:0;width:76.3pt;height:22.3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" filled="f" stroked="f">
              <v:textbox style="mso-fit-shape-to-text:t" inset="20pt,0,0,15pt">
                <w:txbxContent>
                  <w:p w14:paraId="135AE0DA" w14:textId="2070B9A7" w:rsidR="0057052F" w:rsidRPr="0057052F" w:rsidRDefault="0057052F" w:rsidP="0057052F">
                    <w:pPr>
                      <w:rPr>
                        <w:rFonts w:ascii="Aptos" w:eastAsia="Aptos" w:hAnsi="Aptos" w:cs="Aptos"/>
                        <w:noProof/>
                        <w:color w:val="0000FF"/>
                        <w:sz w:val="12"/>
                        <w:szCs w:val="12"/>
                      </w:rPr>
                    </w:pPr>
                    <w:r w:rsidRPr="0057052F">
                      <w:rPr>
                        <w:rFonts w:ascii="Aptos" w:eastAsia="Aptos" w:hAnsi="Aptos" w:cs="Aptos"/>
                        <w:noProof/>
                        <w:color w:val="0000FF"/>
                        <w:sz w:val="12"/>
                        <w:szCs w:val="12"/>
                      </w:rPr>
                      <w:t>NIBRT Protected Data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AE1E8" w14:textId="334FAA25" w:rsidR="0057052F" w:rsidRDefault="0057052F">
    <w:pPr>
      <w:pStyle w:val="Footer"/>
    </w:pPr>
    <w:r>
      <w:rPr>
        <w:noProof/>
      </w:rPr>
      <mc:AlternateContent>
        <mc:Choice Requires="wps">
          <w:drawing>
            <wp:anchor distT="0" distB="0" distL="0" distR="0" simplePos="0" relativeHeight="251660288" behindDoc="0" locked="0" layoutInCell="1" allowOverlap="1" wp14:anchorId="123F0AD0" wp14:editId="655BA108">
              <wp:simplePos x="914400" y="10096500"/>
              <wp:positionH relativeFrom="page">
                <wp:align>left</wp:align>
              </wp:positionH>
              <wp:positionV relativeFrom="page">
                <wp:align>bottom</wp:align>
              </wp:positionV>
              <wp:extent cx="969010" cy="283210"/>
              <wp:effectExtent l="0" t="0" r="2540" b="0"/>
              <wp:wrapNone/>
              <wp:docPr id="900975615" name="Text Box 3" descr="NIBRT Protected Data">
                <a:extLst xmlns:a="http://schemas.openxmlformats.org/drawingml/2006/main">
                  <a:ext uri="{FF2B5EF4-FFF2-40B4-BE49-F238E27FC236}">
                    <a16:creationId xmlns:a16="http://schemas.microsoft.com/office/drawing/2014/main" id="{F59B0D1E-8F80-4496-AC87-8FB5F12A488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69010" cy="283210"/>
                      </a:xfrm>
                      <a:prstGeom prst="rect">
                        <a:avLst/>
                      </a:prstGeom>
                      <a:noFill/>
                      <a:ln>
                        <a:noFill/>
                      </a:ln>
                    </wps:spPr>
                    <wps:txbx>
                      <w:txbxContent>
                        <w:p w14:paraId="632A32F4" w14:textId="64F1A842" w:rsidR="0057052F" w:rsidRPr="0057052F" w:rsidRDefault="0057052F" w:rsidP="0057052F">
                          <w:pPr>
                            <w:rPr>
                              <w:rFonts w:ascii="Aptos" w:eastAsia="Aptos" w:hAnsi="Aptos" w:cs="Aptos"/>
                              <w:noProof/>
                              <w:color w:val="0000FF"/>
                              <w:sz w:val="12"/>
                              <w:szCs w:val="12"/>
                            </w:rPr>
                          </w:pPr>
                          <w:r w:rsidRPr="0057052F">
                            <w:rPr>
                              <w:rFonts w:ascii="Aptos" w:eastAsia="Aptos" w:hAnsi="Aptos" w:cs="Aptos"/>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23F0AD0" id="_x0000_t202" coordsize="21600,21600" o:spt="202" path="m,l,21600r21600,l21600,xe">
              <v:stroke joinstyle="miter"/>
              <v:path gradientshapeok="t" o:connecttype="rect"/>
            </v:shapetype>
            <v:shape id="Text Box 3" o:spid="_x0000_s1027" type="#_x0000_t202" alt="NIBRT Protected Data" style="position:absolute;margin-left:0;margin-top:0;width:76.3pt;height:22.3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" filled="f" stroked="f">
              <v:textbox style="mso-fit-shape-to-text:t" inset="20pt,0,0,15pt">
                <w:txbxContent>
                  <w:p w14:paraId="632A32F4" w14:textId="64F1A842" w:rsidR="0057052F" w:rsidRPr="0057052F" w:rsidRDefault="0057052F" w:rsidP="0057052F">
                    <w:pPr>
                      <w:rPr>
                        <w:rFonts w:ascii="Aptos" w:eastAsia="Aptos" w:hAnsi="Aptos" w:cs="Aptos"/>
                        <w:noProof/>
                        <w:color w:val="0000FF"/>
                        <w:sz w:val="12"/>
                        <w:szCs w:val="12"/>
                      </w:rPr>
                    </w:pPr>
                    <w:r w:rsidRPr="0057052F">
                      <w:rPr>
                        <w:rFonts w:ascii="Aptos" w:eastAsia="Aptos" w:hAnsi="Aptos" w:cs="Aptos"/>
                        <w:noProof/>
                        <w:color w:val="0000FF"/>
                        <w:sz w:val="12"/>
                        <w:szCs w:val="12"/>
                      </w:rPr>
                      <w:t>NIBRT Protected Data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26FE8" w14:textId="00D6BEB7" w:rsidR="0057052F" w:rsidRDefault="0057052F">
    <w:pPr>
      <w:pStyle w:val="Footer"/>
    </w:pPr>
    <w:r>
      <w:rPr>
        <w:noProof/>
      </w:rPr>
      <mc:AlternateContent>
        <mc:Choice Requires="wps">
          <w:drawing>
            <wp:anchor distT="0" distB="0" distL="0" distR="0" simplePos="0" relativeHeight="251658240" behindDoc="0" locked="0" layoutInCell="1" allowOverlap="1" wp14:anchorId="495F34B8" wp14:editId="691CB1C2">
              <wp:simplePos x="635" y="635"/>
              <wp:positionH relativeFrom="page">
                <wp:align>left</wp:align>
              </wp:positionH>
              <wp:positionV relativeFrom="page">
                <wp:align>bottom</wp:align>
              </wp:positionV>
              <wp:extent cx="969010" cy="283210"/>
              <wp:effectExtent l="0" t="0" r="2540" b="0"/>
              <wp:wrapNone/>
              <wp:docPr id="1031896567" name="Text Box 1" descr="NIBRT Protected Data">
                <a:extLst xmlns:a="http://schemas.openxmlformats.org/drawingml/2006/main">
                  <a:ext uri="{FF2B5EF4-FFF2-40B4-BE49-F238E27FC236}">
                    <a16:creationId xmlns:a16="http://schemas.microsoft.com/office/drawing/2014/main" id="{9D47620D-0881-43AB-8228-39334C5AC90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69010" cy="283210"/>
                      </a:xfrm>
                      <a:prstGeom prst="rect">
                        <a:avLst/>
                      </a:prstGeom>
                      <a:noFill/>
                      <a:ln>
                        <a:noFill/>
                      </a:ln>
                    </wps:spPr>
                    <wps:txbx>
                      <w:txbxContent>
                        <w:p w14:paraId="6B10E58B" w14:textId="0242E3AF" w:rsidR="0057052F" w:rsidRPr="0057052F" w:rsidRDefault="0057052F" w:rsidP="0057052F">
                          <w:pPr>
                            <w:rPr>
                              <w:rFonts w:ascii="Aptos" w:eastAsia="Aptos" w:hAnsi="Aptos" w:cs="Aptos"/>
                              <w:noProof/>
                              <w:color w:val="0000FF"/>
                              <w:sz w:val="12"/>
                              <w:szCs w:val="12"/>
                            </w:rPr>
                          </w:pPr>
                          <w:r w:rsidRPr="0057052F">
                            <w:rPr>
                              <w:rFonts w:ascii="Aptos" w:eastAsia="Aptos" w:hAnsi="Aptos" w:cs="Aptos"/>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5F34B8" id="_x0000_t202" coordsize="21600,21600" o:spt="202" path="m,l,21600r21600,l21600,xe">
              <v:stroke joinstyle="miter"/>
              <v:path gradientshapeok="t" o:connecttype="rect"/>
            </v:shapetype>
            <v:shape id="Text Box 1" o:spid="_x0000_s1028" type="#_x0000_t202" alt="NIBRT Protected Data" style="position:absolute;margin-left:0;margin-top:0;width:76.3pt;height:22.3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" filled="f" stroked="f">
              <v:textbox style="mso-fit-shape-to-text:t" inset="20pt,0,0,15pt">
                <w:txbxContent>
                  <w:p w14:paraId="6B10E58B" w14:textId="0242E3AF" w:rsidR="0057052F" w:rsidRPr="0057052F" w:rsidRDefault="0057052F" w:rsidP="0057052F">
                    <w:pPr>
                      <w:rPr>
                        <w:rFonts w:ascii="Aptos" w:eastAsia="Aptos" w:hAnsi="Aptos" w:cs="Aptos"/>
                        <w:noProof/>
                        <w:color w:val="0000FF"/>
                        <w:sz w:val="12"/>
                        <w:szCs w:val="12"/>
                      </w:rPr>
                    </w:pPr>
                    <w:r w:rsidRPr="0057052F">
                      <w:rPr>
                        <w:rFonts w:ascii="Aptos" w:eastAsia="Aptos" w:hAnsi="Aptos" w:cs="Aptos"/>
                        <w:noProof/>
                        <w:color w:val="0000FF"/>
                        <w:sz w:val="12"/>
                        <w:szCs w:val="12"/>
                      </w:rPr>
                      <w:t>NIBRT Protected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FE71E" w14:textId="77777777" w:rsidR="00BC2FB3" w:rsidRDefault="00BC2FB3" w:rsidP="0057052F">
      <w:r>
        <w:separator/>
      </w:r>
    </w:p>
  </w:footnote>
  <w:footnote w:type="continuationSeparator" w:id="0">
    <w:p w14:paraId="38D454F0" w14:textId="77777777" w:rsidR="00BC2FB3" w:rsidRDefault="00BC2FB3" w:rsidP="005705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3C2B"/>
    <w:multiLevelType w:val="hybridMultilevel"/>
    <w:tmpl w:val="0CB85E50"/>
    <w:lvl w:ilvl="0" w:tplc="BF467324">
      <w:start w:val="1"/>
      <w:numFmt w:val="decimal"/>
      <w:lvlText w:val="%1."/>
      <w:lvlJc w:val="left"/>
      <w:pPr>
        <w:ind w:left="420" w:hanging="260"/>
      </w:pPr>
    </w:lvl>
    <w:lvl w:ilvl="1" w:tplc="9D4E3908">
      <w:numFmt w:val="decimal"/>
      <w:lvlText w:val=""/>
      <w:lvlJc w:val="left"/>
    </w:lvl>
    <w:lvl w:ilvl="2" w:tplc="3AC27E44">
      <w:numFmt w:val="decimal"/>
      <w:lvlText w:val=""/>
      <w:lvlJc w:val="left"/>
    </w:lvl>
    <w:lvl w:ilvl="3" w:tplc="5E742000">
      <w:numFmt w:val="decimal"/>
      <w:lvlText w:val=""/>
      <w:lvlJc w:val="left"/>
    </w:lvl>
    <w:lvl w:ilvl="4" w:tplc="200491BE">
      <w:numFmt w:val="decimal"/>
      <w:lvlText w:val=""/>
      <w:lvlJc w:val="left"/>
    </w:lvl>
    <w:lvl w:ilvl="5" w:tplc="B8564E04">
      <w:numFmt w:val="decimal"/>
      <w:lvlText w:val=""/>
      <w:lvlJc w:val="left"/>
    </w:lvl>
    <w:lvl w:ilvl="6" w:tplc="40D21DCE">
      <w:numFmt w:val="decimal"/>
      <w:lvlText w:val=""/>
      <w:lvlJc w:val="left"/>
    </w:lvl>
    <w:lvl w:ilvl="7" w:tplc="B6AEBCE4">
      <w:numFmt w:val="decimal"/>
      <w:lvlText w:val=""/>
      <w:lvlJc w:val="left"/>
    </w:lvl>
    <w:lvl w:ilvl="8" w:tplc="3026A356">
      <w:numFmt w:val="decimal"/>
      <w:lvlText w:val=""/>
      <w:lvlJc w:val="left"/>
    </w:lvl>
  </w:abstractNum>
  <w:abstractNum w:abstractNumId="1" w15:restartNumberingAfterBreak="0">
    <w:nsid w:val="232A1A27"/>
    <w:multiLevelType w:val="hybridMultilevel"/>
    <w:tmpl w:val="FFFFFFFF"/>
    <w:lvl w:ilvl="0" w:tplc="67522924">
      <w:start w:val="1"/>
      <w:numFmt w:val="decimal"/>
      <w:lvlText w:val="%1."/>
      <w:lvlJc w:val="left"/>
      <w:pPr>
        <w:ind w:left="720" w:hanging="360"/>
      </w:pPr>
    </w:lvl>
    <w:lvl w:ilvl="1" w:tplc="A2262ADA">
      <w:start w:val="1"/>
      <w:numFmt w:val="lowerLetter"/>
      <w:lvlText w:val="%2."/>
      <w:lvlJc w:val="left"/>
      <w:pPr>
        <w:ind w:left="1440" w:hanging="360"/>
      </w:pPr>
    </w:lvl>
    <w:lvl w:ilvl="2" w:tplc="499C3EBE">
      <w:start w:val="1"/>
      <w:numFmt w:val="lowerRoman"/>
      <w:lvlText w:val="%3."/>
      <w:lvlJc w:val="right"/>
      <w:pPr>
        <w:ind w:left="2160" w:hanging="180"/>
      </w:pPr>
    </w:lvl>
    <w:lvl w:ilvl="3" w:tplc="8EE4336A">
      <w:start w:val="1"/>
      <w:numFmt w:val="decimal"/>
      <w:lvlText w:val="%4."/>
      <w:lvlJc w:val="left"/>
      <w:pPr>
        <w:ind w:left="2880" w:hanging="360"/>
      </w:pPr>
    </w:lvl>
    <w:lvl w:ilvl="4" w:tplc="E7CAF320">
      <w:start w:val="1"/>
      <w:numFmt w:val="lowerLetter"/>
      <w:lvlText w:val="%5."/>
      <w:lvlJc w:val="left"/>
      <w:pPr>
        <w:ind w:left="3600" w:hanging="360"/>
      </w:pPr>
    </w:lvl>
    <w:lvl w:ilvl="5" w:tplc="9D5C829E">
      <w:start w:val="1"/>
      <w:numFmt w:val="lowerRoman"/>
      <w:lvlText w:val="%6."/>
      <w:lvlJc w:val="right"/>
      <w:pPr>
        <w:ind w:left="4320" w:hanging="180"/>
      </w:pPr>
    </w:lvl>
    <w:lvl w:ilvl="6" w:tplc="634232BE">
      <w:start w:val="1"/>
      <w:numFmt w:val="decimal"/>
      <w:lvlText w:val="%7."/>
      <w:lvlJc w:val="left"/>
      <w:pPr>
        <w:ind w:left="5040" w:hanging="360"/>
      </w:pPr>
    </w:lvl>
    <w:lvl w:ilvl="7" w:tplc="F18AF776">
      <w:start w:val="1"/>
      <w:numFmt w:val="lowerLetter"/>
      <w:lvlText w:val="%8."/>
      <w:lvlJc w:val="left"/>
      <w:pPr>
        <w:ind w:left="5760" w:hanging="360"/>
      </w:pPr>
    </w:lvl>
    <w:lvl w:ilvl="8" w:tplc="11BCB418">
      <w:start w:val="1"/>
      <w:numFmt w:val="lowerRoman"/>
      <w:lvlText w:val="%9."/>
      <w:lvlJc w:val="right"/>
      <w:pPr>
        <w:ind w:left="6480" w:hanging="180"/>
      </w:pPr>
    </w:lvl>
  </w:abstractNum>
  <w:abstractNum w:abstractNumId="2" w15:restartNumberingAfterBreak="0">
    <w:nsid w:val="72270361"/>
    <w:multiLevelType w:val="hybridMultilevel"/>
    <w:tmpl w:val="8AE4D230"/>
    <w:lvl w:ilvl="0" w:tplc="10D2C146">
      <w:start w:val="1"/>
      <w:numFmt w:val="bullet"/>
      <w:lvlText w:val="•"/>
      <w:lvlJc w:val="left"/>
      <w:pPr>
        <w:ind w:left="420" w:hanging="260"/>
      </w:pPr>
    </w:lvl>
    <w:lvl w:ilvl="1" w:tplc="4CC22D42">
      <w:numFmt w:val="decimal"/>
      <w:lvlText w:val=""/>
      <w:lvlJc w:val="left"/>
    </w:lvl>
    <w:lvl w:ilvl="2" w:tplc="93C8E7AA">
      <w:numFmt w:val="decimal"/>
      <w:lvlText w:val=""/>
      <w:lvlJc w:val="left"/>
    </w:lvl>
    <w:lvl w:ilvl="3" w:tplc="E7DED2BA">
      <w:numFmt w:val="decimal"/>
      <w:lvlText w:val=""/>
      <w:lvlJc w:val="left"/>
    </w:lvl>
    <w:lvl w:ilvl="4" w:tplc="AE5CA38E">
      <w:numFmt w:val="decimal"/>
      <w:lvlText w:val=""/>
      <w:lvlJc w:val="left"/>
    </w:lvl>
    <w:lvl w:ilvl="5" w:tplc="FAB48756">
      <w:numFmt w:val="decimal"/>
      <w:lvlText w:val=""/>
      <w:lvlJc w:val="left"/>
    </w:lvl>
    <w:lvl w:ilvl="6" w:tplc="6FAC7920">
      <w:numFmt w:val="decimal"/>
      <w:lvlText w:val=""/>
      <w:lvlJc w:val="left"/>
    </w:lvl>
    <w:lvl w:ilvl="7" w:tplc="4D88C3C0">
      <w:numFmt w:val="decimal"/>
      <w:lvlText w:val=""/>
      <w:lvlJc w:val="left"/>
    </w:lvl>
    <w:lvl w:ilvl="8" w:tplc="2D14C09A">
      <w:numFmt w:val="decimal"/>
      <w:lvlText w:val=""/>
      <w:lvlJc w:val="left"/>
    </w:lvl>
  </w:abstractNum>
  <w:abstractNum w:abstractNumId="3" w15:restartNumberingAfterBreak="0">
    <w:nsid w:val="76295556"/>
    <w:multiLevelType w:val="hybridMultilevel"/>
    <w:tmpl w:val="F2A65CB2"/>
    <w:lvl w:ilvl="0" w:tplc="9BC8BCE8">
      <w:start w:val="1"/>
      <w:numFmt w:val="bullet"/>
      <w:lvlText w:val="●"/>
      <w:lvlJc w:val="left"/>
      <w:pPr>
        <w:ind w:left="720" w:hanging="360"/>
      </w:pPr>
    </w:lvl>
    <w:lvl w:ilvl="1" w:tplc="AC72FEE0">
      <w:start w:val="1"/>
      <w:numFmt w:val="bullet"/>
      <w:lvlText w:val="○"/>
      <w:lvlJc w:val="left"/>
      <w:pPr>
        <w:ind w:left="1440" w:hanging="360"/>
      </w:pPr>
    </w:lvl>
    <w:lvl w:ilvl="2" w:tplc="9104AC92">
      <w:start w:val="1"/>
      <w:numFmt w:val="bullet"/>
      <w:lvlText w:val="■"/>
      <w:lvlJc w:val="left"/>
      <w:pPr>
        <w:ind w:left="2160" w:hanging="360"/>
      </w:pPr>
    </w:lvl>
    <w:lvl w:ilvl="3" w:tplc="025E1142">
      <w:start w:val="1"/>
      <w:numFmt w:val="bullet"/>
      <w:lvlText w:val="●"/>
      <w:lvlJc w:val="left"/>
      <w:pPr>
        <w:ind w:left="2880" w:hanging="360"/>
      </w:pPr>
    </w:lvl>
    <w:lvl w:ilvl="4" w:tplc="93661D48">
      <w:start w:val="1"/>
      <w:numFmt w:val="bullet"/>
      <w:lvlText w:val="○"/>
      <w:lvlJc w:val="left"/>
      <w:pPr>
        <w:ind w:left="3600" w:hanging="360"/>
      </w:pPr>
    </w:lvl>
    <w:lvl w:ilvl="5" w:tplc="B306657C">
      <w:start w:val="1"/>
      <w:numFmt w:val="bullet"/>
      <w:lvlText w:val="■"/>
      <w:lvlJc w:val="left"/>
      <w:pPr>
        <w:ind w:left="4320" w:hanging="360"/>
      </w:pPr>
    </w:lvl>
    <w:lvl w:ilvl="6" w:tplc="A8740294">
      <w:start w:val="1"/>
      <w:numFmt w:val="bullet"/>
      <w:lvlText w:val="●"/>
      <w:lvlJc w:val="left"/>
      <w:pPr>
        <w:ind w:left="5040" w:hanging="360"/>
      </w:pPr>
    </w:lvl>
    <w:lvl w:ilvl="7" w:tplc="5036A104">
      <w:start w:val="1"/>
      <w:numFmt w:val="bullet"/>
      <w:lvlText w:val="●"/>
      <w:lvlJc w:val="left"/>
      <w:pPr>
        <w:ind w:left="5760" w:hanging="360"/>
      </w:pPr>
    </w:lvl>
    <w:lvl w:ilvl="8" w:tplc="9260D208">
      <w:start w:val="1"/>
      <w:numFmt w:val="bullet"/>
      <w:lvlText w:val="●"/>
      <w:lvlJc w:val="left"/>
      <w:pPr>
        <w:ind w:left="6480" w:hanging="360"/>
      </w:pPr>
    </w:lvl>
  </w:abstractNum>
  <w:num w:numId="1" w16cid:durableId="1600873065">
    <w:abstractNumId w:val="3"/>
    <w:lvlOverride w:ilvl="0">
      <w:startOverride w:val="1"/>
    </w:lvlOverride>
  </w:num>
  <w:num w:numId="2" w16cid:durableId="1650280339">
    <w:abstractNumId w:val="1"/>
  </w:num>
  <w:num w:numId="3" w16cid:durableId="195408807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DE9"/>
    <w:rsid w:val="000528D3"/>
    <w:rsid w:val="000B0902"/>
    <w:rsid w:val="00100DE9"/>
    <w:rsid w:val="002E4F01"/>
    <w:rsid w:val="00407E3B"/>
    <w:rsid w:val="00425F13"/>
    <w:rsid w:val="004E0843"/>
    <w:rsid w:val="0057052F"/>
    <w:rsid w:val="008522B5"/>
    <w:rsid w:val="00A408A4"/>
    <w:rsid w:val="00AB102B"/>
    <w:rsid w:val="00BC2FB3"/>
    <w:rsid w:val="00CC71A4"/>
    <w:rsid w:val="00CD034E"/>
    <w:rsid w:val="00D3099B"/>
    <w:rsid w:val="00EF4637"/>
    <w:rsid w:val="00F37D93"/>
    <w:rsid w:val="0149D7B1"/>
    <w:rsid w:val="02AE251D"/>
    <w:rsid w:val="07530A5E"/>
    <w:rsid w:val="11988E98"/>
    <w:rsid w:val="1430230D"/>
    <w:rsid w:val="1919B2A8"/>
    <w:rsid w:val="1971FD27"/>
    <w:rsid w:val="19A2E3DD"/>
    <w:rsid w:val="1BAB8A1E"/>
    <w:rsid w:val="1D7B4B6F"/>
    <w:rsid w:val="219AF44F"/>
    <w:rsid w:val="22041AA6"/>
    <w:rsid w:val="29EF4812"/>
    <w:rsid w:val="2E6009E3"/>
    <w:rsid w:val="40A4FDD5"/>
    <w:rsid w:val="4E5B261F"/>
    <w:rsid w:val="4F2C937B"/>
    <w:rsid w:val="4F628C65"/>
    <w:rsid w:val="58799BC2"/>
    <w:rsid w:val="67118EB3"/>
    <w:rsid w:val="67751DEE"/>
    <w:rsid w:val="6855841A"/>
    <w:rsid w:val="69B1C291"/>
    <w:rsid w:val="6F5589FB"/>
    <w:rsid w:val="7336BC28"/>
    <w:rsid w:val="746C2E12"/>
    <w:rsid w:val="7729C361"/>
    <w:rsid w:val="7AFCD864"/>
    <w:rsid w:val="7B605F36"/>
    <w:rsid w:val="7E4FC26F"/>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90D62"/>
  <w15:docId w15:val="{B9D9AECB-FE4E-4EE4-ADA3-E071C6D5D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7052F"/>
    <w:rPr>
      <w:color w:val="605E5C"/>
      <w:shd w:val="clear" w:color="auto" w:fill="E1DFDD"/>
    </w:rPr>
  </w:style>
  <w:style w:type="paragraph" w:styleId="Footer">
    <w:name w:val="footer"/>
    <w:basedOn w:val="Normal"/>
    <w:link w:val="FooterChar"/>
    <w:uiPriority w:val="99"/>
    <w:unhideWhenUsed/>
    <w:rsid w:val="0057052F"/>
    <w:pPr>
      <w:tabs>
        <w:tab w:val="center" w:pos="4513"/>
        <w:tab w:val="right" w:pos="9026"/>
      </w:tabs>
    </w:pPr>
  </w:style>
  <w:style w:type="character" w:customStyle="1" w:styleId="FooterChar">
    <w:name w:val="Footer Char"/>
    <w:basedOn w:val="DefaultParagraphFont"/>
    <w:link w:val="Footer"/>
    <w:uiPriority w:val="99"/>
    <w:rsid w:val="00570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l.kelly@nibrt.i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clair.gallagher@nibrt.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508C8EE762AF489668510433518F01" ma:contentTypeVersion="3" ma:contentTypeDescription="Create a new document." ma:contentTypeScope="" ma:versionID="faf6d1fa6e5967f57f481d8c347bdbb9">
  <xsd:schema xmlns:xsd="http://www.w3.org/2001/XMLSchema" xmlns:xs="http://www.w3.org/2001/XMLSchema" xmlns:p="http://schemas.microsoft.com/office/2006/metadata/properties" xmlns:ns2="537b0b68-82ed-4ad5-bdb4-12018a451ae5" targetNamespace="http://schemas.microsoft.com/office/2006/metadata/properties" ma:root="true" ma:fieldsID="4121bf99c3c120ff4fa282bf7d0b6463" ns2:_="">
    <xsd:import namespace="537b0b68-82ed-4ad5-bdb4-12018a451a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b0b68-82ed-4ad5-bdb4-12018a451a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86D43D-0B7D-4753-918D-4C1914E41090}">
  <ds:schemaRefs>
    <ds:schemaRef ds:uri="http://schemas.microsoft.com/sharepoint/v3/contenttype/forms"/>
  </ds:schemaRefs>
</ds:datastoreItem>
</file>

<file path=customXml/itemProps2.xml><?xml version="1.0" encoding="utf-8"?>
<ds:datastoreItem xmlns:ds="http://schemas.openxmlformats.org/officeDocument/2006/customXml" ds:itemID="{0DF84492-D43B-438B-A461-2F97C95544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68A458E-E5EA-44D7-BABC-F22C7F75B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b0b68-82ed-4ad5-bdb4-12018a451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785b5a-cc09-47c0-87e2-e8f1f82e2777}" enabled="1" method="Standard" siteId="{33b144eb-0c61-467e-aff4-20bc754b085b}"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1994</Words>
  <Characters>11372</Characters>
  <Application>Microsoft Office Word</Application>
  <DocSecurity>0</DocSecurity>
  <Lines>94</Lines>
  <Paragraphs>26</Paragraphs>
  <ScaleCrop>false</ScaleCrop>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Clair Gallagher</cp:lastModifiedBy>
  <cp:revision>3</cp:revision>
  <dcterms:created xsi:type="dcterms:W3CDTF">2026-10-01T13:08:00Z</dcterms:created>
  <dcterms:modified xsi:type="dcterms:W3CDTF">2026-10-01T13:09:00Z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3d817df7,72903ab6,35b3cbff</vt:lpwstr>
  </property>
  <property fmtid="{D5CDD505-2E9C-101B-9397-08002B2CF9AE}" pid="3" name="ClassificationContentMarkingFooterFontProps">
    <vt:lpwstr>#0000ff,6,Aptos</vt:lpwstr>
  </property>
  <property fmtid="{D5CDD505-2E9C-101B-9397-08002B2CF9AE}" pid="4" name="ClassificationContentMarkingFooterText">
    <vt:lpwstr>NIBRT Protected Data</vt:lpwstr>
  </property>
  <property fmtid="{D5CDD505-2E9C-101B-9397-08002B2CF9AE}" pid="5" name="ContentTypeId">
    <vt:lpwstr>0x0101001A508C8EE762AF489668510433518F01</vt:lpwstr>
  </property>
</Properties>
</file>