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25AEA" w14:textId="5D3EFDF6" w:rsidR="00D6372D" w:rsidRPr="00FE29AE" w:rsidRDefault="001F2ACC" w:rsidP="00F151DA">
      <w:pPr>
        <w:pStyle w:val="Heading1"/>
        <w:rPr>
          <w:b w:val="0"/>
        </w:rPr>
      </w:pPr>
      <w:bookmarkStart w:id="0" w:name="_Toc2011898710"/>
      <w:r>
        <w:t xml:space="preserve"> </w:t>
      </w:r>
      <w:bookmarkEnd w:id="0"/>
    </w:p>
    <w:p w14:paraId="26A027FA" w14:textId="0FD1F952" w:rsidR="001F2ACC" w:rsidRPr="00FE29AE" w:rsidRDefault="001F2ACC" w:rsidP="2673AFAE">
      <w:pPr>
        <w:pStyle w:val="Heading1"/>
        <w:spacing w:line="259" w:lineRule="auto"/>
      </w:pPr>
      <w:bookmarkStart w:id="1" w:name="_Toc198793500"/>
      <w:r>
        <w:t xml:space="preserve">Appendix </w:t>
      </w:r>
      <w:r w:rsidR="00F151DA">
        <w:t>2.1</w:t>
      </w:r>
      <w:r>
        <w:t xml:space="preserve">: </w:t>
      </w:r>
      <w:r w:rsidR="543B5616">
        <w:t xml:space="preserve">Award Criteria </w:t>
      </w:r>
      <w:r>
        <w:t>Requirements and Specifications</w:t>
      </w:r>
      <w:bookmarkEnd w:id="1"/>
    </w:p>
    <w:p w14:paraId="3AAFA440" w14:textId="34479095" w:rsidR="005A560F" w:rsidRPr="00FE29AE" w:rsidRDefault="005A560F" w:rsidP="002C278A">
      <w:pPr>
        <w:spacing w:before="100" w:beforeAutospacing="1" w:after="100" w:afterAutospacing="1"/>
        <w:jc w:val="both"/>
        <w:rPr>
          <w:rFonts w:eastAsia="Times New Roman"/>
        </w:rPr>
      </w:pPr>
      <w:r w:rsidRPr="00FE29AE">
        <w:rPr>
          <w:rFonts w:eastAsia="Times New Roman"/>
          <w:b/>
          <w:sz w:val="22"/>
          <w:szCs w:val="22"/>
        </w:rPr>
        <w:t>Tenderers must address each of the requirements in this part of the</w:t>
      </w:r>
      <w:r w:rsidR="00DA2872" w:rsidRPr="00FE29AE">
        <w:rPr>
          <w:rFonts w:eastAsia="Times New Roman"/>
          <w:b/>
          <w:sz w:val="22"/>
          <w:szCs w:val="22"/>
        </w:rPr>
        <w:t xml:space="preserve"> RFT</w:t>
      </w:r>
      <w:r w:rsidR="002C278A" w:rsidRPr="00FE29AE">
        <w:rPr>
          <w:rFonts w:eastAsia="Times New Roman"/>
          <w:b/>
          <w:sz w:val="22"/>
          <w:szCs w:val="22"/>
        </w:rPr>
        <w:t xml:space="preserve">. When responding to the </w:t>
      </w:r>
      <w:r w:rsidR="00DA2872" w:rsidRPr="00FE29AE">
        <w:rPr>
          <w:rFonts w:eastAsia="Times New Roman"/>
          <w:b/>
          <w:sz w:val="22"/>
          <w:szCs w:val="22"/>
        </w:rPr>
        <w:t>TRDs</w:t>
      </w:r>
      <w:r w:rsidR="002C278A" w:rsidRPr="00FE29AE">
        <w:rPr>
          <w:rFonts w:eastAsia="Times New Roman"/>
          <w:b/>
          <w:sz w:val="22"/>
          <w:szCs w:val="22"/>
        </w:rPr>
        <w:t xml:space="preserve"> and the RFTs issued in later stages of this competition, tenderers must </w:t>
      </w:r>
      <w:r w:rsidRPr="00FE29AE">
        <w:rPr>
          <w:rFonts w:eastAsia="Times New Roman"/>
          <w:b/>
          <w:sz w:val="22"/>
          <w:szCs w:val="22"/>
        </w:rPr>
        <w:t xml:space="preserve">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 </w:t>
      </w:r>
    </w:p>
    <w:p w14:paraId="5B6C4644" w14:textId="77777777" w:rsidR="00387616" w:rsidRPr="00FE29AE" w:rsidRDefault="00387616" w:rsidP="00387616">
      <w:pPr>
        <w:tabs>
          <w:tab w:val="center" w:pos="4513"/>
        </w:tabs>
        <w:spacing w:after="240" w:line="276" w:lineRule="auto"/>
        <w:rPr>
          <w:b/>
          <w:bCs/>
        </w:rPr>
      </w:pPr>
      <w:r w:rsidRPr="00FE29AE">
        <w:rPr>
          <w:b/>
          <w:bCs/>
        </w:rPr>
        <w:t>IFI overview</w:t>
      </w:r>
    </w:p>
    <w:p w14:paraId="63D08E32" w14:textId="77777777" w:rsidR="00387616" w:rsidRPr="00FE29AE" w:rsidRDefault="00387616" w:rsidP="00387616">
      <w:pPr>
        <w:pStyle w:val="TableParagraph"/>
        <w:spacing w:after="240" w:line="276" w:lineRule="auto"/>
        <w:jc w:val="both"/>
        <w:rPr>
          <w:b/>
          <w:bCs/>
          <w:lang w:val="en-IE"/>
        </w:rPr>
      </w:pPr>
      <w:r w:rsidRPr="00FE29AE">
        <w:rPr>
          <w:lang w:val="en-IE"/>
        </w:rPr>
        <w:t xml:space="preserve">The Inland Fisheries Act 2010 (No. 10 of 2010) provided for the restructuring of the inland fisheries sector through the creation of a national inland fisheries organisation, Inland Fisheries Ireland (IFI), which replaced the Central Fisheries Board and seven Regional Fisheries Boards. </w:t>
      </w:r>
    </w:p>
    <w:p w14:paraId="52EBF8CB" w14:textId="1711B37B" w:rsidR="00387616" w:rsidRPr="00FE29AE" w:rsidRDefault="00387616" w:rsidP="00387616">
      <w:pPr>
        <w:pStyle w:val="TableParagraph"/>
        <w:spacing w:after="240" w:line="276" w:lineRule="auto"/>
        <w:jc w:val="both"/>
        <w:rPr>
          <w:lang w:val="en-IE"/>
        </w:rPr>
      </w:pPr>
      <w:r w:rsidRPr="00FE29AE">
        <w:rPr>
          <w:lang w:val="en-IE"/>
        </w:rPr>
        <w:t>On July 1st</w:t>
      </w:r>
      <w:r w:rsidR="00EF2BC5" w:rsidRPr="00FE29AE">
        <w:rPr>
          <w:lang w:val="en-IE"/>
        </w:rPr>
        <w:t>, 2010,</w:t>
      </w:r>
      <w:r w:rsidRPr="00FE29AE">
        <w:rPr>
          <w:lang w:val="en-IE"/>
        </w:rPr>
        <w:t xml:space="preserve"> Inland Fisheries Ireland was formally established as the agency responsible for the conservation, protection, management, marketing, development and improvement of our inland fisheries and sea angling resources. </w:t>
      </w:r>
    </w:p>
    <w:p w14:paraId="41B45B6A" w14:textId="77777777" w:rsidR="00387616" w:rsidRPr="00FE29AE" w:rsidRDefault="00387616" w:rsidP="00387616">
      <w:pPr>
        <w:pStyle w:val="TableParagraph"/>
        <w:spacing w:after="240" w:line="276" w:lineRule="auto"/>
        <w:jc w:val="both"/>
        <w:rPr>
          <w:lang w:val="en-IE"/>
        </w:rPr>
      </w:pPr>
      <w:r w:rsidRPr="00FE29AE">
        <w:rPr>
          <w:lang w:val="en-IE"/>
        </w:rPr>
        <w:t>Inland Fisheries Ireland (IFI) is the statutory agency tasked with the conservation, protection and development of the Inland Fisheries Resource in Ireland. It operates under the aegis of the Department of the Environment, Climate and Communications. The principal function of Inland Fisheries Ireland is set out under Section 7 (2) of the Inland Fisheries Act of 2010. This is the protection, management and conservation of the inland fisheries resource. The general functions of IFI are to:</w:t>
      </w:r>
    </w:p>
    <w:p w14:paraId="3F23B8EA" w14:textId="77777777" w:rsidR="00387616" w:rsidRPr="00FE29AE" w:rsidRDefault="00387616" w:rsidP="006305CF">
      <w:pPr>
        <w:pStyle w:val="TableParagraph"/>
        <w:numPr>
          <w:ilvl w:val="0"/>
          <w:numId w:val="17"/>
        </w:numPr>
        <w:autoSpaceDE w:val="0"/>
        <w:autoSpaceDN w:val="0"/>
        <w:spacing w:after="240" w:line="276" w:lineRule="auto"/>
        <w:jc w:val="both"/>
        <w:rPr>
          <w:lang w:val="en-IE"/>
        </w:rPr>
      </w:pPr>
      <w:r w:rsidRPr="00FE29AE">
        <w:rPr>
          <w:lang w:val="en-IE"/>
        </w:rPr>
        <w:t>promote, support, facilitate and advise the Minister on the conservation, protection, management, marketing, development and improvement of inland fisheries, including sea angling,</w:t>
      </w:r>
    </w:p>
    <w:p w14:paraId="5879C6D1" w14:textId="77777777" w:rsidR="00387616" w:rsidRPr="00FE29AE" w:rsidRDefault="00387616" w:rsidP="006305CF">
      <w:pPr>
        <w:pStyle w:val="TableParagraph"/>
        <w:numPr>
          <w:ilvl w:val="0"/>
          <w:numId w:val="17"/>
        </w:numPr>
        <w:autoSpaceDE w:val="0"/>
        <w:autoSpaceDN w:val="0"/>
        <w:spacing w:after="240" w:line="276" w:lineRule="auto"/>
        <w:jc w:val="both"/>
        <w:rPr>
          <w:lang w:val="en-IE"/>
        </w:rPr>
      </w:pPr>
      <w:r w:rsidRPr="00FE29AE">
        <w:rPr>
          <w:lang w:val="en-IE"/>
        </w:rPr>
        <w:t>develop and advise the Minister on policy and national strategies relating to inland fisheries including sea angling, and</w:t>
      </w:r>
    </w:p>
    <w:p w14:paraId="52CD29A6" w14:textId="77777777" w:rsidR="00387616" w:rsidRPr="00FE29AE" w:rsidRDefault="00387616" w:rsidP="006305CF">
      <w:pPr>
        <w:pStyle w:val="TableParagraph"/>
        <w:numPr>
          <w:ilvl w:val="0"/>
          <w:numId w:val="17"/>
        </w:numPr>
        <w:autoSpaceDE w:val="0"/>
        <w:autoSpaceDN w:val="0"/>
        <w:spacing w:after="240" w:line="276" w:lineRule="auto"/>
        <w:jc w:val="both"/>
        <w:rPr>
          <w:lang w:val="en-IE"/>
        </w:rPr>
      </w:pPr>
      <w:r w:rsidRPr="00FE29AE">
        <w:rPr>
          <w:lang w:val="en-IE"/>
        </w:rPr>
        <w:t xml:space="preserve">to ensure implementation and delivery of policy and strategies developed under (b) as agreed with the Minister.  </w:t>
      </w:r>
    </w:p>
    <w:p w14:paraId="23C3AA76" w14:textId="17C3BA7B" w:rsidR="00387616" w:rsidRPr="00FE29AE" w:rsidRDefault="00387616" w:rsidP="00387616">
      <w:pPr>
        <w:pStyle w:val="TableParagraph"/>
        <w:spacing w:before="240" w:after="240" w:line="276" w:lineRule="auto"/>
        <w:jc w:val="both"/>
        <w:rPr>
          <w:lang w:val="en-IE"/>
        </w:rPr>
      </w:pPr>
      <w:r w:rsidRPr="32255072">
        <w:rPr>
          <w:lang w:val="en-IE"/>
        </w:rPr>
        <w:t xml:space="preserve">IFI protection staff use the latest technologies to provide an intelligence led fisheries protection service </w:t>
      </w:r>
      <w:r w:rsidR="1729A92B" w:rsidRPr="32255072">
        <w:rPr>
          <w:lang w:val="en-IE"/>
        </w:rPr>
        <w:t>throughout</w:t>
      </w:r>
      <w:r w:rsidRPr="32255072">
        <w:rPr>
          <w:lang w:val="en-IE"/>
        </w:rPr>
        <w:t xml:space="preserve"> our 74,000 km of rivers and streams and 12,000 lakes, while also patrolling out to the 12mile coastal limit.   IFI development and conservation teams work, in corporation with stakeholders and other agencies, to restore damaged habitats to as close as possible to their natural state.   IFI and institutional predecessors have a long history of contributing an evidence base to support the management, development of policy and provision of advice directed at the conservation, protection and sustainable exploitation of Ireland’s fish populations.  Inland Fisheries Ireland carries out applied fisheries research to assess the conservation status of Ireland's fish species, to monitor fisheries stocks in inland and coastal waters and to explore environmental issues that have an impact </w:t>
      </w:r>
      <w:r w:rsidRPr="32255072">
        <w:rPr>
          <w:lang w:val="en-IE"/>
        </w:rPr>
        <w:lastRenderedPageBreak/>
        <w:t>on fish and their habitats. The Research Division also provides scientific advice to our parent department, the Department of the Environment, Climate and Communications</w:t>
      </w:r>
    </w:p>
    <w:p w14:paraId="6EB0D540" w14:textId="77777777" w:rsidR="006A6B5C" w:rsidRPr="00FE29AE" w:rsidRDefault="006A6B5C" w:rsidP="006A6B5C">
      <w:pPr>
        <w:pStyle w:val="TableParagraph"/>
        <w:spacing w:before="240" w:after="240" w:line="276" w:lineRule="auto"/>
        <w:rPr>
          <w:b/>
          <w:bCs/>
          <w:lang w:val="en-IE"/>
        </w:rPr>
      </w:pPr>
      <w:r w:rsidRPr="00FE29AE">
        <w:rPr>
          <w:b/>
          <w:bCs/>
          <w:lang w:val="en-IE"/>
        </w:rPr>
        <w:t>Overview of current IFI systems</w:t>
      </w:r>
    </w:p>
    <w:p w14:paraId="29BEFAF7" w14:textId="6FD5DB24" w:rsidR="006A6B5C" w:rsidRPr="00FE29AE" w:rsidRDefault="006A6B5C" w:rsidP="006A6B5C">
      <w:pPr>
        <w:pStyle w:val="TableParagraph"/>
        <w:spacing w:before="240" w:after="240" w:line="276" w:lineRule="auto"/>
        <w:jc w:val="both"/>
        <w:rPr>
          <w:lang w:val="en-IE"/>
        </w:rPr>
      </w:pPr>
      <w:r w:rsidRPr="00FE29AE">
        <w:rPr>
          <w:lang w:val="en-IE"/>
        </w:rPr>
        <w:t>IFI is a single legal entity. The Head Office is located at Citywest Business Campus in Dublin. Additionally</w:t>
      </w:r>
      <w:r w:rsidR="72FB148A" w:rsidRPr="00FE29AE">
        <w:rPr>
          <w:lang w:val="en-IE"/>
        </w:rPr>
        <w:t>,</w:t>
      </w:r>
      <w:r w:rsidRPr="00FE29AE">
        <w:rPr>
          <w:lang w:val="en-IE"/>
        </w:rPr>
        <w:t xml:space="preserve"> there are seven regional offices and </w:t>
      </w:r>
      <w:proofErr w:type="gramStart"/>
      <w:r w:rsidRPr="00FE29AE">
        <w:rPr>
          <w:lang w:val="en-IE"/>
        </w:rPr>
        <w:t>a number of</w:t>
      </w:r>
      <w:proofErr w:type="gramEnd"/>
      <w:r w:rsidRPr="00FE29AE">
        <w:rPr>
          <w:lang w:val="en-IE"/>
        </w:rPr>
        <w:t xml:space="preserve"> smaller district offices located around the country.</w:t>
      </w:r>
    </w:p>
    <w:p w14:paraId="1EAE93A0" w14:textId="1E75486A" w:rsidR="006A6B5C" w:rsidRPr="003410C3" w:rsidRDefault="006A6B5C" w:rsidP="006A6B5C">
      <w:pPr>
        <w:pStyle w:val="TableParagraph"/>
        <w:spacing w:before="240" w:after="240" w:line="276" w:lineRule="auto"/>
        <w:jc w:val="both"/>
        <w:rPr>
          <w:lang w:val="en-IE"/>
        </w:rPr>
      </w:pPr>
      <w:r w:rsidRPr="003410C3">
        <w:rPr>
          <w:lang w:val="en-IE"/>
        </w:rPr>
        <w:t xml:space="preserve">Our current </w:t>
      </w:r>
      <w:r w:rsidR="00C724C0" w:rsidRPr="003410C3">
        <w:rPr>
          <w:lang w:val="en-IE"/>
        </w:rPr>
        <w:t xml:space="preserve">Telematics </w:t>
      </w:r>
      <w:r w:rsidRPr="003410C3">
        <w:rPr>
          <w:lang w:val="en-IE"/>
        </w:rPr>
        <w:t>system consists of:</w:t>
      </w:r>
    </w:p>
    <w:p w14:paraId="387B9642" w14:textId="67334A68" w:rsidR="006A6B5C" w:rsidRPr="003410C3" w:rsidRDefault="27A282B5" w:rsidP="006305CF">
      <w:pPr>
        <w:pStyle w:val="TableParagraph"/>
        <w:numPr>
          <w:ilvl w:val="0"/>
          <w:numId w:val="1"/>
        </w:numPr>
        <w:autoSpaceDE w:val="0"/>
        <w:autoSpaceDN w:val="0"/>
        <w:spacing w:after="240" w:line="276" w:lineRule="auto"/>
        <w:jc w:val="both"/>
        <w:rPr>
          <w:lang w:val="en-IE"/>
        </w:rPr>
      </w:pPr>
      <w:r w:rsidRPr="003410C3">
        <w:rPr>
          <w:lang w:val="en-IE"/>
        </w:rPr>
        <w:t>Physical in vehicle tracking devices</w:t>
      </w:r>
    </w:p>
    <w:p w14:paraId="6F3D914C" w14:textId="08193C9F" w:rsidR="27A282B5" w:rsidRPr="003410C3" w:rsidRDefault="27A282B5" w:rsidP="78751DBB">
      <w:pPr>
        <w:pStyle w:val="TableParagraph"/>
        <w:numPr>
          <w:ilvl w:val="0"/>
          <w:numId w:val="1"/>
        </w:numPr>
        <w:spacing w:after="240" w:line="276" w:lineRule="auto"/>
        <w:jc w:val="both"/>
        <w:rPr>
          <w:lang w:val="en-IE"/>
        </w:rPr>
      </w:pPr>
      <w:r w:rsidRPr="003410C3">
        <w:rPr>
          <w:lang w:val="en-IE"/>
        </w:rPr>
        <w:t>Driver fobs for user activation</w:t>
      </w:r>
    </w:p>
    <w:p w14:paraId="4C8999E7" w14:textId="6B401556" w:rsidR="27A282B5" w:rsidRPr="003410C3" w:rsidRDefault="27A282B5" w:rsidP="78751DBB">
      <w:pPr>
        <w:pStyle w:val="TableParagraph"/>
        <w:numPr>
          <w:ilvl w:val="0"/>
          <w:numId w:val="1"/>
        </w:numPr>
        <w:spacing w:after="240" w:line="276" w:lineRule="auto"/>
        <w:jc w:val="both"/>
        <w:rPr>
          <w:lang w:val="en-IE"/>
        </w:rPr>
      </w:pPr>
      <w:r w:rsidRPr="003410C3">
        <w:rPr>
          <w:lang w:val="en-IE"/>
        </w:rPr>
        <w:t xml:space="preserve">APIs with other related fleet </w:t>
      </w:r>
      <w:r w:rsidR="003410C3" w:rsidRPr="003410C3">
        <w:rPr>
          <w:lang w:val="en-IE"/>
        </w:rPr>
        <w:t>management</w:t>
      </w:r>
      <w:r w:rsidRPr="003410C3">
        <w:rPr>
          <w:lang w:val="en-IE"/>
        </w:rPr>
        <w:t xml:space="preserve"> software systems e.g. Fuel Card system</w:t>
      </w:r>
    </w:p>
    <w:p w14:paraId="6D09C1BB" w14:textId="4D3D60AB" w:rsidR="27A282B5" w:rsidRPr="003410C3" w:rsidRDefault="27A282B5" w:rsidP="78751DBB">
      <w:pPr>
        <w:pStyle w:val="TableParagraph"/>
        <w:numPr>
          <w:ilvl w:val="0"/>
          <w:numId w:val="1"/>
        </w:numPr>
        <w:spacing w:after="240" w:line="276" w:lineRule="auto"/>
        <w:jc w:val="both"/>
        <w:rPr>
          <w:lang w:val="en-IE"/>
        </w:rPr>
      </w:pPr>
      <w:r w:rsidRPr="003410C3">
        <w:rPr>
          <w:lang w:val="en-IE"/>
        </w:rPr>
        <w:t>Mobile app driver interface to record walkaround checks and defect reporting</w:t>
      </w:r>
    </w:p>
    <w:p w14:paraId="70EEF85B" w14:textId="75EBC0A4" w:rsidR="27A282B5" w:rsidRPr="003410C3" w:rsidRDefault="27A282B5" w:rsidP="78751DBB">
      <w:pPr>
        <w:pStyle w:val="TableParagraph"/>
        <w:numPr>
          <w:ilvl w:val="0"/>
          <w:numId w:val="1"/>
        </w:numPr>
        <w:spacing w:after="240" w:line="276" w:lineRule="auto"/>
        <w:jc w:val="both"/>
        <w:rPr>
          <w:lang w:val="en-IE"/>
        </w:rPr>
      </w:pPr>
      <w:r w:rsidRPr="003410C3">
        <w:rPr>
          <w:lang w:val="en-IE"/>
        </w:rPr>
        <w:t>Driver style feedback via app</w:t>
      </w:r>
    </w:p>
    <w:p w14:paraId="4FCD3CDD" w14:textId="75FAE8E7" w:rsidR="27A282B5" w:rsidRPr="003410C3" w:rsidRDefault="27A282B5" w:rsidP="78751DBB">
      <w:pPr>
        <w:pStyle w:val="TableParagraph"/>
        <w:numPr>
          <w:ilvl w:val="0"/>
          <w:numId w:val="1"/>
        </w:numPr>
        <w:spacing w:after="240" w:line="276" w:lineRule="auto"/>
        <w:jc w:val="both"/>
        <w:rPr>
          <w:lang w:val="en-IE"/>
        </w:rPr>
      </w:pPr>
      <w:r w:rsidRPr="003410C3">
        <w:rPr>
          <w:lang w:val="en-IE"/>
        </w:rPr>
        <w:t xml:space="preserve">EV </w:t>
      </w:r>
      <w:r w:rsidR="003410C3" w:rsidRPr="003410C3">
        <w:rPr>
          <w:lang w:val="en-IE"/>
        </w:rPr>
        <w:t>transition</w:t>
      </w:r>
      <w:r w:rsidRPr="003410C3">
        <w:rPr>
          <w:lang w:val="en-IE"/>
        </w:rPr>
        <w:t xml:space="preserve"> module</w:t>
      </w:r>
    </w:p>
    <w:p w14:paraId="78D07981" w14:textId="09F2E7C1" w:rsidR="27A282B5" w:rsidRPr="003410C3" w:rsidRDefault="27A282B5" w:rsidP="78751DBB">
      <w:pPr>
        <w:pStyle w:val="TableParagraph"/>
        <w:numPr>
          <w:ilvl w:val="0"/>
          <w:numId w:val="1"/>
        </w:numPr>
        <w:spacing w:after="240" w:line="276" w:lineRule="auto"/>
        <w:jc w:val="both"/>
        <w:rPr>
          <w:lang w:val="en-IE"/>
        </w:rPr>
      </w:pPr>
      <w:r w:rsidRPr="003410C3">
        <w:rPr>
          <w:lang w:val="en-IE"/>
        </w:rPr>
        <w:t>Automated reporting</w:t>
      </w:r>
    </w:p>
    <w:p w14:paraId="7FC04DC9" w14:textId="39D57773" w:rsidR="27A282B5" w:rsidRPr="003410C3" w:rsidRDefault="27A282B5" w:rsidP="78751DBB">
      <w:pPr>
        <w:pStyle w:val="TableParagraph"/>
        <w:numPr>
          <w:ilvl w:val="0"/>
          <w:numId w:val="1"/>
        </w:numPr>
        <w:spacing w:after="240" w:line="276" w:lineRule="auto"/>
        <w:jc w:val="both"/>
        <w:rPr>
          <w:lang w:val="en-IE"/>
        </w:rPr>
      </w:pPr>
      <w:r w:rsidRPr="003410C3">
        <w:rPr>
          <w:lang w:val="en-IE"/>
        </w:rPr>
        <w:t>Archival Management</w:t>
      </w:r>
    </w:p>
    <w:p w14:paraId="42B08D00" w14:textId="3AFDB767" w:rsidR="27A282B5" w:rsidRPr="003410C3" w:rsidRDefault="27A282B5" w:rsidP="78751DBB">
      <w:pPr>
        <w:pStyle w:val="TableParagraph"/>
        <w:numPr>
          <w:ilvl w:val="0"/>
          <w:numId w:val="1"/>
        </w:numPr>
        <w:spacing w:after="240" w:line="276" w:lineRule="auto"/>
        <w:jc w:val="both"/>
        <w:rPr>
          <w:lang w:val="en-IE"/>
        </w:rPr>
      </w:pPr>
      <w:r w:rsidRPr="003410C3">
        <w:rPr>
          <w:lang w:val="en-IE"/>
        </w:rPr>
        <w:t>Infringement/compliance reporting</w:t>
      </w:r>
    </w:p>
    <w:p w14:paraId="28E6B8FB" w14:textId="59FDDEDE" w:rsidR="27A282B5" w:rsidRPr="003410C3" w:rsidRDefault="27A282B5" w:rsidP="78751DBB">
      <w:pPr>
        <w:pStyle w:val="TableParagraph"/>
        <w:numPr>
          <w:ilvl w:val="0"/>
          <w:numId w:val="1"/>
        </w:numPr>
        <w:spacing w:after="240" w:line="276" w:lineRule="auto"/>
        <w:jc w:val="both"/>
        <w:rPr>
          <w:lang w:val="en-IE"/>
        </w:rPr>
      </w:pPr>
      <w:r w:rsidRPr="003410C3">
        <w:rPr>
          <w:lang w:val="en-IE"/>
        </w:rPr>
        <w:t>Live alerts related to vehicle utility</w:t>
      </w:r>
    </w:p>
    <w:p w14:paraId="567CEC18" w14:textId="75D4ABE0" w:rsidR="00181E86" w:rsidRPr="00FE29AE" w:rsidRDefault="00181E86" w:rsidP="002C278A">
      <w:pPr>
        <w:jc w:val="both"/>
        <w:rPr>
          <w:sz w:val="22"/>
          <w:szCs w:val="22"/>
        </w:rPr>
      </w:pPr>
    </w:p>
    <w:p w14:paraId="5B536EE3" w14:textId="470146D0" w:rsidR="0001353C" w:rsidRPr="00FE29AE" w:rsidRDefault="00E72ED1" w:rsidP="00CF13CA">
      <w:pPr>
        <w:jc w:val="both"/>
        <w:rPr>
          <w:b/>
          <w:sz w:val="22"/>
          <w:szCs w:val="22"/>
        </w:rPr>
      </w:pPr>
      <w:r w:rsidRPr="00FE29AE">
        <w:rPr>
          <w:b/>
          <w:sz w:val="22"/>
          <w:szCs w:val="22"/>
        </w:rPr>
        <w:t>Scope of this Procurement</w:t>
      </w:r>
      <w:bookmarkStart w:id="2" w:name="_Toc129182862"/>
    </w:p>
    <w:bookmarkEnd w:id="2"/>
    <w:p w14:paraId="6486336C" w14:textId="77777777" w:rsidR="00AE0E0A" w:rsidRPr="00FE29AE" w:rsidRDefault="00AE0E0A" w:rsidP="00AE0E0A">
      <w:pPr>
        <w:pStyle w:val="TableParagraph"/>
        <w:spacing w:line="276" w:lineRule="auto"/>
        <w:jc w:val="both"/>
        <w:rPr>
          <w:lang w:val="en-IE"/>
        </w:rPr>
      </w:pPr>
      <w:r w:rsidRPr="00FE29AE">
        <w:rPr>
          <w:lang w:val="en-IE"/>
        </w:rPr>
        <w:t>Inland Fisheries Ireland are inviting tenders for the implementation of a cloud-based Telematic &amp; Fleet Management System. The services to be provided under this contract are as follows:</w:t>
      </w:r>
    </w:p>
    <w:p w14:paraId="0B6FB47E" w14:textId="27AEDC7F" w:rsidR="00AE0E0A" w:rsidRPr="00FE29AE" w:rsidRDefault="00AE0E0A" w:rsidP="32255072">
      <w:pPr>
        <w:pStyle w:val="TableParagraph"/>
        <w:numPr>
          <w:ilvl w:val="0"/>
          <w:numId w:val="4"/>
        </w:numPr>
        <w:spacing w:line="276" w:lineRule="auto"/>
        <w:jc w:val="both"/>
        <w:rPr>
          <w:rFonts w:asciiTheme="minorHAnsi" w:hAnsiTheme="minorHAnsi" w:cstheme="minorBidi"/>
          <w:lang w:val="en-IE" w:eastAsia="en-IE"/>
        </w:rPr>
      </w:pPr>
      <w:r w:rsidRPr="32255072">
        <w:rPr>
          <w:rFonts w:asciiTheme="minorHAnsi" w:hAnsiTheme="minorHAnsi" w:cstheme="minorBidi"/>
          <w:lang w:val="en-IE" w:eastAsia="en-IE"/>
        </w:rPr>
        <w:t xml:space="preserve">A cloud-based Telematic &amp; Fleet Management System that meets the requirements described </w:t>
      </w:r>
      <w:r w:rsidR="53256150" w:rsidRPr="32255072">
        <w:rPr>
          <w:rFonts w:asciiTheme="minorHAnsi" w:hAnsiTheme="minorHAnsi" w:cstheme="minorBidi"/>
          <w:lang w:val="en-IE" w:eastAsia="en-IE"/>
        </w:rPr>
        <w:t>here</w:t>
      </w:r>
      <w:r w:rsidRPr="32255072">
        <w:rPr>
          <w:rFonts w:asciiTheme="minorHAnsi" w:hAnsiTheme="minorHAnsi" w:cstheme="minorBidi"/>
          <w:lang w:val="en-IE" w:eastAsia="en-IE"/>
        </w:rPr>
        <w:t>in.</w:t>
      </w:r>
    </w:p>
    <w:p w14:paraId="576BFBB9" w14:textId="77777777" w:rsidR="00AE0E0A" w:rsidRPr="00FE29AE" w:rsidRDefault="00AE0E0A" w:rsidP="00AE0E0A">
      <w:pPr>
        <w:pStyle w:val="TableParagraph"/>
        <w:numPr>
          <w:ilvl w:val="0"/>
          <w:numId w:val="4"/>
        </w:numPr>
        <w:spacing w:line="276" w:lineRule="auto"/>
        <w:jc w:val="both"/>
        <w:rPr>
          <w:rFonts w:asciiTheme="minorHAnsi" w:hAnsiTheme="minorHAnsi" w:cstheme="minorBidi"/>
          <w:lang w:val="en-IE" w:eastAsia="en-IE"/>
        </w:rPr>
      </w:pPr>
      <w:r w:rsidRPr="00FE29AE">
        <w:rPr>
          <w:rFonts w:asciiTheme="minorHAnsi" w:hAnsiTheme="minorHAnsi" w:cstheme="minorBidi"/>
          <w:lang w:val="en-IE" w:eastAsia="en-IE"/>
        </w:rPr>
        <w:t>Complete system delivery including system implementation, system testing, project management, and data migration.</w:t>
      </w:r>
    </w:p>
    <w:p w14:paraId="64A4B9A7" w14:textId="77777777" w:rsidR="00AE0E0A" w:rsidRPr="00FE29AE" w:rsidRDefault="00AE0E0A" w:rsidP="00AE0E0A">
      <w:pPr>
        <w:pStyle w:val="TableParagraph"/>
        <w:numPr>
          <w:ilvl w:val="0"/>
          <w:numId w:val="4"/>
        </w:numPr>
        <w:spacing w:line="276" w:lineRule="auto"/>
        <w:jc w:val="both"/>
        <w:rPr>
          <w:rFonts w:asciiTheme="minorHAnsi" w:hAnsiTheme="minorHAnsi" w:cstheme="minorBidi"/>
          <w:lang w:val="en-IE" w:eastAsia="en-IE"/>
        </w:rPr>
      </w:pPr>
      <w:r w:rsidRPr="00FE29AE">
        <w:rPr>
          <w:rFonts w:asciiTheme="minorHAnsi" w:hAnsiTheme="minorHAnsi" w:cstheme="minorBidi"/>
          <w:lang w:val="en-IE" w:eastAsia="en-IE"/>
        </w:rPr>
        <w:t>A training programme as well as training materials and documentation.</w:t>
      </w:r>
    </w:p>
    <w:p w14:paraId="1E732685" w14:textId="77777777" w:rsidR="00AE0E0A" w:rsidRPr="00FE29AE" w:rsidRDefault="00AE0E0A" w:rsidP="00AE0E0A">
      <w:pPr>
        <w:pStyle w:val="TableParagraph"/>
        <w:numPr>
          <w:ilvl w:val="0"/>
          <w:numId w:val="4"/>
        </w:numPr>
        <w:spacing w:line="276" w:lineRule="auto"/>
        <w:jc w:val="both"/>
        <w:rPr>
          <w:lang w:val="en-IE"/>
        </w:rPr>
      </w:pPr>
      <w:r w:rsidRPr="00FE29AE">
        <w:rPr>
          <w:rFonts w:asciiTheme="minorHAnsi" w:hAnsiTheme="minorHAnsi" w:cstheme="minorBidi"/>
          <w:lang w:val="en-IE" w:eastAsia="en-IE"/>
        </w:rPr>
        <w:t xml:space="preserve">On-going support and maintenance service. </w:t>
      </w:r>
    </w:p>
    <w:p w14:paraId="4299708B" w14:textId="77777777" w:rsidR="00AE0E0A" w:rsidRPr="00FE29AE" w:rsidRDefault="00AE0E0A" w:rsidP="00AE0E0A">
      <w:pPr>
        <w:pStyle w:val="TableParagraph"/>
        <w:spacing w:line="276" w:lineRule="auto"/>
        <w:jc w:val="both"/>
        <w:rPr>
          <w:rFonts w:asciiTheme="minorHAnsi" w:hAnsiTheme="minorHAnsi"/>
          <w:lang w:val="en-IE"/>
        </w:rPr>
      </w:pPr>
      <w:r w:rsidRPr="00FE29AE">
        <w:rPr>
          <w:rFonts w:asciiTheme="minorHAnsi" w:hAnsiTheme="minorHAnsi"/>
          <w:lang w:val="en-IE"/>
        </w:rPr>
        <w:t xml:space="preserve">Tenderers must as a minimum, be able to provide a cloud-based software solution that includes the features and meets the requirements of a cloud base Telematic &amp; Fleet Management System as described in sections below. </w:t>
      </w:r>
    </w:p>
    <w:p w14:paraId="5417D6FA" w14:textId="77777777" w:rsidR="00E72ED1" w:rsidRPr="00FE29AE" w:rsidRDefault="00E72ED1" w:rsidP="00CF13CA">
      <w:pPr>
        <w:jc w:val="both"/>
        <w:rPr>
          <w:sz w:val="22"/>
          <w:szCs w:val="22"/>
        </w:rPr>
      </w:pPr>
    </w:p>
    <w:p w14:paraId="7A4D6A20" w14:textId="701ABB43" w:rsidR="00E72ED1" w:rsidRDefault="00E72ED1" w:rsidP="00CF13CA">
      <w:pPr>
        <w:jc w:val="both"/>
        <w:rPr>
          <w:sz w:val="22"/>
          <w:szCs w:val="22"/>
          <w:u w:val="single"/>
        </w:rPr>
      </w:pPr>
      <w:r w:rsidRPr="00FE29AE">
        <w:rPr>
          <w:sz w:val="22"/>
          <w:szCs w:val="22"/>
          <w:u w:val="single"/>
        </w:rPr>
        <w:t xml:space="preserve">Tenderers are instructed to read this document carefully before completing the </w:t>
      </w:r>
      <w:r w:rsidR="00DA2872" w:rsidRPr="00FE29AE">
        <w:rPr>
          <w:sz w:val="22"/>
          <w:szCs w:val="22"/>
          <w:u w:val="single"/>
        </w:rPr>
        <w:t>TRDs</w:t>
      </w:r>
      <w:r w:rsidRPr="00FE29AE">
        <w:rPr>
          <w:sz w:val="22"/>
          <w:szCs w:val="22"/>
          <w:u w:val="single"/>
        </w:rPr>
        <w:t>.</w:t>
      </w:r>
    </w:p>
    <w:p w14:paraId="5AB41EA8" w14:textId="77777777" w:rsidR="003A400F" w:rsidRPr="00FE29AE" w:rsidRDefault="003A400F" w:rsidP="00CF13CA">
      <w:pPr>
        <w:jc w:val="both"/>
        <w:rPr>
          <w:sz w:val="22"/>
          <w:szCs w:val="22"/>
          <w:u w:val="single"/>
        </w:rPr>
      </w:pPr>
    </w:p>
    <w:p w14:paraId="5DC76CDD" w14:textId="345DC25E" w:rsidR="00F54256" w:rsidRPr="00FE29AE" w:rsidRDefault="00F54256" w:rsidP="00CF13CA">
      <w:pPr>
        <w:jc w:val="both"/>
        <w:rPr>
          <w:sz w:val="22"/>
          <w:szCs w:val="22"/>
          <w:u w:val="single"/>
        </w:rPr>
      </w:pPr>
    </w:p>
    <w:p w14:paraId="5B617A9F" w14:textId="45584BA7" w:rsidR="00F54256" w:rsidRPr="00FE29AE" w:rsidRDefault="00F54256" w:rsidP="00F54256">
      <w:pPr>
        <w:pStyle w:val="Heading1"/>
      </w:pPr>
      <w:bookmarkStart w:id="3" w:name="_Toc674220492"/>
      <w:r>
        <w:lastRenderedPageBreak/>
        <w:t xml:space="preserve">1.1 </w:t>
      </w:r>
      <w:r w:rsidR="040B0F99">
        <w:t xml:space="preserve">AWARD CRITERIA A: </w:t>
      </w:r>
      <w:r w:rsidR="00DB21BE">
        <w:t xml:space="preserve">Functional </w:t>
      </w:r>
      <w:r>
        <w:t>Requirements</w:t>
      </w:r>
      <w:bookmarkEnd w:id="3"/>
      <w:r>
        <w:t xml:space="preserve"> </w:t>
      </w:r>
    </w:p>
    <w:p w14:paraId="3DBE500E" w14:textId="7E127EEB" w:rsidR="00E26387" w:rsidRPr="00FE29AE" w:rsidRDefault="00E26387" w:rsidP="00CF13CA">
      <w:pPr>
        <w:pStyle w:val="TableParagraph"/>
        <w:spacing w:line="276" w:lineRule="auto"/>
        <w:jc w:val="both"/>
        <w:rPr>
          <w:lang w:val="en-IE"/>
        </w:rPr>
      </w:pPr>
      <w:r w:rsidRPr="00FE29AE">
        <w:rPr>
          <w:rFonts w:cstheme="minorBidi"/>
          <w:lang w:val="en-IE"/>
        </w:rPr>
        <w:t xml:space="preserve">The functional requirements section is presented </w:t>
      </w:r>
      <w:r w:rsidR="002E4F3A" w:rsidRPr="00FE29AE">
        <w:rPr>
          <w:rFonts w:cstheme="minorBidi"/>
          <w:lang w:val="en-IE"/>
        </w:rPr>
        <w:t>in the table</w:t>
      </w:r>
      <w:r w:rsidR="004B0A30" w:rsidRPr="00FE29AE">
        <w:rPr>
          <w:rFonts w:cstheme="minorBidi"/>
          <w:lang w:val="en-IE"/>
        </w:rPr>
        <w:t>s</w:t>
      </w:r>
      <w:r w:rsidR="002E4F3A" w:rsidRPr="00FE29AE">
        <w:rPr>
          <w:rFonts w:cstheme="minorBidi"/>
          <w:lang w:val="en-IE"/>
        </w:rPr>
        <w:t xml:space="preserve"> below.</w:t>
      </w:r>
    </w:p>
    <w:p w14:paraId="5500F8C3" w14:textId="263352CF" w:rsidR="00DB21BE" w:rsidRPr="00FE29AE" w:rsidRDefault="00DB21BE" w:rsidP="00DB21BE">
      <w:pPr>
        <w:pStyle w:val="TableParagraph"/>
        <w:spacing w:line="276" w:lineRule="auto"/>
        <w:jc w:val="both"/>
        <w:rPr>
          <w:b/>
          <w:color w:val="00B050"/>
          <w:lang w:val="en-IE"/>
        </w:rPr>
      </w:pPr>
    </w:p>
    <w:p w14:paraId="4911FDE8" w14:textId="10CDD323" w:rsidR="00E26387" w:rsidRPr="00FE29AE" w:rsidRDefault="00987FD2" w:rsidP="00AF4674">
      <w:pPr>
        <w:pStyle w:val="Heading2"/>
        <w:numPr>
          <w:ilvl w:val="1"/>
          <w:numId w:val="48"/>
        </w:numPr>
        <w:rPr>
          <w:lang w:val="en-IE"/>
        </w:rPr>
      </w:pPr>
      <w:bookmarkStart w:id="4" w:name="_Toc848182607"/>
      <w:r w:rsidRPr="74FE338F">
        <w:rPr>
          <w:lang w:val="en-IE"/>
        </w:rPr>
        <w:t>Functional Requirements</w:t>
      </w:r>
      <w:bookmarkEnd w:id="4"/>
    </w:p>
    <w:p w14:paraId="7B7D6D8E" w14:textId="77777777" w:rsidR="00AF4674" w:rsidRPr="00FE29AE" w:rsidRDefault="00AF4674" w:rsidP="00AF4674">
      <w:r w:rsidRPr="00FE29AE">
        <w:t xml:space="preserve">The functional requirements section is presented under the following categories: </w:t>
      </w:r>
    </w:p>
    <w:p w14:paraId="6728518F" w14:textId="77777777" w:rsidR="00AF4674" w:rsidRPr="00FE29AE" w:rsidRDefault="00AF4674" w:rsidP="00AF4674"/>
    <w:tbl>
      <w:tblPr>
        <w:tblStyle w:val="GridTable4-Accent6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7278"/>
        <w:gridCol w:w="1048"/>
      </w:tblGrid>
      <w:tr w:rsidR="00CE0552" w:rsidRPr="00FE29AE" w14:paraId="3544EB8D" w14:textId="77777777" w:rsidTr="00D8492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4103FD48" w14:textId="77777777" w:rsidR="00CE0552" w:rsidRPr="00FE29AE" w:rsidRDefault="00CE0552" w:rsidP="003849FA">
            <w:pPr>
              <w:spacing w:line="276" w:lineRule="auto"/>
              <w:jc w:val="center"/>
              <w:rPr>
                <w:rFonts w:cs="Arial"/>
              </w:rPr>
            </w:pPr>
            <w:r w:rsidRPr="00FE29AE">
              <w:rPr>
                <w:rFonts w:cs="Arial"/>
              </w:rPr>
              <w:t>1</w:t>
            </w:r>
          </w:p>
        </w:tc>
        <w:tc>
          <w:tcPr>
            <w:tcW w:w="8326" w:type="dxa"/>
            <w:gridSpan w:val="2"/>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511888CC" w14:textId="77777777" w:rsidR="00CE0552" w:rsidRPr="00FE29AE" w:rsidRDefault="00CE0552" w:rsidP="003849FA">
            <w:pPr>
              <w:spacing w:line="276" w:lineRule="auto"/>
              <w:cnfStyle w:val="100000000000" w:firstRow="1" w:lastRow="0" w:firstColumn="0" w:lastColumn="0" w:oddVBand="0" w:evenVBand="0" w:oddHBand="0" w:evenHBand="0" w:firstRowFirstColumn="0" w:firstRowLastColumn="0" w:lastRowFirstColumn="0" w:lastRowLastColumn="0"/>
              <w:rPr>
                <w:rFonts w:cs="Arial"/>
              </w:rPr>
            </w:pPr>
            <w:r w:rsidRPr="00FE29AE">
              <w:rPr>
                <w:rFonts w:cs="Arial"/>
              </w:rPr>
              <w:t>Hardware</w:t>
            </w:r>
          </w:p>
        </w:tc>
      </w:tr>
      <w:tr w:rsidR="00CE0552" w:rsidRPr="00FE29AE" w14:paraId="36951E52" w14:textId="77777777" w:rsidTr="00D849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00D5A36" w14:textId="77777777" w:rsidR="00CE0552" w:rsidRPr="00FE29AE" w:rsidRDefault="00CE0552" w:rsidP="003849FA">
            <w:pPr>
              <w:spacing w:line="276" w:lineRule="auto"/>
              <w:jc w:val="center"/>
              <w:rPr>
                <w:color w:val="FFFFFF"/>
                <w:sz w:val="18"/>
                <w:szCs w:val="18"/>
              </w:rPr>
            </w:pPr>
            <w:r w:rsidRPr="00FE29AE">
              <w:rPr>
                <w:color w:val="FFFFFF" w:themeColor="background1"/>
                <w:sz w:val="18"/>
                <w:szCs w:val="18"/>
              </w:rPr>
              <w:t>Ref.</w:t>
            </w:r>
          </w:p>
        </w:tc>
        <w:tc>
          <w:tcPr>
            <w:tcW w:w="7278"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B4AA93B" w14:textId="77777777" w:rsidR="00CE0552" w:rsidRPr="00FE29AE" w:rsidRDefault="00CE0552" w:rsidP="003849FA">
            <w:pPr>
              <w:spacing w:line="276" w:lineRule="auto"/>
              <w:cnfStyle w:val="000000100000" w:firstRow="0" w:lastRow="0" w:firstColumn="0" w:lastColumn="0" w:oddVBand="0" w:evenVBand="0" w:oddHBand="1" w:evenHBand="0" w:firstRowFirstColumn="0" w:firstRowLastColumn="0" w:lastRowFirstColumn="0" w:lastRowLastColumn="0"/>
              <w:rPr>
                <w:rFonts w:eastAsiaTheme="minorEastAsia"/>
                <w:b/>
                <w:bCs/>
                <w:color w:val="FFFFFF"/>
                <w:sz w:val="18"/>
                <w:szCs w:val="18"/>
              </w:rPr>
            </w:pPr>
            <w:r w:rsidRPr="00FE29AE">
              <w:rPr>
                <w:rFonts w:eastAsiaTheme="minorEastAsia"/>
                <w:b/>
                <w:bCs/>
                <w:color w:val="FFFFFF" w:themeColor="background1"/>
                <w:sz w:val="18"/>
                <w:szCs w:val="18"/>
              </w:rPr>
              <w:t>Description</w:t>
            </w:r>
          </w:p>
        </w:tc>
        <w:tc>
          <w:tcPr>
            <w:tcW w:w="1048"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4A4AE738"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color w:val="FFFFFF"/>
                <w:sz w:val="18"/>
                <w:szCs w:val="18"/>
              </w:rPr>
            </w:pPr>
            <w:r w:rsidRPr="00FE29AE">
              <w:rPr>
                <w:b/>
                <w:color w:val="FFFFFF" w:themeColor="background1"/>
                <w:sz w:val="18"/>
                <w:szCs w:val="18"/>
              </w:rPr>
              <w:t>Priority</w:t>
            </w:r>
          </w:p>
        </w:tc>
      </w:tr>
      <w:tr w:rsidR="00CE0552" w:rsidRPr="00FE29AE" w14:paraId="5ABA93F4" w14:textId="77777777" w:rsidTr="00D84920">
        <w:trPr>
          <w:trHeight w:val="2250"/>
          <w:jc w:val="center"/>
        </w:trPr>
        <w:tc>
          <w:tcPr>
            <w:cnfStyle w:val="001000000000" w:firstRow="0" w:lastRow="0" w:firstColumn="1" w:lastColumn="0" w:oddVBand="0" w:evenVBand="0" w:oddHBand="0" w:evenHBand="0" w:firstRowFirstColumn="0" w:firstRowLastColumn="0" w:lastRowFirstColumn="0" w:lastRowLastColumn="0"/>
            <w:tcW w:w="684" w:type="dxa"/>
            <w:tcBorders>
              <w:top w:val="single" w:sz="4" w:space="0" w:color="auto"/>
            </w:tcBorders>
            <w:shd w:val="clear" w:color="auto" w:fill="DAE9F7"/>
            <w:vAlign w:val="center"/>
          </w:tcPr>
          <w:p w14:paraId="11B8F480"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1.1</w:t>
            </w:r>
          </w:p>
        </w:tc>
        <w:tc>
          <w:tcPr>
            <w:tcW w:w="7278" w:type="dxa"/>
            <w:tcBorders>
              <w:top w:val="single" w:sz="4" w:space="0" w:color="auto"/>
            </w:tcBorders>
            <w:shd w:val="clear" w:color="auto" w:fill="DAE9F7"/>
            <w:vAlign w:val="center"/>
          </w:tcPr>
          <w:p w14:paraId="7F889BA0" w14:textId="5F5F748E" w:rsidR="00CE0552" w:rsidRPr="00FE29AE" w:rsidRDefault="00CE0552" w:rsidP="003849FA">
            <w:pPr>
              <w:spacing w:line="276" w:lineRule="auto"/>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sidRPr="00FE29AE">
              <w:rPr>
                <w:rFonts w:eastAsiaTheme="minorEastAsia"/>
                <w:color w:val="000000" w:themeColor="text1"/>
                <w:sz w:val="18"/>
                <w:szCs w:val="18"/>
              </w:rPr>
              <w:t>Hardwired in vehicle telematics devices which are transferable, with tamper proof design. Tamper proof stickers must be fitted. Tenderers shall list the tamper proof features of the device. The unit / system must be expansion proof to facilitate software upgrades and additional monitoring. Please provide details of the expansion capability of your system and the remote upgrading of the monitoring unit. The audible warning device must be activated on ignition start.</w:t>
            </w:r>
          </w:p>
          <w:p w14:paraId="36C7541E" w14:textId="77777777" w:rsidR="00CE0552" w:rsidRPr="00FE29AE" w:rsidRDefault="00CE0552" w:rsidP="003849FA">
            <w:pPr>
              <w:spacing w:line="276" w:lineRule="auto"/>
              <w:cnfStyle w:val="000000000000" w:firstRow="0" w:lastRow="0" w:firstColumn="0" w:lastColumn="0" w:oddVBand="0" w:evenVBand="0" w:oddHBand="0" w:evenHBand="0" w:firstRowFirstColumn="0" w:firstRowLastColumn="0" w:lastRowFirstColumn="0" w:lastRowLastColumn="0"/>
              <w:rPr>
                <w:rFonts w:eastAsiaTheme="minorEastAsia"/>
                <w:color w:val="000000"/>
                <w:sz w:val="18"/>
                <w:szCs w:val="18"/>
              </w:rPr>
            </w:pPr>
          </w:p>
        </w:tc>
        <w:tc>
          <w:tcPr>
            <w:tcW w:w="1048" w:type="dxa"/>
            <w:tcBorders>
              <w:top w:val="single" w:sz="4" w:space="0" w:color="auto"/>
            </w:tcBorders>
            <w:shd w:val="clear" w:color="auto" w:fill="DAE9F7"/>
            <w:vAlign w:val="center"/>
          </w:tcPr>
          <w:p w14:paraId="17F2DAA4"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7D93CAAB" w14:textId="77777777" w:rsidTr="00D849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84" w:type="dxa"/>
            <w:shd w:val="clear" w:color="auto" w:fill="DAE9F7"/>
            <w:vAlign w:val="center"/>
          </w:tcPr>
          <w:p w14:paraId="42CAD154"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1.2</w:t>
            </w:r>
          </w:p>
        </w:tc>
        <w:tc>
          <w:tcPr>
            <w:tcW w:w="7278" w:type="dxa"/>
            <w:shd w:val="clear" w:color="auto" w:fill="DAE9F7"/>
            <w:vAlign w:val="center"/>
          </w:tcPr>
          <w:p w14:paraId="79CD6D9C" w14:textId="6BB00E2D"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 xml:space="preserve">The successful tenderer will be required to supply, install, commission, and monitor and maintain </w:t>
            </w:r>
            <w:r w:rsidRPr="00AD4E05">
              <w:rPr>
                <w:rFonts w:eastAsiaTheme="minorEastAsia"/>
                <w:sz w:val="18"/>
                <w:szCs w:val="18"/>
              </w:rPr>
              <w:t xml:space="preserve">the system. They will de-commission and remove the devices after the period of hire. This service </w:t>
            </w:r>
            <w:r w:rsidR="000853E9" w:rsidRPr="00AD4E05">
              <w:rPr>
                <w:rFonts w:ascii="Calibri" w:eastAsia="Calibri" w:hAnsi="Calibri" w:cs="Calibri"/>
                <w:sz w:val="18"/>
                <w:szCs w:val="18"/>
              </w:rPr>
              <w:t xml:space="preserve">inclusive on any unit replacements </w:t>
            </w:r>
            <w:r w:rsidRPr="00FE29AE">
              <w:rPr>
                <w:rFonts w:eastAsiaTheme="minorEastAsia"/>
                <w:color w:val="000000" w:themeColor="text1"/>
                <w:sz w:val="18"/>
                <w:szCs w:val="18"/>
              </w:rPr>
              <w:t>will be part of the unit cost and will not incur additional costs.</w:t>
            </w:r>
          </w:p>
        </w:tc>
        <w:tc>
          <w:tcPr>
            <w:tcW w:w="1048" w:type="dxa"/>
            <w:shd w:val="clear" w:color="auto" w:fill="DAE9F7"/>
            <w:vAlign w:val="center"/>
          </w:tcPr>
          <w:p w14:paraId="58F301AA"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bl>
    <w:p w14:paraId="77AF7BAC" w14:textId="77777777" w:rsidR="00CE0552" w:rsidRPr="00FE29AE" w:rsidRDefault="00CE0552" w:rsidP="00CE0552">
      <w:pPr>
        <w:spacing w:line="276" w:lineRule="auto"/>
        <w:jc w:val="both"/>
        <w:rPr>
          <w:b/>
        </w:rPr>
      </w:pPr>
    </w:p>
    <w:p w14:paraId="22287803" w14:textId="77777777" w:rsidR="00CE0552" w:rsidRPr="00FE29AE" w:rsidRDefault="00CE0552" w:rsidP="00CE0552">
      <w:pPr>
        <w:tabs>
          <w:tab w:val="center" w:pos="4513"/>
        </w:tabs>
        <w:spacing w:after="160" w:line="259" w:lineRule="auto"/>
      </w:pPr>
    </w:p>
    <w:p w14:paraId="0590CEC1" w14:textId="77777777" w:rsidR="00CE0552" w:rsidRPr="00FE29AE" w:rsidRDefault="00CE0552" w:rsidP="00CE0552">
      <w:pPr>
        <w:tabs>
          <w:tab w:val="center" w:pos="4513"/>
        </w:tabs>
        <w:spacing w:after="160" w:line="259" w:lineRule="auto"/>
      </w:pPr>
    </w:p>
    <w:tbl>
      <w:tblPr>
        <w:tblStyle w:val="GridTable4-Accent6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7279"/>
        <w:gridCol w:w="1045"/>
      </w:tblGrid>
      <w:tr w:rsidR="00CE0552" w:rsidRPr="00FE29AE" w14:paraId="2CC8E83B" w14:textId="77777777" w:rsidTr="173875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1F58766A" w14:textId="77777777" w:rsidR="00CE0552" w:rsidRPr="00FE29AE" w:rsidRDefault="00CE0552" w:rsidP="003849FA">
            <w:pPr>
              <w:spacing w:line="276" w:lineRule="auto"/>
              <w:jc w:val="center"/>
              <w:rPr>
                <w:rFonts w:ascii="Calibri" w:eastAsia="Calibri" w:hAnsi="Calibri" w:cs="Arial"/>
                <w:color w:val="FFFFFF" w:themeColor="background1"/>
              </w:rPr>
            </w:pPr>
            <w:r w:rsidRPr="00FE29AE">
              <w:rPr>
                <w:rFonts w:ascii="Calibri" w:eastAsia="Calibri" w:hAnsi="Calibri" w:cs="Arial"/>
                <w:color w:val="FFFFFF" w:themeColor="background1"/>
              </w:rPr>
              <w:t>2</w:t>
            </w:r>
          </w:p>
        </w:tc>
        <w:tc>
          <w:tcPr>
            <w:tcW w:w="9016" w:type="dxa"/>
            <w:gridSpan w:val="2"/>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1FC3921B" w14:textId="77777777" w:rsidR="00CE0552" w:rsidRPr="00FE29AE" w:rsidRDefault="00CE0552" w:rsidP="003849FA">
            <w:pPr>
              <w:spacing w:line="276" w:lineRule="auto"/>
              <w:cnfStyle w:val="100000000000" w:firstRow="1" w:lastRow="0" w:firstColumn="0" w:lastColumn="0" w:oddVBand="0" w:evenVBand="0" w:oddHBand="0" w:evenHBand="0" w:firstRowFirstColumn="0" w:firstRowLastColumn="0" w:lastRowFirstColumn="0" w:lastRowLastColumn="0"/>
            </w:pPr>
            <w:r w:rsidRPr="00FE29AE">
              <w:rPr>
                <w:rFonts w:ascii="Calibri" w:eastAsia="Calibri" w:hAnsi="Calibri" w:cs="Arial"/>
                <w:color w:val="FFFFFF" w:themeColor="background1"/>
              </w:rPr>
              <w:t>General Requirements</w:t>
            </w:r>
          </w:p>
        </w:tc>
      </w:tr>
      <w:tr w:rsidR="00CE0552" w:rsidRPr="00FE29AE" w14:paraId="505875B1"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281F1C8" w14:textId="77777777" w:rsidR="00CE0552" w:rsidRPr="00FE29AE" w:rsidRDefault="00CE0552" w:rsidP="003849FA">
            <w:pPr>
              <w:spacing w:line="276" w:lineRule="auto"/>
              <w:jc w:val="center"/>
              <w:rPr>
                <w:rFonts w:eastAsia="Calibri"/>
                <w:color w:val="FFFFFF" w:themeColor="background1"/>
                <w:sz w:val="18"/>
                <w:szCs w:val="18"/>
              </w:rPr>
            </w:pPr>
            <w:r w:rsidRPr="00FE29AE">
              <w:rPr>
                <w:rFonts w:eastAsia="Calibri"/>
                <w:color w:val="FFFFFF" w:themeColor="background1"/>
                <w:sz w:val="18"/>
                <w:szCs w:val="18"/>
              </w:rPr>
              <w:t>Ref.</w:t>
            </w:r>
          </w:p>
        </w:tc>
        <w:tc>
          <w:tcPr>
            <w:tcW w:w="7938"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E255109" w14:textId="77777777" w:rsidR="00CE0552" w:rsidRPr="00FE29AE" w:rsidRDefault="00CE0552" w:rsidP="003849FA">
            <w:pPr>
              <w:spacing w:line="276" w:lineRule="auto"/>
              <w:cnfStyle w:val="000000100000" w:firstRow="0" w:lastRow="0" w:firstColumn="0" w:lastColumn="0" w:oddVBand="0" w:evenVBand="0" w:oddHBand="1" w:evenHBand="0" w:firstRowFirstColumn="0" w:firstRowLastColumn="0" w:lastRowFirstColumn="0" w:lastRowLastColumn="0"/>
              <w:rPr>
                <w:rFonts w:eastAsia="Calibri"/>
                <w:b/>
                <w:color w:val="FFFFFF" w:themeColor="background1"/>
                <w:sz w:val="18"/>
                <w:szCs w:val="18"/>
              </w:rPr>
            </w:pPr>
            <w:r w:rsidRPr="00FE29AE">
              <w:rPr>
                <w:rFonts w:eastAsia="Calibri"/>
                <w:b/>
                <w:color w:val="FFFFFF" w:themeColor="background1"/>
                <w:sz w:val="18"/>
                <w:szCs w:val="18"/>
              </w:rPr>
              <w:t>Description</w:t>
            </w:r>
          </w:p>
        </w:tc>
        <w:tc>
          <w:tcPr>
            <w:tcW w:w="1078"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8A295C5"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b/>
                <w:color w:val="FFFFFF" w:themeColor="background1"/>
                <w:sz w:val="18"/>
                <w:szCs w:val="18"/>
              </w:rPr>
            </w:pPr>
            <w:r w:rsidRPr="00FE29AE">
              <w:rPr>
                <w:rFonts w:eastAsia="Calibri"/>
                <w:b/>
                <w:color w:val="FFFFFF" w:themeColor="background1"/>
                <w:sz w:val="18"/>
                <w:szCs w:val="18"/>
              </w:rPr>
              <w:t>Priority</w:t>
            </w:r>
          </w:p>
        </w:tc>
      </w:tr>
      <w:tr w:rsidR="00CE0552" w:rsidRPr="00FE29AE" w14:paraId="216C6DA8"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tcBorders>
            <w:shd w:val="clear" w:color="auto" w:fill="DAE9F7"/>
            <w:vAlign w:val="center"/>
          </w:tcPr>
          <w:p w14:paraId="6CA7D9F2" w14:textId="77777777" w:rsidR="00CE0552" w:rsidRPr="00FE29AE" w:rsidRDefault="00CE0552" w:rsidP="003849FA">
            <w:pPr>
              <w:spacing w:line="276" w:lineRule="auto"/>
              <w:jc w:val="center"/>
              <w:rPr>
                <w:rFonts w:eastAsiaTheme="minorEastAsia"/>
                <w:color w:val="000000" w:themeColor="text1"/>
                <w:sz w:val="18"/>
                <w:szCs w:val="18"/>
              </w:rPr>
            </w:pPr>
          </w:p>
        </w:tc>
        <w:tc>
          <w:tcPr>
            <w:tcW w:w="7938" w:type="dxa"/>
            <w:tcBorders>
              <w:top w:val="single" w:sz="4" w:space="0" w:color="auto"/>
            </w:tcBorders>
            <w:shd w:val="clear" w:color="auto" w:fill="DAE9F7"/>
            <w:vAlign w:val="center"/>
          </w:tcPr>
          <w:p w14:paraId="7E610029" w14:textId="77777777" w:rsidR="00CE0552" w:rsidRPr="00FE29AE" w:rsidRDefault="00CE0552" w:rsidP="003849FA">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18"/>
                <w:szCs w:val="18"/>
              </w:rPr>
            </w:pPr>
          </w:p>
        </w:tc>
        <w:tc>
          <w:tcPr>
            <w:tcW w:w="1078" w:type="dxa"/>
            <w:tcBorders>
              <w:top w:val="single" w:sz="4" w:space="0" w:color="auto"/>
            </w:tcBorders>
            <w:shd w:val="clear" w:color="auto" w:fill="DAE9F7"/>
            <w:vAlign w:val="center"/>
          </w:tcPr>
          <w:p w14:paraId="6A5030C9"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p>
        </w:tc>
      </w:tr>
      <w:tr w:rsidR="00CE0552" w:rsidRPr="00FE29AE" w14:paraId="59BC45EC"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AE9F7"/>
            <w:vAlign w:val="center"/>
          </w:tcPr>
          <w:p w14:paraId="57B78951"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2.1</w:t>
            </w:r>
          </w:p>
        </w:tc>
        <w:tc>
          <w:tcPr>
            <w:tcW w:w="7938" w:type="dxa"/>
            <w:shd w:val="clear" w:color="auto" w:fill="DAE9F7"/>
            <w:vAlign w:val="center"/>
          </w:tcPr>
          <w:p w14:paraId="371BC69D"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must be web based and accessible through the internet. It must be hosted 100% off-site with full redundancy. Tenderers must provide full details of the arrangements they propose to put in place to protect Inland Fisheries Irelands data in the event of primary site failure and to permit investigation by Inland Fisheries Irelands IT specialists on request. </w:t>
            </w:r>
          </w:p>
        </w:tc>
        <w:tc>
          <w:tcPr>
            <w:tcW w:w="1078" w:type="dxa"/>
            <w:shd w:val="clear" w:color="auto" w:fill="DAE9F7"/>
            <w:vAlign w:val="center"/>
          </w:tcPr>
          <w:p w14:paraId="3F9F34E0"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77B74699"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AE9F7"/>
            <w:vAlign w:val="center"/>
          </w:tcPr>
          <w:p w14:paraId="26D352B1"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2.2</w:t>
            </w:r>
          </w:p>
          <w:p w14:paraId="14180F9E" w14:textId="77777777" w:rsidR="00CE0552" w:rsidRPr="00FE29AE" w:rsidRDefault="00CE0552" w:rsidP="003849FA">
            <w:pPr>
              <w:spacing w:line="276" w:lineRule="auto"/>
              <w:jc w:val="center"/>
              <w:rPr>
                <w:rFonts w:eastAsiaTheme="minorEastAsia"/>
                <w:color w:val="000000" w:themeColor="text1"/>
                <w:sz w:val="18"/>
                <w:szCs w:val="18"/>
              </w:rPr>
            </w:pPr>
          </w:p>
        </w:tc>
        <w:tc>
          <w:tcPr>
            <w:tcW w:w="7938" w:type="dxa"/>
            <w:shd w:val="clear" w:color="auto" w:fill="DAE9F7"/>
            <w:vAlign w:val="center"/>
          </w:tcPr>
          <w:p w14:paraId="7A1BE687" w14:textId="6CDA2FA9"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Real time tracking – giving the current location of each vehicle tracked. </w:t>
            </w:r>
          </w:p>
        </w:tc>
        <w:tc>
          <w:tcPr>
            <w:tcW w:w="1078" w:type="dxa"/>
            <w:shd w:val="clear" w:color="auto" w:fill="DAE9F7"/>
            <w:vAlign w:val="center"/>
          </w:tcPr>
          <w:p w14:paraId="1B67C9D9"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626D4ABB"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AE9F7"/>
            <w:vAlign w:val="center"/>
          </w:tcPr>
          <w:p w14:paraId="4D1C4156"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2.3</w:t>
            </w:r>
          </w:p>
        </w:tc>
        <w:tc>
          <w:tcPr>
            <w:tcW w:w="7938" w:type="dxa"/>
            <w:shd w:val="clear" w:color="auto" w:fill="DAE9F7"/>
            <w:vAlign w:val="center"/>
          </w:tcPr>
          <w:p w14:paraId="50034D7E"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as a minimum must be capable of handling all Inland Fisheries Ireland vehicles and be capable of expansion to double the existing fleet size. The history of each vehicle must be kept for a minimum of seven years. </w:t>
            </w:r>
          </w:p>
        </w:tc>
        <w:tc>
          <w:tcPr>
            <w:tcW w:w="1078" w:type="dxa"/>
            <w:shd w:val="clear" w:color="auto" w:fill="DAE9F7"/>
            <w:vAlign w:val="center"/>
          </w:tcPr>
          <w:p w14:paraId="29C0BF07"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78A2CA58"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AE9F7"/>
            <w:vAlign w:val="center"/>
          </w:tcPr>
          <w:p w14:paraId="15D8C3F3"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2.4</w:t>
            </w:r>
          </w:p>
        </w:tc>
        <w:tc>
          <w:tcPr>
            <w:tcW w:w="7938" w:type="dxa"/>
            <w:shd w:val="clear" w:color="auto" w:fill="DAE9F7"/>
            <w:vAlign w:val="center"/>
          </w:tcPr>
          <w:p w14:paraId="37E1F6DA"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Style w:val="normaltextrun"/>
                <w:color w:val="000000" w:themeColor="text1"/>
                <w:sz w:val="18"/>
                <w:szCs w:val="18"/>
              </w:rPr>
              <w:t>The in-vehicle telematics unit supplied shall adhere to all Irish and EU Standards Applicable to such devices and have a unique identifier individually identifiable on the system. When a unit is transferred, the system must be updated to reflect the transfer date and time and the history for the vehicle the unit is moved from must be maintained. </w:t>
            </w:r>
          </w:p>
        </w:tc>
        <w:tc>
          <w:tcPr>
            <w:tcW w:w="1078" w:type="dxa"/>
            <w:shd w:val="clear" w:color="auto" w:fill="DAE9F7"/>
            <w:vAlign w:val="center"/>
          </w:tcPr>
          <w:p w14:paraId="72C7DE29"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Should</w:t>
            </w:r>
          </w:p>
        </w:tc>
      </w:tr>
      <w:tr w:rsidR="00CE0552" w:rsidRPr="00FE29AE" w14:paraId="13DD7D84"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18399120"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2.5</w:t>
            </w:r>
          </w:p>
        </w:tc>
        <w:tc>
          <w:tcPr>
            <w:tcW w:w="7274" w:type="dxa"/>
            <w:shd w:val="clear" w:color="auto" w:fill="DAE9F7"/>
            <w:vAlign w:val="center"/>
          </w:tcPr>
          <w:p w14:paraId="7381358A"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Fitting of the GPS telematics unit should not breach the vehicle manufacturers warranty</w:t>
            </w:r>
          </w:p>
        </w:tc>
        <w:tc>
          <w:tcPr>
            <w:tcW w:w="1053" w:type="dxa"/>
            <w:shd w:val="clear" w:color="auto" w:fill="DAE9F7"/>
            <w:vAlign w:val="center"/>
          </w:tcPr>
          <w:p w14:paraId="3EEFE2D3"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Should</w:t>
            </w:r>
          </w:p>
        </w:tc>
      </w:tr>
      <w:tr w:rsidR="00CE0552" w:rsidRPr="00FE29AE" w14:paraId="1CFE0A40"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3324E1A8"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2.6</w:t>
            </w:r>
          </w:p>
        </w:tc>
        <w:tc>
          <w:tcPr>
            <w:tcW w:w="7274" w:type="dxa"/>
            <w:shd w:val="clear" w:color="auto" w:fill="DAE9F7"/>
            <w:vAlign w:val="center"/>
          </w:tcPr>
          <w:p w14:paraId="28F1C66B" w14:textId="77777777" w:rsidR="00CE0552" w:rsidRPr="00FE29AE" w:rsidRDefault="00CE0552" w:rsidP="003849F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 xml:space="preserve">The GPS telematics units &amp; ID units must be installed at IFI locations nationwide. </w:t>
            </w:r>
          </w:p>
        </w:tc>
        <w:tc>
          <w:tcPr>
            <w:tcW w:w="1053" w:type="dxa"/>
            <w:shd w:val="clear" w:color="auto" w:fill="DAE9F7"/>
            <w:vAlign w:val="center"/>
          </w:tcPr>
          <w:p w14:paraId="5E55CF49"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6A30DE46"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58DBEDD9"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2.7</w:t>
            </w:r>
          </w:p>
        </w:tc>
        <w:tc>
          <w:tcPr>
            <w:tcW w:w="7274" w:type="dxa"/>
            <w:shd w:val="clear" w:color="auto" w:fill="DAE9F7"/>
            <w:vAlign w:val="center"/>
          </w:tcPr>
          <w:p w14:paraId="08408B4E" w14:textId="77777777" w:rsidR="00CE0552" w:rsidRPr="00FE29AE" w:rsidRDefault="00CE0552" w:rsidP="003849FA">
            <w:pPr>
              <w:pStyle w:val="paragraph"/>
              <w:spacing w:beforeAutospacing="0" w:afterAutospacing="0"/>
              <w:jc w:val="both"/>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FE29AE">
              <w:rPr>
                <w:color w:val="000000" w:themeColor="text1"/>
                <w:sz w:val="18"/>
                <w:szCs w:val="18"/>
              </w:rPr>
              <w:t>When possible, in the event of a vehicle not been in daily use, the telematics software should be configured to stop sending updates which could cause the vehicle battery to go below the minimum voltage to start the vehicle</w:t>
            </w:r>
          </w:p>
        </w:tc>
        <w:tc>
          <w:tcPr>
            <w:tcW w:w="1053" w:type="dxa"/>
            <w:shd w:val="clear" w:color="auto" w:fill="DAE9F7"/>
            <w:vAlign w:val="center"/>
          </w:tcPr>
          <w:p w14:paraId="2F2CF146"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Should</w:t>
            </w:r>
          </w:p>
        </w:tc>
      </w:tr>
      <w:tr w:rsidR="00CE0552" w:rsidRPr="00FE29AE" w14:paraId="0EF60063"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6FCC0715"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2.8</w:t>
            </w:r>
          </w:p>
        </w:tc>
        <w:tc>
          <w:tcPr>
            <w:tcW w:w="7274" w:type="dxa"/>
            <w:shd w:val="clear" w:color="auto" w:fill="DAE9F7"/>
            <w:vAlign w:val="center"/>
          </w:tcPr>
          <w:p w14:paraId="0138A0CD"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Style w:val="normaltextrun"/>
                <w:color w:val="000000" w:themeColor="text1"/>
                <w:sz w:val="18"/>
                <w:szCs w:val="18"/>
              </w:rPr>
              <w:t>Driver Identification: The system must have the option of driver identification (for example by means of driver I.D. key fob) and will include an audible warning device to remind the driver to fob. A driver ID fob system must be provided for each vehicle complete with key fob, receiver unit, and audible warning device. IFI fleet management must be provided with a mechanism to activate fobs on and off the system (i.e. Fob ID No. Reader).</w:t>
            </w:r>
          </w:p>
        </w:tc>
        <w:tc>
          <w:tcPr>
            <w:tcW w:w="1053" w:type="dxa"/>
            <w:shd w:val="clear" w:color="auto" w:fill="DAE9F7"/>
            <w:vAlign w:val="center"/>
          </w:tcPr>
          <w:p w14:paraId="747D88CC"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55A83E20"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0E7981CD"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lastRenderedPageBreak/>
              <w:t>FR 2.9</w:t>
            </w:r>
          </w:p>
        </w:tc>
        <w:tc>
          <w:tcPr>
            <w:tcW w:w="7274" w:type="dxa"/>
            <w:shd w:val="clear" w:color="auto" w:fill="DAE9F7"/>
            <w:vAlign w:val="center"/>
          </w:tcPr>
          <w:p w14:paraId="667552E9" w14:textId="42FBFB72" w:rsidR="00CE0552" w:rsidRPr="00FE29AE" w:rsidRDefault="04D1107C" w:rsidP="14C50CD6">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AD4E05">
              <w:rPr>
                <w:rFonts w:eastAsiaTheme="minorEastAsia"/>
                <w:sz w:val="18"/>
                <w:szCs w:val="18"/>
              </w:rPr>
              <w:t xml:space="preserve">Access to </w:t>
            </w:r>
            <w:proofErr w:type="spellStart"/>
            <w:r w:rsidRPr="00AD4E05">
              <w:rPr>
                <w:rFonts w:eastAsiaTheme="minorEastAsia"/>
                <w:sz w:val="18"/>
                <w:szCs w:val="18"/>
              </w:rPr>
              <w:t>CanBUS</w:t>
            </w:r>
            <w:proofErr w:type="spellEnd"/>
            <w:r w:rsidRPr="00AD4E05">
              <w:rPr>
                <w:rFonts w:eastAsiaTheme="minorEastAsia"/>
                <w:sz w:val="18"/>
                <w:szCs w:val="18"/>
              </w:rPr>
              <w:t xml:space="preserve"> for live odometer data is required.</w:t>
            </w:r>
            <w:r w:rsidR="16E20DAE" w:rsidRPr="00AD4E05">
              <w:rPr>
                <w:rFonts w:eastAsiaTheme="minorEastAsia"/>
                <w:sz w:val="18"/>
                <w:szCs w:val="18"/>
              </w:rPr>
              <w:t xml:space="preserve"> </w:t>
            </w:r>
            <w:r w:rsidR="16E20DAE" w:rsidRPr="00AD4E05">
              <w:rPr>
                <w:rFonts w:ascii="Calibri" w:eastAsia="Calibri" w:hAnsi="Calibri" w:cs="Calibri"/>
                <w:sz w:val="18"/>
                <w:szCs w:val="18"/>
              </w:rPr>
              <w:t xml:space="preserve">List all available contactless connector </w:t>
            </w:r>
            <w:proofErr w:type="spellStart"/>
            <w:r w:rsidR="16E20DAE" w:rsidRPr="00AD4E05">
              <w:rPr>
                <w:rFonts w:ascii="Calibri" w:eastAsia="Calibri" w:hAnsi="Calibri" w:cs="Calibri"/>
                <w:sz w:val="18"/>
                <w:szCs w:val="18"/>
              </w:rPr>
              <w:t>CanBUS</w:t>
            </w:r>
            <w:proofErr w:type="spellEnd"/>
            <w:r w:rsidR="16E20DAE" w:rsidRPr="00AD4E05">
              <w:rPr>
                <w:rFonts w:ascii="Calibri" w:eastAsia="Calibri" w:hAnsi="Calibri" w:cs="Calibri"/>
                <w:sz w:val="18"/>
                <w:szCs w:val="18"/>
              </w:rPr>
              <w:t xml:space="preserve"> data. Detail of alerts </w:t>
            </w:r>
            <w:r w:rsidR="02D7E740" w:rsidRPr="00AD4E05">
              <w:rPr>
                <w:rFonts w:ascii="Calibri" w:eastAsia="Calibri" w:hAnsi="Calibri" w:cs="Calibri"/>
                <w:sz w:val="18"/>
                <w:szCs w:val="18"/>
              </w:rPr>
              <w:t>when unit</w:t>
            </w:r>
            <w:r w:rsidR="16E20DAE" w:rsidRPr="00AD4E05">
              <w:rPr>
                <w:rFonts w:ascii="Calibri" w:eastAsia="Calibri" w:hAnsi="Calibri" w:cs="Calibri"/>
                <w:sz w:val="18"/>
                <w:szCs w:val="18"/>
              </w:rPr>
              <w:t xml:space="preserve"> stops sending data.</w:t>
            </w:r>
          </w:p>
        </w:tc>
        <w:tc>
          <w:tcPr>
            <w:tcW w:w="1053" w:type="dxa"/>
            <w:shd w:val="clear" w:color="auto" w:fill="DAE9F7"/>
            <w:vAlign w:val="center"/>
          </w:tcPr>
          <w:p w14:paraId="3DFAB2C0" w14:textId="46BE7081" w:rsidR="00CE0552" w:rsidRPr="00FE29AE" w:rsidRDefault="565C60A7"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17387562">
              <w:rPr>
                <w:rFonts w:eastAsia="Times New Roman"/>
                <w:sz w:val="18"/>
                <w:szCs w:val="18"/>
              </w:rPr>
              <w:t>Should</w:t>
            </w:r>
          </w:p>
        </w:tc>
      </w:tr>
      <w:tr w:rsidR="00CE0552" w:rsidRPr="00FE29AE" w14:paraId="74936C84"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32642B51"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2.10</w:t>
            </w:r>
          </w:p>
        </w:tc>
        <w:tc>
          <w:tcPr>
            <w:tcW w:w="7274" w:type="dxa"/>
            <w:shd w:val="clear" w:color="auto" w:fill="DAE9F7"/>
            <w:vAlign w:val="center"/>
          </w:tcPr>
          <w:p w14:paraId="47DE8629"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It is envisaged that the network refresh on vehicle location/details should happen at 30 second intervals and each time a vehicle stops or starts or does more than a 15-degree turn. The tenderer is responsible for all communication costs for the fleet telematics information system as part of the Lease rate. </w:t>
            </w:r>
          </w:p>
        </w:tc>
        <w:tc>
          <w:tcPr>
            <w:tcW w:w="1053" w:type="dxa"/>
            <w:shd w:val="clear" w:color="auto" w:fill="DAE9F7"/>
            <w:vAlign w:val="center"/>
          </w:tcPr>
          <w:p w14:paraId="3ECDB487"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Should</w:t>
            </w:r>
          </w:p>
        </w:tc>
      </w:tr>
      <w:tr w:rsidR="00CE0552" w:rsidRPr="00FE29AE" w14:paraId="7BA806F1"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4519106F" w14:textId="78E11562" w:rsidR="00CE0552" w:rsidRPr="00FE29AE" w:rsidRDefault="00CE0552" w:rsidP="009035D0">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2.11</w:t>
            </w:r>
          </w:p>
        </w:tc>
        <w:tc>
          <w:tcPr>
            <w:tcW w:w="7274" w:type="dxa"/>
            <w:shd w:val="clear" w:color="auto" w:fill="DAE9F7"/>
            <w:vAlign w:val="center"/>
          </w:tcPr>
          <w:p w14:paraId="6D98566D"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 xml:space="preserve">The system will be capable of having up to 5 concurrent superusers with full access. </w:t>
            </w:r>
          </w:p>
        </w:tc>
        <w:tc>
          <w:tcPr>
            <w:tcW w:w="1053" w:type="dxa"/>
            <w:shd w:val="clear" w:color="auto" w:fill="DAE9F7"/>
            <w:vAlign w:val="center"/>
          </w:tcPr>
          <w:p w14:paraId="08388737"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68B1F887"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781F5411"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2.12</w:t>
            </w:r>
          </w:p>
        </w:tc>
        <w:tc>
          <w:tcPr>
            <w:tcW w:w="7274" w:type="dxa"/>
            <w:shd w:val="clear" w:color="auto" w:fill="DAE9F7"/>
            <w:vAlign w:val="center"/>
          </w:tcPr>
          <w:p w14:paraId="64E90E94"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must be configurable to give varying degrees of permission to managers of vehicles and vehicle groups. Users and permissions must be configurable to provide controlled access to relevant data/tracked assets.</w:t>
            </w:r>
          </w:p>
        </w:tc>
        <w:tc>
          <w:tcPr>
            <w:tcW w:w="1053" w:type="dxa"/>
            <w:shd w:val="clear" w:color="auto" w:fill="DAE9F7"/>
            <w:vAlign w:val="center"/>
          </w:tcPr>
          <w:p w14:paraId="5BE12E16"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70BDB0EB"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0E983A86"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2.13</w:t>
            </w:r>
          </w:p>
        </w:tc>
        <w:tc>
          <w:tcPr>
            <w:tcW w:w="7274" w:type="dxa"/>
            <w:shd w:val="clear" w:color="auto" w:fill="DAE9F7"/>
            <w:vAlign w:val="center"/>
          </w:tcPr>
          <w:p w14:paraId="0109D43E"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must be configurable to create different vehicle groups.</w:t>
            </w:r>
          </w:p>
        </w:tc>
        <w:tc>
          <w:tcPr>
            <w:tcW w:w="1053" w:type="dxa"/>
            <w:shd w:val="clear" w:color="auto" w:fill="DAE9F7"/>
            <w:vAlign w:val="center"/>
          </w:tcPr>
          <w:p w14:paraId="711FEC6B"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6C993337"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383909E7" w14:textId="77777777" w:rsidR="00CE0552" w:rsidRPr="00FE29AE" w:rsidRDefault="00CE0552" w:rsidP="003849FA">
            <w:pPr>
              <w:spacing w:line="276" w:lineRule="auto"/>
              <w:jc w:val="center"/>
              <w:rPr>
                <w:rFonts w:eastAsiaTheme="minorEastAsia"/>
                <w:color w:val="000000" w:themeColor="text1"/>
                <w:sz w:val="18"/>
                <w:szCs w:val="18"/>
              </w:rPr>
            </w:pPr>
            <w:r w:rsidRPr="00FE29AE">
              <w:rPr>
                <w:rFonts w:eastAsiaTheme="minorEastAsia"/>
                <w:color w:val="000000" w:themeColor="text1"/>
                <w:sz w:val="18"/>
                <w:szCs w:val="18"/>
              </w:rPr>
              <w:t>FR 2.14</w:t>
            </w:r>
          </w:p>
        </w:tc>
        <w:tc>
          <w:tcPr>
            <w:tcW w:w="7274" w:type="dxa"/>
            <w:shd w:val="clear" w:color="auto" w:fill="DAE9F7"/>
            <w:vAlign w:val="center"/>
          </w:tcPr>
          <w:p w14:paraId="7F3DB75C"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System access is with password-controlled access and must include two factor authentication.</w:t>
            </w:r>
          </w:p>
        </w:tc>
        <w:tc>
          <w:tcPr>
            <w:tcW w:w="1053" w:type="dxa"/>
            <w:shd w:val="clear" w:color="auto" w:fill="DAE9F7"/>
            <w:vAlign w:val="center"/>
          </w:tcPr>
          <w:p w14:paraId="7DB03975"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4C0074E7"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4C4EAC9B"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2.15</w:t>
            </w:r>
          </w:p>
        </w:tc>
        <w:tc>
          <w:tcPr>
            <w:tcW w:w="7274" w:type="dxa"/>
            <w:shd w:val="clear" w:color="auto" w:fill="DAE9F7"/>
            <w:vAlign w:val="center"/>
          </w:tcPr>
          <w:p w14:paraId="0140983E"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Style w:val="normaltextrun"/>
                <w:color w:val="000000" w:themeColor="text1"/>
                <w:sz w:val="18"/>
                <w:szCs w:val="18"/>
              </w:rPr>
              <w:t>The system must be capable of operating within the Inland Fisheries Ireland IT infrastructure (current systems are Microsoft Edge &amp; Windows 11). </w:t>
            </w:r>
          </w:p>
        </w:tc>
        <w:tc>
          <w:tcPr>
            <w:tcW w:w="1053" w:type="dxa"/>
            <w:shd w:val="clear" w:color="auto" w:fill="DAE9F7"/>
            <w:vAlign w:val="center"/>
          </w:tcPr>
          <w:p w14:paraId="261D4583"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5BDDEED1"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48919DBE"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2.16</w:t>
            </w:r>
          </w:p>
        </w:tc>
        <w:tc>
          <w:tcPr>
            <w:tcW w:w="7274" w:type="dxa"/>
            <w:shd w:val="clear" w:color="auto" w:fill="DAE9F7"/>
            <w:vAlign w:val="center"/>
          </w:tcPr>
          <w:p w14:paraId="155D5FB0" w14:textId="77777777" w:rsidR="00CE0552" w:rsidRPr="00FE29AE" w:rsidRDefault="00CE0552" w:rsidP="003849F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GPS unit audible warning device will be capable of being remotely deactivated on vehicles where the audible device is faulty.</w:t>
            </w:r>
          </w:p>
        </w:tc>
        <w:tc>
          <w:tcPr>
            <w:tcW w:w="1053" w:type="dxa"/>
            <w:shd w:val="clear" w:color="auto" w:fill="DAE9F7"/>
            <w:vAlign w:val="center"/>
          </w:tcPr>
          <w:p w14:paraId="3A2C985D"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Should</w:t>
            </w:r>
          </w:p>
        </w:tc>
      </w:tr>
      <w:tr w:rsidR="00CE0552" w:rsidRPr="00FE29AE" w14:paraId="778D9871"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6C1FA941"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2.17</w:t>
            </w:r>
          </w:p>
        </w:tc>
        <w:tc>
          <w:tcPr>
            <w:tcW w:w="7274" w:type="dxa"/>
            <w:shd w:val="clear" w:color="auto" w:fill="DAE9F7"/>
            <w:vAlign w:val="center"/>
          </w:tcPr>
          <w:p w14:paraId="15AD20F2"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Style w:val="normaltextrun"/>
                <w:color w:val="000000" w:themeColor="text1"/>
                <w:sz w:val="18"/>
                <w:szCs w:val="18"/>
              </w:rPr>
              <w:t>If an in-vehicle telematics unit becomes unserviceable it will be the responsibility of the Service Provider to replace the unit free of charge within 5 working days of notification.  </w:t>
            </w:r>
          </w:p>
        </w:tc>
        <w:tc>
          <w:tcPr>
            <w:tcW w:w="1053" w:type="dxa"/>
            <w:shd w:val="clear" w:color="auto" w:fill="DAE9F7"/>
            <w:vAlign w:val="center"/>
          </w:tcPr>
          <w:p w14:paraId="2DD5A0FB"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Should</w:t>
            </w:r>
          </w:p>
        </w:tc>
      </w:tr>
      <w:tr w:rsidR="00CE0552" w:rsidRPr="00FE29AE" w14:paraId="12A66A80"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0E1E3066"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2.18</w:t>
            </w:r>
          </w:p>
        </w:tc>
        <w:tc>
          <w:tcPr>
            <w:tcW w:w="7274" w:type="dxa"/>
            <w:shd w:val="clear" w:color="auto" w:fill="DAE9F7"/>
            <w:vAlign w:val="center"/>
          </w:tcPr>
          <w:p w14:paraId="37336A95"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Style w:val="normaltextrun"/>
                <w:color w:val="000000" w:themeColor="text1"/>
                <w:sz w:val="18"/>
                <w:szCs w:val="18"/>
              </w:rPr>
              <w:t>There must be no rent payable for any vehicles with unserviceable telematics units.</w:t>
            </w:r>
          </w:p>
        </w:tc>
        <w:tc>
          <w:tcPr>
            <w:tcW w:w="1053" w:type="dxa"/>
            <w:shd w:val="clear" w:color="auto" w:fill="DAE9F7"/>
            <w:vAlign w:val="center"/>
          </w:tcPr>
          <w:p w14:paraId="4A8CB271"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pPr>
            <w:r w:rsidRPr="00FE29AE">
              <w:rPr>
                <w:rFonts w:eastAsia="Times New Roman"/>
                <w:color w:val="000000" w:themeColor="text1"/>
                <w:sz w:val="18"/>
                <w:szCs w:val="18"/>
              </w:rPr>
              <w:t>Must</w:t>
            </w:r>
          </w:p>
        </w:tc>
      </w:tr>
      <w:tr w:rsidR="00CE0552" w:rsidRPr="00FE29AE" w14:paraId="1A939D83"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155074FD"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2.19</w:t>
            </w:r>
          </w:p>
        </w:tc>
        <w:tc>
          <w:tcPr>
            <w:tcW w:w="7274" w:type="dxa"/>
            <w:shd w:val="clear" w:color="auto" w:fill="DAE9F7"/>
            <w:vAlign w:val="center"/>
          </w:tcPr>
          <w:p w14:paraId="4AA4C223"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Style w:val="normaltextrun"/>
                <w:color w:val="000000" w:themeColor="text1"/>
                <w:sz w:val="18"/>
                <w:szCs w:val="18"/>
              </w:rPr>
              <w:t xml:space="preserve">The system must have standard link facilities within the system to download data into applications such as Word &amp; Excel etc. Data format for download of reports and analytical data must include the form .xlsx and .csv   </w:t>
            </w:r>
          </w:p>
        </w:tc>
        <w:tc>
          <w:tcPr>
            <w:tcW w:w="1053" w:type="dxa"/>
            <w:shd w:val="clear" w:color="auto" w:fill="DAE9F7"/>
            <w:vAlign w:val="center"/>
          </w:tcPr>
          <w:p w14:paraId="2DB88358"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7E48DC74"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2C0E7C90"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2.20</w:t>
            </w:r>
          </w:p>
        </w:tc>
        <w:tc>
          <w:tcPr>
            <w:tcW w:w="7274" w:type="dxa"/>
            <w:shd w:val="clear" w:color="auto" w:fill="DAE9F7"/>
            <w:vAlign w:val="center"/>
          </w:tcPr>
          <w:p w14:paraId="42CD6F36"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Style w:val="normaltextrun"/>
                <w:color w:val="000000" w:themeColor="text1"/>
                <w:sz w:val="18"/>
                <w:szCs w:val="18"/>
              </w:rPr>
              <w:t>The product must allow for new version upgrades to office applications without changes to software and at no extra cost.</w:t>
            </w:r>
          </w:p>
        </w:tc>
        <w:tc>
          <w:tcPr>
            <w:tcW w:w="1053" w:type="dxa"/>
            <w:shd w:val="clear" w:color="auto" w:fill="DAE9F7"/>
            <w:vAlign w:val="center"/>
          </w:tcPr>
          <w:p w14:paraId="5E304EB8"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pPr>
            <w:r w:rsidRPr="00FE29AE">
              <w:rPr>
                <w:rFonts w:eastAsia="Times New Roman"/>
                <w:color w:val="000000" w:themeColor="text1"/>
                <w:sz w:val="18"/>
                <w:szCs w:val="18"/>
              </w:rPr>
              <w:t>Must</w:t>
            </w:r>
          </w:p>
        </w:tc>
      </w:tr>
      <w:tr w:rsidR="00CE0552" w:rsidRPr="00FE29AE" w14:paraId="5A1DE349"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4C3E58C2"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2.21</w:t>
            </w:r>
          </w:p>
        </w:tc>
        <w:tc>
          <w:tcPr>
            <w:tcW w:w="7274" w:type="dxa"/>
            <w:shd w:val="clear" w:color="auto" w:fill="DAE9F7"/>
            <w:vAlign w:val="center"/>
          </w:tcPr>
          <w:p w14:paraId="0EDFE5D1" w14:textId="77777777" w:rsidR="00CE0552" w:rsidRPr="00FE29AE" w:rsidRDefault="00CE0552" w:rsidP="003849FA">
            <w:pPr>
              <w:pStyle w:val="paragraph"/>
              <w:spacing w:beforeAutospacing="0" w:afterAutospacing="0"/>
              <w:jc w:val="both"/>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FE29AE">
              <w:rPr>
                <w:color w:val="000000" w:themeColor="text1"/>
                <w:sz w:val="18"/>
                <w:szCs w:val="18"/>
              </w:rPr>
              <w:t>The facility to access audit logs of system user history must be available to Administrators</w:t>
            </w:r>
          </w:p>
        </w:tc>
        <w:tc>
          <w:tcPr>
            <w:tcW w:w="1053" w:type="dxa"/>
            <w:shd w:val="clear" w:color="auto" w:fill="DAE9F7"/>
            <w:vAlign w:val="center"/>
          </w:tcPr>
          <w:p w14:paraId="3E804683"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50E6273F"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47A53D3D"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2.22</w:t>
            </w:r>
          </w:p>
        </w:tc>
        <w:tc>
          <w:tcPr>
            <w:tcW w:w="7274" w:type="dxa"/>
            <w:shd w:val="clear" w:color="auto" w:fill="DAE9F7"/>
            <w:vAlign w:val="center"/>
          </w:tcPr>
          <w:p w14:paraId="292B1F35"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 xml:space="preserve">Individual driver identification using in vehicle fob reader and driver fob. Except for super users the system must give the driver names in a synonymised format </w:t>
            </w:r>
          </w:p>
        </w:tc>
        <w:tc>
          <w:tcPr>
            <w:tcW w:w="1053" w:type="dxa"/>
            <w:shd w:val="clear" w:color="auto" w:fill="DAE9F7"/>
            <w:vAlign w:val="center"/>
          </w:tcPr>
          <w:p w14:paraId="76590A1E"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06981763"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287C6997"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2.23</w:t>
            </w:r>
          </w:p>
        </w:tc>
        <w:tc>
          <w:tcPr>
            <w:tcW w:w="7274" w:type="dxa"/>
            <w:shd w:val="clear" w:color="auto" w:fill="DAE9F7"/>
            <w:vAlign w:val="center"/>
          </w:tcPr>
          <w:p w14:paraId="47EB8731"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Fob reader must activate audible reminder to driver for fob reading.</w:t>
            </w:r>
          </w:p>
        </w:tc>
        <w:tc>
          <w:tcPr>
            <w:tcW w:w="1053" w:type="dxa"/>
            <w:shd w:val="clear" w:color="auto" w:fill="DAE9F7"/>
            <w:vAlign w:val="center"/>
          </w:tcPr>
          <w:p w14:paraId="31AE4BA0"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3B8ECE1F"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13C5F7C6"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2.24</w:t>
            </w:r>
          </w:p>
        </w:tc>
        <w:tc>
          <w:tcPr>
            <w:tcW w:w="7274" w:type="dxa"/>
            <w:shd w:val="clear" w:color="auto" w:fill="DAE9F7"/>
            <w:vAlign w:val="center"/>
          </w:tcPr>
          <w:p w14:paraId="2CBF335C"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Drivers must be able to record daily driver vehicle checks &amp; defect reporting using an android app which is synced to the software system, with email notifications to Super users &amp; maintenance team.</w:t>
            </w:r>
          </w:p>
        </w:tc>
        <w:tc>
          <w:tcPr>
            <w:tcW w:w="1053" w:type="dxa"/>
            <w:shd w:val="clear" w:color="auto" w:fill="DAE9F7"/>
            <w:vAlign w:val="center"/>
          </w:tcPr>
          <w:p w14:paraId="3E220E63"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r w:rsidR="00CE0552" w:rsidRPr="00FE29AE" w14:paraId="01F70FEA"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70865326"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2.25</w:t>
            </w:r>
          </w:p>
        </w:tc>
        <w:tc>
          <w:tcPr>
            <w:tcW w:w="7274" w:type="dxa"/>
            <w:shd w:val="clear" w:color="auto" w:fill="DAE9F7"/>
            <w:vAlign w:val="center"/>
          </w:tcPr>
          <w:p w14:paraId="6C30DB7A"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driver vehicle check software must function with configurable options for the type of walk around check to be completed by drivers e.g. Van/Car/Jeep, HGV, Trailers, Plant trailers, or Tractor. The system will also allow for a driver to use “a start of shift” option which will not create an infringement for not completing a walkaround after midnight (when a new date commences).   </w:t>
            </w:r>
          </w:p>
        </w:tc>
        <w:tc>
          <w:tcPr>
            <w:tcW w:w="1053" w:type="dxa"/>
            <w:shd w:val="clear" w:color="auto" w:fill="DAE9F7"/>
            <w:vAlign w:val="center"/>
          </w:tcPr>
          <w:p w14:paraId="2960CF22"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pPr>
            <w:r w:rsidRPr="00FE29AE">
              <w:rPr>
                <w:rFonts w:eastAsia="Times New Roman"/>
                <w:color w:val="000000" w:themeColor="text1"/>
                <w:sz w:val="18"/>
                <w:szCs w:val="18"/>
              </w:rPr>
              <w:t>Must</w:t>
            </w:r>
          </w:p>
        </w:tc>
      </w:tr>
      <w:tr w:rsidR="00CE0552" w:rsidRPr="00FE29AE" w14:paraId="2AB3EE35"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3" w:type="dxa"/>
            <w:shd w:val="clear" w:color="auto" w:fill="DAE9F7"/>
            <w:vAlign w:val="center"/>
          </w:tcPr>
          <w:p w14:paraId="7E2A3F33" w14:textId="77777777" w:rsidR="00CE0552" w:rsidRPr="00FE29AE" w:rsidRDefault="00CE0552" w:rsidP="003849FA">
            <w:pPr>
              <w:spacing w:line="276" w:lineRule="auto"/>
              <w:jc w:val="center"/>
              <w:rPr>
                <w:rFonts w:eastAsia="Times New Roman"/>
                <w:color w:val="000000" w:themeColor="text1"/>
                <w:sz w:val="18"/>
                <w:szCs w:val="18"/>
              </w:rPr>
            </w:pPr>
            <w:r w:rsidRPr="00FE29AE">
              <w:rPr>
                <w:rFonts w:eastAsia="Times New Roman"/>
                <w:color w:val="000000" w:themeColor="text1"/>
                <w:sz w:val="18"/>
                <w:szCs w:val="18"/>
              </w:rPr>
              <w:t>FR 2.26</w:t>
            </w:r>
          </w:p>
        </w:tc>
        <w:tc>
          <w:tcPr>
            <w:tcW w:w="7274" w:type="dxa"/>
            <w:shd w:val="clear" w:color="auto" w:fill="DAE9F7"/>
            <w:vAlign w:val="center"/>
          </w:tcPr>
          <w:p w14:paraId="35C77467" w14:textId="5A13D101"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 xml:space="preserve">The system must automatically notify a driver if they drive a vehicle which has not had a walk around check completed that day. Notification must be via email or SMS. The system must be configurable to generate a driver non-compliance and alert designated managers. The system </w:t>
            </w:r>
            <w:r w:rsidRPr="00AD4E05">
              <w:rPr>
                <w:rFonts w:eastAsiaTheme="minorEastAsia"/>
                <w:sz w:val="18"/>
                <w:szCs w:val="18"/>
              </w:rPr>
              <w:t>must be configurable for various infringements e.g. speeding or excessive idling</w:t>
            </w:r>
            <w:r w:rsidR="00951E5D" w:rsidRPr="00AD4E05">
              <w:rPr>
                <w:rFonts w:eastAsiaTheme="minorEastAsia"/>
                <w:sz w:val="18"/>
                <w:szCs w:val="18"/>
              </w:rPr>
              <w:t>,</w:t>
            </w:r>
            <w:r w:rsidR="004560E5" w:rsidRPr="00AD4E05">
              <w:rPr>
                <w:rFonts w:eastAsiaTheme="minorEastAsia"/>
                <w:sz w:val="18"/>
                <w:szCs w:val="18"/>
              </w:rPr>
              <w:t xml:space="preserve"> </w:t>
            </w:r>
            <w:r w:rsidR="004560E5" w:rsidRPr="00AD4E05">
              <w:rPr>
                <w:rFonts w:ascii="Calibri" w:eastAsia="Calibri" w:hAnsi="Calibri" w:cs="Calibri"/>
                <w:sz w:val="18"/>
                <w:szCs w:val="18"/>
              </w:rPr>
              <w:t>continuous driving &amp; fuel prompting. Provide details of configurations where the telematics unit will actively “beep” when the vehicle is utilised without a walkaround being complete.</w:t>
            </w:r>
          </w:p>
        </w:tc>
        <w:tc>
          <w:tcPr>
            <w:tcW w:w="1053" w:type="dxa"/>
            <w:shd w:val="clear" w:color="auto" w:fill="DAE9F7"/>
            <w:vAlign w:val="center"/>
          </w:tcPr>
          <w:p w14:paraId="3FC95AFA"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18"/>
                <w:szCs w:val="18"/>
              </w:rPr>
            </w:pPr>
            <w:r w:rsidRPr="00FE29AE">
              <w:rPr>
                <w:rFonts w:eastAsia="Times New Roman"/>
                <w:color w:val="000000" w:themeColor="text1"/>
                <w:sz w:val="18"/>
                <w:szCs w:val="18"/>
              </w:rPr>
              <w:t>Must</w:t>
            </w:r>
          </w:p>
        </w:tc>
      </w:tr>
    </w:tbl>
    <w:p w14:paraId="53C6225F" w14:textId="77777777" w:rsidR="00CE0552" w:rsidRPr="00FE29AE" w:rsidRDefault="00CE0552" w:rsidP="00CE0552">
      <w:pPr>
        <w:tabs>
          <w:tab w:val="center" w:pos="4513"/>
        </w:tabs>
        <w:spacing w:after="160" w:line="259" w:lineRule="auto"/>
      </w:pPr>
    </w:p>
    <w:p w14:paraId="73217C69" w14:textId="77777777" w:rsidR="00CE0552" w:rsidRPr="00FE29AE" w:rsidRDefault="00CE0552" w:rsidP="00CE0552">
      <w:pPr>
        <w:tabs>
          <w:tab w:val="center" w:pos="4513"/>
        </w:tabs>
        <w:spacing w:after="160" w:line="259" w:lineRule="auto"/>
      </w:pPr>
    </w:p>
    <w:p w14:paraId="66AEC98B" w14:textId="77777777" w:rsidR="00CE0552" w:rsidRPr="00FE29AE" w:rsidRDefault="00CE0552" w:rsidP="00CE0552">
      <w:pPr>
        <w:tabs>
          <w:tab w:val="center" w:pos="4513"/>
        </w:tabs>
        <w:spacing w:after="160" w:line="259" w:lineRule="auto"/>
      </w:pPr>
    </w:p>
    <w:tbl>
      <w:tblPr>
        <w:tblStyle w:val="GridTable4-Accent6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7258"/>
        <w:gridCol w:w="1071"/>
      </w:tblGrid>
      <w:tr w:rsidR="00CE0552" w:rsidRPr="00FE29AE" w14:paraId="54831A79" w14:textId="77777777" w:rsidTr="173875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5A76CE02" w14:textId="77777777" w:rsidR="00CE0552" w:rsidRPr="00FE29AE" w:rsidRDefault="00CE0552" w:rsidP="003849FA">
            <w:pPr>
              <w:spacing w:line="276" w:lineRule="auto"/>
              <w:jc w:val="center"/>
              <w:rPr>
                <w:rFonts w:ascii="Calibri" w:eastAsia="Calibri" w:hAnsi="Calibri" w:cs="Arial"/>
                <w:color w:val="FFFFFF" w:themeColor="background1"/>
              </w:rPr>
            </w:pPr>
            <w:r w:rsidRPr="00FE29AE">
              <w:rPr>
                <w:rFonts w:ascii="Calibri" w:eastAsia="Calibri" w:hAnsi="Calibri" w:cs="Arial"/>
                <w:color w:val="FFFFFF" w:themeColor="background1"/>
              </w:rPr>
              <w:t>3</w:t>
            </w:r>
          </w:p>
        </w:tc>
        <w:tc>
          <w:tcPr>
            <w:tcW w:w="8329" w:type="dxa"/>
            <w:gridSpan w:val="2"/>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1ACA0DE0" w14:textId="77777777" w:rsidR="00CE0552" w:rsidRPr="00FE29AE" w:rsidRDefault="00CE0552" w:rsidP="003849FA">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FE29AE">
              <w:rPr>
                <w:color w:val="FFFFFF" w:themeColor="background1"/>
              </w:rPr>
              <w:t>Fleet Management</w:t>
            </w:r>
          </w:p>
        </w:tc>
      </w:tr>
      <w:tr w:rsidR="00CE0552" w:rsidRPr="00FE29AE" w14:paraId="4FA9A2A1"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449B7477" w14:textId="77777777" w:rsidR="00CE0552" w:rsidRPr="00FE29AE" w:rsidRDefault="00CE0552" w:rsidP="003849FA">
            <w:pPr>
              <w:spacing w:line="276" w:lineRule="auto"/>
              <w:jc w:val="center"/>
              <w:rPr>
                <w:rFonts w:eastAsia="Calibri"/>
                <w:color w:val="FFFFFF" w:themeColor="background1"/>
                <w:sz w:val="18"/>
                <w:szCs w:val="18"/>
              </w:rPr>
            </w:pPr>
            <w:r w:rsidRPr="00FE29AE">
              <w:rPr>
                <w:rFonts w:eastAsia="Calibri"/>
                <w:color w:val="FFFFFF" w:themeColor="background1"/>
                <w:sz w:val="18"/>
                <w:szCs w:val="18"/>
              </w:rPr>
              <w:t>Ref.</w:t>
            </w:r>
          </w:p>
        </w:tc>
        <w:tc>
          <w:tcPr>
            <w:tcW w:w="7258"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1ACFD146" w14:textId="77777777" w:rsidR="00CE0552" w:rsidRPr="00FE29AE" w:rsidRDefault="00CE0552" w:rsidP="003849FA">
            <w:pPr>
              <w:spacing w:line="276" w:lineRule="auto"/>
              <w:cnfStyle w:val="000000100000" w:firstRow="0" w:lastRow="0" w:firstColumn="0" w:lastColumn="0" w:oddVBand="0" w:evenVBand="0" w:oddHBand="1" w:evenHBand="0" w:firstRowFirstColumn="0" w:firstRowLastColumn="0" w:lastRowFirstColumn="0" w:lastRowLastColumn="0"/>
              <w:rPr>
                <w:rFonts w:eastAsia="Calibri"/>
                <w:b/>
                <w:bCs/>
                <w:color w:val="FFFFFF" w:themeColor="background1"/>
                <w:sz w:val="18"/>
                <w:szCs w:val="18"/>
              </w:rPr>
            </w:pPr>
            <w:r w:rsidRPr="00FE29AE">
              <w:rPr>
                <w:rFonts w:eastAsia="Calibri"/>
                <w:b/>
                <w:bCs/>
                <w:color w:val="FFFFFF" w:themeColor="background1"/>
                <w:sz w:val="18"/>
                <w:szCs w:val="18"/>
              </w:rPr>
              <w:t>Description</w:t>
            </w:r>
          </w:p>
        </w:tc>
        <w:tc>
          <w:tcPr>
            <w:tcW w:w="1071"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19C2E51"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b/>
                <w:bCs/>
                <w:color w:val="FFFFFF" w:themeColor="background1"/>
                <w:sz w:val="18"/>
                <w:szCs w:val="18"/>
              </w:rPr>
            </w:pPr>
            <w:r w:rsidRPr="00FE29AE">
              <w:rPr>
                <w:rFonts w:eastAsia="Calibri"/>
                <w:b/>
                <w:bCs/>
                <w:color w:val="FFFFFF" w:themeColor="background1"/>
                <w:sz w:val="18"/>
                <w:szCs w:val="18"/>
              </w:rPr>
              <w:t>Priority</w:t>
            </w:r>
          </w:p>
        </w:tc>
      </w:tr>
      <w:tr w:rsidR="00CE0552" w:rsidRPr="00FE29AE" w14:paraId="1C05414D"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39D0E616"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3.1</w:t>
            </w:r>
          </w:p>
        </w:tc>
        <w:tc>
          <w:tcPr>
            <w:tcW w:w="7258" w:type="dxa"/>
            <w:tcBorders>
              <w:top w:val="single" w:sz="4" w:space="0" w:color="auto"/>
            </w:tcBorders>
            <w:shd w:val="clear" w:color="auto" w:fill="DAE9F7"/>
            <w:vAlign w:val="center"/>
          </w:tcPr>
          <w:p w14:paraId="1E17AD8A"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must allow for singular and group SMS notifications to drivers on a free text basis. e.g. to issue a general reminder to fob before driving post-holiday season.</w:t>
            </w:r>
          </w:p>
        </w:tc>
        <w:tc>
          <w:tcPr>
            <w:tcW w:w="1071" w:type="dxa"/>
            <w:tcBorders>
              <w:top w:val="single" w:sz="4" w:space="0" w:color="auto"/>
            </w:tcBorders>
            <w:shd w:val="clear" w:color="auto" w:fill="DAE9F7"/>
            <w:vAlign w:val="center"/>
          </w:tcPr>
          <w:p w14:paraId="0D694EEB"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CE0552" w:rsidRPr="00FE29AE" w14:paraId="251A9B39"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10A6D5BB"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lastRenderedPageBreak/>
              <w:t>FR 3.2</w:t>
            </w:r>
          </w:p>
        </w:tc>
        <w:tc>
          <w:tcPr>
            <w:tcW w:w="7258" w:type="dxa"/>
            <w:tcBorders>
              <w:top w:val="single" w:sz="4" w:space="0" w:color="auto"/>
            </w:tcBorders>
            <w:shd w:val="clear" w:color="auto" w:fill="DAE9F7"/>
            <w:vAlign w:val="center"/>
          </w:tcPr>
          <w:p w14:paraId="6B622798"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Drivers must have access to their personal driver style data via the android app which includes data relating to speeding, harsh acceleration, hard breaking and harsh cornering.</w:t>
            </w:r>
          </w:p>
        </w:tc>
        <w:tc>
          <w:tcPr>
            <w:tcW w:w="1071" w:type="dxa"/>
            <w:tcBorders>
              <w:top w:val="single" w:sz="4" w:space="0" w:color="auto"/>
            </w:tcBorders>
            <w:shd w:val="clear" w:color="auto" w:fill="DAE9F7"/>
            <w:vAlign w:val="center"/>
          </w:tcPr>
          <w:p w14:paraId="2F95E90E"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pPr>
            <w:r w:rsidRPr="00FE29AE">
              <w:rPr>
                <w:sz w:val="18"/>
                <w:szCs w:val="18"/>
              </w:rPr>
              <w:t>Must</w:t>
            </w:r>
          </w:p>
        </w:tc>
      </w:tr>
      <w:tr w:rsidR="00CE0552" w:rsidRPr="00FE29AE" w14:paraId="6DEFB66B"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08C1AB15"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3.3</w:t>
            </w:r>
          </w:p>
        </w:tc>
        <w:tc>
          <w:tcPr>
            <w:tcW w:w="7258" w:type="dxa"/>
            <w:tcBorders>
              <w:top w:val="single" w:sz="4" w:space="0" w:color="auto"/>
            </w:tcBorders>
            <w:shd w:val="clear" w:color="auto" w:fill="DAE9F7"/>
            <w:vAlign w:val="center"/>
          </w:tcPr>
          <w:p w14:paraId="08CD0226"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must be capable of monitoring and generating reports on driving behaviour, e.g. driving above the speed limit, aggressive acceleration, braking, cornering etc.</w:t>
            </w:r>
          </w:p>
        </w:tc>
        <w:tc>
          <w:tcPr>
            <w:tcW w:w="1071" w:type="dxa"/>
            <w:tcBorders>
              <w:top w:val="single" w:sz="4" w:space="0" w:color="auto"/>
            </w:tcBorders>
            <w:shd w:val="clear" w:color="auto" w:fill="DAE9F7"/>
            <w:vAlign w:val="center"/>
          </w:tcPr>
          <w:p w14:paraId="3BD82427"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D326CD" w:rsidRPr="00FE29AE" w14:paraId="44DD9B5C"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2036274D"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3.4</w:t>
            </w:r>
          </w:p>
        </w:tc>
        <w:tc>
          <w:tcPr>
            <w:tcW w:w="7258" w:type="dxa"/>
            <w:tcBorders>
              <w:top w:val="single" w:sz="4" w:space="0" w:color="auto"/>
            </w:tcBorders>
            <w:shd w:val="clear" w:color="auto" w:fill="DAE9F7"/>
            <w:vAlign w:val="center"/>
          </w:tcPr>
          <w:p w14:paraId="588E7556" w14:textId="46BC67F9" w:rsidR="00D326CD" w:rsidRPr="00FE29AE" w:rsidRDefault="00D326CD" w:rsidP="00D326CD">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ascii="Calibri" w:eastAsia="Calibri" w:hAnsi="Calibri" w:cs="Calibri"/>
                <w:color w:val="000000" w:themeColor="text1"/>
                <w:sz w:val="18"/>
                <w:szCs w:val="18"/>
              </w:rPr>
              <w:t xml:space="preserve">The system must be compatible with integrations with other systems using API. The system must be able to be used in connections with fuel card systems and fleet management maintenance systems currently available and operating in the Republic of Ireland. Evidenced examples are </w:t>
            </w:r>
            <w:r w:rsidRPr="00AD4E05">
              <w:rPr>
                <w:rFonts w:ascii="Calibri" w:eastAsia="Calibri" w:hAnsi="Calibri" w:cs="Calibri"/>
                <w:sz w:val="18"/>
                <w:szCs w:val="18"/>
              </w:rPr>
              <w:t xml:space="preserve">essential. Current fuel provider is Circle K, and maintenance system is </w:t>
            </w:r>
            <w:proofErr w:type="spellStart"/>
            <w:r w:rsidRPr="00AD4E05">
              <w:rPr>
                <w:rFonts w:ascii="Calibri" w:eastAsia="Calibri" w:hAnsi="Calibri" w:cs="Calibri"/>
                <w:sz w:val="18"/>
                <w:szCs w:val="18"/>
              </w:rPr>
              <w:t>Forware</w:t>
            </w:r>
            <w:proofErr w:type="spellEnd"/>
            <w:r w:rsidRPr="00AD4E05">
              <w:rPr>
                <w:rFonts w:ascii="Calibri" w:eastAsia="Calibri" w:hAnsi="Calibri" w:cs="Calibri"/>
                <w:sz w:val="18"/>
                <w:szCs w:val="18"/>
              </w:rPr>
              <w:t>. The system must integrate with EV charging providers with Geofencing of locations to verify transactions.</w:t>
            </w:r>
          </w:p>
        </w:tc>
        <w:tc>
          <w:tcPr>
            <w:tcW w:w="1071" w:type="dxa"/>
            <w:tcBorders>
              <w:top w:val="single" w:sz="4" w:space="0" w:color="auto"/>
            </w:tcBorders>
            <w:shd w:val="clear" w:color="auto" w:fill="DAE9F7"/>
            <w:vAlign w:val="center"/>
          </w:tcPr>
          <w:p w14:paraId="6C383F34" w14:textId="77777777" w:rsidR="00D326CD" w:rsidRPr="00FE29AE" w:rsidRDefault="00D326CD" w:rsidP="00D326CD">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D326CD" w:rsidRPr="00FE29AE" w14:paraId="2395163F"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049E00CD"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3.5</w:t>
            </w:r>
          </w:p>
        </w:tc>
        <w:tc>
          <w:tcPr>
            <w:tcW w:w="7258" w:type="dxa"/>
            <w:tcBorders>
              <w:top w:val="single" w:sz="4" w:space="0" w:color="auto"/>
            </w:tcBorders>
            <w:shd w:val="clear" w:color="auto" w:fill="DAE9F7"/>
            <w:vAlign w:val="center"/>
          </w:tcPr>
          <w:p w14:paraId="3C916CEC" w14:textId="77777777" w:rsidR="00D326CD" w:rsidRPr="00FE29AE" w:rsidRDefault="00D326CD" w:rsidP="00D326CD">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process for archiving and retrieving archived data must be clearly detailed. Ability to report on archived data</w:t>
            </w:r>
          </w:p>
        </w:tc>
        <w:tc>
          <w:tcPr>
            <w:tcW w:w="1071" w:type="dxa"/>
            <w:tcBorders>
              <w:top w:val="single" w:sz="4" w:space="0" w:color="auto"/>
            </w:tcBorders>
            <w:shd w:val="clear" w:color="auto" w:fill="DAE9F7"/>
            <w:vAlign w:val="center"/>
          </w:tcPr>
          <w:p w14:paraId="320C7945" w14:textId="77777777" w:rsidR="00D326CD" w:rsidRPr="00FE29AE" w:rsidRDefault="00D326CD" w:rsidP="00D326CD">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D326CD" w:rsidRPr="00FE29AE" w14:paraId="3708C4FC"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298341FC"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3.6</w:t>
            </w:r>
          </w:p>
        </w:tc>
        <w:tc>
          <w:tcPr>
            <w:tcW w:w="7258" w:type="dxa"/>
            <w:tcBorders>
              <w:top w:val="single" w:sz="4" w:space="0" w:color="auto"/>
            </w:tcBorders>
            <w:shd w:val="clear" w:color="auto" w:fill="DAE9F7"/>
            <w:vAlign w:val="center"/>
          </w:tcPr>
          <w:p w14:paraId="2B8724E2" w14:textId="77777777" w:rsidR="00D326CD" w:rsidRPr="00FE29AE" w:rsidRDefault="00D326CD" w:rsidP="00D326CD">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Graphical User Interface is user friendly and intuitive providing users with direct access to execute and control their processes in modern and responsive manner. The GUI must be adapted for universal accessibility.</w:t>
            </w:r>
          </w:p>
        </w:tc>
        <w:tc>
          <w:tcPr>
            <w:tcW w:w="1071" w:type="dxa"/>
            <w:tcBorders>
              <w:top w:val="single" w:sz="4" w:space="0" w:color="auto"/>
            </w:tcBorders>
            <w:shd w:val="clear" w:color="auto" w:fill="DAE9F7"/>
            <w:vAlign w:val="center"/>
          </w:tcPr>
          <w:p w14:paraId="7A9EBEC0" w14:textId="77777777" w:rsidR="00D326CD" w:rsidRPr="00FE29AE" w:rsidRDefault="00D326CD" w:rsidP="00D326CD">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D326CD" w:rsidRPr="00FE29AE" w14:paraId="0F3C5FFE"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6679CD7D"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3.7</w:t>
            </w:r>
          </w:p>
        </w:tc>
        <w:tc>
          <w:tcPr>
            <w:tcW w:w="7258" w:type="dxa"/>
            <w:tcBorders>
              <w:top w:val="single" w:sz="4" w:space="0" w:color="auto"/>
            </w:tcBorders>
            <w:shd w:val="clear" w:color="auto" w:fill="DAE9F7"/>
            <w:vAlign w:val="center"/>
          </w:tcPr>
          <w:p w14:paraId="69CD1B5C" w14:textId="77777777" w:rsidR="00D326CD" w:rsidRPr="00FE29AE" w:rsidRDefault="00D326CD" w:rsidP="00D326CD">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should provide a central record source for use as a vehicle/asset list with configurable columns to include e.g. tax dates, CVRT/NCT, Vehicle type, warranty, and service interval etc.</w:t>
            </w:r>
          </w:p>
        </w:tc>
        <w:tc>
          <w:tcPr>
            <w:tcW w:w="1071" w:type="dxa"/>
            <w:tcBorders>
              <w:top w:val="single" w:sz="4" w:space="0" w:color="auto"/>
            </w:tcBorders>
            <w:shd w:val="clear" w:color="auto" w:fill="DAE9F7"/>
            <w:vAlign w:val="center"/>
          </w:tcPr>
          <w:p w14:paraId="7C9F8849" w14:textId="77777777" w:rsidR="00D326CD" w:rsidRPr="00FE29AE" w:rsidRDefault="00D326CD" w:rsidP="00D326CD">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Should</w:t>
            </w:r>
          </w:p>
        </w:tc>
      </w:tr>
      <w:tr w:rsidR="00D326CD" w:rsidRPr="00FE29AE" w14:paraId="26DCC79A"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1A3B5656"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3.8</w:t>
            </w:r>
          </w:p>
        </w:tc>
        <w:tc>
          <w:tcPr>
            <w:tcW w:w="7258" w:type="dxa"/>
            <w:tcBorders>
              <w:top w:val="single" w:sz="4" w:space="0" w:color="auto"/>
            </w:tcBorders>
            <w:shd w:val="clear" w:color="auto" w:fill="DAE9F7"/>
            <w:vAlign w:val="center"/>
          </w:tcPr>
          <w:p w14:paraId="716BEA85" w14:textId="77777777" w:rsidR="00D326CD" w:rsidRPr="00FE29AE" w:rsidRDefault="00D326CD" w:rsidP="00D326CD">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Provide details of AI powered tools as part of the software service</w:t>
            </w:r>
          </w:p>
        </w:tc>
        <w:tc>
          <w:tcPr>
            <w:tcW w:w="1071" w:type="dxa"/>
            <w:tcBorders>
              <w:top w:val="single" w:sz="4" w:space="0" w:color="auto"/>
            </w:tcBorders>
            <w:shd w:val="clear" w:color="auto" w:fill="DAE9F7"/>
            <w:vAlign w:val="center"/>
          </w:tcPr>
          <w:p w14:paraId="5410E2E2" w14:textId="77777777" w:rsidR="00D326CD" w:rsidRPr="00FE29AE" w:rsidRDefault="00D326CD" w:rsidP="00D326CD">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Should</w:t>
            </w:r>
          </w:p>
        </w:tc>
      </w:tr>
      <w:tr w:rsidR="00D326CD" w:rsidRPr="00FE29AE" w14:paraId="6F027266"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7EE22E11"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3.9</w:t>
            </w:r>
          </w:p>
        </w:tc>
        <w:tc>
          <w:tcPr>
            <w:tcW w:w="7258" w:type="dxa"/>
            <w:tcBorders>
              <w:top w:val="single" w:sz="4" w:space="0" w:color="auto"/>
            </w:tcBorders>
            <w:shd w:val="clear" w:color="auto" w:fill="DAE9F7"/>
            <w:vAlign w:val="center"/>
          </w:tcPr>
          <w:p w14:paraId="460E3B2F" w14:textId="77777777" w:rsidR="00D326CD" w:rsidRPr="00FE29AE" w:rsidRDefault="00D326CD" w:rsidP="00D326CD">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Details of geofencing applications and reporting</w:t>
            </w:r>
          </w:p>
        </w:tc>
        <w:tc>
          <w:tcPr>
            <w:tcW w:w="1071" w:type="dxa"/>
            <w:tcBorders>
              <w:top w:val="single" w:sz="4" w:space="0" w:color="auto"/>
            </w:tcBorders>
            <w:shd w:val="clear" w:color="auto" w:fill="DAE9F7"/>
            <w:vAlign w:val="center"/>
          </w:tcPr>
          <w:p w14:paraId="2B016167" w14:textId="77777777" w:rsidR="00D326CD" w:rsidRPr="00FE29AE" w:rsidRDefault="00D326CD" w:rsidP="00D326CD">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D326CD" w:rsidRPr="00FE29AE" w14:paraId="706FF1AF"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4BEBA5EB"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3.10</w:t>
            </w:r>
          </w:p>
        </w:tc>
        <w:tc>
          <w:tcPr>
            <w:tcW w:w="7258" w:type="dxa"/>
            <w:tcBorders>
              <w:top w:val="single" w:sz="4" w:space="0" w:color="auto"/>
            </w:tcBorders>
            <w:shd w:val="clear" w:color="auto" w:fill="DAE9F7"/>
            <w:vAlign w:val="center"/>
          </w:tcPr>
          <w:p w14:paraId="2A4913BF" w14:textId="77777777" w:rsidR="00D326CD" w:rsidRPr="00FE29AE" w:rsidRDefault="00D326CD" w:rsidP="00D326CD">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Details of fuel consumption applications and reporting, including vehicle comparisons of fuel consumption in L/100km, fuel card misuse. Fuel consumption reporting must be able to account for EV vehicles and EV comparison.</w:t>
            </w:r>
          </w:p>
        </w:tc>
        <w:tc>
          <w:tcPr>
            <w:tcW w:w="1071" w:type="dxa"/>
            <w:tcBorders>
              <w:top w:val="single" w:sz="4" w:space="0" w:color="auto"/>
            </w:tcBorders>
            <w:shd w:val="clear" w:color="auto" w:fill="DAE9F7"/>
            <w:vAlign w:val="center"/>
          </w:tcPr>
          <w:p w14:paraId="50874507" w14:textId="77777777" w:rsidR="00D326CD" w:rsidRPr="00FE29AE" w:rsidRDefault="00D326CD" w:rsidP="00D326CD">
            <w:pPr>
              <w:spacing w:line="276" w:lineRule="auto"/>
              <w:jc w:val="center"/>
              <w:cnfStyle w:val="000000100000" w:firstRow="0" w:lastRow="0" w:firstColumn="0" w:lastColumn="0" w:oddVBand="0" w:evenVBand="0" w:oddHBand="1" w:evenHBand="0" w:firstRowFirstColumn="0" w:firstRowLastColumn="0" w:lastRowFirstColumn="0" w:lastRowLastColumn="0"/>
            </w:pPr>
            <w:r w:rsidRPr="00FE29AE">
              <w:rPr>
                <w:sz w:val="18"/>
                <w:szCs w:val="18"/>
              </w:rPr>
              <w:t>Must</w:t>
            </w:r>
          </w:p>
        </w:tc>
      </w:tr>
      <w:tr w:rsidR="00D326CD" w:rsidRPr="00FE29AE" w14:paraId="2A529772"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1197C61B"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3.11</w:t>
            </w:r>
          </w:p>
        </w:tc>
        <w:tc>
          <w:tcPr>
            <w:tcW w:w="7258" w:type="dxa"/>
            <w:tcBorders>
              <w:top w:val="single" w:sz="4" w:space="0" w:color="auto"/>
            </w:tcBorders>
            <w:shd w:val="clear" w:color="auto" w:fill="DAE9F7"/>
            <w:vAlign w:val="center"/>
          </w:tcPr>
          <w:p w14:paraId="0697B348" w14:textId="77777777" w:rsidR="00D326CD" w:rsidRPr="00FE29AE" w:rsidRDefault="00D326CD" w:rsidP="00D326CD">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 xml:space="preserve">The system must maintain a database of all vehicle and equipment details, including: General description (i.e. make, model, registration number, engine size, fleet number, fuel type, cost centre, department/Region, subdepartment/subregion vehicle manager, vehicle driver, milage, </w:t>
            </w:r>
            <w:proofErr w:type="spellStart"/>
            <w:r w:rsidRPr="00FE29AE">
              <w:rPr>
                <w:rFonts w:eastAsiaTheme="minorEastAsia"/>
                <w:color w:val="000000" w:themeColor="text1"/>
                <w:sz w:val="18"/>
                <w:szCs w:val="18"/>
              </w:rPr>
              <w:t>cvrt</w:t>
            </w:r>
            <w:proofErr w:type="spellEnd"/>
            <w:r w:rsidRPr="00FE29AE">
              <w:rPr>
                <w:rFonts w:eastAsiaTheme="minorEastAsia"/>
                <w:color w:val="000000" w:themeColor="text1"/>
                <w:sz w:val="18"/>
                <w:szCs w:val="18"/>
              </w:rPr>
              <w:t>/</w:t>
            </w:r>
            <w:proofErr w:type="spellStart"/>
            <w:r w:rsidRPr="00FE29AE">
              <w:rPr>
                <w:rFonts w:eastAsiaTheme="minorEastAsia"/>
                <w:color w:val="000000" w:themeColor="text1"/>
                <w:sz w:val="18"/>
                <w:szCs w:val="18"/>
              </w:rPr>
              <w:t>nct</w:t>
            </w:r>
            <w:proofErr w:type="spellEnd"/>
            <w:r w:rsidRPr="00FE29AE">
              <w:rPr>
                <w:rFonts w:eastAsiaTheme="minorEastAsia"/>
                <w:color w:val="000000" w:themeColor="text1"/>
                <w:sz w:val="18"/>
                <w:szCs w:val="18"/>
              </w:rPr>
              <w:t>, Fuel Card, EV Card, warranty, service interval, contact details email/mob, BIK, Van exemption/Pool</w:t>
            </w:r>
            <w:proofErr w:type="gramStart"/>
            <w:r w:rsidRPr="00FE29AE">
              <w:rPr>
                <w:rFonts w:eastAsiaTheme="minorEastAsia"/>
                <w:color w:val="000000" w:themeColor="text1"/>
                <w:sz w:val="18"/>
                <w:szCs w:val="18"/>
              </w:rPr>
              <w:t>) ,</w:t>
            </w:r>
            <w:proofErr w:type="gramEnd"/>
            <w:r w:rsidRPr="00FE29AE">
              <w:rPr>
                <w:rFonts w:eastAsiaTheme="minorEastAsia"/>
                <w:color w:val="000000" w:themeColor="text1"/>
                <w:sz w:val="18"/>
                <w:szCs w:val="18"/>
              </w:rPr>
              <w:t xml:space="preserve"> original market value, vehicle owned/leased.</w:t>
            </w:r>
          </w:p>
        </w:tc>
        <w:tc>
          <w:tcPr>
            <w:tcW w:w="1071" w:type="dxa"/>
            <w:tcBorders>
              <w:top w:val="single" w:sz="4" w:space="0" w:color="auto"/>
            </w:tcBorders>
            <w:shd w:val="clear" w:color="auto" w:fill="DAE9F7"/>
            <w:vAlign w:val="center"/>
          </w:tcPr>
          <w:p w14:paraId="04C590D9" w14:textId="77777777" w:rsidR="00D326CD" w:rsidRPr="00FE29AE" w:rsidRDefault="00D326CD" w:rsidP="00D326CD">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D326CD" w:rsidRPr="00FE29AE" w14:paraId="36D750BB"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3D88B63F"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3.12</w:t>
            </w:r>
          </w:p>
        </w:tc>
        <w:tc>
          <w:tcPr>
            <w:tcW w:w="7258" w:type="dxa"/>
            <w:tcBorders>
              <w:top w:val="single" w:sz="4" w:space="0" w:color="auto"/>
            </w:tcBorders>
            <w:shd w:val="clear" w:color="auto" w:fill="DAE9F7"/>
            <w:vAlign w:val="center"/>
          </w:tcPr>
          <w:p w14:paraId="40C473D1" w14:textId="77777777" w:rsidR="00D326CD" w:rsidRPr="00FE29AE" w:rsidRDefault="00D326CD" w:rsidP="00D326CD">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Number of days driven reporting. The user should be able to select the calendar period e.g. last 12 months and the user should be readily able to sort the report by clicking on the appropriate column to display the information in either descending or ascending order.</w:t>
            </w:r>
          </w:p>
        </w:tc>
        <w:tc>
          <w:tcPr>
            <w:tcW w:w="1071" w:type="dxa"/>
            <w:tcBorders>
              <w:top w:val="single" w:sz="4" w:space="0" w:color="auto"/>
            </w:tcBorders>
            <w:shd w:val="clear" w:color="auto" w:fill="DAE9F7"/>
            <w:vAlign w:val="center"/>
          </w:tcPr>
          <w:p w14:paraId="4B9BE61A" w14:textId="77777777" w:rsidR="00D326CD" w:rsidRPr="00FE29AE" w:rsidRDefault="00D326CD" w:rsidP="00D326CD">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D326CD" w:rsidRPr="00FE29AE" w14:paraId="5CBC5923"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7D40F53D"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3.13</w:t>
            </w:r>
          </w:p>
        </w:tc>
        <w:tc>
          <w:tcPr>
            <w:tcW w:w="7258" w:type="dxa"/>
            <w:tcBorders>
              <w:top w:val="single" w:sz="4" w:space="0" w:color="auto"/>
            </w:tcBorders>
            <w:shd w:val="clear" w:color="auto" w:fill="DAE9F7"/>
            <w:vAlign w:val="center"/>
          </w:tcPr>
          <w:p w14:paraId="400D2729" w14:textId="77777777" w:rsidR="00D326CD" w:rsidRPr="00FE29AE" w:rsidRDefault="00D326CD" w:rsidP="00D326CD">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Automatic notification for vehicle utilisation with configurable time periods.</w:t>
            </w:r>
          </w:p>
        </w:tc>
        <w:tc>
          <w:tcPr>
            <w:tcW w:w="1071" w:type="dxa"/>
            <w:tcBorders>
              <w:top w:val="single" w:sz="4" w:space="0" w:color="auto"/>
            </w:tcBorders>
            <w:shd w:val="clear" w:color="auto" w:fill="DAE9F7"/>
            <w:vAlign w:val="center"/>
          </w:tcPr>
          <w:p w14:paraId="53A42F6D" w14:textId="77777777" w:rsidR="00D326CD" w:rsidRPr="00FE29AE" w:rsidRDefault="00D326CD" w:rsidP="00D326CD">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D326CD" w:rsidRPr="00FE29AE" w14:paraId="732084F0"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40B48D2D"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3.14</w:t>
            </w:r>
          </w:p>
        </w:tc>
        <w:tc>
          <w:tcPr>
            <w:tcW w:w="7258" w:type="dxa"/>
            <w:tcBorders>
              <w:top w:val="single" w:sz="4" w:space="0" w:color="auto"/>
            </w:tcBorders>
            <w:shd w:val="clear" w:color="auto" w:fill="DAE9F7"/>
            <w:vAlign w:val="center"/>
          </w:tcPr>
          <w:p w14:paraId="6998BBAE" w14:textId="77777777" w:rsidR="00D326CD" w:rsidRPr="00FE29AE" w:rsidRDefault="00D326CD" w:rsidP="00D326CD">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Driver Activity Report showing what vehicles were driven by a particular driver for different time periods i.e. week, month etc. The time periods selected for analysis should be configurable by the user of the report. The report must be able to run for all drivers or for any individual driver.</w:t>
            </w:r>
          </w:p>
        </w:tc>
        <w:tc>
          <w:tcPr>
            <w:tcW w:w="1071" w:type="dxa"/>
            <w:tcBorders>
              <w:top w:val="single" w:sz="4" w:space="0" w:color="auto"/>
            </w:tcBorders>
            <w:shd w:val="clear" w:color="auto" w:fill="DAE9F7"/>
            <w:vAlign w:val="center"/>
          </w:tcPr>
          <w:p w14:paraId="2364F53A" w14:textId="77777777" w:rsidR="00D326CD" w:rsidRPr="00FE29AE" w:rsidRDefault="00D326CD" w:rsidP="00D326CD">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D326CD" w:rsidRPr="00FE29AE" w14:paraId="05A97380"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4198E758"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3.15</w:t>
            </w:r>
          </w:p>
        </w:tc>
        <w:tc>
          <w:tcPr>
            <w:tcW w:w="7258" w:type="dxa"/>
            <w:tcBorders>
              <w:top w:val="single" w:sz="4" w:space="0" w:color="auto"/>
            </w:tcBorders>
            <w:shd w:val="clear" w:color="auto" w:fill="DAE9F7"/>
            <w:vAlign w:val="center"/>
          </w:tcPr>
          <w:p w14:paraId="21EFF410" w14:textId="77777777" w:rsidR="00D326CD" w:rsidRPr="00FE29AE" w:rsidRDefault="00D326CD" w:rsidP="00D326CD">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Heat mapping- The system should have the ability to report the routes most travelled by distance and kms by vehicle / Region or nationally. This report should include date / start and finish time / kms travelled, route details and driver ID.  The system should include map visualisation.</w:t>
            </w:r>
          </w:p>
        </w:tc>
        <w:tc>
          <w:tcPr>
            <w:tcW w:w="1071" w:type="dxa"/>
            <w:tcBorders>
              <w:top w:val="single" w:sz="4" w:space="0" w:color="auto"/>
            </w:tcBorders>
            <w:shd w:val="clear" w:color="auto" w:fill="DAE9F7"/>
            <w:vAlign w:val="center"/>
          </w:tcPr>
          <w:p w14:paraId="0D72BC2B" w14:textId="77777777" w:rsidR="00D326CD" w:rsidRPr="00FE29AE" w:rsidRDefault="00D326CD" w:rsidP="00D326CD">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Should</w:t>
            </w:r>
          </w:p>
        </w:tc>
      </w:tr>
      <w:tr w:rsidR="00D326CD" w:rsidRPr="00FE29AE" w14:paraId="4F0E6228"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50C0999D"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3.16</w:t>
            </w:r>
          </w:p>
        </w:tc>
        <w:tc>
          <w:tcPr>
            <w:tcW w:w="7258" w:type="dxa"/>
            <w:tcBorders>
              <w:top w:val="single" w:sz="4" w:space="0" w:color="auto"/>
            </w:tcBorders>
            <w:shd w:val="clear" w:color="auto" w:fill="DAE9F7"/>
            <w:vAlign w:val="center"/>
          </w:tcPr>
          <w:p w14:paraId="07D20B02" w14:textId="77777777" w:rsidR="00D326CD" w:rsidRPr="00FE29AE" w:rsidRDefault="00D326CD" w:rsidP="00D326CD">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Vehicle location mapping to indicate by colour code whether a vehicle is moving, parked or if there is an issue with a telematics unit (units down).</w:t>
            </w:r>
          </w:p>
          <w:p w14:paraId="1FFCFF94" w14:textId="77777777" w:rsidR="00D326CD" w:rsidRPr="00FE29AE" w:rsidRDefault="00D326CD" w:rsidP="00D326CD">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must produce unit-down reports.</w:t>
            </w:r>
          </w:p>
        </w:tc>
        <w:tc>
          <w:tcPr>
            <w:tcW w:w="1071" w:type="dxa"/>
            <w:tcBorders>
              <w:top w:val="single" w:sz="4" w:space="0" w:color="auto"/>
            </w:tcBorders>
            <w:shd w:val="clear" w:color="auto" w:fill="DAE9F7"/>
            <w:vAlign w:val="center"/>
          </w:tcPr>
          <w:p w14:paraId="47E59EEA" w14:textId="77777777" w:rsidR="00D326CD" w:rsidRPr="00FE29AE" w:rsidRDefault="00D326CD" w:rsidP="00D326CD">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D326CD" w:rsidRPr="00FE29AE" w14:paraId="484DF519"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1" w:type="dxa"/>
            <w:tcBorders>
              <w:top w:val="single" w:sz="4" w:space="0" w:color="auto"/>
            </w:tcBorders>
            <w:shd w:val="clear" w:color="auto" w:fill="DAE9F7"/>
            <w:vAlign w:val="center"/>
          </w:tcPr>
          <w:p w14:paraId="75D868A0" w14:textId="77777777" w:rsidR="00D326CD" w:rsidRPr="00FE29AE" w:rsidRDefault="00D326CD" w:rsidP="00D326CD">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3.17</w:t>
            </w:r>
          </w:p>
        </w:tc>
        <w:tc>
          <w:tcPr>
            <w:tcW w:w="7258" w:type="dxa"/>
            <w:tcBorders>
              <w:top w:val="single" w:sz="4" w:space="0" w:color="auto"/>
            </w:tcBorders>
            <w:shd w:val="clear" w:color="auto" w:fill="DAE9F7"/>
            <w:vAlign w:val="center"/>
          </w:tcPr>
          <w:p w14:paraId="0A32C900" w14:textId="77777777" w:rsidR="00D326CD" w:rsidRPr="00FE29AE" w:rsidRDefault="00D326CD" w:rsidP="00D326CD">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Report generation must be effectively instantaneous with little delay returning data or generating reports. </w:t>
            </w:r>
          </w:p>
        </w:tc>
        <w:tc>
          <w:tcPr>
            <w:tcW w:w="1071" w:type="dxa"/>
            <w:tcBorders>
              <w:top w:val="single" w:sz="4" w:space="0" w:color="auto"/>
            </w:tcBorders>
            <w:shd w:val="clear" w:color="auto" w:fill="DAE9F7"/>
            <w:vAlign w:val="center"/>
          </w:tcPr>
          <w:p w14:paraId="5955B6AD" w14:textId="77777777" w:rsidR="00D326CD" w:rsidRPr="00FE29AE" w:rsidRDefault="00D326CD" w:rsidP="00D326CD">
            <w:pPr>
              <w:spacing w:line="276" w:lineRule="auto"/>
              <w:jc w:val="center"/>
              <w:cnfStyle w:val="000000000000" w:firstRow="0" w:lastRow="0" w:firstColumn="0" w:lastColumn="0" w:oddVBand="0" w:evenVBand="0" w:oddHBand="0" w:evenHBand="0" w:firstRowFirstColumn="0" w:firstRowLastColumn="0" w:lastRowFirstColumn="0" w:lastRowLastColumn="0"/>
            </w:pPr>
            <w:r w:rsidRPr="00FE29AE">
              <w:rPr>
                <w:sz w:val="18"/>
                <w:szCs w:val="18"/>
              </w:rPr>
              <w:t>Must</w:t>
            </w:r>
          </w:p>
        </w:tc>
      </w:tr>
    </w:tbl>
    <w:p w14:paraId="34267FF0" w14:textId="29B594E9" w:rsidR="17387562" w:rsidRDefault="17387562"/>
    <w:p w14:paraId="6369B102" w14:textId="77777777" w:rsidR="00CE0552" w:rsidRPr="00FE29AE" w:rsidRDefault="00CE0552" w:rsidP="00CE0552"/>
    <w:p w14:paraId="68B887A5" w14:textId="77777777" w:rsidR="00CE0552" w:rsidRPr="00FE29AE" w:rsidRDefault="00CE0552" w:rsidP="00CE0552">
      <w:pPr>
        <w:tabs>
          <w:tab w:val="center" w:pos="4513"/>
        </w:tabs>
        <w:spacing w:after="160" w:line="259" w:lineRule="auto"/>
      </w:pPr>
    </w:p>
    <w:p w14:paraId="0A38B0B1" w14:textId="77777777" w:rsidR="00CE0552" w:rsidRPr="00FE29AE" w:rsidRDefault="00CE0552" w:rsidP="00CE0552">
      <w:pPr>
        <w:tabs>
          <w:tab w:val="center" w:pos="4513"/>
        </w:tabs>
        <w:spacing w:after="160" w:line="259" w:lineRule="auto"/>
      </w:pPr>
    </w:p>
    <w:tbl>
      <w:tblPr>
        <w:tblStyle w:val="GridTable4-Accent6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7262"/>
        <w:gridCol w:w="1068"/>
      </w:tblGrid>
      <w:tr w:rsidR="00CE0552" w:rsidRPr="00FE29AE" w14:paraId="186B75F8" w14:textId="77777777" w:rsidTr="173875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3BDF316B" w14:textId="77777777" w:rsidR="00CE0552" w:rsidRPr="00FE29AE" w:rsidRDefault="00CE0552" w:rsidP="003849FA">
            <w:pPr>
              <w:spacing w:line="276" w:lineRule="auto"/>
              <w:jc w:val="center"/>
              <w:rPr>
                <w:rFonts w:ascii="Calibri" w:eastAsia="Calibri" w:hAnsi="Calibri" w:cs="Arial"/>
                <w:color w:val="FFFFFF" w:themeColor="background1"/>
              </w:rPr>
            </w:pPr>
            <w:r w:rsidRPr="00FE29AE">
              <w:rPr>
                <w:rFonts w:ascii="Calibri" w:eastAsia="Calibri" w:hAnsi="Calibri" w:cs="Arial"/>
                <w:color w:val="FFFFFF" w:themeColor="background1"/>
              </w:rPr>
              <w:t>4</w:t>
            </w:r>
          </w:p>
        </w:tc>
        <w:tc>
          <w:tcPr>
            <w:tcW w:w="9199" w:type="dxa"/>
            <w:gridSpan w:val="2"/>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7C77BBC5" w14:textId="77777777" w:rsidR="00CE0552" w:rsidRPr="00FE29AE" w:rsidRDefault="00CE0552" w:rsidP="003849FA">
            <w:pPr>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Arial"/>
                <w:color w:val="FFFFFF" w:themeColor="background1"/>
              </w:rPr>
            </w:pPr>
            <w:r w:rsidRPr="00FE29AE">
              <w:rPr>
                <w:rFonts w:ascii="Calibri" w:eastAsia="Calibri" w:hAnsi="Calibri" w:cs="Arial"/>
                <w:color w:val="FFFFFF" w:themeColor="background1"/>
              </w:rPr>
              <w:t>System Reporting</w:t>
            </w:r>
          </w:p>
        </w:tc>
      </w:tr>
      <w:tr w:rsidR="00CE0552" w:rsidRPr="00FE29AE" w14:paraId="2C896C61"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6D99793E" w14:textId="77777777" w:rsidR="00CE0552" w:rsidRPr="00FE29AE" w:rsidRDefault="00CE0552" w:rsidP="003849FA">
            <w:pPr>
              <w:spacing w:line="276" w:lineRule="auto"/>
              <w:jc w:val="center"/>
              <w:rPr>
                <w:rFonts w:eastAsia="Calibri"/>
                <w:color w:val="FFFFFF" w:themeColor="background1"/>
                <w:sz w:val="18"/>
                <w:szCs w:val="18"/>
              </w:rPr>
            </w:pPr>
            <w:r w:rsidRPr="00FE29AE">
              <w:rPr>
                <w:rFonts w:eastAsia="Calibri"/>
                <w:color w:val="FFFFFF" w:themeColor="background1"/>
                <w:sz w:val="18"/>
                <w:szCs w:val="18"/>
              </w:rPr>
              <w:t>Ref.</w:t>
            </w:r>
          </w:p>
        </w:tc>
        <w:tc>
          <w:tcPr>
            <w:tcW w:w="808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3CD2AAC" w14:textId="77777777" w:rsidR="00CE0552" w:rsidRPr="00FE29AE" w:rsidRDefault="00CE0552" w:rsidP="003849FA">
            <w:pPr>
              <w:spacing w:line="276" w:lineRule="auto"/>
              <w:cnfStyle w:val="000000100000" w:firstRow="0" w:lastRow="0" w:firstColumn="0" w:lastColumn="0" w:oddVBand="0" w:evenVBand="0" w:oddHBand="1" w:evenHBand="0" w:firstRowFirstColumn="0" w:firstRowLastColumn="0" w:lastRowFirstColumn="0" w:lastRowLastColumn="0"/>
              <w:rPr>
                <w:rFonts w:eastAsia="Calibri"/>
                <w:b/>
                <w:bCs/>
                <w:color w:val="FFFFFF" w:themeColor="background1"/>
                <w:sz w:val="18"/>
                <w:szCs w:val="18"/>
              </w:rPr>
            </w:pPr>
            <w:r w:rsidRPr="00FE29AE">
              <w:rPr>
                <w:rFonts w:eastAsia="Calibri"/>
                <w:b/>
                <w:bCs/>
                <w:color w:val="FFFFFF" w:themeColor="background1"/>
                <w:sz w:val="18"/>
                <w:szCs w:val="18"/>
              </w:rPr>
              <w:t>Description</w:t>
            </w:r>
          </w:p>
        </w:tc>
        <w:tc>
          <w:tcPr>
            <w:tcW w:w="1119"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60EAD8BB"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b/>
                <w:bCs/>
                <w:color w:val="FFFFFF" w:themeColor="background1"/>
                <w:sz w:val="18"/>
                <w:szCs w:val="18"/>
              </w:rPr>
            </w:pPr>
            <w:r w:rsidRPr="00FE29AE">
              <w:rPr>
                <w:rFonts w:eastAsia="Calibri"/>
                <w:b/>
                <w:bCs/>
                <w:color w:val="FFFFFF" w:themeColor="background1"/>
                <w:sz w:val="18"/>
                <w:szCs w:val="18"/>
              </w:rPr>
              <w:t>Priority</w:t>
            </w:r>
          </w:p>
        </w:tc>
      </w:tr>
      <w:tr w:rsidR="00CE0552" w:rsidRPr="00FE29AE" w14:paraId="494CFBD2"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tcBorders>
            <w:shd w:val="clear" w:color="auto" w:fill="DAE9F7"/>
            <w:vAlign w:val="center"/>
          </w:tcPr>
          <w:p w14:paraId="2F0F950A"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4.1</w:t>
            </w:r>
          </w:p>
        </w:tc>
        <w:tc>
          <w:tcPr>
            <w:tcW w:w="8080" w:type="dxa"/>
            <w:tcBorders>
              <w:top w:val="single" w:sz="4" w:space="0" w:color="auto"/>
            </w:tcBorders>
            <w:shd w:val="clear" w:color="auto" w:fill="DAE9F7"/>
            <w:vAlign w:val="bottom"/>
          </w:tcPr>
          <w:p w14:paraId="03D56545"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must be able to accommodate each vehicle being assigned to two or more user groups.  </w:t>
            </w:r>
          </w:p>
        </w:tc>
        <w:tc>
          <w:tcPr>
            <w:tcW w:w="1119" w:type="dxa"/>
            <w:tcBorders>
              <w:top w:val="single" w:sz="4" w:space="0" w:color="auto"/>
            </w:tcBorders>
            <w:shd w:val="clear" w:color="auto" w:fill="DAE9F7"/>
            <w:vAlign w:val="center"/>
          </w:tcPr>
          <w:p w14:paraId="2C9ACA3B"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Must</w:t>
            </w:r>
          </w:p>
        </w:tc>
      </w:tr>
      <w:tr w:rsidR="00CE0552" w:rsidRPr="00FE29AE" w14:paraId="7C1AE259"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AE9F7"/>
            <w:vAlign w:val="center"/>
          </w:tcPr>
          <w:p w14:paraId="29657E95"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 xml:space="preserve">FR 4.2 </w:t>
            </w:r>
          </w:p>
        </w:tc>
        <w:tc>
          <w:tcPr>
            <w:tcW w:w="8080" w:type="dxa"/>
            <w:shd w:val="clear" w:color="auto" w:fill="DAE9F7"/>
            <w:vAlign w:val="center"/>
          </w:tcPr>
          <w:p w14:paraId="35B5E50F"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There must be a facility to allow additional comments to be recorded and stored as required for each vehicle / equipment record.  </w:t>
            </w:r>
          </w:p>
        </w:tc>
        <w:tc>
          <w:tcPr>
            <w:tcW w:w="1119" w:type="dxa"/>
            <w:shd w:val="clear" w:color="auto" w:fill="DAE9F7"/>
            <w:vAlign w:val="center"/>
          </w:tcPr>
          <w:p w14:paraId="1E213C81"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pPr>
            <w:r w:rsidRPr="00FE29AE">
              <w:rPr>
                <w:rFonts w:ascii="Calibri" w:hAnsi="Calibri"/>
                <w:color w:val="000000" w:themeColor="text1"/>
                <w:sz w:val="18"/>
                <w:szCs w:val="18"/>
              </w:rPr>
              <w:t>Must</w:t>
            </w:r>
          </w:p>
        </w:tc>
      </w:tr>
      <w:tr w:rsidR="00CE0552" w:rsidRPr="00FE29AE" w14:paraId="61CE669E"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AE9F7"/>
            <w:vAlign w:val="center"/>
          </w:tcPr>
          <w:p w14:paraId="2E6A6718"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4.3</w:t>
            </w:r>
          </w:p>
        </w:tc>
        <w:tc>
          <w:tcPr>
            <w:tcW w:w="8080" w:type="dxa"/>
            <w:shd w:val="clear" w:color="auto" w:fill="DAE9F7"/>
            <w:vAlign w:val="center"/>
          </w:tcPr>
          <w:p w14:paraId="4301D9D0"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Only system administrators must create and edit vehicle groupings and accordingly assign supervisors to such groupings.  </w:t>
            </w:r>
          </w:p>
        </w:tc>
        <w:tc>
          <w:tcPr>
            <w:tcW w:w="1119" w:type="dxa"/>
            <w:shd w:val="clear" w:color="auto" w:fill="DAE9F7"/>
            <w:vAlign w:val="center"/>
          </w:tcPr>
          <w:p w14:paraId="390DCF17"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pPr>
            <w:r w:rsidRPr="00FE29AE">
              <w:rPr>
                <w:rFonts w:ascii="Calibri" w:hAnsi="Calibri"/>
                <w:color w:val="000000" w:themeColor="text1"/>
                <w:sz w:val="18"/>
                <w:szCs w:val="18"/>
              </w:rPr>
              <w:t>Must</w:t>
            </w:r>
          </w:p>
        </w:tc>
      </w:tr>
      <w:tr w:rsidR="00CE0552" w:rsidRPr="00FE29AE" w14:paraId="4043537D"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AE9F7"/>
            <w:vAlign w:val="center"/>
          </w:tcPr>
          <w:p w14:paraId="46439D41"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4.4</w:t>
            </w:r>
          </w:p>
        </w:tc>
        <w:tc>
          <w:tcPr>
            <w:tcW w:w="8080" w:type="dxa"/>
            <w:shd w:val="clear" w:color="auto" w:fill="DAE9F7"/>
            <w:vAlign w:val="bottom"/>
          </w:tcPr>
          <w:p w14:paraId="2AF4A8FF"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database should be capable of accepting data in a scanned format, i.e. PDF.  </w:t>
            </w:r>
          </w:p>
        </w:tc>
        <w:tc>
          <w:tcPr>
            <w:tcW w:w="1119" w:type="dxa"/>
            <w:shd w:val="clear" w:color="auto" w:fill="DAE9F7"/>
            <w:vAlign w:val="center"/>
          </w:tcPr>
          <w:p w14:paraId="07040513"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3B99650E"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AE9F7"/>
            <w:vAlign w:val="center"/>
          </w:tcPr>
          <w:p w14:paraId="71E6B4FA"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lastRenderedPageBreak/>
              <w:t>FR 4.5</w:t>
            </w:r>
          </w:p>
        </w:tc>
        <w:tc>
          <w:tcPr>
            <w:tcW w:w="8080" w:type="dxa"/>
            <w:shd w:val="clear" w:color="auto" w:fill="DAE9F7"/>
            <w:vAlign w:val="center"/>
          </w:tcPr>
          <w:p w14:paraId="3AB9E178"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When searching the database, the search option must allow for partial recognition of e.g. Vehicle registration number.  </w:t>
            </w:r>
          </w:p>
        </w:tc>
        <w:tc>
          <w:tcPr>
            <w:tcW w:w="1119" w:type="dxa"/>
            <w:shd w:val="clear" w:color="auto" w:fill="DAE9F7"/>
            <w:vAlign w:val="center"/>
          </w:tcPr>
          <w:p w14:paraId="080B7BCF"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Must</w:t>
            </w:r>
          </w:p>
        </w:tc>
      </w:tr>
      <w:tr w:rsidR="00CE0552" w:rsidRPr="00FE29AE" w14:paraId="1D6B1C06"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06C68E0D"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4.6</w:t>
            </w:r>
          </w:p>
        </w:tc>
        <w:tc>
          <w:tcPr>
            <w:tcW w:w="7246" w:type="dxa"/>
            <w:shd w:val="clear" w:color="auto" w:fill="DAE9F7"/>
            <w:vAlign w:val="center"/>
          </w:tcPr>
          <w:p w14:paraId="0A443289"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Administrators will be able to “archive” a vehicle’s history on a permanent basis, as is required when a vehicle is disposed of or at the end of the lease/hire period (i.e. record remaining available to view). </w:t>
            </w:r>
          </w:p>
        </w:tc>
        <w:tc>
          <w:tcPr>
            <w:tcW w:w="1084" w:type="dxa"/>
            <w:shd w:val="clear" w:color="auto" w:fill="DAE9F7"/>
            <w:vAlign w:val="center"/>
          </w:tcPr>
          <w:p w14:paraId="755372E1"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Must</w:t>
            </w:r>
          </w:p>
        </w:tc>
      </w:tr>
      <w:tr w:rsidR="00CE0552" w:rsidRPr="00FE29AE" w14:paraId="6DC4BB73"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311ED671"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4.7</w:t>
            </w:r>
          </w:p>
        </w:tc>
        <w:tc>
          <w:tcPr>
            <w:tcW w:w="7246" w:type="dxa"/>
            <w:shd w:val="clear" w:color="auto" w:fill="DAE9F7"/>
            <w:vAlign w:val="center"/>
          </w:tcPr>
          <w:p w14:paraId="071572BD" w14:textId="77777777" w:rsidR="00CE0552" w:rsidRPr="00FE29AE" w:rsidRDefault="00CE0552" w:rsidP="003849F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Monitoring and generating fuel related reports including:   </w:t>
            </w:r>
          </w:p>
          <w:p w14:paraId="5CDF6D4A" w14:textId="77777777" w:rsidR="00CE0552" w:rsidRPr="00FE29AE" w:rsidRDefault="00CE0552" w:rsidP="00CE055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System to allow easy transfer of data from the above fuel systems to manage fuel consumption and generate reports </w:t>
            </w:r>
          </w:p>
          <w:p w14:paraId="0270854E" w14:textId="77777777" w:rsidR="00CE0552" w:rsidRPr="00FE29AE" w:rsidRDefault="00CE0552" w:rsidP="00CE055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Vehicle fuel consumption reports in litres/100km. </w:t>
            </w:r>
          </w:p>
          <w:p w14:paraId="31B6B783" w14:textId="77777777" w:rsidR="00CE0552" w:rsidRPr="00FE29AE" w:rsidRDefault="00CE0552" w:rsidP="00CE055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Report comparing fuel consumption figures across the fleet. </w:t>
            </w:r>
          </w:p>
          <w:p w14:paraId="49AADC95" w14:textId="77777777" w:rsidR="00CE0552" w:rsidRPr="00FE29AE" w:rsidRDefault="00CE0552" w:rsidP="00CE055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Report of instances when a vehicle was not at fuel pump when its assigned card was used </w:t>
            </w:r>
          </w:p>
          <w:p w14:paraId="3ADD0F41" w14:textId="77777777" w:rsidR="00CE0552" w:rsidRPr="00FE29AE" w:rsidRDefault="00CE0552" w:rsidP="00CE055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Uncharacteristic drop in fuel level shall be reported and trigger an immediate alarm to the system to notify the Fleet Manager, etc. of its occurrence.  </w:t>
            </w:r>
          </w:p>
          <w:p w14:paraId="4D9F0342" w14:textId="77777777" w:rsidR="00CE0552" w:rsidRPr="00FE29AE" w:rsidRDefault="00CE0552" w:rsidP="00CE055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Report a fuel purchase not compatible with the vehicle.</w:t>
            </w:r>
          </w:p>
          <w:p w14:paraId="684CE23A" w14:textId="77777777" w:rsidR="00CE0552" w:rsidRPr="00FE29AE" w:rsidRDefault="00CE0552" w:rsidP="00CE055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Report more than one fuel purchase in a day.</w:t>
            </w:r>
          </w:p>
          <w:p w14:paraId="688FB072" w14:textId="77777777" w:rsidR="00CE0552" w:rsidRPr="00FE29AE" w:rsidRDefault="00CE0552" w:rsidP="00CE0552">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Report on fuel purchases where the vehicle registration is not declared at the fuel station.</w:t>
            </w:r>
          </w:p>
          <w:p w14:paraId="6B70FC66" w14:textId="77777777" w:rsidR="00CE0552" w:rsidRPr="00FE29AE" w:rsidRDefault="00CE0552" w:rsidP="00CE0552">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Report on diesel purchased at fuel stations where HVO is available and the vehicle is HVO compatible.</w:t>
            </w:r>
          </w:p>
        </w:tc>
        <w:tc>
          <w:tcPr>
            <w:tcW w:w="1084" w:type="dxa"/>
            <w:shd w:val="clear" w:color="auto" w:fill="DAE9F7"/>
            <w:vAlign w:val="center"/>
          </w:tcPr>
          <w:p w14:paraId="688FBFFA"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pPr>
            <w:r w:rsidRPr="00FE29AE">
              <w:rPr>
                <w:rFonts w:ascii="Calibri" w:hAnsi="Calibri"/>
                <w:color w:val="000000" w:themeColor="text1"/>
                <w:sz w:val="18"/>
                <w:szCs w:val="18"/>
              </w:rPr>
              <w:t>Should</w:t>
            </w:r>
          </w:p>
        </w:tc>
      </w:tr>
      <w:tr w:rsidR="00CE0552" w:rsidRPr="00FE29AE" w14:paraId="11B84CD5"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2F581E9E"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4.8</w:t>
            </w:r>
          </w:p>
        </w:tc>
        <w:tc>
          <w:tcPr>
            <w:tcW w:w="7246" w:type="dxa"/>
            <w:shd w:val="clear" w:color="auto" w:fill="DAE9F7"/>
            <w:vAlign w:val="center"/>
          </w:tcPr>
          <w:p w14:paraId="629B6658" w14:textId="77777777" w:rsidR="00CE0552" w:rsidRPr="00FE29AE" w:rsidRDefault="00CE0552" w:rsidP="003849FA">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must be compatible with IFI’s Fuel Card systems (Circle K currently) allowing full integration and reporting for improved fuel efficiency.  The suppliers named may change over the lifetime of the contract. </w:t>
            </w:r>
          </w:p>
        </w:tc>
        <w:tc>
          <w:tcPr>
            <w:tcW w:w="1084" w:type="dxa"/>
            <w:shd w:val="clear" w:color="auto" w:fill="DAE9F7"/>
            <w:vAlign w:val="center"/>
          </w:tcPr>
          <w:p w14:paraId="7EB21ABA"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Must</w:t>
            </w:r>
          </w:p>
        </w:tc>
      </w:tr>
      <w:tr w:rsidR="00CE0552" w:rsidRPr="00FE29AE" w14:paraId="57E4A900"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66683336" w14:textId="77777777" w:rsidR="00CE0552" w:rsidRPr="00FE29AE" w:rsidRDefault="00CE0552" w:rsidP="003849FA">
            <w:pPr>
              <w:spacing w:line="276" w:lineRule="auto"/>
              <w:jc w:val="center"/>
              <w:rPr>
                <w:rFonts w:ascii="Calibri" w:hAnsi="Calibri"/>
                <w:color w:val="000000" w:themeColor="text1"/>
                <w:sz w:val="18"/>
                <w:szCs w:val="18"/>
              </w:rPr>
            </w:pPr>
            <w:r w:rsidRPr="00FE29AE">
              <w:rPr>
                <w:rFonts w:ascii="Calibri" w:hAnsi="Calibri"/>
                <w:color w:val="000000" w:themeColor="text1"/>
                <w:sz w:val="18"/>
                <w:szCs w:val="18"/>
              </w:rPr>
              <w:t>FR 4.9</w:t>
            </w:r>
          </w:p>
        </w:tc>
        <w:tc>
          <w:tcPr>
            <w:tcW w:w="7246" w:type="dxa"/>
            <w:shd w:val="clear" w:color="auto" w:fill="DAE9F7"/>
            <w:vAlign w:val="center"/>
          </w:tcPr>
          <w:p w14:paraId="4681826C" w14:textId="77777777" w:rsidR="00CE0552" w:rsidRPr="00FE29AE" w:rsidRDefault="00CE0552" w:rsidP="003849FA">
            <w:pPr>
              <w:contextualSpacing/>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will maintain the vehicle servicing, testing and repair history with full invoice information which may be analysed for cost reports. </w:t>
            </w:r>
          </w:p>
          <w:p w14:paraId="717540F9" w14:textId="77777777" w:rsidR="00CE0552" w:rsidRPr="00FE29AE" w:rsidRDefault="00CE0552" w:rsidP="003849FA">
            <w:pPr>
              <w:contextualSpacing/>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 xml:space="preserve">The system should be able to integrate with our vehicle repair management system (currently </w:t>
            </w:r>
            <w:proofErr w:type="spellStart"/>
            <w:r w:rsidRPr="00FE29AE">
              <w:rPr>
                <w:rFonts w:eastAsiaTheme="minorEastAsia"/>
                <w:color w:val="000000" w:themeColor="text1"/>
                <w:sz w:val="18"/>
                <w:szCs w:val="18"/>
              </w:rPr>
              <w:t>Forware</w:t>
            </w:r>
            <w:proofErr w:type="spellEnd"/>
            <w:r w:rsidRPr="00FE29AE">
              <w:rPr>
                <w:rFonts w:eastAsiaTheme="minorEastAsia"/>
                <w:color w:val="000000" w:themeColor="text1"/>
                <w:sz w:val="18"/>
                <w:szCs w:val="18"/>
              </w:rPr>
              <w:t>).</w:t>
            </w:r>
          </w:p>
        </w:tc>
        <w:tc>
          <w:tcPr>
            <w:tcW w:w="1084" w:type="dxa"/>
            <w:shd w:val="clear" w:color="auto" w:fill="DAE9F7"/>
            <w:vAlign w:val="center"/>
          </w:tcPr>
          <w:p w14:paraId="3A4A8532"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6291294B"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7A345D08" w14:textId="6C2B3B0D" w:rsidR="00CE0552" w:rsidRPr="00FE29AE" w:rsidRDefault="2A7F9C7A"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4.10</w:t>
            </w:r>
          </w:p>
        </w:tc>
        <w:tc>
          <w:tcPr>
            <w:tcW w:w="7246" w:type="dxa"/>
            <w:shd w:val="clear" w:color="auto" w:fill="DAE9F7"/>
            <w:vAlign w:val="center"/>
          </w:tcPr>
          <w:p w14:paraId="45E1FBA9"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must generate automatic repeat service schedules based on either time or distance.  The number of schedules may expand or contract to comply with the organisation’s best practice policy, and will initially include: </w:t>
            </w:r>
          </w:p>
          <w:p w14:paraId="098050B3"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p>
          <w:p w14:paraId="1AA48F63" w14:textId="77777777" w:rsidR="00CE0552" w:rsidRPr="00FE29AE" w:rsidRDefault="00CE0552" w:rsidP="00CE0552">
            <w:pPr>
              <w:pStyle w:val="ListParagraph"/>
              <w:numPr>
                <w:ilvl w:val="1"/>
                <w:numId w:val="53"/>
              </w:num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13 weekly inspections </w:t>
            </w:r>
          </w:p>
          <w:p w14:paraId="361D90D2" w14:textId="77777777" w:rsidR="00CE0552" w:rsidRPr="00FE29AE" w:rsidRDefault="00CE0552" w:rsidP="00CE0552">
            <w:pPr>
              <w:pStyle w:val="ListParagraph"/>
              <w:numPr>
                <w:ilvl w:val="1"/>
                <w:numId w:val="53"/>
              </w:num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CVRT / NCT testing </w:t>
            </w:r>
          </w:p>
          <w:p w14:paraId="2749A98C" w14:textId="77777777" w:rsidR="00CE0552" w:rsidRPr="00FE29AE" w:rsidRDefault="00CE0552" w:rsidP="00CE0552">
            <w:pPr>
              <w:pStyle w:val="ListParagraph"/>
              <w:numPr>
                <w:ilvl w:val="1"/>
                <w:numId w:val="53"/>
              </w:num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Servicing of vehicle </w:t>
            </w:r>
          </w:p>
          <w:p w14:paraId="4FFA30DB" w14:textId="77777777" w:rsidR="00CE0552" w:rsidRPr="00FE29AE" w:rsidRDefault="00CE0552" w:rsidP="00CE0552">
            <w:pPr>
              <w:pStyle w:val="ListParagraph"/>
              <w:numPr>
                <w:ilvl w:val="1"/>
                <w:numId w:val="53"/>
              </w:num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Motor Tax due dates </w:t>
            </w:r>
          </w:p>
          <w:p w14:paraId="4C3128F6" w14:textId="77777777" w:rsidR="00CE0552" w:rsidRPr="00FE29AE" w:rsidRDefault="00CE0552" w:rsidP="00CE0552">
            <w:pPr>
              <w:pStyle w:val="ListParagraph"/>
              <w:numPr>
                <w:ilvl w:val="1"/>
                <w:numId w:val="53"/>
              </w:num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Insurance due dates</w:t>
            </w:r>
          </w:p>
          <w:p w14:paraId="14FD3252"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p>
        </w:tc>
        <w:tc>
          <w:tcPr>
            <w:tcW w:w="1084" w:type="dxa"/>
            <w:shd w:val="clear" w:color="auto" w:fill="DAE9F7"/>
            <w:vAlign w:val="center"/>
          </w:tcPr>
          <w:p w14:paraId="50803C2B"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pPr>
            <w:r w:rsidRPr="00FE29AE">
              <w:rPr>
                <w:rFonts w:ascii="Calibri" w:hAnsi="Calibri"/>
                <w:color w:val="000000" w:themeColor="text1"/>
                <w:sz w:val="18"/>
                <w:szCs w:val="18"/>
              </w:rPr>
              <w:t>must</w:t>
            </w:r>
          </w:p>
        </w:tc>
      </w:tr>
      <w:tr w:rsidR="00CE0552" w:rsidRPr="00FE29AE" w14:paraId="5075F2DF"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3A73109A" w14:textId="77777777" w:rsidR="00CE0552" w:rsidRPr="00FE29AE" w:rsidRDefault="500EC5C1"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4.11</w:t>
            </w:r>
          </w:p>
          <w:p w14:paraId="75E9FCC2" w14:textId="5C5B9649" w:rsidR="00CE0552" w:rsidRPr="00FE29AE" w:rsidRDefault="00CE0552" w:rsidP="003849FA">
            <w:pPr>
              <w:spacing w:line="276" w:lineRule="auto"/>
              <w:jc w:val="center"/>
              <w:rPr>
                <w:rFonts w:ascii="Calibri" w:hAnsi="Calibri"/>
                <w:color w:val="000000" w:themeColor="text1"/>
                <w:sz w:val="18"/>
                <w:szCs w:val="18"/>
              </w:rPr>
            </w:pPr>
          </w:p>
        </w:tc>
        <w:tc>
          <w:tcPr>
            <w:tcW w:w="7246" w:type="dxa"/>
            <w:shd w:val="clear" w:color="auto" w:fill="DAE9F7"/>
            <w:vAlign w:val="center"/>
          </w:tcPr>
          <w:p w14:paraId="2C928880" w14:textId="77777777" w:rsidR="00CE0552" w:rsidRPr="00FE29AE" w:rsidRDefault="00CE0552" w:rsidP="003849F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service schedules will be capable of being manipulated manually. </w:t>
            </w:r>
          </w:p>
          <w:p w14:paraId="0C8B713E"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will be capable of sending Administrators weekly alerts (or a report) as schedules fall due. </w:t>
            </w:r>
          </w:p>
        </w:tc>
        <w:tc>
          <w:tcPr>
            <w:tcW w:w="1084" w:type="dxa"/>
            <w:shd w:val="clear" w:color="auto" w:fill="DAE9F7"/>
            <w:vAlign w:val="center"/>
          </w:tcPr>
          <w:p w14:paraId="5C8409B9"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26E3B299"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202076D0"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4.12</w:t>
            </w:r>
          </w:p>
        </w:tc>
        <w:tc>
          <w:tcPr>
            <w:tcW w:w="7246" w:type="dxa"/>
            <w:shd w:val="clear" w:color="auto" w:fill="DAE9F7"/>
            <w:vAlign w:val="center"/>
          </w:tcPr>
          <w:p w14:paraId="26481F28"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will generate exception alerts for vehicle use outside permitted parameters (e.g. time and/or location). Fuel Card usage away from designated vehicle. </w:t>
            </w:r>
          </w:p>
        </w:tc>
        <w:tc>
          <w:tcPr>
            <w:tcW w:w="1084" w:type="dxa"/>
            <w:shd w:val="clear" w:color="auto" w:fill="DAE9F7"/>
            <w:vAlign w:val="center"/>
          </w:tcPr>
          <w:p w14:paraId="37DFFC6D"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18871F99"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6B6BECC3"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4.13</w:t>
            </w:r>
          </w:p>
        </w:tc>
        <w:tc>
          <w:tcPr>
            <w:tcW w:w="7246" w:type="dxa"/>
            <w:shd w:val="clear" w:color="auto" w:fill="DAE9F7"/>
            <w:vAlign w:val="center"/>
          </w:tcPr>
          <w:p w14:paraId="341F98B7"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Style w:val="normaltextrun"/>
                <w:color w:val="000000" w:themeColor="text1"/>
                <w:sz w:val="18"/>
                <w:szCs w:val="18"/>
              </w:rPr>
              <w:t xml:space="preserve">The system must have a google mapping-based system or similar and upgrades must be made available automatically as they become available and at no extra cost. Maps must show a high level of detail including all roads on </w:t>
            </w:r>
            <w:bookmarkStart w:id="5" w:name="_Int_zThp7G2I"/>
            <w:r w:rsidRPr="00FE29AE">
              <w:rPr>
                <w:rStyle w:val="normaltextrun"/>
                <w:color w:val="000000" w:themeColor="text1"/>
                <w:sz w:val="18"/>
                <w:szCs w:val="18"/>
              </w:rPr>
              <w:t>the Republic of Ireland</w:t>
            </w:r>
            <w:bookmarkEnd w:id="5"/>
            <w:r w:rsidRPr="00FE29AE">
              <w:rPr>
                <w:rStyle w:val="normaltextrun"/>
                <w:color w:val="000000" w:themeColor="text1"/>
                <w:sz w:val="18"/>
                <w:szCs w:val="18"/>
              </w:rPr>
              <w:t>, speed limits, etc. Mapping details to be submitted.</w:t>
            </w:r>
          </w:p>
        </w:tc>
        <w:tc>
          <w:tcPr>
            <w:tcW w:w="1084" w:type="dxa"/>
            <w:shd w:val="clear" w:color="auto" w:fill="DAE9F7"/>
            <w:vAlign w:val="center"/>
          </w:tcPr>
          <w:p w14:paraId="3B326CDD"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Must</w:t>
            </w:r>
          </w:p>
        </w:tc>
      </w:tr>
      <w:tr w:rsidR="00CE0552" w:rsidRPr="00FE29AE" w14:paraId="6D1B1A43"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3EE5E255"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4.14</w:t>
            </w:r>
          </w:p>
        </w:tc>
        <w:tc>
          <w:tcPr>
            <w:tcW w:w="7246" w:type="dxa"/>
            <w:shd w:val="clear" w:color="auto" w:fill="DAE9F7"/>
            <w:vAlign w:val="center"/>
          </w:tcPr>
          <w:p w14:paraId="65FAC3F5"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Style w:val="normaltextrun"/>
                <w:color w:val="000000" w:themeColor="text1"/>
                <w:sz w:val="18"/>
                <w:szCs w:val="18"/>
              </w:rPr>
              <w:t>The system must have a roaming capability, whereby the system will search for another network when the current network at the time becomes unavailable. </w:t>
            </w:r>
          </w:p>
          <w:p w14:paraId="603C68AA"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Style w:val="normaltextrun"/>
                <w:color w:val="000000" w:themeColor="text1"/>
                <w:sz w:val="18"/>
                <w:szCs w:val="18"/>
              </w:rPr>
              <w:t>Should a vehicle be out of network coverage, the unit must be capable of on-board storage of data for four weeks. </w:t>
            </w:r>
          </w:p>
        </w:tc>
        <w:tc>
          <w:tcPr>
            <w:tcW w:w="1084" w:type="dxa"/>
            <w:shd w:val="clear" w:color="auto" w:fill="DAE9F7"/>
            <w:vAlign w:val="center"/>
          </w:tcPr>
          <w:p w14:paraId="088839B9"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Must</w:t>
            </w:r>
          </w:p>
        </w:tc>
      </w:tr>
      <w:tr w:rsidR="00CE0552" w:rsidRPr="00FE29AE" w14:paraId="5303B56D"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372A0E87"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4.15</w:t>
            </w:r>
          </w:p>
        </w:tc>
        <w:tc>
          <w:tcPr>
            <w:tcW w:w="7246" w:type="dxa"/>
            <w:shd w:val="clear" w:color="auto" w:fill="DAE9F7"/>
            <w:vAlign w:val="center"/>
          </w:tcPr>
          <w:p w14:paraId="6F563F2C"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will be capable of generating the following reports (daily, weekly, monthly, by garage and by vehicle): </w:t>
            </w:r>
          </w:p>
          <w:p w14:paraId="5AC277D0" w14:textId="77777777" w:rsidR="00CE0552" w:rsidRPr="00FE29AE" w:rsidRDefault="00CE0552" w:rsidP="00CE0552">
            <w:pPr>
              <w:pStyle w:val="ListParagraph"/>
              <w:numPr>
                <w:ilvl w:val="3"/>
                <w:numId w:val="42"/>
              </w:numPr>
              <w:ind w:left="457" w:hanging="252"/>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Cost of scheduled maintenance </w:t>
            </w:r>
          </w:p>
          <w:p w14:paraId="717B5813" w14:textId="77777777" w:rsidR="00CE0552" w:rsidRPr="00FE29AE" w:rsidRDefault="00CE0552" w:rsidP="00CE0552">
            <w:pPr>
              <w:pStyle w:val="ListParagraph"/>
              <w:numPr>
                <w:ilvl w:val="3"/>
                <w:numId w:val="42"/>
              </w:numPr>
              <w:ind w:left="457" w:hanging="252"/>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Cost of ad hoc repairs </w:t>
            </w:r>
          </w:p>
          <w:p w14:paraId="23EED83A"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p>
        </w:tc>
        <w:tc>
          <w:tcPr>
            <w:tcW w:w="1084" w:type="dxa"/>
            <w:shd w:val="clear" w:color="auto" w:fill="DAE9F7"/>
            <w:vAlign w:val="center"/>
          </w:tcPr>
          <w:p w14:paraId="1CE9DE59"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308955A0"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4576D501"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4.16</w:t>
            </w:r>
          </w:p>
        </w:tc>
        <w:tc>
          <w:tcPr>
            <w:tcW w:w="7246" w:type="dxa"/>
            <w:shd w:val="clear" w:color="auto" w:fill="DAE9F7"/>
            <w:vAlign w:val="center"/>
          </w:tcPr>
          <w:p w14:paraId="41976F33" w14:textId="77777777" w:rsidR="00CE0552" w:rsidRPr="00FE29AE" w:rsidRDefault="00CE0552" w:rsidP="003849FA">
            <w:pPr>
              <w:cnfStyle w:val="000000100000" w:firstRow="0" w:lastRow="0" w:firstColumn="0" w:lastColumn="0" w:oddVBand="0" w:evenVBand="0" w:oddHBand="1" w:evenHBand="0" w:firstRowFirstColumn="0" w:firstRowLastColumn="0" w:lastRowFirstColumn="0" w:lastRowLastColumn="0"/>
              <w:rPr>
                <w:rFonts w:eastAsiaTheme="minorEastAsia"/>
                <w:sz w:val="18"/>
                <w:szCs w:val="18"/>
              </w:rPr>
            </w:pPr>
            <w:r w:rsidRPr="00FE29AE">
              <w:rPr>
                <w:rStyle w:val="normaltextrun"/>
                <w:color w:val="000000" w:themeColor="text1"/>
                <w:sz w:val="18"/>
                <w:szCs w:val="18"/>
              </w:rPr>
              <w:t>Arrival at filling stations shall trigger an odometer reading automatically.</w:t>
            </w:r>
          </w:p>
          <w:p w14:paraId="6991E1D9"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p>
        </w:tc>
        <w:tc>
          <w:tcPr>
            <w:tcW w:w="1084" w:type="dxa"/>
            <w:shd w:val="clear" w:color="auto" w:fill="DAE9F7"/>
            <w:vAlign w:val="center"/>
          </w:tcPr>
          <w:p w14:paraId="1C92385F"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68D7FC67"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2A1FF1A8" w14:textId="77777777" w:rsidR="00CE0552" w:rsidRPr="00FE29AE" w:rsidRDefault="68D5F7CD"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4.17</w:t>
            </w:r>
          </w:p>
          <w:p w14:paraId="1FA6AF0C" w14:textId="5987D9DA" w:rsidR="00CE0552" w:rsidRPr="00FE29AE" w:rsidRDefault="00CE0552" w:rsidP="003849FA">
            <w:pPr>
              <w:spacing w:line="276" w:lineRule="auto"/>
              <w:jc w:val="center"/>
              <w:rPr>
                <w:rFonts w:ascii="Calibri" w:hAnsi="Calibri"/>
                <w:color w:val="000000" w:themeColor="text1"/>
                <w:sz w:val="18"/>
                <w:szCs w:val="18"/>
              </w:rPr>
            </w:pPr>
          </w:p>
        </w:tc>
        <w:tc>
          <w:tcPr>
            <w:tcW w:w="7246" w:type="dxa"/>
            <w:shd w:val="clear" w:color="auto" w:fill="DAE9F7"/>
            <w:vAlign w:val="center"/>
          </w:tcPr>
          <w:p w14:paraId="5896239E"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must be capable of generating reports to include route replay - showing the start and end of journey.  Detailed route replay - showing every position as the system polls the vehicle location.</w:t>
            </w:r>
          </w:p>
        </w:tc>
        <w:tc>
          <w:tcPr>
            <w:tcW w:w="1084" w:type="dxa"/>
            <w:shd w:val="clear" w:color="auto" w:fill="DAE9F7"/>
            <w:vAlign w:val="center"/>
          </w:tcPr>
          <w:p w14:paraId="12E15073"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Must</w:t>
            </w:r>
          </w:p>
        </w:tc>
      </w:tr>
      <w:tr w:rsidR="00CE0552" w:rsidRPr="00FE29AE" w14:paraId="5D1E4289"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068EF8AF"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lastRenderedPageBreak/>
              <w:t>FR 4.18</w:t>
            </w:r>
          </w:p>
        </w:tc>
        <w:tc>
          <w:tcPr>
            <w:tcW w:w="7246" w:type="dxa"/>
            <w:shd w:val="clear" w:color="auto" w:fill="DAE9F7"/>
            <w:vAlign w:val="center"/>
          </w:tcPr>
          <w:p w14:paraId="76EA3C10" w14:textId="77777777" w:rsidR="00CE0552" w:rsidRPr="00FE29AE" w:rsidRDefault="00CE0552" w:rsidP="003849FA">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Vehicle percentage usage over a period specified by the system user.  </w:t>
            </w:r>
          </w:p>
          <w:p w14:paraId="130F182B" w14:textId="77777777" w:rsidR="00CE0552" w:rsidRPr="00FE29AE" w:rsidRDefault="00CE0552" w:rsidP="003849FA">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Summary Report – a high-level report of the activity of the vehicle for a selected time range including vehicle start time, finish time, travel time, idling time, and distance travelled.</w:t>
            </w:r>
          </w:p>
          <w:p w14:paraId="451EE1E4" w14:textId="77777777" w:rsidR="00CE0552" w:rsidRPr="00FE29AE" w:rsidRDefault="00CE0552" w:rsidP="003849FA">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Stops Report – a report detailing each location visited stop start time, stop end time, duration of stop. The stop duration analysed should be configurable by the user of the report e.g. all stops greater than 5 minutes duration. </w:t>
            </w:r>
          </w:p>
          <w:p w14:paraId="4CCCD17A" w14:textId="77777777" w:rsidR="00CE0552" w:rsidRPr="00FE29AE" w:rsidRDefault="00CE0552" w:rsidP="003849FA">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Locations Report – analysis of when a vehicle was last at a specific location.  </w:t>
            </w:r>
          </w:p>
          <w:p w14:paraId="688D1381" w14:textId="77777777" w:rsidR="00CE0552" w:rsidRPr="00FE29AE" w:rsidRDefault="00CE0552" w:rsidP="003849FA">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Under- utilised Vehicle Report.</w:t>
            </w:r>
          </w:p>
          <w:p w14:paraId="07322212" w14:textId="77777777" w:rsidR="00CE0552" w:rsidRPr="00FE29AE" w:rsidRDefault="00CE0552" w:rsidP="003849FA">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 xml:space="preserve">Vehicle Mileage Report by Geofence Area – for example if we set the </w:t>
            </w:r>
          </w:p>
          <w:p w14:paraId="2951B6BA" w14:textId="77777777" w:rsidR="00CE0552" w:rsidRPr="00FE29AE" w:rsidRDefault="00CE0552" w:rsidP="003849FA">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Driver Report showing what vehicles were driven by a particular driver for different time periods i.e. week, month, etc. The time periods selected for analysis should be configurable by the user of the report. </w:t>
            </w:r>
          </w:p>
          <w:p w14:paraId="3EDBBB29" w14:textId="77777777" w:rsidR="00CE0552" w:rsidRPr="00FE29AE" w:rsidRDefault="00CE0552" w:rsidP="003849FA">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The system shall have the ability to print any map views on the website/application in a clear format. </w:t>
            </w:r>
          </w:p>
        </w:tc>
        <w:tc>
          <w:tcPr>
            <w:tcW w:w="1084" w:type="dxa"/>
            <w:shd w:val="clear" w:color="auto" w:fill="DAE9F7"/>
            <w:vAlign w:val="center"/>
          </w:tcPr>
          <w:p w14:paraId="0EA7F993"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31696BF1"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3F07D737"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4.19</w:t>
            </w:r>
          </w:p>
        </w:tc>
        <w:tc>
          <w:tcPr>
            <w:tcW w:w="7246" w:type="dxa"/>
            <w:shd w:val="clear" w:color="auto" w:fill="DAE9F7"/>
            <w:vAlign w:val="center"/>
          </w:tcPr>
          <w:p w14:paraId="1C3D4050" w14:textId="77777777" w:rsidR="00CE0552" w:rsidRPr="00FE29AE" w:rsidRDefault="00CE0552" w:rsidP="003849F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 xml:space="preserve">The system must provide configurable dash boards to include compliance with walk around checks, driver fobbing and vehicle idling. </w:t>
            </w:r>
          </w:p>
          <w:p w14:paraId="74D8F5A1" w14:textId="77777777" w:rsidR="00CE0552" w:rsidRPr="00FE29AE" w:rsidRDefault="00CE0552" w:rsidP="003849FA">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Configurable dashboard data on utilisation, fuel consumption, carbon footprint.</w:t>
            </w:r>
          </w:p>
        </w:tc>
        <w:tc>
          <w:tcPr>
            <w:tcW w:w="1084" w:type="dxa"/>
            <w:shd w:val="clear" w:color="auto" w:fill="DAE9F7"/>
            <w:vAlign w:val="center"/>
          </w:tcPr>
          <w:p w14:paraId="42542703"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Must</w:t>
            </w:r>
          </w:p>
        </w:tc>
      </w:tr>
      <w:tr w:rsidR="00CE0552" w:rsidRPr="00FE29AE" w14:paraId="06E95EF8"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223428D5"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4.20</w:t>
            </w:r>
          </w:p>
        </w:tc>
        <w:tc>
          <w:tcPr>
            <w:tcW w:w="7246" w:type="dxa"/>
            <w:shd w:val="clear" w:color="auto" w:fill="DAE9F7"/>
            <w:vAlign w:val="center"/>
          </w:tcPr>
          <w:p w14:paraId="33BE3E3C"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 xml:space="preserve">List of all report types available including mapping, last location, fleet summary, journeys, idling (accessory on and engine), stops and locations. </w:t>
            </w:r>
          </w:p>
        </w:tc>
        <w:tc>
          <w:tcPr>
            <w:tcW w:w="1084" w:type="dxa"/>
            <w:shd w:val="clear" w:color="auto" w:fill="DAE9F7"/>
            <w:vAlign w:val="center"/>
          </w:tcPr>
          <w:p w14:paraId="246662CF"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483E6174"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761B4BF8"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4.21</w:t>
            </w:r>
          </w:p>
        </w:tc>
        <w:tc>
          <w:tcPr>
            <w:tcW w:w="7246" w:type="dxa"/>
            <w:shd w:val="clear" w:color="auto" w:fill="DAE9F7"/>
            <w:vAlign w:val="center"/>
          </w:tcPr>
          <w:p w14:paraId="3A3F05C6" w14:textId="77777777" w:rsidR="00CE0552" w:rsidRPr="00FE29AE" w:rsidRDefault="00CE0552" w:rsidP="003849FA">
            <w:pPr>
              <w:pStyle w:val="paragraph"/>
              <w:spacing w:beforeAutospacing="0" w:afterAutospacing="0"/>
              <w:jc w:val="both"/>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FE29AE">
              <w:rPr>
                <w:color w:val="000000" w:themeColor="text1"/>
                <w:sz w:val="18"/>
                <w:szCs w:val="18"/>
              </w:rPr>
              <w:t>List details of EV suitability/transition reports and tools</w:t>
            </w:r>
          </w:p>
        </w:tc>
        <w:tc>
          <w:tcPr>
            <w:tcW w:w="1084" w:type="dxa"/>
            <w:shd w:val="clear" w:color="auto" w:fill="DAE9F7"/>
            <w:vAlign w:val="center"/>
          </w:tcPr>
          <w:p w14:paraId="1ECD623C"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7131F211"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22EA158B"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4.22</w:t>
            </w:r>
          </w:p>
        </w:tc>
        <w:tc>
          <w:tcPr>
            <w:tcW w:w="7246" w:type="dxa"/>
            <w:shd w:val="clear" w:color="auto" w:fill="DAE9F7"/>
            <w:vAlign w:val="center"/>
          </w:tcPr>
          <w:p w14:paraId="14F4C479"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List details of all driver style reporting</w:t>
            </w:r>
          </w:p>
        </w:tc>
        <w:tc>
          <w:tcPr>
            <w:tcW w:w="1084" w:type="dxa"/>
            <w:shd w:val="clear" w:color="auto" w:fill="DAE9F7"/>
            <w:vAlign w:val="center"/>
          </w:tcPr>
          <w:p w14:paraId="0D221FFD"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1A07B364" w14:textId="77777777" w:rsidTr="17387562">
        <w:trPr>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4F0E2A3D" w14:textId="77777777" w:rsidR="17387562" w:rsidRDefault="17387562" w:rsidP="17387562">
            <w:pPr>
              <w:spacing w:line="276" w:lineRule="auto"/>
              <w:jc w:val="center"/>
              <w:rPr>
                <w:rFonts w:ascii="Calibri" w:hAnsi="Calibri"/>
                <w:color w:val="000000" w:themeColor="text1"/>
                <w:sz w:val="18"/>
                <w:szCs w:val="18"/>
              </w:rPr>
            </w:pPr>
            <w:r w:rsidRPr="17387562">
              <w:rPr>
                <w:rFonts w:ascii="Calibri" w:hAnsi="Calibri"/>
                <w:color w:val="000000" w:themeColor="text1"/>
                <w:sz w:val="18"/>
                <w:szCs w:val="18"/>
              </w:rPr>
              <w:t>FR 4.23</w:t>
            </w:r>
          </w:p>
        </w:tc>
        <w:tc>
          <w:tcPr>
            <w:tcW w:w="7246" w:type="dxa"/>
            <w:shd w:val="clear" w:color="auto" w:fill="DAE9F7"/>
            <w:vAlign w:val="center"/>
          </w:tcPr>
          <w:p w14:paraId="0A6D6FF4" w14:textId="77777777" w:rsidR="00CE0552" w:rsidRPr="00FE29AE" w:rsidRDefault="00CE0552" w:rsidP="003849FA">
            <w:pPr>
              <w:jc w:val="both"/>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List details of reporting relating to vehicle total cost management</w:t>
            </w:r>
          </w:p>
        </w:tc>
        <w:tc>
          <w:tcPr>
            <w:tcW w:w="1084" w:type="dxa"/>
            <w:shd w:val="clear" w:color="auto" w:fill="DAE9F7"/>
            <w:vAlign w:val="center"/>
          </w:tcPr>
          <w:p w14:paraId="236CA521" w14:textId="77777777" w:rsidR="00CE0552" w:rsidRPr="00FE29AE" w:rsidRDefault="00CE0552" w:rsidP="003849FA">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r w:rsidR="00CE0552" w:rsidRPr="00FE29AE" w14:paraId="1EF4C349" w14:textId="77777777" w:rsidTr="1738756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80" w:type="dxa"/>
            <w:shd w:val="clear" w:color="auto" w:fill="DAE9F7"/>
            <w:vAlign w:val="center"/>
          </w:tcPr>
          <w:p w14:paraId="3479B2FC" w14:textId="41F15D74" w:rsidR="00CE0552" w:rsidRPr="00FE29AE" w:rsidRDefault="0E1AF9D5" w:rsidP="003849FA">
            <w:pPr>
              <w:spacing w:line="276" w:lineRule="auto"/>
              <w:jc w:val="center"/>
            </w:pPr>
            <w:r w:rsidRPr="17387562">
              <w:rPr>
                <w:rFonts w:ascii="Calibri" w:hAnsi="Calibri"/>
                <w:color w:val="000000" w:themeColor="text1"/>
                <w:sz w:val="18"/>
                <w:szCs w:val="18"/>
              </w:rPr>
              <w:t>FR 4.24</w:t>
            </w:r>
          </w:p>
        </w:tc>
        <w:tc>
          <w:tcPr>
            <w:tcW w:w="7246" w:type="dxa"/>
            <w:shd w:val="clear" w:color="auto" w:fill="DAE9F7"/>
            <w:vAlign w:val="center"/>
          </w:tcPr>
          <w:p w14:paraId="3BD4351B" w14:textId="77777777" w:rsidR="00CE0552" w:rsidRPr="00FE29AE" w:rsidRDefault="00CE0552" w:rsidP="003849FA">
            <w:pPr>
              <w:jc w:val="both"/>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18"/>
                <w:szCs w:val="18"/>
              </w:rPr>
            </w:pPr>
            <w:r w:rsidRPr="00FE29AE">
              <w:rPr>
                <w:rFonts w:eastAsiaTheme="minorEastAsia"/>
                <w:color w:val="000000" w:themeColor="text1"/>
                <w:sz w:val="18"/>
                <w:szCs w:val="18"/>
              </w:rPr>
              <w:t>Provide a fleet summary report capturing total numbers of journeys performed in selected periods, total travel time in hours &amp; minutes, idle time and distance travelled in km.</w:t>
            </w:r>
          </w:p>
        </w:tc>
        <w:tc>
          <w:tcPr>
            <w:tcW w:w="1084" w:type="dxa"/>
            <w:shd w:val="clear" w:color="auto" w:fill="DAE9F7"/>
            <w:vAlign w:val="center"/>
          </w:tcPr>
          <w:p w14:paraId="57061231" w14:textId="77777777" w:rsidR="00CE0552" w:rsidRPr="00FE29AE" w:rsidRDefault="00CE0552"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FE29AE">
              <w:rPr>
                <w:rFonts w:ascii="Calibri" w:hAnsi="Calibri"/>
                <w:color w:val="000000" w:themeColor="text1"/>
                <w:sz w:val="18"/>
                <w:szCs w:val="18"/>
              </w:rPr>
              <w:t>Should</w:t>
            </w:r>
          </w:p>
        </w:tc>
      </w:tr>
    </w:tbl>
    <w:p w14:paraId="2EF4870F" w14:textId="77777777" w:rsidR="00CE0552" w:rsidRPr="00FE29AE" w:rsidRDefault="00CE0552" w:rsidP="00CE0552">
      <w:pPr>
        <w:tabs>
          <w:tab w:val="center" w:pos="4513"/>
        </w:tabs>
        <w:spacing w:after="160" w:line="259" w:lineRule="auto"/>
      </w:pPr>
    </w:p>
    <w:p w14:paraId="75EE257C" w14:textId="77777777" w:rsidR="00CE0552" w:rsidRDefault="00CE0552" w:rsidP="00CE0552">
      <w:pPr>
        <w:spacing w:line="360" w:lineRule="auto"/>
        <w:rPr>
          <w:rFonts w:ascii="Calibri" w:eastAsia="Times New Roman" w:hAnsi="Calibri" w:cs="Times New Roman"/>
          <w:sz w:val="22"/>
          <w:szCs w:val="22"/>
        </w:rPr>
      </w:pPr>
    </w:p>
    <w:p w14:paraId="7B1501C2" w14:textId="77777777" w:rsidR="003A400F" w:rsidRDefault="003A400F" w:rsidP="00CE0552">
      <w:pPr>
        <w:spacing w:line="360" w:lineRule="auto"/>
        <w:rPr>
          <w:rFonts w:ascii="Calibri" w:eastAsia="Times New Roman" w:hAnsi="Calibri" w:cs="Times New Roman"/>
          <w:sz w:val="22"/>
          <w:szCs w:val="22"/>
        </w:rPr>
      </w:pPr>
    </w:p>
    <w:p w14:paraId="18AD221F" w14:textId="77777777" w:rsidR="003A400F" w:rsidRDefault="003A400F" w:rsidP="00CE0552">
      <w:pPr>
        <w:spacing w:line="360" w:lineRule="auto"/>
        <w:rPr>
          <w:rFonts w:ascii="Calibri" w:eastAsia="Times New Roman" w:hAnsi="Calibri" w:cs="Times New Roman"/>
          <w:sz w:val="22"/>
          <w:szCs w:val="22"/>
        </w:rPr>
      </w:pPr>
    </w:p>
    <w:p w14:paraId="73D98370" w14:textId="77777777" w:rsidR="003A400F" w:rsidRDefault="003A400F" w:rsidP="00CE0552">
      <w:pPr>
        <w:spacing w:line="360" w:lineRule="auto"/>
        <w:rPr>
          <w:rFonts w:ascii="Calibri" w:eastAsia="Times New Roman" w:hAnsi="Calibri" w:cs="Times New Roman"/>
          <w:sz w:val="22"/>
          <w:szCs w:val="22"/>
        </w:rPr>
      </w:pPr>
    </w:p>
    <w:p w14:paraId="72856D5F" w14:textId="77777777" w:rsidR="003A400F" w:rsidRDefault="003A400F" w:rsidP="00CE0552">
      <w:pPr>
        <w:spacing w:line="360" w:lineRule="auto"/>
        <w:rPr>
          <w:rFonts w:ascii="Calibri" w:eastAsia="Times New Roman" w:hAnsi="Calibri" w:cs="Times New Roman"/>
          <w:sz w:val="22"/>
          <w:szCs w:val="22"/>
        </w:rPr>
      </w:pPr>
    </w:p>
    <w:p w14:paraId="2427455B" w14:textId="77777777" w:rsidR="003A400F" w:rsidRDefault="003A400F" w:rsidP="00CE0552">
      <w:pPr>
        <w:spacing w:line="360" w:lineRule="auto"/>
        <w:rPr>
          <w:rFonts w:ascii="Calibri" w:eastAsia="Times New Roman" w:hAnsi="Calibri" w:cs="Times New Roman"/>
          <w:sz w:val="22"/>
          <w:szCs w:val="22"/>
        </w:rPr>
      </w:pPr>
    </w:p>
    <w:p w14:paraId="16684B9B" w14:textId="77777777" w:rsidR="003A400F" w:rsidRDefault="003A400F" w:rsidP="00CE0552">
      <w:pPr>
        <w:spacing w:line="360" w:lineRule="auto"/>
        <w:rPr>
          <w:rFonts w:ascii="Calibri" w:eastAsia="Times New Roman" w:hAnsi="Calibri" w:cs="Times New Roman"/>
          <w:sz w:val="22"/>
          <w:szCs w:val="22"/>
        </w:rPr>
      </w:pPr>
    </w:p>
    <w:p w14:paraId="4F6521A8" w14:textId="77777777" w:rsidR="003A400F" w:rsidRDefault="003A400F" w:rsidP="00CE0552">
      <w:pPr>
        <w:spacing w:line="360" w:lineRule="auto"/>
        <w:rPr>
          <w:rFonts w:ascii="Calibri" w:eastAsia="Times New Roman" w:hAnsi="Calibri" w:cs="Times New Roman"/>
          <w:sz w:val="22"/>
          <w:szCs w:val="22"/>
        </w:rPr>
      </w:pPr>
    </w:p>
    <w:p w14:paraId="03842D5E" w14:textId="77777777" w:rsidR="003A400F" w:rsidRPr="00FE29AE" w:rsidRDefault="003A400F" w:rsidP="00CE0552">
      <w:pPr>
        <w:spacing w:line="360" w:lineRule="auto"/>
        <w:rPr>
          <w:rFonts w:ascii="Calibri" w:eastAsia="Times New Roman" w:hAnsi="Calibri" w:cs="Times New Roman"/>
          <w:sz w:val="22"/>
          <w:szCs w:val="22"/>
        </w:rPr>
      </w:pPr>
    </w:p>
    <w:p w14:paraId="5F50D9C3" w14:textId="13B00913" w:rsidR="004A16FF" w:rsidRPr="00FE29AE" w:rsidRDefault="004A16FF" w:rsidP="004A16FF">
      <w:pPr>
        <w:pStyle w:val="Heading1"/>
      </w:pPr>
      <w:bookmarkStart w:id="6" w:name="_Toc1285872265"/>
      <w:r>
        <w:t xml:space="preserve">1.2 </w:t>
      </w:r>
      <w:r w:rsidR="3DEBD2F3">
        <w:t xml:space="preserve">AWARD CRITERIA B: </w:t>
      </w:r>
      <w:r>
        <w:t>Non-Functional Requirements</w:t>
      </w:r>
      <w:bookmarkEnd w:id="6"/>
      <w:r>
        <w:t xml:space="preserve"> </w:t>
      </w:r>
    </w:p>
    <w:p w14:paraId="3BBF09D9" w14:textId="44935FB2" w:rsidR="004A16FF" w:rsidRPr="00FE29AE" w:rsidRDefault="004A16FF" w:rsidP="004A16FF">
      <w:pPr>
        <w:tabs>
          <w:tab w:val="center" w:pos="4513"/>
        </w:tabs>
        <w:spacing w:after="240" w:line="276" w:lineRule="auto"/>
        <w:jc w:val="both"/>
      </w:pPr>
      <w:r w:rsidRPr="00FE29AE">
        <w:t>Our non-functional requirements for the cloud-based Telematic &amp; Fleet Management System (T&amp;FMS) are listed below</w:t>
      </w:r>
      <w:r w:rsidR="0077395F" w:rsidRPr="00FE29AE">
        <w:t>.</w:t>
      </w:r>
    </w:p>
    <w:p w14:paraId="68EC4C82" w14:textId="78395708" w:rsidR="14C50CD6" w:rsidRPr="00FE29AE" w:rsidRDefault="14C50CD6" w:rsidP="14C50CD6">
      <w:pPr>
        <w:rPr>
          <w:b/>
          <w:bCs/>
          <w:sz w:val="22"/>
          <w:szCs w:val="22"/>
        </w:rPr>
      </w:pPr>
    </w:p>
    <w:tbl>
      <w:tblPr>
        <w:tblStyle w:val="GridTable4-Accent6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8330"/>
      </w:tblGrid>
      <w:tr w:rsidR="00E26387" w:rsidRPr="00FE29AE" w14:paraId="2F544175" w14:textId="77777777" w:rsidTr="00421A4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80" w:type="dxa"/>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705BFB56" w14:textId="3BDBE1D4" w:rsidR="00E26387" w:rsidRPr="00FE29AE" w:rsidRDefault="004A16FF">
            <w:pPr>
              <w:spacing w:line="276" w:lineRule="auto"/>
              <w:jc w:val="center"/>
              <w:rPr>
                <w:rFonts w:ascii="Calibri" w:eastAsia="Calibri" w:hAnsi="Calibri" w:cs="Arial"/>
                <w:color w:val="FFFFFF" w:themeColor="background1"/>
              </w:rPr>
            </w:pPr>
            <w:r w:rsidRPr="00FE29AE">
              <w:rPr>
                <w:rFonts w:ascii="Calibri" w:eastAsia="Calibri" w:hAnsi="Calibri" w:cs="Arial"/>
                <w:color w:val="FFFFFF" w:themeColor="background1"/>
              </w:rPr>
              <w:t>1</w:t>
            </w:r>
          </w:p>
        </w:tc>
        <w:tc>
          <w:tcPr>
            <w:tcW w:w="8330" w:type="dxa"/>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13C60902" w14:textId="167480EE" w:rsidR="00E26387" w:rsidRPr="00FE29AE" w:rsidRDefault="004A16FF">
            <w:pPr>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Arial"/>
                <w:color w:val="FFFFFF" w:themeColor="background1"/>
              </w:rPr>
            </w:pPr>
            <w:r w:rsidRPr="00FE29AE">
              <w:rPr>
                <w:rFonts w:ascii="Calibri" w:eastAsia="Calibri" w:hAnsi="Calibri" w:cs="Arial"/>
                <w:color w:val="FFFFFF" w:themeColor="background1"/>
              </w:rPr>
              <w:t>Data</w:t>
            </w:r>
            <w:r w:rsidR="00945A80" w:rsidRPr="00FE29AE">
              <w:rPr>
                <w:rFonts w:ascii="Calibri" w:eastAsia="Calibri" w:hAnsi="Calibri" w:cs="Arial"/>
                <w:color w:val="FFFFFF" w:themeColor="background1"/>
              </w:rPr>
              <w:t xml:space="preserve"> Security &amp; Compliance </w:t>
            </w:r>
          </w:p>
        </w:tc>
      </w:tr>
    </w:tbl>
    <w:tbl>
      <w:tblPr>
        <w:tblStyle w:val="GridTable4-Accent62"/>
        <w:tblW w:w="5000" w:type="pct"/>
        <w:jc w:val="center"/>
        <w:tblLook w:val="04A0" w:firstRow="1" w:lastRow="0" w:firstColumn="1" w:lastColumn="0" w:noHBand="0" w:noVBand="1"/>
      </w:tblPr>
      <w:tblGrid>
        <w:gridCol w:w="782"/>
        <w:gridCol w:w="7000"/>
        <w:gridCol w:w="1232"/>
      </w:tblGrid>
      <w:tr w:rsidR="17387562" w14:paraId="13185E0D" w14:textId="77777777" w:rsidTr="17387562">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82" w:type="dxa"/>
            <w:tcBorders>
              <w:top w:val="single" w:sz="2" w:space="0" w:color="C5E0B3" w:themeColor="accent6" w:themeTint="66"/>
              <w:left w:val="single" w:sz="2" w:space="0" w:color="C5E0B3" w:themeColor="accent6" w:themeTint="66"/>
              <w:bottom w:val="single" w:sz="2" w:space="0" w:color="C5E0B3" w:themeColor="accent6" w:themeTint="66"/>
              <w:right w:val="single" w:sz="2" w:space="0" w:color="C5E0B3" w:themeColor="accent6" w:themeTint="66"/>
            </w:tcBorders>
            <w:shd w:val="clear" w:color="auto" w:fill="DEEAF6" w:themeFill="accent5" w:themeFillTint="33"/>
            <w:vAlign w:val="center"/>
          </w:tcPr>
          <w:p w14:paraId="53F61DE5" w14:textId="4944789E" w:rsidR="67D446A1" w:rsidRDefault="67D446A1" w:rsidP="17387562">
            <w:pPr>
              <w:spacing w:line="276" w:lineRule="auto"/>
              <w:jc w:val="center"/>
              <w:rPr>
                <w:b w:val="0"/>
                <w:bCs w:val="0"/>
                <w:color w:val="auto"/>
                <w:sz w:val="18"/>
                <w:szCs w:val="18"/>
              </w:rPr>
            </w:pPr>
            <w:r w:rsidRPr="17387562">
              <w:rPr>
                <w:color w:val="auto"/>
                <w:sz w:val="18"/>
                <w:szCs w:val="18"/>
              </w:rPr>
              <w:t>NFR 1.1</w:t>
            </w:r>
          </w:p>
        </w:tc>
        <w:tc>
          <w:tcPr>
            <w:tcW w:w="6997" w:type="dxa"/>
            <w:tcBorders>
              <w:left w:val="single" w:sz="2" w:space="0" w:color="C5E0B3" w:themeColor="accent6" w:themeTint="66"/>
              <w:right w:val="single" w:sz="2" w:space="0" w:color="C5E0B3" w:themeColor="accent6" w:themeTint="66"/>
            </w:tcBorders>
            <w:shd w:val="clear" w:color="auto" w:fill="DEEAF6" w:themeFill="accent5" w:themeFillTint="33"/>
            <w:vAlign w:val="center"/>
          </w:tcPr>
          <w:p w14:paraId="000F8DA6" w14:textId="77777777" w:rsidR="67D446A1" w:rsidRDefault="67D446A1" w:rsidP="17387562">
            <w:pPr>
              <w:spacing w:line="276" w:lineRule="auto"/>
              <w:cnfStyle w:val="100000000000" w:firstRow="1" w:lastRow="0" w:firstColumn="0" w:lastColumn="0" w:oddVBand="0" w:evenVBand="0" w:oddHBand="0" w:evenHBand="0" w:firstRowFirstColumn="0" w:firstRowLastColumn="0" w:lastRowFirstColumn="0" w:lastRowLastColumn="0"/>
              <w:rPr>
                <w:b w:val="0"/>
                <w:bCs w:val="0"/>
                <w:color w:val="auto"/>
                <w:sz w:val="18"/>
                <w:szCs w:val="18"/>
              </w:rPr>
            </w:pPr>
            <w:r w:rsidRPr="17387562">
              <w:rPr>
                <w:b w:val="0"/>
                <w:bCs w:val="0"/>
                <w:color w:val="auto"/>
                <w:sz w:val="18"/>
                <w:szCs w:val="18"/>
              </w:rPr>
              <w:t xml:space="preserve">Data Encryption: </w:t>
            </w:r>
          </w:p>
          <w:p w14:paraId="63DE03E7" w14:textId="55C399EC" w:rsidR="67D446A1" w:rsidRDefault="67D446A1" w:rsidP="17387562">
            <w:pPr>
              <w:spacing w:line="276" w:lineRule="auto"/>
              <w:cnfStyle w:val="100000000000" w:firstRow="1" w:lastRow="0" w:firstColumn="0" w:lastColumn="0" w:oddVBand="0" w:evenVBand="0" w:oddHBand="0" w:evenHBand="0" w:firstRowFirstColumn="0" w:firstRowLastColumn="0" w:lastRowFirstColumn="0" w:lastRowLastColumn="0"/>
              <w:rPr>
                <w:b w:val="0"/>
                <w:bCs w:val="0"/>
                <w:color w:val="auto"/>
                <w:sz w:val="18"/>
                <w:szCs w:val="18"/>
              </w:rPr>
            </w:pPr>
            <w:r w:rsidRPr="17387562">
              <w:rPr>
                <w:b w:val="0"/>
                <w:bCs w:val="0"/>
                <w:color w:val="auto"/>
                <w:sz w:val="18"/>
                <w:szCs w:val="18"/>
              </w:rPr>
              <w:t>The solution must encrypt data both in transit, using Transport Layer Security (TLS) 1.2 or higher, and at rest, using industry-standard encryption algorithms such as AES-256 (Advanced Encryption Standard) or equivalent.</w:t>
            </w:r>
          </w:p>
        </w:tc>
        <w:tc>
          <w:tcPr>
            <w:tcW w:w="1231" w:type="dxa"/>
            <w:tcBorders>
              <w:top w:val="single" w:sz="2" w:space="0" w:color="C5E0B3" w:themeColor="accent6" w:themeTint="66"/>
              <w:left w:val="single" w:sz="2" w:space="0" w:color="C5E0B3" w:themeColor="accent6" w:themeTint="66"/>
              <w:bottom w:val="single" w:sz="2" w:space="0" w:color="C5E0B3" w:themeColor="accent6" w:themeTint="66"/>
              <w:right w:val="single" w:sz="2" w:space="0" w:color="C5E0B3" w:themeColor="accent6" w:themeTint="66"/>
            </w:tcBorders>
            <w:shd w:val="clear" w:color="auto" w:fill="DEEAF6" w:themeFill="accent5" w:themeFillTint="33"/>
            <w:vAlign w:val="center"/>
          </w:tcPr>
          <w:p w14:paraId="5B9460FA" w14:textId="77777777" w:rsidR="67D446A1" w:rsidRDefault="67D446A1" w:rsidP="17387562">
            <w:pPr>
              <w:spacing w:line="276" w:lineRule="auto"/>
              <w:cnfStyle w:val="100000000000" w:firstRow="1" w:lastRow="0" w:firstColumn="0" w:lastColumn="0" w:oddVBand="0" w:evenVBand="0" w:oddHBand="0" w:evenHBand="0" w:firstRowFirstColumn="0" w:firstRowLastColumn="0" w:lastRowFirstColumn="0" w:lastRowLastColumn="0"/>
              <w:rPr>
                <w:b w:val="0"/>
                <w:bCs w:val="0"/>
                <w:color w:val="auto"/>
                <w:sz w:val="18"/>
                <w:szCs w:val="18"/>
              </w:rPr>
            </w:pPr>
            <w:r w:rsidRPr="17387562">
              <w:rPr>
                <w:b w:val="0"/>
                <w:bCs w:val="0"/>
                <w:color w:val="auto"/>
                <w:sz w:val="18"/>
                <w:szCs w:val="18"/>
              </w:rPr>
              <w:t>MUST</w:t>
            </w:r>
          </w:p>
          <w:p w14:paraId="24674339" w14:textId="7CA64E15" w:rsidR="17387562" w:rsidRDefault="17387562" w:rsidP="17387562">
            <w:pPr>
              <w:spacing w:line="276" w:lineRule="auto"/>
              <w:cnfStyle w:val="100000000000" w:firstRow="1" w:lastRow="0" w:firstColumn="0" w:lastColumn="0" w:oddVBand="0" w:evenVBand="0" w:oddHBand="0" w:evenHBand="0" w:firstRowFirstColumn="0" w:firstRowLastColumn="0" w:lastRowFirstColumn="0" w:lastRowLastColumn="0"/>
              <w:rPr>
                <w:sz w:val="18"/>
                <w:szCs w:val="18"/>
              </w:rPr>
            </w:pPr>
          </w:p>
        </w:tc>
      </w:tr>
      <w:tr w:rsidR="003447F8" w:rsidRPr="00FE29AE" w14:paraId="1081714A"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2" w:type="dxa"/>
            <w:tcBorders>
              <w:top w:val="single" w:sz="2" w:space="0" w:color="C5E0B3" w:themeColor="accent6" w:themeTint="66"/>
            </w:tcBorders>
            <w:shd w:val="clear" w:color="auto" w:fill="DEEAF6" w:themeFill="accent5" w:themeFillTint="33"/>
            <w:vAlign w:val="center"/>
          </w:tcPr>
          <w:p w14:paraId="588686A8" w14:textId="77777777" w:rsidR="003447F8" w:rsidRPr="00FE29AE" w:rsidRDefault="003447F8" w:rsidP="003849FA">
            <w:pPr>
              <w:spacing w:line="276" w:lineRule="auto"/>
              <w:jc w:val="center"/>
              <w:rPr>
                <w:sz w:val="18"/>
                <w:szCs w:val="18"/>
              </w:rPr>
            </w:pPr>
            <w:r w:rsidRPr="00FE29AE">
              <w:rPr>
                <w:sz w:val="18"/>
                <w:szCs w:val="18"/>
              </w:rPr>
              <w:lastRenderedPageBreak/>
              <w:t>NFR 1.2</w:t>
            </w:r>
          </w:p>
        </w:tc>
        <w:tc>
          <w:tcPr>
            <w:tcW w:w="6997" w:type="dxa"/>
            <w:shd w:val="clear" w:color="auto" w:fill="DEEAF6" w:themeFill="accent5" w:themeFillTint="33"/>
            <w:vAlign w:val="center"/>
          </w:tcPr>
          <w:p w14:paraId="3BE8B9E4" w14:textId="77777777" w:rsidR="003447F8" w:rsidRPr="00FE29AE" w:rsidRDefault="003447F8"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 xml:space="preserve">Compliance with Standards:  </w:t>
            </w:r>
          </w:p>
          <w:p w14:paraId="6A303804" w14:textId="77777777" w:rsidR="003447F8" w:rsidRPr="00FE29AE" w:rsidRDefault="003447F8"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The solution must comply with recognised security standards, including:</w:t>
            </w:r>
          </w:p>
          <w:p w14:paraId="56E1E9A3" w14:textId="77777777" w:rsidR="003447F8" w:rsidRPr="00FE29AE" w:rsidRDefault="003447F8" w:rsidP="003849FA">
            <w:pPr>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ISO/IEC 27001 (Information Security Management)</w:t>
            </w:r>
          </w:p>
          <w:p w14:paraId="33CCF98B" w14:textId="77777777" w:rsidR="003447F8" w:rsidRPr="002713AE" w:rsidRDefault="003447F8" w:rsidP="003849FA">
            <w:pPr>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2713AE">
              <w:rPr>
                <w:b/>
                <w:bCs/>
                <w:sz w:val="18"/>
                <w:szCs w:val="18"/>
              </w:rPr>
              <w:t>ISO Statement of Applicability must be provided with TRD as a separate document</w:t>
            </w:r>
          </w:p>
          <w:p w14:paraId="598E0F7A" w14:textId="77777777" w:rsidR="003447F8" w:rsidRPr="002713AE" w:rsidRDefault="003447F8" w:rsidP="003849FA">
            <w:pPr>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2713AE">
              <w:rPr>
                <w:sz w:val="18"/>
                <w:szCs w:val="18"/>
              </w:rPr>
              <w:t>Does the certificate held cover all services that are required under this tender?</w:t>
            </w:r>
          </w:p>
          <w:p w14:paraId="39F4AE30" w14:textId="77777777" w:rsidR="003447F8" w:rsidRPr="002713AE" w:rsidRDefault="003447F8" w:rsidP="003849FA">
            <w:pPr>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2713AE">
              <w:rPr>
                <w:sz w:val="18"/>
                <w:szCs w:val="18"/>
              </w:rPr>
              <w:t>Please confirm does your company hold ISO 27001 2022 which is a requirement from October 2025.</w:t>
            </w:r>
          </w:p>
          <w:p w14:paraId="7ACB2C5E" w14:textId="77777777" w:rsidR="003447F8" w:rsidRPr="002713AE" w:rsidRDefault="003447F8" w:rsidP="003849FA">
            <w:pPr>
              <w:numPr>
                <w:ilvl w:val="0"/>
                <w:numId w:val="5"/>
              </w:num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2713AE">
              <w:rPr>
                <w:sz w:val="18"/>
                <w:szCs w:val="18"/>
              </w:rPr>
              <w:t>GDPR (General Data Protection Regulation) for data protection in the EU</w:t>
            </w:r>
          </w:p>
          <w:p w14:paraId="5F72168C" w14:textId="77777777" w:rsidR="003447F8" w:rsidRPr="00FE29AE" w:rsidRDefault="003447F8" w:rsidP="003849FA">
            <w:pPr>
              <w:spacing w:line="276" w:lineRule="auto"/>
              <w:ind w:left="360"/>
              <w:cnfStyle w:val="000000100000" w:firstRow="0" w:lastRow="0" w:firstColumn="0" w:lastColumn="0" w:oddVBand="0" w:evenVBand="0" w:oddHBand="1" w:evenHBand="0" w:firstRowFirstColumn="0" w:firstRowLastColumn="0" w:lastRowFirstColumn="0" w:lastRowLastColumn="0"/>
              <w:rPr>
                <w:sz w:val="18"/>
                <w:szCs w:val="18"/>
              </w:rPr>
            </w:pPr>
          </w:p>
        </w:tc>
        <w:tc>
          <w:tcPr>
            <w:tcW w:w="1231" w:type="dxa"/>
            <w:tcBorders>
              <w:top w:val="single" w:sz="2" w:space="0" w:color="C5E0B3" w:themeColor="accent6" w:themeTint="66"/>
            </w:tcBorders>
            <w:shd w:val="clear" w:color="auto" w:fill="DEEAF6" w:themeFill="accent5" w:themeFillTint="33"/>
            <w:vAlign w:val="center"/>
          </w:tcPr>
          <w:p w14:paraId="36D7D133" w14:textId="77777777" w:rsidR="003447F8" w:rsidRPr="00FE29AE" w:rsidRDefault="003447F8"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3447F8" w:rsidRPr="00FE29AE" w14:paraId="1B728AF1"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82" w:type="dxa"/>
            <w:shd w:val="clear" w:color="auto" w:fill="DAE9F7"/>
            <w:vAlign w:val="center"/>
          </w:tcPr>
          <w:p w14:paraId="50E3DC9A" w14:textId="77777777" w:rsidR="003447F8" w:rsidRPr="00FE29AE" w:rsidRDefault="003447F8" w:rsidP="003849FA">
            <w:pPr>
              <w:spacing w:line="276" w:lineRule="auto"/>
              <w:jc w:val="center"/>
              <w:rPr>
                <w:sz w:val="18"/>
                <w:szCs w:val="18"/>
              </w:rPr>
            </w:pPr>
            <w:r w:rsidRPr="00FE29AE">
              <w:rPr>
                <w:sz w:val="18"/>
                <w:szCs w:val="18"/>
              </w:rPr>
              <w:t>NFR 1.3</w:t>
            </w:r>
          </w:p>
        </w:tc>
        <w:tc>
          <w:tcPr>
            <w:tcW w:w="6997" w:type="dxa"/>
            <w:shd w:val="clear" w:color="auto" w:fill="DAE9F7"/>
            <w:vAlign w:val="center"/>
          </w:tcPr>
          <w:p w14:paraId="5092ED0A" w14:textId="77777777" w:rsidR="003447F8" w:rsidRPr="00FE29AE" w:rsidRDefault="003447F8"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Identity and Access Management (IAM)</w:t>
            </w:r>
          </w:p>
          <w:p w14:paraId="2F9C8475" w14:textId="77777777" w:rsidR="003447F8" w:rsidRPr="00FE29AE" w:rsidRDefault="003447F8"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 xml:space="preserve">The solution must include a robust IAM system to centrally manage user identities, roles, and permissions. </w:t>
            </w:r>
          </w:p>
          <w:p w14:paraId="22923E98" w14:textId="77777777" w:rsidR="003447F8" w:rsidRPr="00FE29AE" w:rsidRDefault="003447F8"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p w14:paraId="5F7808A3" w14:textId="21A43BC5" w:rsidR="003447F8" w:rsidRPr="00FE29AE" w:rsidRDefault="0085008B"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IAM must</w:t>
            </w:r>
            <w:r w:rsidR="003447F8" w:rsidRPr="00FE29AE">
              <w:rPr>
                <w:sz w:val="18"/>
                <w:szCs w:val="18"/>
              </w:rPr>
              <w:t xml:space="preserve"> provide.</w:t>
            </w:r>
          </w:p>
          <w:p w14:paraId="1AF030A1" w14:textId="77777777" w:rsidR="003447F8" w:rsidRPr="00FE29AE" w:rsidRDefault="003447F8" w:rsidP="003849FA">
            <w:pPr>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Single Sign-On (SSO) capabilities to simplify access across multiple systems.</w:t>
            </w:r>
          </w:p>
          <w:p w14:paraId="0B865B0C" w14:textId="77777777" w:rsidR="003447F8" w:rsidRPr="00FE29AE" w:rsidRDefault="003447F8" w:rsidP="003849FA">
            <w:pPr>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Granular Access Control for defining user roles and permissions across departments and financial modules.</w:t>
            </w:r>
          </w:p>
          <w:p w14:paraId="3C5F8492" w14:textId="77777777" w:rsidR="003447F8" w:rsidRPr="00FE29AE" w:rsidRDefault="003447F8" w:rsidP="003849FA">
            <w:pPr>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Automated Provisioning and De-provisioning of user accounts to ensure that access rights are promptly updated as users join or leave the organisation.</w:t>
            </w:r>
          </w:p>
          <w:p w14:paraId="376DAB22" w14:textId="77777777" w:rsidR="003447F8" w:rsidRPr="00FE29AE" w:rsidRDefault="003447F8" w:rsidP="003849FA">
            <w:pPr>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sz w:val="18"/>
                <w:szCs w:val="18"/>
              </w:rPr>
              <w:t>The system must integrate with existing IAM platforms (e.g. Microsoft Entra ID, or LDAP) to streamline user management and authentication processes.</w:t>
            </w:r>
          </w:p>
          <w:p w14:paraId="054B05E1" w14:textId="5CD95753" w:rsidR="003447F8" w:rsidRPr="00FE29AE" w:rsidRDefault="003447F8" w:rsidP="003849FA">
            <w:pPr>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 xml:space="preserve">The system must allow a system administrator to create and maintain </w:t>
            </w:r>
            <w:r w:rsidR="00174003" w:rsidRPr="00FE29AE">
              <w:rPr>
                <w:sz w:val="18"/>
                <w:szCs w:val="18"/>
              </w:rPr>
              <w:t>role-based</w:t>
            </w:r>
            <w:r w:rsidRPr="00FE29AE">
              <w:rPr>
                <w:sz w:val="18"/>
                <w:szCs w:val="18"/>
              </w:rPr>
              <w:t xml:space="preserve"> privileges associated with all user accounts.</w:t>
            </w:r>
          </w:p>
          <w:p w14:paraId="2A2D4A01" w14:textId="77777777" w:rsidR="003447F8" w:rsidRPr="00FE29AE" w:rsidRDefault="003447F8"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1231" w:type="dxa"/>
            <w:shd w:val="clear" w:color="auto" w:fill="DAE9F7"/>
            <w:vAlign w:val="center"/>
          </w:tcPr>
          <w:p w14:paraId="267CC3DC" w14:textId="77777777" w:rsidR="003447F8" w:rsidRPr="00FE29AE" w:rsidRDefault="003447F8"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3447F8" w:rsidRPr="00FE29AE" w14:paraId="3A3035D1"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2" w:type="dxa"/>
            <w:shd w:val="clear" w:color="auto" w:fill="DAE9F7"/>
            <w:vAlign w:val="center"/>
          </w:tcPr>
          <w:p w14:paraId="144905FD" w14:textId="77777777" w:rsidR="003447F8" w:rsidRPr="00FE29AE" w:rsidRDefault="003447F8" w:rsidP="003849FA">
            <w:pPr>
              <w:spacing w:line="276" w:lineRule="auto"/>
              <w:jc w:val="center"/>
              <w:rPr>
                <w:sz w:val="18"/>
                <w:szCs w:val="18"/>
              </w:rPr>
            </w:pPr>
            <w:r w:rsidRPr="00FE29AE">
              <w:rPr>
                <w:sz w:val="18"/>
                <w:szCs w:val="18"/>
              </w:rPr>
              <w:t>NFR 1.4</w:t>
            </w:r>
          </w:p>
        </w:tc>
        <w:tc>
          <w:tcPr>
            <w:tcW w:w="6997" w:type="dxa"/>
            <w:shd w:val="clear" w:color="auto" w:fill="DAE9F7"/>
            <w:vAlign w:val="center"/>
          </w:tcPr>
          <w:p w14:paraId="5077647F" w14:textId="77777777" w:rsidR="003447F8" w:rsidRPr="00FE29AE" w:rsidRDefault="003447F8"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 xml:space="preserve">Authentication &amp; Access Control.  </w:t>
            </w:r>
          </w:p>
          <w:p w14:paraId="0F572EB6" w14:textId="77777777" w:rsidR="003447F8" w:rsidRPr="00FE29AE" w:rsidRDefault="003447F8"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The system must offer multi-factor authentication (MFA) and role-based access control (RBAC) to ensure secure user access.</w:t>
            </w:r>
          </w:p>
          <w:p w14:paraId="1EA7B60A" w14:textId="77777777" w:rsidR="003447F8" w:rsidRPr="00FE29AE" w:rsidRDefault="003447F8"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31" w:type="dxa"/>
            <w:shd w:val="clear" w:color="auto" w:fill="DAE9F7"/>
            <w:vAlign w:val="center"/>
          </w:tcPr>
          <w:p w14:paraId="22FF60C5" w14:textId="77777777" w:rsidR="003447F8" w:rsidRPr="00FE29AE" w:rsidRDefault="003447F8"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3447F8" w:rsidRPr="00FE29AE" w14:paraId="78259442"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82" w:type="dxa"/>
            <w:shd w:val="clear" w:color="auto" w:fill="DAE9F7"/>
            <w:vAlign w:val="center"/>
          </w:tcPr>
          <w:p w14:paraId="668D5B01" w14:textId="77777777" w:rsidR="003447F8" w:rsidRPr="00FE29AE" w:rsidRDefault="003447F8" w:rsidP="003849FA">
            <w:pPr>
              <w:spacing w:line="276" w:lineRule="auto"/>
              <w:jc w:val="center"/>
              <w:rPr>
                <w:sz w:val="18"/>
                <w:szCs w:val="18"/>
              </w:rPr>
            </w:pPr>
            <w:r w:rsidRPr="00FE29AE">
              <w:rPr>
                <w:sz w:val="18"/>
                <w:szCs w:val="18"/>
              </w:rPr>
              <w:t>NFR 1.5</w:t>
            </w:r>
          </w:p>
        </w:tc>
        <w:tc>
          <w:tcPr>
            <w:tcW w:w="6997" w:type="dxa"/>
            <w:shd w:val="clear" w:color="auto" w:fill="DAE9F7"/>
            <w:vAlign w:val="center"/>
          </w:tcPr>
          <w:p w14:paraId="57E92B86" w14:textId="77777777" w:rsidR="003447F8" w:rsidRPr="00FE29AE" w:rsidRDefault="003447F8" w:rsidP="003849F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18"/>
                <w:szCs w:val="18"/>
                <w14:ligatures w14:val="none"/>
              </w:rPr>
            </w:pPr>
            <w:r w:rsidRPr="00FE29AE">
              <w:rPr>
                <w:rFonts w:eastAsia="Times New Roman"/>
                <w:color w:val="000000" w:themeColor="text1"/>
                <w:sz w:val="18"/>
                <w:szCs w:val="18"/>
              </w:rPr>
              <w:t>The system must not permit unauthorised users to amend or cancel (delete or void) any transaction once posted.</w:t>
            </w:r>
          </w:p>
          <w:p w14:paraId="27379EAE" w14:textId="77777777" w:rsidR="003447F8" w:rsidRPr="00FE29AE" w:rsidRDefault="003447F8"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1231" w:type="dxa"/>
            <w:shd w:val="clear" w:color="auto" w:fill="DAE9F7"/>
            <w:vAlign w:val="center"/>
          </w:tcPr>
          <w:p w14:paraId="1BCF3B60" w14:textId="77777777" w:rsidR="003447F8" w:rsidRPr="00FE29AE" w:rsidRDefault="003447F8"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3447F8" w:rsidRPr="00FE29AE" w14:paraId="6DFCD3E8"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82" w:type="dxa"/>
            <w:shd w:val="clear" w:color="auto" w:fill="DAE9F7"/>
            <w:vAlign w:val="center"/>
          </w:tcPr>
          <w:p w14:paraId="54B5A5A1" w14:textId="77777777" w:rsidR="003447F8" w:rsidRPr="00FE29AE" w:rsidRDefault="003447F8" w:rsidP="003849FA">
            <w:pPr>
              <w:spacing w:line="276" w:lineRule="auto"/>
              <w:jc w:val="center"/>
              <w:rPr>
                <w:sz w:val="18"/>
                <w:szCs w:val="18"/>
              </w:rPr>
            </w:pPr>
            <w:r w:rsidRPr="00FE29AE">
              <w:rPr>
                <w:sz w:val="18"/>
                <w:szCs w:val="18"/>
              </w:rPr>
              <w:t>NFR 1.6</w:t>
            </w:r>
          </w:p>
        </w:tc>
        <w:tc>
          <w:tcPr>
            <w:tcW w:w="6997" w:type="dxa"/>
            <w:shd w:val="clear" w:color="auto" w:fill="DAE9F7"/>
            <w:vAlign w:val="center"/>
          </w:tcPr>
          <w:p w14:paraId="57A002DB" w14:textId="77777777" w:rsidR="003447F8" w:rsidRPr="00FE29AE" w:rsidRDefault="003447F8" w:rsidP="003849F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18"/>
                <w:szCs w:val="18"/>
                <w14:ligatures w14:val="none"/>
              </w:rPr>
            </w:pPr>
            <w:r w:rsidRPr="00FE29AE">
              <w:rPr>
                <w:rFonts w:eastAsia="Times New Roman"/>
                <w:color w:val="000000" w:themeColor="text1"/>
                <w:sz w:val="18"/>
                <w:szCs w:val="18"/>
              </w:rPr>
              <w:t>The system must not display any function or information to which the user has not been granted access.</w:t>
            </w:r>
          </w:p>
          <w:p w14:paraId="309A5E95" w14:textId="77777777" w:rsidR="003447F8" w:rsidRPr="00FE29AE" w:rsidRDefault="003447F8"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p>
        </w:tc>
        <w:tc>
          <w:tcPr>
            <w:tcW w:w="1231" w:type="dxa"/>
            <w:shd w:val="clear" w:color="auto" w:fill="DAE9F7"/>
            <w:vAlign w:val="center"/>
          </w:tcPr>
          <w:p w14:paraId="2D2B377F" w14:textId="77777777" w:rsidR="003447F8" w:rsidRPr="00FE29AE" w:rsidRDefault="003447F8"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3447F8" w:rsidRPr="00FE29AE" w14:paraId="012DEB0C"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82" w:type="dxa"/>
            <w:shd w:val="clear" w:color="auto" w:fill="DAE9F7"/>
            <w:vAlign w:val="center"/>
          </w:tcPr>
          <w:p w14:paraId="175A6425" w14:textId="77777777" w:rsidR="003447F8" w:rsidRPr="00FE29AE" w:rsidRDefault="003447F8" w:rsidP="003849FA">
            <w:pPr>
              <w:spacing w:line="276" w:lineRule="auto"/>
              <w:jc w:val="center"/>
              <w:rPr>
                <w:sz w:val="18"/>
                <w:szCs w:val="18"/>
              </w:rPr>
            </w:pPr>
            <w:r w:rsidRPr="00FE29AE">
              <w:rPr>
                <w:sz w:val="18"/>
                <w:szCs w:val="18"/>
              </w:rPr>
              <w:t>NFR 1.7</w:t>
            </w:r>
          </w:p>
        </w:tc>
        <w:tc>
          <w:tcPr>
            <w:tcW w:w="6997" w:type="dxa"/>
            <w:shd w:val="clear" w:color="auto" w:fill="DAE9F7"/>
            <w:vAlign w:val="center"/>
          </w:tcPr>
          <w:p w14:paraId="01C09279" w14:textId="77777777" w:rsidR="003447F8" w:rsidRPr="00FE29AE" w:rsidRDefault="003447F8" w:rsidP="003849FA">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rPr>
            </w:pPr>
            <w:r w:rsidRPr="00FE29AE">
              <w:rPr>
                <w:rFonts w:eastAsia="Times New Roman"/>
                <w:color w:val="000000" w:themeColor="text1"/>
                <w:sz w:val="18"/>
                <w:szCs w:val="18"/>
              </w:rPr>
              <w:t>The solution should review third parties for compliance with your security policies. Please outline your process</w:t>
            </w:r>
          </w:p>
        </w:tc>
        <w:tc>
          <w:tcPr>
            <w:tcW w:w="1231" w:type="dxa"/>
            <w:shd w:val="clear" w:color="auto" w:fill="DAE9F7"/>
            <w:vAlign w:val="center"/>
          </w:tcPr>
          <w:p w14:paraId="53BFD3D1" w14:textId="77777777" w:rsidR="003447F8" w:rsidRPr="00FE29AE" w:rsidRDefault="003447F8"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SHOULD</w:t>
            </w:r>
          </w:p>
        </w:tc>
      </w:tr>
    </w:tbl>
    <w:p w14:paraId="393A175D" w14:textId="4A945F86" w:rsidR="00E26387" w:rsidRPr="00FE29AE" w:rsidRDefault="00E26387" w:rsidP="00E26387">
      <w:pPr>
        <w:tabs>
          <w:tab w:val="center" w:pos="4513"/>
        </w:tabs>
        <w:spacing w:after="160" w:line="259" w:lineRule="auto"/>
      </w:pPr>
    </w:p>
    <w:p w14:paraId="1ABCB137" w14:textId="675B0CB2" w:rsidR="14C50CD6" w:rsidRPr="00FE29AE" w:rsidRDefault="14C50CD6" w:rsidP="14C50CD6">
      <w:pPr>
        <w:tabs>
          <w:tab w:val="center" w:pos="4513"/>
        </w:tabs>
        <w:spacing w:after="160" w:line="259" w:lineRule="auto"/>
      </w:pPr>
    </w:p>
    <w:tbl>
      <w:tblPr>
        <w:tblStyle w:val="GridTable4-Accent6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6993"/>
        <w:gridCol w:w="1085"/>
      </w:tblGrid>
      <w:tr w:rsidR="00E26387" w:rsidRPr="00FE29AE" w14:paraId="4B0F8002" w14:textId="77777777" w:rsidTr="00902B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2" w:type="dxa"/>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049F1485" w14:textId="61493C97" w:rsidR="00E26387" w:rsidRPr="00FE29AE" w:rsidRDefault="00637928">
            <w:pPr>
              <w:spacing w:line="276" w:lineRule="auto"/>
              <w:jc w:val="center"/>
              <w:rPr>
                <w:rFonts w:ascii="Calibri" w:eastAsia="Calibri" w:hAnsi="Calibri" w:cs="Arial"/>
                <w:color w:val="FFFFFF" w:themeColor="background1"/>
              </w:rPr>
            </w:pPr>
            <w:r w:rsidRPr="00FE29AE">
              <w:rPr>
                <w:rFonts w:ascii="Calibri" w:eastAsia="Calibri" w:hAnsi="Calibri" w:cs="Arial"/>
                <w:color w:val="FFFFFF" w:themeColor="background1"/>
              </w:rPr>
              <w:t>2</w:t>
            </w:r>
          </w:p>
        </w:tc>
        <w:tc>
          <w:tcPr>
            <w:tcW w:w="8078" w:type="dxa"/>
            <w:gridSpan w:val="2"/>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65E2DB9A" w14:textId="24D4D213" w:rsidR="00E26387" w:rsidRPr="00FE29AE" w:rsidRDefault="00637928">
            <w:pPr>
              <w:spacing w:line="276"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Arial"/>
                <w:color w:val="FFFFFF" w:themeColor="background1"/>
              </w:rPr>
            </w:pPr>
            <w:r w:rsidRPr="00FE29AE">
              <w:rPr>
                <w:rFonts w:ascii="Calibri" w:eastAsia="Calibri" w:hAnsi="Calibri" w:cs="Arial"/>
                <w:color w:val="FFFFFF" w:themeColor="background1"/>
              </w:rPr>
              <w:t>Application Security</w:t>
            </w:r>
          </w:p>
        </w:tc>
      </w:tr>
      <w:tr w:rsidR="00E26387" w:rsidRPr="00FE29AE" w14:paraId="15D23AAA" w14:textId="77777777" w:rsidTr="00902B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2CAE9722" w14:textId="222A2AEA" w:rsidR="00E26387" w:rsidRPr="00FE29AE" w:rsidRDefault="00E26387">
            <w:pPr>
              <w:spacing w:line="276" w:lineRule="auto"/>
              <w:jc w:val="center"/>
              <w:rPr>
                <w:rFonts w:eastAsia="Calibri"/>
                <w:color w:val="FFFFFF" w:themeColor="background1"/>
                <w:sz w:val="18"/>
                <w:szCs w:val="18"/>
              </w:rPr>
            </w:pPr>
            <w:r w:rsidRPr="00FE29AE">
              <w:rPr>
                <w:rFonts w:eastAsia="Calibri"/>
                <w:color w:val="FFFFFF" w:themeColor="background1"/>
                <w:sz w:val="18"/>
                <w:szCs w:val="18"/>
              </w:rPr>
              <w:t>Ref.</w:t>
            </w:r>
          </w:p>
        </w:tc>
        <w:tc>
          <w:tcPr>
            <w:tcW w:w="6993"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40E8B4FD" w14:textId="1EA4A19C" w:rsidR="00E26387" w:rsidRPr="00FE29AE" w:rsidRDefault="00E26387">
            <w:pPr>
              <w:spacing w:line="276" w:lineRule="auto"/>
              <w:cnfStyle w:val="000000100000" w:firstRow="0" w:lastRow="0" w:firstColumn="0" w:lastColumn="0" w:oddVBand="0" w:evenVBand="0" w:oddHBand="1" w:evenHBand="0" w:firstRowFirstColumn="0" w:firstRowLastColumn="0" w:lastRowFirstColumn="0" w:lastRowLastColumn="0"/>
              <w:rPr>
                <w:rFonts w:eastAsia="Calibri"/>
                <w:b/>
                <w:color w:val="FFFFFF" w:themeColor="background1"/>
                <w:sz w:val="18"/>
                <w:szCs w:val="18"/>
              </w:rPr>
            </w:pPr>
            <w:r w:rsidRPr="00FE29AE">
              <w:rPr>
                <w:rFonts w:eastAsia="Calibri"/>
                <w:b/>
                <w:color w:val="FFFFFF" w:themeColor="background1"/>
                <w:sz w:val="18"/>
                <w:szCs w:val="18"/>
              </w:rPr>
              <w:t>Description</w:t>
            </w:r>
          </w:p>
        </w:tc>
        <w:tc>
          <w:tcPr>
            <w:tcW w:w="1085"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A742C3F" w14:textId="71918F59" w:rsidR="00E26387" w:rsidRPr="00FE29AE" w:rsidRDefault="00E2638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b/>
                <w:color w:val="FFFFFF" w:themeColor="background1"/>
                <w:sz w:val="18"/>
                <w:szCs w:val="18"/>
              </w:rPr>
            </w:pPr>
            <w:r w:rsidRPr="00FE29AE">
              <w:rPr>
                <w:rFonts w:eastAsia="Calibri"/>
                <w:b/>
                <w:color w:val="FFFFFF" w:themeColor="background1"/>
                <w:sz w:val="18"/>
                <w:szCs w:val="18"/>
              </w:rPr>
              <w:t>Priority</w:t>
            </w:r>
          </w:p>
        </w:tc>
      </w:tr>
    </w:tbl>
    <w:tbl>
      <w:tblPr>
        <w:tblStyle w:val="GridTable4-Accent625"/>
        <w:tblW w:w="5000" w:type="pct"/>
        <w:jc w:val="center"/>
        <w:tblLook w:val="04A0" w:firstRow="1" w:lastRow="0" w:firstColumn="1" w:lastColumn="0" w:noHBand="0" w:noVBand="1"/>
      </w:tblPr>
      <w:tblGrid>
        <w:gridCol w:w="769"/>
        <w:gridCol w:w="7086"/>
        <w:gridCol w:w="1159"/>
      </w:tblGrid>
      <w:tr w:rsidR="0077395F" w:rsidRPr="00FE29AE" w14:paraId="786BA91C" w14:textId="77777777" w:rsidTr="173875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9" w:type="dxa"/>
            <w:tcBorders>
              <w:top w:val="single" w:sz="2" w:space="0" w:color="C5E0B3" w:themeColor="accent6" w:themeTint="66"/>
              <w:left w:val="single" w:sz="2" w:space="0" w:color="C5E0B3" w:themeColor="accent6" w:themeTint="66"/>
              <w:bottom w:val="single" w:sz="2" w:space="0" w:color="C5E0B3" w:themeColor="accent6" w:themeTint="66"/>
              <w:right w:val="single" w:sz="2" w:space="0" w:color="C5E0B3" w:themeColor="accent6" w:themeTint="66"/>
            </w:tcBorders>
            <w:shd w:val="clear" w:color="auto" w:fill="DAE9F7"/>
            <w:vAlign w:val="center"/>
          </w:tcPr>
          <w:p w14:paraId="7156D61E" w14:textId="77777777" w:rsidR="0077395F" w:rsidRPr="00FE29AE" w:rsidRDefault="0077395F" w:rsidP="17387562">
            <w:pPr>
              <w:spacing w:line="276" w:lineRule="auto"/>
              <w:jc w:val="center"/>
              <w:rPr>
                <w:color w:val="auto"/>
                <w:sz w:val="18"/>
                <w:szCs w:val="18"/>
              </w:rPr>
            </w:pPr>
            <w:r w:rsidRPr="17387562">
              <w:rPr>
                <w:color w:val="auto"/>
                <w:sz w:val="18"/>
                <w:szCs w:val="18"/>
              </w:rPr>
              <w:t>NFR 2.1</w:t>
            </w:r>
          </w:p>
        </w:tc>
        <w:tc>
          <w:tcPr>
            <w:tcW w:w="7083" w:type="dxa"/>
            <w:tcBorders>
              <w:left w:val="single" w:sz="2" w:space="0" w:color="C5E0B3" w:themeColor="accent6" w:themeTint="66"/>
              <w:right w:val="single" w:sz="2" w:space="0" w:color="C5E0B3" w:themeColor="accent6" w:themeTint="66"/>
            </w:tcBorders>
            <w:shd w:val="clear" w:color="auto" w:fill="DAE9F7"/>
            <w:vAlign w:val="center"/>
          </w:tcPr>
          <w:p w14:paraId="2B612DAB" w14:textId="77777777" w:rsidR="0077395F" w:rsidRPr="00FE29AE" w:rsidRDefault="0077395F" w:rsidP="003849FA">
            <w:pPr>
              <w:spacing w:line="276" w:lineRule="auto"/>
              <w:cnfStyle w:val="100000000000" w:firstRow="1" w:lastRow="0" w:firstColumn="0" w:lastColumn="0" w:oddVBand="0" w:evenVBand="0" w:oddHBand="0" w:evenHBand="0" w:firstRowFirstColumn="0" w:firstRowLastColumn="0" w:lastRowFirstColumn="0" w:lastRowLastColumn="0"/>
              <w:rPr>
                <w:b w:val="0"/>
                <w:bCs w:val="0"/>
                <w:color w:val="auto"/>
                <w:sz w:val="18"/>
                <w:szCs w:val="18"/>
              </w:rPr>
            </w:pPr>
            <w:r w:rsidRPr="00FE29AE">
              <w:rPr>
                <w:b w:val="0"/>
                <w:bCs w:val="0"/>
                <w:color w:val="auto"/>
                <w:sz w:val="18"/>
                <w:szCs w:val="18"/>
              </w:rPr>
              <w:t xml:space="preserve">Fail safe security. </w:t>
            </w:r>
          </w:p>
          <w:p w14:paraId="4A21BAD5" w14:textId="77777777" w:rsidR="0077395F" w:rsidRPr="00FE29AE" w:rsidRDefault="0077395F" w:rsidP="003849FA">
            <w:pPr>
              <w:spacing w:line="276" w:lineRule="auto"/>
              <w:cnfStyle w:val="100000000000" w:firstRow="1" w:lastRow="0" w:firstColumn="0" w:lastColumn="0" w:oddVBand="0" w:evenVBand="0" w:oddHBand="0" w:evenHBand="0" w:firstRowFirstColumn="0" w:firstRowLastColumn="0" w:lastRowFirstColumn="0" w:lastRowLastColumn="0"/>
              <w:rPr>
                <w:b w:val="0"/>
                <w:bCs w:val="0"/>
                <w:color w:val="auto"/>
                <w:sz w:val="18"/>
                <w:szCs w:val="18"/>
              </w:rPr>
            </w:pPr>
            <w:r w:rsidRPr="00FE29AE">
              <w:rPr>
                <w:b w:val="0"/>
                <w:bCs w:val="0"/>
                <w:color w:val="auto"/>
                <w:sz w:val="18"/>
                <w:szCs w:val="18"/>
              </w:rPr>
              <w:t xml:space="preserve">The application must be designed in a fail-secure manner.  If a fault occurs on the system (or is generated on the system via missing parameters etc.), it should not give a higher level of access.  Instead, the system should fail in a secure manner.  An example of fail-safe would be to invalidate the session on errors (automatically logging the user out). </w:t>
            </w:r>
          </w:p>
        </w:tc>
        <w:tc>
          <w:tcPr>
            <w:tcW w:w="1158" w:type="dxa"/>
            <w:tcBorders>
              <w:top w:val="single" w:sz="2" w:space="0" w:color="C5E0B3" w:themeColor="accent6" w:themeTint="66"/>
              <w:left w:val="single" w:sz="2" w:space="0" w:color="C5E0B3" w:themeColor="accent6" w:themeTint="66"/>
              <w:bottom w:val="single" w:sz="2" w:space="0" w:color="C5E0B3" w:themeColor="accent6" w:themeTint="66"/>
              <w:right w:val="single" w:sz="2" w:space="0" w:color="C5E0B3" w:themeColor="accent6" w:themeTint="66"/>
            </w:tcBorders>
            <w:shd w:val="clear" w:color="auto" w:fill="DAE9F7"/>
            <w:vAlign w:val="center"/>
          </w:tcPr>
          <w:p w14:paraId="0B0962AF" w14:textId="77777777" w:rsidR="0077395F" w:rsidRPr="00FE29AE" w:rsidRDefault="0077395F" w:rsidP="003849FA">
            <w:pPr>
              <w:spacing w:line="276" w:lineRule="auto"/>
              <w:cnfStyle w:val="100000000000" w:firstRow="1" w:lastRow="0" w:firstColumn="0" w:lastColumn="0" w:oddVBand="0" w:evenVBand="0" w:oddHBand="0" w:evenHBand="0" w:firstRowFirstColumn="0" w:firstRowLastColumn="0" w:lastRowFirstColumn="0" w:lastRowLastColumn="0"/>
              <w:rPr>
                <w:b w:val="0"/>
                <w:bCs w:val="0"/>
                <w:color w:val="auto"/>
                <w:sz w:val="18"/>
                <w:szCs w:val="18"/>
              </w:rPr>
            </w:pPr>
          </w:p>
          <w:p w14:paraId="021B9D3C" w14:textId="77777777" w:rsidR="0077395F" w:rsidRPr="00FE29AE" w:rsidRDefault="0077395F" w:rsidP="003849FA">
            <w:pPr>
              <w:spacing w:line="276" w:lineRule="auto"/>
              <w:cnfStyle w:val="100000000000" w:firstRow="1" w:lastRow="0" w:firstColumn="0" w:lastColumn="0" w:oddVBand="0" w:evenVBand="0" w:oddHBand="0" w:evenHBand="0" w:firstRowFirstColumn="0" w:firstRowLastColumn="0" w:lastRowFirstColumn="0" w:lastRowLastColumn="0"/>
              <w:rPr>
                <w:b w:val="0"/>
                <w:bCs w:val="0"/>
                <w:color w:val="auto"/>
                <w:sz w:val="18"/>
                <w:szCs w:val="18"/>
              </w:rPr>
            </w:pPr>
            <w:r w:rsidRPr="00FE29AE">
              <w:rPr>
                <w:b w:val="0"/>
                <w:bCs w:val="0"/>
                <w:color w:val="auto"/>
                <w:sz w:val="18"/>
                <w:szCs w:val="18"/>
              </w:rPr>
              <w:t>MUST</w:t>
            </w:r>
          </w:p>
        </w:tc>
      </w:tr>
      <w:tr w:rsidR="0077395F" w:rsidRPr="00FE29AE" w14:paraId="7FDE9C08"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9" w:type="dxa"/>
            <w:tcBorders>
              <w:top w:val="single" w:sz="2" w:space="0" w:color="C5E0B3" w:themeColor="accent6" w:themeTint="66"/>
            </w:tcBorders>
            <w:shd w:val="clear" w:color="auto" w:fill="DAE9F7"/>
            <w:vAlign w:val="center"/>
          </w:tcPr>
          <w:p w14:paraId="55439EB8" w14:textId="77777777" w:rsidR="0077395F" w:rsidRPr="00FE29AE" w:rsidRDefault="0077395F" w:rsidP="003849FA">
            <w:pPr>
              <w:spacing w:line="276" w:lineRule="auto"/>
              <w:jc w:val="center"/>
              <w:rPr>
                <w:sz w:val="18"/>
                <w:szCs w:val="18"/>
              </w:rPr>
            </w:pPr>
            <w:r w:rsidRPr="00FE29AE">
              <w:rPr>
                <w:sz w:val="18"/>
                <w:szCs w:val="18"/>
              </w:rPr>
              <w:t>NFR 2.2</w:t>
            </w:r>
          </w:p>
        </w:tc>
        <w:tc>
          <w:tcPr>
            <w:tcW w:w="7083" w:type="dxa"/>
            <w:shd w:val="clear" w:color="auto" w:fill="DAE9F7"/>
            <w:vAlign w:val="center"/>
          </w:tcPr>
          <w:p w14:paraId="1E2CD9E1" w14:textId="77777777" w:rsidR="0077395F" w:rsidRPr="00FE29AE" w:rsidRDefault="0077395F"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POLP</w:t>
            </w:r>
          </w:p>
          <w:p w14:paraId="39AF48D5" w14:textId="77777777" w:rsidR="0077395F" w:rsidRPr="00FE29AE" w:rsidRDefault="0077395F"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 xml:space="preserve">All system users must adhere to </w:t>
            </w:r>
            <w:proofErr w:type="spellStart"/>
            <w:r w:rsidRPr="00FE29AE">
              <w:rPr>
                <w:sz w:val="18"/>
                <w:szCs w:val="18"/>
              </w:rPr>
              <w:t>PoLP</w:t>
            </w:r>
            <w:proofErr w:type="spellEnd"/>
            <w:r w:rsidRPr="00FE29AE">
              <w:rPr>
                <w:sz w:val="18"/>
                <w:szCs w:val="18"/>
              </w:rPr>
              <w:t xml:space="preserve"> (Principle of least privilege) </w:t>
            </w:r>
          </w:p>
        </w:tc>
        <w:tc>
          <w:tcPr>
            <w:tcW w:w="1158" w:type="dxa"/>
            <w:tcBorders>
              <w:top w:val="single" w:sz="2" w:space="0" w:color="C5E0B3" w:themeColor="accent6" w:themeTint="66"/>
            </w:tcBorders>
            <w:shd w:val="clear" w:color="auto" w:fill="DAE9F7"/>
            <w:vAlign w:val="center"/>
          </w:tcPr>
          <w:p w14:paraId="1489E0C8" w14:textId="77777777" w:rsidR="0077395F" w:rsidRPr="00FE29AE" w:rsidRDefault="0077395F"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p>
          <w:p w14:paraId="0881247D" w14:textId="77777777" w:rsidR="0077395F" w:rsidRPr="00FE29AE" w:rsidRDefault="0077395F" w:rsidP="003849FA">
            <w:pPr>
              <w:cnfStyle w:val="000000100000" w:firstRow="0" w:lastRow="0" w:firstColumn="0" w:lastColumn="0" w:oddVBand="0" w:evenVBand="0" w:oddHBand="1" w:evenHBand="0" w:firstRowFirstColumn="0" w:firstRowLastColumn="0" w:lastRowFirstColumn="0" w:lastRowLastColumn="0"/>
              <w:rPr>
                <w:b/>
                <w:bCs/>
                <w:sz w:val="18"/>
                <w:szCs w:val="18"/>
              </w:rPr>
            </w:pPr>
          </w:p>
          <w:p w14:paraId="5D617BFE" w14:textId="77777777" w:rsidR="0077395F" w:rsidRPr="00FE29AE" w:rsidRDefault="0077395F" w:rsidP="003849FA">
            <w:pPr>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77395F" w:rsidRPr="00FE29AE" w14:paraId="30778268"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69" w:type="dxa"/>
            <w:shd w:val="clear" w:color="auto" w:fill="DAE9F7"/>
            <w:vAlign w:val="center"/>
          </w:tcPr>
          <w:p w14:paraId="1A14DA2A" w14:textId="77777777" w:rsidR="0077395F" w:rsidRPr="00FE29AE" w:rsidRDefault="0077395F" w:rsidP="003849FA">
            <w:pPr>
              <w:spacing w:line="276" w:lineRule="auto"/>
              <w:jc w:val="center"/>
              <w:rPr>
                <w:sz w:val="18"/>
                <w:szCs w:val="18"/>
              </w:rPr>
            </w:pPr>
            <w:r w:rsidRPr="00FE29AE">
              <w:rPr>
                <w:sz w:val="18"/>
                <w:szCs w:val="18"/>
              </w:rPr>
              <w:t>NFR 2.3</w:t>
            </w:r>
          </w:p>
        </w:tc>
        <w:tc>
          <w:tcPr>
            <w:tcW w:w="7083" w:type="dxa"/>
            <w:shd w:val="clear" w:color="auto" w:fill="DAE9F7"/>
            <w:vAlign w:val="center"/>
          </w:tcPr>
          <w:p w14:paraId="2D024F75" w14:textId="77777777" w:rsidR="0077395F" w:rsidRPr="00FE29AE" w:rsidRDefault="0077395F"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Administration Interfaces </w:t>
            </w:r>
          </w:p>
          <w:p w14:paraId="4CAEF8F2" w14:textId="77777777" w:rsidR="0077395F" w:rsidRPr="00FE29AE" w:rsidRDefault="0077395F"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 xml:space="preserve">administrative interfaces must be private and segregated from user interfaces. </w:t>
            </w:r>
          </w:p>
        </w:tc>
        <w:tc>
          <w:tcPr>
            <w:tcW w:w="1158" w:type="dxa"/>
            <w:shd w:val="clear" w:color="auto" w:fill="DAE9F7"/>
            <w:vAlign w:val="center"/>
          </w:tcPr>
          <w:p w14:paraId="6F9133A7" w14:textId="77777777" w:rsidR="0077395F" w:rsidRPr="00FE29AE" w:rsidRDefault="0077395F"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77395F" w:rsidRPr="00FE29AE" w14:paraId="397F763C" w14:textId="77777777" w:rsidTr="173875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9" w:type="dxa"/>
            <w:shd w:val="clear" w:color="auto" w:fill="DAE9F7"/>
            <w:vAlign w:val="center"/>
          </w:tcPr>
          <w:p w14:paraId="73D2A99E" w14:textId="77777777" w:rsidR="0077395F" w:rsidRPr="00FE29AE" w:rsidRDefault="0077395F" w:rsidP="003849FA">
            <w:pPr>
              <w:spacing w:line="276" w:lineRule="auto"/>
              <w:jc w:val="center"/>
              <w:rPr>
                <w:sz w:val="18"/>
                <w:szCs w:val="18"/>
              </w:rPr>
            </w:pPr>
            <w:r w:rsidRPr="00FE29AE">
              <w:rPr>
                <w:sz w:val="18"/>
                <w:szCs w:val="18"/>
              </w:rPr>
              <w:t>NFR 2.4</w:t>
            </w:r>
          </w:p>
        </w:tc>
        <w:tc>
          <w:tcPr>
            <w:tcW w:w="7083" w:type="dxa"/>
            <w:shd w:val="clear" w:color="auto" w:fill="DAE9F7"/>
            <w:vAlign w:val="center"/>
          </w:tcPr>
          <w:p w14:paraId="73C20A6E" w14:textId="77777777" w:rsidR="0077395F" w:rsidRPr="00FE29AE" w:rsidRDefault="0077395F"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 xml:space="preserve">Intrusion detection/protection systems </w:t>
            </w:r>
          </w:p>
          <w:p w14:paraId="76171DDC" w14:textId="77777777" w:rsidR="0077395F" w:rsidRPr="00FE29AE" w:rsidRDefault="0077395F"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lastRenderedPageBreak/>
              <w:t>The architecture of the system must include Host &amp; Network Based Intrusion Detection/Protection Systems.</w:t>
            </w:r>
          </w:p>
        </w:tc>
        <w:tc>
          <w:tcPr>
            <w:tcW w:w="1158" w:type="dxa"/>
            <w:shd w:val="clear" w:color="auto" w:fill="DAE9F7"/>
            <w:vAlign w:val="center"/>
          </w:tcPr>
          <w:p w14:paraId="6FE18385" w14:textId="77777777" w:rsidR="0077395F" w:rsidRPr="00FE29AE" w:rsidRDefault="0077395F"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lastRenderedPageBreak/>
              <w:t>MUST</w:t>
            </w:r>
          </w:p>
        </w:tc>
      </w:tr>
      <w:tr w:rsidR="0077395F" w:rsidRPr="00FE29AE" w14:paraId="1904A376" w14:textId="77777777" w:rsidTr="17387562">
        <w:trPr>
          <w:jc w:val="center"/>
        </w:trPr>
        <w:tc>
          <w:tcPr>
            <w:cnfStyle w:val="001000000000" w:firstRow="0" w:lastRow="0" w:firstColumn="1" w:lastColumn="0" w:oddVBand="0" w:evenVBand="0" w:oddHBand="0" w:evenHBand="0" w:firstRowFirstColumn="0" w:firstRowLastColumn="0" w:lastRowFirstColumn="0" w:lastRowLastColumn="0"/>
            <w:tcW w:w="769" w:type="dxa"/>
            <w:shd w:val="clear" w:color="auto" w:fill="DEEAF6" w:themeFill="accent5" w:themeFillTint="33"/>
            <w:vAlign w:val="center"/>
          </w:tcPr>
          <w:p w14:paraId="69E7AB72" w14:textId="421EA422" w:rsidR="0077395F" w:rsidRPr="00FE29AE" w:rsidRDefault="56A4DD0E" w:rsidP="003849FA">
            <w:pPr>
              <w:spacing w:line="276" w:lineRule="auto"/>
              <w:jc w:val="center"/>
              <w:rPr>
                <w:sz w:val="18"/>
                <w:szCs w:val="18"/>
              </w:rPr>
            </w:pPr>
            <w:r w:rsidRPr="17387562">
              <w:rPr>
                <w:sz w:val="18"/>
                <w:szCs w:val="18"/>
              </w:rPr>
              <w:t>NFR 2.5</w:t>
            </w:r>
          </w:p>
        </w:tc>
        <w:tc>
          <w:tcPr>
            <w:tcW w:w="7083" w:type="dxa"/>
            <w:shd w:val="clear" w:color="auto" w:fill="DEEAF6" w:themeFill="accent5" w:themeFillTint="33"/>
            <w:vAlign w:val="center"/>
          </w:tcPr>
          <w:p w14:paraId="77A91179" w14:textId="77777777" w:rsidR="0077395F" w:rsidRPr="002713AE" w:rsidRDefault="0077395F"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2713AE">
              <w:rPr>
                <w:b/>
                <w:bCs/>
                <w:sz w:val="18"/>
                <w:szCs w:val="18"/>
              </w:rPr>
              <w:t>Secure application development standards</w:t>
            </w:r>
          </w:p>
          <w:p w14:paraId="2C103FBA" w14:textId="03A89009" w:rsidR="0077395F" w:rsidRPr="002713AE" w:rsidDel="00823AE2" w:rsidRDefault="0077395F"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2713AE">
              <w:rPr>
                <w:sz w:val="18"/>
                <w:szCs w:val="18"/>
              </w:rPr>
              <w:t>The Application must comply with secure Application Development Standards and must be in adherence to industry standards such as OWASP, Top 10 or ISO/IEC 27034.</w:t>
            </w:r>
          </w:p>
        </w:tc>
        <w:tc>
          <w:tcPr>
            <w:tcW w:w="1158" w:type="dxa"/>
            <w:shd w:val="clear" w:color="auto" w:fill="DEEAF6" w:themeFill="accent5" w:themeFillTint="33"/>
            <w:vAlign w:val="center"/>
          </w:tcPr>
          <w:p w14:paraId="06698449" w14:textId="77777777" w:rsidR="0077395F" w:rsidRPr="00FE29AE" w:rsidRDefault="0077395F"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bl>
    <w:p w14:paraId="2CE91432" w14:textId="37585917" w:rsidR="00E26387" w:rsidRPr="00FE29AE" w:rsidRDefault="00E26387" w:rsidP="00E26387">
      <w:pPr>
        <w:tabs>
          <w:tab w:val="center" w:pos="4513"/>
        </w:tabs>
        <w:spacing w:after="160" w:line="259" w:lineRule="auto"/>
      </w:pPr>
    </w:p>
    <w:tbl>
      <w:tblPr>
        <w:tblStyle w:val="GridTable4-Accent621"/>
        <w:tblW w:w="5000" w:type="pct"/>
        <w:jc w:val="center"/>
        <w:tblLook w:val="04A0" w:firstRow="1" w:lastRow="0" w:firstColumn="1" w:lastColumn="0" w:noHBand="0" w:noVBand="1"/>
      </w:tblPr>
      <w:tblGrid>
        <w:gridCol w:w="770"/>
        <w:gridCol w:w="7078"/>
        <w:gridCol w:w="1162"/>
      </w:tblGrid>
      <w:tr w:rsidR="00E6054D" w:rsidRPr="00FE29AE" w14:paraId="23514DE4" w14:textId="77777777" w:rsidTr="003849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20" w:type="dxa"/>
            <w:gridSpan w:val="3"/>
            <w:tcBorders>
              <w:right w:val="single" w:sz="4" w:space="0" w:color="FFFFFF" w:themeColor="background1"/>
            </w:tcBorders>
            <w:shd w:val="clear" w:color="auto" w:fill="2F5496" w:themeFill="accent1" w:themeFillShade="BF"/>
            <w:vAlign w:val="center"/>
          </w:tcPr>
          <w:p w14:paraId="733DC23B" w14:textId="77777777" w:rsidR="00E6054D" w:rsidRPr="00FE29AE" w:rsidRDefault="00E6054D" w:rsidP="003849FA">
            <w:pPr>
              <w:spacing w:line="276" w:lineRule="auto"/>
              <w:rPr>
                <w:b w:val="0"/>
                <w:bCs w:val="0"/>
              </w:rPr>
            </w:pPr>
            <w:r w:rsidRPr="00FE29AE">
              <w:t>3. CLOUD MANAGEMENT AND GOVERNANCE</w:t>
            </w:r>
          </w:p>
        </w:tc>
      </w:tr>
      <w:tr w:rsidR="00E6054D" w:rsidRPr="00FE29AE" w14:paraId="3352D507"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tcBorders>
              <w:right w:val="single" w:sz="4" w:space="0" w:color="FFFFFF" w:themeColor="background1"/>
            </w:tcBorders>
            <w:shd w:val="clear" w:color="auto" w:fill="8EAADB" w:themeFill="accent1" w:themeFillTint="99"/>
            <w:vAlign w:val="center"/>
          </w:tcPr>
          <w:p w14:paraId="0125F26F" w14:textId="77777777" w:rsidR="00E6054D" w:rsidRPr="00FE29AE" w:rsidRDefault="00E6054D" w:rsidP="003849FA">
            <w:pPr>
              <w:spacing w:line="276" w:lineRule="auto"/>
              <w:jc w:val="center"/>
            </w:pPr>
            <w:r w:rsidRPr="00FE29AE">
              <w:t>Ref.</w:t>
            </w:r>
          </w:p>
        </w:tc>
        <w:tc>
          <w:tcPr>
            <w:tcW w:w="7739" w:type="dxa"/>
            <w:tcBorders>
              <w:left w:val="single" w:sz="4" w:space="0" w:color="FFFFFF" w:themeColor="background1"/>
              <w:right w:val="single" w:sz="4" w:space="0" w:color="FFFFFF" w:themeColor="background1"/>
            </w:tcBorders>
            <w:shd w:val="clear" w:color="auto" w:fill="8EAADB" w:themeFill="accent1" w:themeFillTint="99"/>
            <w:vAlign w:val="center"/>
          </w:tcPr>
          <w:p w14:paraId="27D22E32"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r w:rsidRPr="00FE29AE">
              <w:rPr>
                <w:b/>
                <w:bCs/>
              </w:rPr>
              <w:t>Description</w:t>
            </w:r>
          </w:p>
        </w:tc>
        <w:tc>
          <w:tcPr>
            <w:tcW w:w="1220" w:type="dxa"/>
            <w:tcBorders>
              <w:left w:val="single" w:sz="4" w:space="0" w:color="FFFFFF" w:themeColor="background1"/>
              <w:right w:val="single" w:sz="4" w:space="0" w:color="FFFFFF" w:themeColor="background1"/>
            </w:tcBorders>
            <w:shd w:val="clear" w:color="auto" w:fill="8EAADB" w:themeFill="accent1" w:themeFillTint="99"/>
            <w:vAlign w:val="center"/>
          </w:tcPr>
          <w:p w14:paraId="4542EB8A"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E6054D" w:rsidRPr="00FE29AE" w14:paraId="2BD6001E"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0BC33F12" w14:textId="77777777" w:rsidR="00E6054D" w:rsidRPr="00FE29AE" w:rsidRDefault="00E6054D" w:rsidP="003849FA">
            <w:pPr>
              <w:spacing w:line="276" w:lineRule="auto"/>
              <w:jc w:val="center"/>
              <w:rPr>
                <w:sz w:val="18"/>
                <w:szCs w:val="18"/>
              </w:rPr>
            </w:pPr>
            <w:r w:rsidRPr="00FE29AE">
              <w:rPr>
                <w:sz w:val="18"/>
                <w:szCs w:val="18"/>
              </w:rPr>
              <w:t>NFR 3.1</w:t>
            </w:r>
          </w:p>
        </w:tc>
        <w:tc>
          <w:tcPr>
            <w:tcW w:w="7739" w:type="dxa"/>
            <w:shd w:val="clear" w:color="auto" w:fill="DAE9F7"/>
            <w:vAlign w:val="center"/>
          </w:tcPr>
          <w:p w14:paraId="5C573AA1"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Monitoring &amp; Reporting. </w:t>
            </w:r>
          </w:p>
          <w:p w14:paraId="197108F5"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The system must include comprehensive tools for monitoring system performance, security, and usage, with real-time alerts for anomalies, security breaches, or performance degradation. The system should offer detailed reporting capabilities, allowing for both scheduled and on-demand reports, with a focus on metrics such as uptime, latency, and user activity.</w:t>
            </w:r>
          </w:p>
          <w:p w14:paraId="20716A02"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highlight w:val="yellow"/>
              </w:rPr>
            </w:pPr>
          </w:p>
        </w:tc>
        <w:tc>
          <w:tcPr>
            <w:tcW w:w="1220" w:type="dxa"/>
            <w:shd w:val="clear" w:color="auto" w:fill="DAE9F7"/>
            <w:vAlign w:val="center"/>
          </w:tcPr>
          <w:p w14:paraId="39FCA1BF"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E6054D" w:rsidRPr="00FE29AE" w14:paraId="148E7017"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4BCF4FAC" w14:textId="77777777" w:rsidR="00E6054D" w:rsidRPr="00FE29AE" w:rsidRDefault="00E6054D" w:rsidP="003849FA">
            <w:pPr>
              <w:spacing w:line="276" w:lineRule="auto"/>
              <w:jc w:val="center"/>
              <w:rPr>
                <w:sz w:val="18"/>
                <w:szCs w:val="18"/>
              </w:rPr>
            </w:pPr>
            <w:r w:rsidRPr="00FE29AE">
              <w:rPr>
                <w:sz w:val="18"/>
                <w:szCs w:val="18"/>
              </w:rPr>
              <w:t>NFR 3.2</w:t>
            </w:r>
          </w:p>
        </w:tc>
        <w:tc>
          <w:tcPr>
            <w:tcW w:w="7739" w:type="dxa"/>
            <w:shd w:val="clear" w:color="auto" w:fill="DAE9F7"/>
            <w:vAlign w:val="center"/>
          </w:tcPr>
          <w:p w14:paraId="6B304BFA"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 xml:space="preserve">Governance Controls. </w:t>
            </w:r>
          </w:p>
          <w:p w14:paraId="36DFB580"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 xml:space="preserve">The solution must support centralised governance features, including robust user management, policy enforcement, and granular data access controls. It must allow administrators to define user roles, set permissions, and enforce policies across all system components. </w:t>
            </w:r>
          </w:p>
          <w:p w14:paraId="3F42B6C2"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Additionally, and importantly, audit trails and logging features should be in place to track changes and access for compliance purposes.</w:t>
            </w:r>
          </w:p>
          <w:p w14:paraId="7D6A0059"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p>
        </w:tc>
        <w:tc>
          <w:tcPr>
            <w:tcW w:w="1220" w:type="dxa"/>
            <w:shd w:val="clear" w:color="auto" w:fill="DAE9F7"/>
            <w:vAlign w:val="center"/>
          </w:tcPr>
          <w:p w14:paraId="669C484C"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E6054D" w:rsidRPr="00FE29AE" w14:paraId="7E69F668"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376EEC16" w14:textId="77777777" w:rsidR="00E6054D" w:rsidRPr="00FE29AE" w:rsidRDefault="00E6054D" w:rsidP="003849FA">
            <w:pPr>
              <w:spacing w:line="276" w:lineRule="auto"/>
              <w:jc w:val="center"/>
              <w:rPr>
                <w:sz w:val="18"/>
                <w:szCs w:val="18"/>
              </w:rPr>
            </w:pPr>
            <w:r w:rsidRPr="00FE29AE">
              <w:rPr>
                <w:sz w:val="18"/>
                <w:szCs w:val="18"/>
              </w:rPr>
              <w:t>NFR 3.3</w:t>
            </w:r>
          </w:p>
        </w:tc>
        <w:tc>
          <w:tcPr>
            <w:tcW w:w="7739" w:type="dxa"/>
            <w:shd w:val="clear" w:color="auto" w:fill="DAE9F7"/>
            <w:vAlign w:val="center"/>
          </w:tcPr>
          <w:p w14:paraId="3563D7A4"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Service Degradation</w:t>
            </w:r>
          </w:p>
          <w:p w14:paraId="52548BA3"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The solution must include monitoring for service degradation, ensuring performance remains at an acceptable level. The provider must have a plan to address slow response times or partial feature failures promptly.</w:t>
            </w:r>
          </w:p>
          <w:p w14:paraId="107DDCFC"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20" w:type="dxa"/>
            <w:shd w:val="clear" w:color="auto" w:fill="DAE9F7"/>
            <w:vAlign w:val="center"/>
          </w:tcPr>
          <w:p w14:paraId="4793712F"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E6054D" w:rsidRPr="00FE29AE" w14:paraId="256A801B"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421EE7EC" w14:textId="77777777" w:rsidR="00E6054D" w:rsidRPr="00FE29AE" w:rsidRDefault="00E6054D" w:rsidP="003849FA">
            <w:pPr>
              <w:spacing w:line="276" w:lineRule="auto"/>
              <w:jc w:val="center"/>
              <w:rPr>
                <w:sz w:val="18"/>
                <w:szCs w:val="18"/>
                <w:highlight w:val="yellow"/>
              </w:rPr>
            </w:pPr>
            <w:r w:rsidRPr="00FE29AE">
              <w:rPr>
                <w:sz w:val="18"/>
                <w:szCs w:val="18"/>
              </w:rPr>
              <w:t>NFR 3.4</w:t>
            </w:r>
          </w:p>
        </w:tc>
        <w:tc>
          <w:tcPr>
            <w:tcW w:w="7739" w:type="dxa"/>
            <w:shd w:val="clear" w:color="auto" w:fill="DAE9F7"/>
            <w:vAlign w:val="center"/>
          </w:tcPr>
          <w:p w14:paraId="36B41131"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sz w:val="18"/>
                <w:szCs w:val="18"/>
              </w:rPr>
            </w:pPr>
            <w:r w:rsidRPr="00FE29AE">
              <w:rPr>
                <w:b/>
                <w:sz w:val="18"/>
                <w:szCs w:val="18"/>
              </w:rPr>
              <w:t>Structured development process</w:t>
            </w:r>
          </w:p>
          <w:p w14:paraId="35045114"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The platform must have separate environments for development, testing, User Acceptance Testing (UAT), and production.</w:t>
            </w:r>
          </w:p>
          <w:p w14:paraId="01A742A9"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sz w:val="18"/>
                <w:szCs w:val="18"/>
              </w:rPr>
            </w:pPr>
          </w:p>
        </w:tc>
        <w:tc>
          <w:tcPr>
            <w:tcW w:w="1220" w:type="dxa"/>
            <w:shd w:val="clear" w:color="auto" w:fill="DAE9F7"/>
            <w:vAlign w:val="center"/>
          </w:tcPr>
          <w:p w14:paraId="08B5116F"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highlight w:val="yellow"/>
              </w:rPr>
            </w:pPr>
            <w:r w:rsidRPr="00FE29AE">
              <w:rPr>
                <w:sz w:val="18"/>
                <w:szCs w:val="18"/>
              </w:rPr>
              <w:t>MUST</w:t>
            </w:r>
          </w:p>
        </w:tc>
      </w:tr>
    </w:tbl>
    <w:p w14:paraId="01C1544E" w14:textId="77777777" w:rsidR="00E6054D" w:rsidRPr="00FE29AE" w:rsidRDefault="00E6054D" w:rsidP="00E6054D">
      <w:pPr>
        <w:tabs>
          <w:tab w:val="center" w:pos="4513"/>
        </w:tabs>
        <w:spacing w:line="259" w:lineRule="auto"/>
        <w:rPr>
          <w:b/>
        </w:rPr>
      </w:pPr>
    </w:p>
    <w:p w14:paraId="70CBF0EA" w14:textId="77777777" w:rsidR="00E6054D" w:rsidRPr="00FE29AE" w:rsidRDefault="00E6054D" w:rsidP="14C50CD6">
      <w:pPr>
        <w:tabs>
          <w:tab w:val="center" w:pos="4513"/>
        </w:tabs>
        <w:spacing w:line="259" w:lineRule="auto"/>
        <w:rPr>
          <w:b/>
          <w:bCs/>
        </w:rPr>
      </w:pPr>
    </w:p>
    <w:p w14:paraId="31B1FB57" w14:textId="1C0F72B6" w:rsidR="14C50CD6" w:rsidRPr="00FE29AE" w:rsidRDefault="14C50CD6" w:rsidP="14C50CD6">
      <w:pPr>
        <w:tabs>
          <w:tab w:val="center" w:pos="4513"/>
        </w:tabs>
        <w:spacing w:line="259" w:lineRule="auto"/>
        <w:rPr>
          <w:b/>
          <w:bCs/>
        </w:rPr>
      </w:pPr>
    </w:p>
    <w:p w14:paraId="3856B9DE" w14:textId="78DB6C56" w:rsidR="14C50CD6" w:rsidRPr="00FE29AE" w:rsidRDefault="14C50CD6" w:rsidP="14C50CD6">
      <w:pPr>
        <w:tabs>
          <w:tab w:val="center" w:pos="4513"/>
        </w:tabs>
        <w:spacing w:line="259" w:lineRule="auto"/>
        <w:rPr>
          <w:b/>
          <w:bCs/>
        </w:rPr>
      </w:pPr>
    </w:p>
    <w:p w14:paraId="5AE62886" w14:textId="77777777" w:rsidR="00E6054D" w:rsidRPr="00FE29AE" w:rsidRDefault="00E6054D" w:rsidP="00E6054D">
      <w:pPr>
        <w:tabs>
          <w:tab w:val="center" w:pos="4513"/>
        </w:tabs>
        <w:spacing w:line="259" w:lineRule="auto"/>
        <w:rPr>
          <w:b/>
        </w:rPr>
      </w:pPr>
    </w:p>
    <w:tbl>
      <w:tblPr>
        <w:tblStyle w:val="GridTable4-Accent625"/>
        <w:tblW w:w="5000" w:type="pct"/>
        <w:jc w:val="center"/>
        <w:tblLook w:val="04A0" w:firstRow="1" w:lastRow="0" w:firstColumn="1" w:lastColumn="0" w:noHBand="0" w:noVBand="1"/>
      </w:tblPr>
      <w:tblGrid>
        <w:gridCol w:w="770"/>
        <w:gridCol w:w="7078"/>
        <w:gridCol w:w="1162"/>
      </w:tblGrid>
      <w:tr w:rsidR="00E6054D" w:rsidRPr="00FE29AE" w14:paraId="7BE21B66" w14:textId="77777777" w:rsidTr="003849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20" w:type="dxa"/>
            <w:gridSpan w:val="3"/>
            <w:tcBorders>
              <w:right w:val="single" w:sz="4" w:space="0" w:color="FFFFFF" w:themeColor="background1"/>
            </w:tcBorders>
            <w:shd w:val="clear" w:color="auto" w:fill="2F5496" w:themeFill="accent1" w:themeFillShade="BF"/>
            <w:vAlign w:val="center"/>
          </w:tcPr>
          <w:p w14:paraId="4AAD7804" w14:textId="77777777" w:rsidR="00E6054D" w:rsidRPr="00FE29AE" w:rsidRDefault="00E6054D" w:rsidP="003849FA">
            <w:pPr>
              <w:spacing w:line="276" w:lineRule="auto"/>
              <w:rPr>
                <w:b w:val="0"/>
                <w:bCs w:val="0"/>
              </w:rPr>
            </w:pPr>
            <w:r w:rsidRPr="00FE29AE">
              <w:t>4. TECHNICAL SUPPORT &amp; MAINTENANCE</w:t>
            </w:r>
          </w:p>
        </w:tc>
      </w:tr>
      <w:tr w:rsidR="00E6054D" w:rsidRPr="00FE29AE" w14:paraId="4CA5FE27"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3" w:type="dxa"/>
            <w:tcBorders>
              <w:right w:val="single" w:sz="4" w:space="0" w:color="FFFFFF" w:themeColor="background1"/>
            </w:tcBorders>
            <w:shd w:val="clear" w:color="auto" w:fill="8EAADB" w:themeFill="accent1" w:themeFillTint="99"/>
            <w:vAlign w:val="center"/>
          </w:tcPr>
          <w:p w14:paraId="2C42121D" w14:textId="77777777" w:rsidR="00E6054D" w:rsidRPr="00FE29AE" w:rsidRDefault="00E6054D" w:rsidP="003849FA">
            <w:pPr>
              <w:spacing w:line="276" w:lineRule="auto"/>
              <w:jc w:val="center"/>
            </w:pPr>
            <w:r w:rsidRPr="00FE29AE">
              <w:t>Ref.</w:t>
            </w:r>
          </w:p>
        </w:tc>
        <w:tc>
          <w:tcPr>
            <w:tcW w:w="7709" w:type="dxa"/>
            <w:tcBorders>
              <w:left w:val="single" w:sz="4" w:space="0" w:color="FFFFFF" w:themeColor="background1"/>
              <w:right w:val="single" w:sz="4" w:space="0" w:color="FFFFFF" w:themeColor="background1"/>
            </w:tcBorders>
            <w:shd w:val="clear" w:color="auto" w:fill="8EAADB" w:themeFill="accent1" w:themeFillTint="99"/>
            <w:vAlign w:val="center"/>
          </w:tcPr>
          <w:p w14:paraId="7DBDB853"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r w:rsidRPr="00FE29AE">
              <w:rPr>
                <w:b/>
                <w:bCs/>
              </w:rPr>
              <w:t>Description</w:t>
            </w:r>
          </w:p>
        </w:tc>
        <w:tc>
          <w:tcPr>
            <w:tcW w:w="1218" w:type="dxa"/>
            <w:tcBorders>
              <w:left w:val="single" w:sz="4" w:space="0" w:color="FFFFFF" w:themeColor="background1"/>
              <w:right w:val="single" w:sz="4" w:space="0" w:color="FFFFFF" w:themeColor="background1"/>
            </w:tcBorders>
            <w:shd w:val="clear" w:color="auto" w:fill="8EAADB" w:themeFill="accent1" w:themeFillTint="99"/>
            <w:vAlign w:val="center"/>
          </w:tcPr>
          <w:p w14:paraId="72554787"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E6054D" w:rsidRPr="00FE29AE" w14:paraId="69C03E4F"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3" w:type="dxa"/>
            <w:shd w:val="clear" w:color="auto" w:fill="DAE9F7"/>
            <w:vAlign w:val="center"/>
          </w:tcPr>
          <w:p w14:paraId="1713FE9A" w14:textId="77777777" w:rsidR="00E6054D" w:rsidRPr="00FE29AE" w:rsidRDefault="00E6054D" w:rsidP="003849FA">
            <w:pPr>
              <w:spacing w:line="276" w:lineRule="auto"/>
              <w:jc w:val="center"/>
              <w:rPr>
                <w:sz w:val="18"/>
                <w:szCs w:val="18"/>
              </w:rPr>
            </w:pPr>
            <w:r w:rsidRPr="00FE29AE">
              <w:rPr>
                <w:sz w:val="18"/>
                <w:szCs w:val="18"/>
              </w:rPr>
              <w:t>NFR 4.1</w:t>
            </w:r>
          </w:p>
        </w:tc>
        <w:tc>
          <w:tcPr>
            <w:tcW w:w="7709" w:type="dxa"/>
            <w:shd w:val="clear" w:color="auto" w:fill="DAE9F7"/>
            <w:vAlign w:val="center"/>
          </w:tcPr>
          <w:p w14:paraId="751B2B04"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Patches &amp; Upgrades. </w:t>
            </w:r>
          </w:p>
          <w:p w14:paraId="2E4E26D3"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Regular updates and security patches must be applied automatically with minimal service disruption. Vendors must provide an upgrade schedule and detail how version control is applied. (e.g., ensuring backward compatibility during updates).</w:t>
            </w:r>
          </w:p>
          <w:p w14:paraId="07343590"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18" w:type="dxa"/>
            <w:shd w:val="clear" w:color="auto" w:fill="DAE9F7"/>
            <w:vAlign w:val="center"/>
          </w:tcPr>
          <w:p w14:paraId="78F77EAB"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p>
          <w:p w14:paraId="49C37083"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E6054D" w:rsidRPr="00FE29AE" w14:paraId="278A22A7"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3" w:type="dxa"/>
            <w:shd w:val="clear" w:color="auto" w:fill="DAE9F7"/>
            <w:vAlign w:val="center"/>
          </w:tcPr>
          <w:p w14:paraId="0F234C0C" w14:textId="77777777" w:rsidR="00E6054D" w:rsidRPr="00FE29AE" w:rsidRDefault="00E6054D" w:rsidP="003849FA">
            <w:pPr>
              <w:spacing w:line="276" w:lineRule="auto"/>
              <w:jc w:val="center"/>
              <w:rPr>
                <w:sz w:val="18"/>
                <w:szCs w:val="18"/>
              </w:rPr>
            </w:pPr>
            <w:r w:rsidRPr="00FE29AE">
              <w:rPr>
                <w:sz w:val="18"/>
                <w:szCs w:val="18"/>
              </w:rPr>
              <w:t>NFR 4.2</w:t>
            </w:r>
          </w:p>
        </w:tc>
        <w:tc>
          <w:tcPr>
            <w:tcW w:w="7709" w:type="dxa"/>
            <w:shd w:val="clear" w:color="auto" w:fill="DAE9F7"/>
            <w:vAlign w:val="center"/>
          </w:tcPr>
          <w:p w14:paraId="582918B0"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Incident Response and Escalation</w:t>
            </w:r>
          </w:p>
          <w:p w14:paraId="3BA4F7D9"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The tenderer must provide IFI with the ability to raise incident notifications pertaining to system stability.</w:t>
            </w:r>
          </w:p>
          <w:p w14:paraId="42C5067D" w14:textId="77777777" w:rsidR="00E6054D" w:rsidRPr="00FE29AE" w:rsidRDefault="00E6054D" w:rsidP="003849FA">
            <w:pPr>
              <w:spacing w:line="276" w:lineRule="auto"/>
              <w:ind w:left="360"/>
              <w:cnfStyle w:val="000000100000" w:firstRow="0" w:lastRow="0" w:firstColumn="0" w:lastColumn="0" w:oddVBand="0" w:evenVBand="0" w:oddHBand="1" w:evenHBand="0" w:firstRowFirstColumn="0" w:firstRowLastColumn="0" w:lastRowFirstColumn="0" w:lastRowLastColumn="0"/>
              <w:rPr>
                <w:sz w:val="18"/>
                <w:szCs w:val="18"/>
              </w:rPr>
            </w:pPr>
          </w:p>
          <w:p w14:paraId="1B96CE44"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The provider must detail their escalation process for unresolved issues, including contact points at different escalation levels.</w:t>
            </w:r>
          </w:p>
          <w:p w14:paraId="0373CCEA"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18" w:type="dxa"/>
            <w:shd w:val="clear" w:color="auto" w:fill="DAE9F7"/>
            <w:vAlign w:val="center"/>
          </w:tcPr>
          <w:p w14:paraId="0C88E80E"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p>
          <w:p w14:paraId="7B3B19A7" w14:textId="77777777" w:rsidR="00E6054D" w:rsidRPr="00FE29AE" w:rsidRDefault="00E6054D" w:rsidP="003849FA">
            <w:pPr>
              <w:cnfStyle w:val="000000100000" w:firstRow="0" w:lastRow="0" w:firstColumn="0" w:lastColumn="0" w:oddVBand="0" w:evenVBand="0" w:oddHBand="1" w:evenHBand="0" w:firstRowFirstColumn="0" w:firstRowLastColumn="0" w:lastRowFirstColumn="0" w:lastRowLastColumn="0"/>
              <w:rPr>
                <w:b/>
                <w:bCs/>
                <w:sz w:val="18"/>
                <w:szCs w:val="18"/>
              </w:rPr>
            </w:pPr>
          </w:p>
          <w:p w14:paraId="25542131" w14:textId="77777777" w:rsidR="00E6054D" w:rsidRPr="00FE29AE" w:rsidRDefault="00E6054D" w:rsidP="003849FA">
            <w:pPr>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E6054D" w:rsidRPr="00FE29AE" w14:paraId="0B4AD410"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3" w:type="dxa"/>
            <w:shd w:val="clear" w:color="auto" w:fill="DAE9F7"/>
            <w:vAlign w:val="center"/>
          </w:tcPr>
          <w:p w14:paraId="79602FF0" w14:textId="77777777" w:rsidR="00E6054D" w:rsidRPr="00FE29AE" w:rsidRDefault="00E6054D" w:rsidP="003849FA">
            <w:pPr>
              <w:spacing w:line="276" w:lineRule="auto"/>
              <w:jc w:val="center"/>
              <w:rPr>
                <w:sz w:val="18"/>
                <w:szCs w:val="18"/>
              </w:rPr>
            </w:pPr>
            <w:r w:rsidRPr="00FE29AE">
              <w:rPr>
                <w:sz w:val="18"/>
                <w:szCs w:val="18"/>
              </w:rPr>
              <w:lastRenderedPageBreak/>
              <w:t>NFR 4.3</w:t>
            </w:r>
          </w:p>
        </w:tc>
        <w:tc>
          <w:tcPr>
            <w:tcW w:w="7709" w:type="dxa"/>
            <w:shd w:val="clear" w:color="auto" w:fill="DAE9F7"/>
            <w:vAlign w:val="center"/>
          </w:tcPr>
          <w:p w14:paraId="7A1C1121"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Downtime Notification and Communication</w:t>
            </w:r>
          </w:p>
          <w:p w14:paraId="21CA2470"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The provider must notify the client of planned maintenance at least 7 days in advance, and of unplanned outages within 30 minutes of detection.</w:t>
            </w:r>
          </w:p>
          <w:p w14:paraId="62E4A37E"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p w14:paraId="78610B8F"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Regular updates must be provided during outages or service disruptions, at least every hour for critical incidents.</w:t>
            </w:r>
          </w:p>
          <w:p w14:paraId="3E0577A4"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18" w:type="dxa"/>
            <w:shd w:val="clear" w:color="auto" w:fill="DAE9F7"/>
            <w:vAlign w:val="center"/>
          </w:tcPr>
          <w:p w14:paraId="72CBB0CE"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E6054D" w:rsidRPr="00FE29AE" w14:paraId="4C0C9A46"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3" w:type="dxa"/>
            <w:shd w:val="clear" w:color="auto" w:fill="DAE9F7"/>
            <w:vAlign w:val="center"/>
          </w:tcPr>
          <w:p w14:paraId="50B61BCA" w14:textId="77777777" w:rsidR="00E6054D" w:rsidRPr="00FE29AE" w:rsidRDefault="00E6054D" w:rsidP="003849FA">
            <w:pPr>
              <w:spacing w:line="276" w:lineRule="auto"/>
              <w:jc w:val="center"/>
              <w:rPr>
                <w:sz w:val="18"/>
                <w:szCs w:val="18"/>
              </w:rPr>
            </w:pPr>
            <w:r w:rsidRPr="00FE29AE">
              <w:rPr>
                <w:sz w:val="18"/>
                <w:szCs w:val="18"/>
              </w:rPr>
              <w:t>NFR 4.4</w:t>
            </w:r>
          </w:p>
        </w:tc>
        <w:tc>
          <w:tcPr>
            <w:tcW w:w="7709" w:type="dxa"/>
            <w:shd w:val="clear" w:color="auto" w:fill="DAE9F7"/>
            <w:vAlign w:val="center"/>
          </w:tcPr>
          <w:p w14:paraId="7554F423"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 xml:space="preserve">Escalation Procedures. </w:t>
            </w:r>
          </w:p>
          <w:p w14:paraId="5726E829"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 xml:space="preserve">Provide escalation policies and procedures information </w:t>
            </w:r>
          </w:p>
          <w:p w14:paraId="0AA55A12"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18" w:type="dxa"/>
            <w:shd w:val="clear" w:color="auto" w:fill="DAE9F7"/>
            <w:vAlign w:val="center"/>
          </w:tcPr>
          <w:p w14:paraId="047D0A9B"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E6054D" w:rsidRPr="00FE29AE" w14:paraId="7CA6787F"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3" w:type="dxa"/>
            <w:shd w:val="clear" w:color="auto" w:fill="DAE9F7"/>
            <w:vAlign w:val="center"/>
          </w:tcPr>
          <w:p w14:paraId="1A875197" w14:textId="77777777" w:rsidR="00E6054D" w:rsidRPr="00FE29AE" w:rsidRDefault="00E6054D" w:rsidP="003849FA">
            <w:pPr>
              <w:spacing w:line="276" w:lineRule="auto"/>
              <w:jc w:val="center"/>
              <w:rPr>
                <w:sz w:val="18"/>
                <w:szCs w:val="18"/>
              </w:rPr>
            </w:pPr>
            <w:r w:rsidRPr="00FE29AE">
              <w:rPr>
                <w:sz w:val="18"/>
                <w:szCs w:val="18"/>
              </w:rPr>
              <w:t>NFR 4.5</w:t>
            </w:r>
          </w:p>
        </w:tc>
        <w:tc>
          <w:tcPr>
            <w:tcW w:w="7709" w:type="dxa"/>
            <w:shd w:val="clear" w:color="auto" w:fill="DAE9F7"/>
            <w:vAlign w:val="center"/>
          </w:tcPr>
          <w:p w14:paraId="5451BF62"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Incident Reporting </w:t>
            </w:r>
          </w:p>
          <w:p w14:paraId="5F27EEE9"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ensure post incident review (PIR) and root cause analysis (RCA) reporting is clearly documented to IFI per incident.</w:t>
            </w:r>
          </w:p>
          <w:p w14:paraId="1A055875" w14:textId="77777777" w:rsidR="00E6054D" w:rsidRPr="00FE29AE" w:rsidDel="00823AE2"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1218" w:type="dxa"/>
            <w:shd w:val="clear" w:color="auto" w:fill="DAE9F7"/>
            <w:vAlign w:val="center"/>
          </w:tcPr>
          <w:p w14:paraId="5A1F44FD"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E6054D" w:rsidRPr="00FE29AE" w14:paraId="2262B3EA"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3" w:type="dxa"/>
            <w:shd w:val="clear" w:color="auto" w:fill="DAE9F7"/>
            <w:vAlign w:val="center"/>
          </w:tcPr>
          <w:p w14:paraId="19699122" w14:textId="77777777" w:rsidR="00E6054D" w:rsidRPr="00FE29AE" w:rsidRDefault="00E6054D" w:rsidP="003849FA">
            <w:pPr>
              <w:spacing w:line="276" w:lineRule="auto"/>
              <w:jc w:val="center"/>
              <w:rPr>
                <w:sz w:val="18"/>
                <w:szCs w:val="18"/>
              </w:rPr>
            </w:pPr>
            <w:r w:rsidRPr="00FE29AE">
              <w:rPr>
                <w:sz w:val="18"/>
                <w:szCs w:val="18"/>
              </w:rPr>
              <w:t>NFR 4.6</w:t>
            </w:r>
          </w:p>
        </w:tc>
        <w:tc>
          <w:tcPr>
            <w:tcW w:w="7709" w:type="dxa"/>
            <w:shd w:val="clear" w:color="auto" w:fill="DAE9F7"/>
            <w:vAlign w:val="center"/>
          </w:tcPr>
          <w:p w14:paraId="01F17589"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Third-Party Dependency Management</w:t>
            </w:r>
          </w:p>
          <w:p w14:paraId="2736B461"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The solution must include provisions to manage and mitigate risks from third-party dependencies (e.g., hosting platforms, external APIs), where applicable. The provider must have service-level agreements (SLAs) with these third parties to ensure minimal impact on service continuity.</w:t>
            </w:r>
          </w:p>
          <w:p w14:paraId="78B2BC23"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18" w:type="dxa"/>
            <w:shd w:val="clear" w:color="auto" w:fill="DAE9F7"/>
            <w:vAlign w:val="center"/>
          </w:tcPr>
          <w:p w14:paraId="7BE885D2"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bl>
    <w:p w14:paraId="3F9CDDC4" w14:textId="77777777" w:rsidR="00E6054D" w:rsidRPr="00FE29AE" w:rsidRDefault="00E6054D" w:rsidP="00E6054D">
      <w:pPr>
        <w:tabs>
          <w:tab w:val="center" w:pos="4513"/>
        </w:tabs>
        <w:spacing w:line="259" w:lineRule="auto"/>
        <w:rPr>
          <w:b/>
        </w:rPr>
      </w:pPr>
    </w:p>
    <w:p w14:paraId="7FF48629" w14:textId="77777777" w:rsidR="00E6054D" w:rsidRPr="00FE29AE" w:rsidRDefault="00E6054D" w:rsidP="00E6054D">
      <w:pPr>
        <w:tabs>
          <w:tab w:val="center" w:pos="4513"/>
        </w:tabs>
        <w:spacing w:line="259" w:lineRule="auto"/>
        <w:rPr>
          <w:b/>
        </w:rPr>
      </w:pPr>
    </w:p>
    <w:p w14:paraId="62CBCA8E" w14:textId="77777777" w:rsidR="00E6054D" w:rsidRPr="00FE29AE" w:rsidRDefault="00E6054D" w:rsidP="00E6054D">
      <w:pPr>
        <w:tabs>
          <w:tab w:val="center" w:pos="4513"/>
        </w:tabs>
        <w:spacing w:line="259" w:lineRule="auto"/>
        <w:rPr>
          <w:b/>
        </w:rPr>
      </w:pPr>
    </w:p>
    <w:tbl>
      <w:tblPr>
        <w:tblStyle w:val="GridTable4-Accent623"/>
        <w:tblW w:w="5000" w:type="pct"/>
        <w:jc w:val="center"/>
        <w:tblLook w:val="04A0" w:firstRow="1" w:lastRow="0" w:firstColumn="1" w:lastColumn="0" w:noHBand="0" w:noVBand="1"/>
      </w:tblPr>
      <w:tblGrid>
        <w:gridCol w:w="770"/>
        <w:gridCol w:w="7077"/>
        <w:gridCol w:w="1163"/>
      </w:tblGrid>
      <w:tr w:rsidR="00E6054D" w:rsidRPr="00FE29AE" w14:paraId="440578D6" w14:textId="77777777" w:rsidTr="003849FA">
        <w:trPr>
          <w:cnfStyle w:val="100000000000" w:firstRow="1" w:lastRow="0" w:firstColumn="0" w:lastColumn="0" w:oddVBand="0" w:evenVBand="0" w:oddHBand="0" w:evenHBand="0" w:firstRowFirstColumn="0" w:firstRowLastColumn="0" w:lastRowFirstColumn="0" w:lastRowLastColumn="0"/>
          <w:trHeight w:val="474"/>
          <w:jc w:val="center"/>
        </w:trPr>
        <w:tc>
          <w:tcPr>
            <w:cnfStyle w:val="001000000000" w:firstRow="0" w:lastRow="0" w:firstColumn="1" w:lastColumn="0" w:oddVBand="0" w:evenVBand="0" w:oddHBand="0" w:evenHBand="0" w:firstRowFirstColumn="0" w:firstRowLastColumn="0" w:lastRowFirstColumn="0" w:lastRowLastColumn="0"/>
            <w:tcW w:w="9720" w:type="dxa"/>
            <w:gridSpan w:val="3"/>
            <w:tcBorders>
              <w:right w:val="single" w:sz="4" w:space="0" w:color="FFFFFF" w:themeColor="background1"/>
            </w:tcBorders>
            <w:shd w:val="clear" w:color="auto" w:fill="2F5496" w:themeFill="accent1" w:themeFillShade="BF"/>
            <w:vAlign w:val="center"/>
          </w:tcPr>
          <w:p w14:paraId="3F268693" w14:textId="77777777" w:rsidR="00E6054D" w:rsidRPr="00FE29AE" w:rsidRDefault="00E6054D" w:rsidP="003849FA">
            <w:pPr>
              <w:spacing w:line="276" w:lineRule="auto"/>
              <w:rPr>
                <w:b w:val="0"/>
                <w:bCs w:val="0"/>
              </w:rPr>
            </w:pPr>
            <w:r w:rsidRPr="00FE29AE">
              <w:t>5. DATA BACKUP &amp; DATA RECOVERY</w:t>
            </w:r>
          </w:p>
        </w:tc>
      </w:tr>
      <w:tr w:rsidR="00E6054D" w:rsidRPr="00FE29AE" w14:paraId="7E64A6FB"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tcBorders>
              <w:right w:val="single" w:sz="4" w:space="0" w:color="FFFFFF" w:themeColor="background1"/>
            </w:tcBorders>
            <w:shd w:val="clear" w:color="auto" w:fill="8EAADB" w:themeFill="accent1" w:themeFillTint="99"/>
            <w:vAlign w:val="center"/>
          </w:tcPr>
          <w:p w14:paraId="20F995DE" w14:textId="77777777" w:rsidR="00E6054D" w:rsidRPr="00FE29AE" w:rsidRDefault="00E6054D" w:rsidP="003849FA">
            <w:pPr>
              <w:spacing w:line="276" w:lineRule="auto"/>
              <w:jc w:val="center"/>
            </w:pPr>
            <w:r w:rsidRPr="00FE29AE">
              <w:t>Ref.</w:t>
            </w:r>
          </w:p>
        </w:tc>
        <w:tc>
          <w:tcPr>
            <w:tcW w:w="7730" w:type="dxa"/>
            <w:tcBorders>
              <w:left w:val="single" w:sz="4" w:space="0" w:color="FFFFFF" w:themeColor="background1"/>
              <w:right w:val="single" w:sz="4" w:space="0" w:color="FFFFFF" w:themeColor="background1"/>
            </w:tcBorders>
            <w:shd w:val="clear" w:color="auto" w:fill="8EAADB" w:themeFill="accent1" w:themeFillTint="99"/>
            <w:vAlign w:val="center"/>
          </w:tcPr>
          <w:p w14:paraId="21F71D3F"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r w:rsidRPr="00FE29AE">
              <w:rPr>
                <w:b/>
                <w:bCs/>
              </w:rPr>
              <w:t>Description</w:t>
            </w:r>
          </w:p>
        </w:tc>
        <w:tc>
          <w:tcPr>
            <w:tcW w:w="1220" w:type="dxa"/>
            <w:tcBorders>
              <w:left w:val="single" w:sz="4" w:space="0" w:color="FFFFFF" w:themeColor="background1"/>
              <w:right w:val="single" w:sz="4" w:space="0" w:color="FFFFFF" w:themeColor="background1"/>
            </w:tcBorders>
            <w:shd w:val="clear" w:color="auto" w:fill="8EAADB" w:themeFill="accent1" w:themeFillTint="99"/>
          </w:tcPr>
          <w:p w14:paraId="2029CB30"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E6054D" w:rsidRPr="00FE29AE" w14:paraId="52591B5C"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7666F460" w14:textId="77777777" w:rsidR="00E6054D" w:rsidRPr="00FE29AE" w:rsidRDefault="00E6054D" w:rsidP="003849FA">
            <w:pPr>
              <w:spacing w:line="276" w:lineRule="auto"/>
              <w:jc w:val="center"/>
              <w:rPr>
                <w:sz w:val="18"/>
                <w:szCs w:val="18"/>
              </w:rPr>
            </w:pPr>
            <w:r w:rsidRPr="00FE29AE">
              <w:rPr>
                <w:sz w:val="18"/>
                <w:szCs w:val="18"/>
              </w:rPr>
              <w:t>NFR 5.1</w:t>
            </w:r>
          </w:p>
        </w:tc>
        <w:tc>
          <w:tcPr>
            <w:tcW w:w="7730" w:type="dxa"/>
            <w:shd w:val="clear" w:color="auto" w:fill="DAE9F7"/>
            <w:vAlign w:val="center"/>
          </w:tcPr>
          <w:p w14:paraId="66B9F731"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Automated Backup. </w:t>
            </w:r>
          </w:p>
          <w:p w14:paraId="074CF76F"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The solution must support automated backups with configurable schedules (e.g., daily, weekly etc) and defined retention policies. Data backups must occur at least twice daily, with backups stored in a geographically distinct location from the primary data centre.</w:t>
            </w:r>
          </w:p>
          <w:p w14:paraId="2EBD0EA1"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20" w:type="dxa"/>
            <w:shd w:val="clear" w:color="auto" w:fill="DAE9F7"/>
          </w:tcPr>
          <w:p w14:paraId="25E6FDE6" w14:textId="77777777" w:rsidR="00E6054D" w:rsidRPr="00FE29AE" w:rsidRDefault="00E6054D" w:rsidP="003849FA">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p w14:paraId="29A71801" w14:textId="77777777" w:rsidR="00E6054D" w:rsidRPr="00FE29AE" w:rsidRDefault="00E6054D" w:rsidP="003849FA">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p w14:paraId="0A50A1BA" w14:textId="77777777" w:rsidR="00E6054D" w:rsidRPr="00FE29AE" w:rsidRDefault="00E6054D" w:rsidP="003849FA">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E6054D" w:rsidRPr="00FE29AE" w14:paraId="5BB7F630"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3F7B7A81" w14:textId="77777777" w:rsidR="00E6054D" w:rsidRPr="00FE29AE" w:rsidRDefault="00E6054D" w:rsidP="003849FA">
            <w:pPr>
              <w:spacing w:line="276" w:lineRule="auto"/>
              <w:jc w:val="center"/>
              <w:rPr>
                <w:sz w:val="18"/>
                <w:szCs w:val="18"/>
              </w:rPr>
            </w:pPr>
            <w:r w:rsidRPr="00FE29AE">
              <w:rPr>
                <w:sz w:val="18"/>
                <w:szCs w:val="18"/>
              </w:rPr>
              <w:t>NFR 5.2</w:t>
            </w:r>
          </w:p>
        </w:tc>
        <w:tc>
          <w:tcPr>
            <w:tcW w:w="7730" w:type="dxa"/>
            <w:shd w:val="clear" w:color="auto" w:fill="DAE9F7"/>
            <w:vAlign w:val="center"/>
          </w:tcPr>
          <w:p w14:paraId="7F1777C8"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 xml:space="preserve">Disaster Recovery (DR): </w:t>
            </w:r>
          </w:p>
          <w:p w14:paraId="425B3A74"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The solution must include built-in Disaster Recovery as a Service (</w:t>
            </w:r>
            <w:proofErr w:type="spellStart"/>
            <w:r w:rsidRPr="00FE29AE">
              <w:rPr>
                <w:sz w:val="18"/>
                <w:szCs w:val="18"/>
              </w:rPr>
              <w:t>DRaaS</w:t>
            </w:r>
            <w:proofErr w:type="spellEnd"/>
            <w:r w:rsidRPr="00FE29AE">
              <w:rPr>
                <w:sz w:val="18"/>
                <w:szCs w:val="18"/>
              </w:rPr>
              <w:t xml:space="preserve">), ensuring data replication across geographic regions. </w:t>
            </w:r>
          </w:p>
          <w:p w14:paraId="40DE454A"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p w14:paraId="2A14F6DC"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The provider must maintain a robust disaster recovery plan, with a Recovery Time Objective (RTO) of no more than 8 hours and a Recovery Point Objective (RPO) of no more than 1 hours. Vendors must provide details about disaster recovery testing and failover procedures.</w:t>
            </w:r>
          </w:p>
          <w:p w14:paraId="014F1AA3"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20" w:type="dxa"/>
            <w:shd w:val="clear" w:color="auto" w:fill="DAE9F7"/>
          </w:tcPr>
          <w:p w14:paraId="52BD81FB"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p w14:paraId="4B305ED0"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p w14:paraId="19B234B2"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p w14:paraId="649C500D"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bl>
    <w:p w14:paraId="3B6C65C1" w14:textId="77777777" w:rsidR="00E6054D" w:rsidRPr="00FE29AE" w:rsidRDefault="00E6054D" w:rsidP="00E6054D">
      <w:pPr>
        <w:tabs>
          <w:tab w:val="center" w:pos="4513"/>
        </w:tabs>
        <w:spacing w:line="259" w:lineRule="auto"/>
        <w:rPr>
          <w:b/>
        </w:rPr>
      </w:pPr>
    </w:p>
    <w:p w14:paraId="4888808B" w14:textId="77777777" w:rsidR="00E6054D" w:rsidRPr="00FE29AE" w:rsidRDefault="00E6054D" w:rsidP="00E6054D">
      <w:pPr>
        <w:tabs>
          <w:tab w:val="center" w:pos="4513"/>
        </w:tabs>
        <w:spacing w:line="259" w:lineRule="auto"/>
        <w:rPr>
          <w:b/>
        </w:rPr>
      </w:pPr>
    </w:p>
    <w:tbl>
      <w:tblPr>
        <w:tblStyle w:val="GridTable4-Accent61"/>
        <w:tblW w:w="5000" w:type="pct"/>
        <w:jc w:val="center"/>
        <w:tblLook w:val="04A0" w:firstRow="1" w:lastRow="0" w:firstColumn="1" w:lastColumn="0" w:noHBand="0" w:noVBand="1"/>
      </w:tblPr>
      <w:tblGrid>
        <w:gridCol w:w="761"/>
        <w:gridCol w:w="7038"/>
        <w:gridCol w:w="1211"/>
      </w:tblGrid>
      <w:tr w:rsidR="00E6054D" w:rsidRPr="00FE29AE" w14:paraId="7F0A4851" w14:textId="77777777" w:rsidTr="003849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57" w:type="dxa"/>
            <w:gridSpan w:val="2"/>
            <w:tcBorders>
              <w:right w:val="single" w:sz="4" w:space="0" w:color="FFFFFF" w:themeColor="background1"/>
            </w:tcBorders>
            <w:shd w:val="clear" w:color="auto" w:fill="2F5496" w:themeFill="accent1" w:themeFillShade="BF"/>
            <w:vAlign w:val="center"/>
          </w:tcPr>
          <w:p w14:paraId="37B82FC2" w14:textId="77777777" w:rsidR="00E6054D" w:rsidRPr="00FE29AE" w:rsidRDefault="00E6054D" w:rsidP="003849FA">
            <w:pPr>
              <w:spacing w:line="276" w:lineRule="auto"/>
              <w:rPr>
                <w:rFonts w:cs="Arial"/>
              </w:rPr>
            </w:pPr>
            <w:r w:rsidRPr="00FE29AE">
              <w:rPr>
                <w:rFonts w:cs="Arial"/>
              </w:rPr>
              <w:t xml:space="preserve">6. SYSTEM ARCHITECTURE </w:t>
            </w:r>
          </w:p>
        </w:tc>
        <w:tc>
          <w:tcPr>
            <w:tcW w:w="1263" w:type="dxa"/>
            <w:tcBorders>
              <w:right w:val="single" w:sz="4" w:space="0" w:color="FFFFFF" w:themeColor="background1"/>
            </w:tcBorders>
            <w:shd w:val="clear" w:color="auto" w:fill="2F5496" w:themeFill="accent1" w:themeFillShade="BF"/>
            <w:vAlign w:val="center"/>
          </w:tcPr>
          <w:p w14:paraId="300D0875" w14:textId="77777777" w:rsidR="00E6054D" w:rsidRPr="00FE29AE" w:rsidRDefault="00E6054D" w:rsidP="003849FA">
            <w:pPr>
              <w:spacing w:line="276" w:lineRule="auto"/>
              <w:cnfStyle w:val="100000000000" w:firstRow="1" w:lastRow="0" w:firstColumn="0" w:lastColumn="0" w:oddVBand="0" w:evenVBand="0" w:oddHBand="0" w:evenHBand="0" w:firstRowFirstColumn="0" w:firstRowLastColumn="0" w:lastRowFirstColumn="0" w:lastRowLastColumn="0"/>
              <w:rPr>
                <w:rFonts w:cs="Arial"/>
                <w:b w:val="0"/>
                <w:bCs w:val="0"/>
              </w:rPr>
            </w:pPr>
          </w:p>
        </w:tc>
      </w:tr>
      <w:tr w:rsidR="00E6054D" w:rsidRPr="00FE29AE" w14:paraId="6DF41B78"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tcBorders>
              <w:right w:val="single" w:sz="4" w:space="0" w:color="FFFFFF" w:themeColor="background1"/>
            </w:tcBorders>
            <w:shd w:val="clear" w:color="auto" w:fill="8EAADB" w:themeFill="accent1" w:themeFillTint="99"/>
            <w:vAlign w:val="center"/>
          </w:tcPr>
          <w:p w14:paraId="48854722" w14:textId="77777777" w:rsidR="00E6054D" w:rsidRPr="00FE29AE" w:rsidRDefault="00E6054D" w:rsidP="003849FA">
            <w:pPr>
              <w:spacing w:line="276" w:lineRule="auto"/>
              <w:jc w:val="center"/>
              <w:rPr>
                <w:rFonts w:cs="Arial"/>
              </w:rPr>
            </w:pPr>
            <w:r w:rsidRPr="00FE29AE">
              <w:rPr>
                <w:rFonts w:cs="Arial"/>
              </w:rPr>
              <w:t>Ref.</w:t>
            </w:r>
          </w:p>
        </w:tc>
        <w:tc>
          <w:tcPr>
            <w:tcW w:w="7894" w:type="dxa"/>
            <w:tcBorders>
              <w:left w:val="single" w:sz="4" w:space="0" w:color="FFFFFF" w:themeColor="background1"/>
              <w:right w:val="single" w:sz="4" w:space="0" w:color="FFFFFF" w:themeColor="background1"/>
            </w:tcBorders>
            <w:shd w:val="clear" w:color="auto" w:fill="8EAADB" w:themeFill="accent1" w:themeFillTint="99"/>
            <w:vAlign w:val="center"/>
          </w:tcPr>
          <w:p w14:paraId="3C06B8FF"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b/>
                <w:bCs/>
              </w:rPr>
            </w:pPr>
            <w:r w:rsidRPr="00FE29AE">
              <w:rPr>
                <w:rFonts w:cs="Arial"/>
                <w:b/>
                <w:bCs/>
              </w:rPr>
              <w:t>Description</w:t>
            </w:r>
          </w:p>
        </w:tc>
        <w:tc>
          <w:tcPr>
            <w:tcW w:w="1263" w:type="dxa"/>
            <w:tcBorders>
              <w:left w:val="single" w:sz="4" w:space="0" w:color="FFFFFF" w:themeColor="background1"/>
              <w:right w:val="single" w:sz="4" w:space="0" w:color="FFFFFF" w:themeColor="background1"/>
            </w:tcBorders>
            <w:shd w:val="clear" w:color="auto" w:fill="8EAADB" w:themeFill="accent1" w:themeFillTint="99"/>
            <w:vAlign w:val="center"/>
          </w:tcPr>
          <w:p w14:paraId="68F3D9B6"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rFonts w:cs="Arial"/>
                <w:b/>
                <w:bCs/>
              </w:rPr>
            </w:pPr>
            <w:r w:rsidRPr="00FE29AE">
              <w:rPr>
                <w:rFonts w:cs="Arial"/>
                <w:b/>
                <w:bCs/>
              </w:rPr>
              <w:t>Priority</w:t>
            </w:r>
          </w:p>
        </w:tc>
      </w:tr>
      <w:tr w:rsidR="00E6054D" w:rsidRPr="00FE29AE" w14:paraId="3E9FD390"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48CEAA34" w14:textId="77777777" w:rsidR="00E6054D" w:rsidRPr="00FE29AE" w:rsidRDefault="00E6054D" w:rsidP="003849FA">
            <w:pPr>
              <w:spacing w:line="276" w:lineRule="auto"/>
              <w:jc w:val="center"/>
              <w:rPr>
                <w:rFonts w:cs="Arial"/>
                <w:sz w:val="18"/>
                <w:szCs w:val="18"/>
              </w:rPr>
            </w:pPr>
            <w:r w:rsidRPr="00FE29AE">
              <w:rPr>
                <w:rFonts w:cs="Arial"/>
                <w:sz w:val="18"/>
                <w:szCs w:val="18"/>
              </w:rPr>
              <w:t>NFR 6.1</w:t>
            </w:r>
          </w:p>
        </w:tc>
        <w:tc>
          <w:tcPr>
            <w:tcW w:w="7894" w:type="dxa"/>
            <w:shd w:val="clear" w:color="auto" w:fill="DAE9F7"/>
            <w:vAlign w:val="center"/>
          </w:tcPr>
          <w:p w14:paraId="3B645E0A"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FE29AE">
              <w:rPr>
                <w:rFonts w:cs="Arial"/>
                <w:b/>
                <w:bCs/>
                <w:sz w:val="18"/>
                <w:szCs w:val="18"/>
              </w:rPr>
              <w:t>Cloud Deployment Model:</w:t>
            </w:r>
            <w:r w:rsidRPr="00FE29AE">
              <w:rPr>
                <w:rFonts w:cs="Arial"/>
                <w:sz w:val="18"/>
                <w:szCs w:val="18"/>
              </w:rPr>
              <w:t xml:space="preserve"> </w:t>
            </w:r>
          </w:p>
          <w:p w14:paraId="1478749C"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FE29AE">
              <w:rPr>
                <w:rFonts w:cs="Arial"/>
                <w:sz w:val="18"/>
                <w:szCs w:val="18"/>
              </w:rPr>
              <w:t>The solution must be deployed on a public cloud platform. Proposals should clearly define the chosen deployment model and explain how it meets the organisation’s technical and operational needs.</w:t>
            </w:r>
          </w:p>
          <w:p w14:paraId="6C1E4961"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263" w:type="dxa"/>
            <w:shd w:val="clear" w:color="auto" w:fill="DAE9F7"/>
            <w:vAlign w:val="center"/>
          </w:tcPr>
          <w:p w14:paraId="60F1FDBB"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FE29AE">
              <w:rPr>
                <w:rFonts w:cs="Arial"/>
                <w:sz w:val="18"/>
                <w:szCs w:val="18"/>
              </w:rPr>
              <w:t>MUST</w:t>
            </w:r>
          </w:p>
        </w:tc>
      </w:tr>
      <w:tr w:rsidR="00E6054D" w:rsidRPr="00FE29AE" w14:paraId="6F18B0D3"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148412FB" w14:textId="77777777" w:rsidR="00E6054D" w:rsidRPr="00FE29AE" w:rsidRDefault="00E6054D" w:rsidP="003849FA">
            <w:pPr>
              <w:spacing w:line="276" w:lineRule="auto"/>
              <w:jc w:val="center"/>
              <w:rPr>
                <w:rFonts w:cs="Arial"/>
                <w:sz w:val="18"/>
                <w:szCs w:val="18"/>
              </w:rPr>
            </w:pPr>
            <w:r w:rsidRPr="00FE29AE">
              <w:rPr>
                <w:rFonts w:cs="Arial"/>
                <w:sz w:val="18"/>
                <w:szCs w:val="18"/>
              </w:rPr>
              <w:t>NFR 6.2</w:t>
            </w:r>
          </w:p>
        </w:tc>
        <w:tc>
          <w:tcPr>
            <w:tcW w:w="7894" w:type="dxa"/>
            <w:shd w:val="clear" w:color="auto" w:fill="DAE9F7"/>
            <w:vAlign w:val="center"/>
          </w:tcPr>
          <w:p w14:paraId="29D8EE98"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FE29AE">
              <w:rPr>
                <w:rFonts w:cs="Arial"/>
                <w:b/>
                <w:bCs/>
                <w:sz w:val="18"/>
                <w:szCs w:val="18"/>
              </w:rPr>
              <w:t>Elasticity and Scalability</w:t>
            </w:r>
          </w:p>
          <w:p w14:paraId="0245F4AB"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FE29AE">
              <w:rPr>
                <w:rFonts w:cs="Arial"/>
                <w:sz w:val="18"/>
                <w:szCs w:val="18"/>
              </w:rPr>
              <w:t xml:space="preserve">The system must automatically scale based on transaction volume, user growth, and data storage requirements without adding infrastructure complexity. Horizontal and vertical scaling should at no point cause instability of any component be it performance, data </w:t>
            </w:r>
            <w:r w:rsidRPr="00FE29AE">
              <w:rPr>
                <w:rFonts w:cs="Arial"/>
                <w:sz w:val="18"/>
                <w:szCs w:val="18"/>
              </w:rPr>
              <w:lastRenderedPageBreak/>
              <w:t>processing and or modules. Proposals should detail how the solution handles scalability while maintaining stability.</w:t>
            </w:r>
          </w:p>
          <w:p w14:paraId="50C8077B"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rFonts w:cs="Arial"/>
                <w:b/>
                <w:bCs/>
                <w:sz w:val="18"/>
                <w:szCs w:val="18"/>
              </w:rPr>
            </w:pPr>
          </w:p>
        </w:tc>
        <w:tc>
          <w:tcPr>
            <w:tcW w:w="1263" w:type="dxa"/>
            <w:shd w:val="clear" w:color="auto" w:fill="DAE9F7"/>
            <w:vAlign w:val="center"/>
          </w:tcPr>
          <w:p w14:paraId="24D3DED7"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FE29AE">
              <w:rPr>
                <w:rFonts w:cs="Arial"/>
                <w:sz w:val="18"/>
                <w:szCs w:val="18"/>
              </w:rPr>
              <w:lastRenderedPageBreak/>
              <w:t>MUST</w:t>
            </w:r>
          </w:p>
        </w:tc>
      </w:tr>
      <w:tr w:rsidR="00E6054D" w:rsidRPr="00FE29AE" w14:paraId="5D592793"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21447CE0" w14:textId="77777777" w:rsidR="00E6054D" w:rsidRPr="00FE29AE" w:rsidRDefault="00E6054D" w:rsidP="003849FA">
            <w:pPr>
              <w:spacing w:line="276" w:lineRule="auto"/>
              <w:jc w:val="center"/>
              <w:rPr>
                <w:rFonts w:cs="Arial"/>
                <w:sz w:val="18"/>
                <w:szCs w:val="18"/>
              </w:rPr>
            </w:pPr>
            <w:r w:rsidRPr="00FE29AE">
              <w:rPr>
                <w:rFonts w:cs="Arial"/>
                <w:sz w:val="18"/>
                <w:szCs w:val="18"/>
              </w:rPr>
              <w:t>NFR 6.3</w:t>
            </w:r>
          </w:p>
        </w:tc>
        <w:tc>
          <w:tcPr>
            <w:tcW w:w="7894" w:type="dxa"/>
            <w:shd w:val="clear" w:color="auto" w:fill="DAE9F7"/>
            <w:vAlign w:val="center"/>
          </w:tcPr>
          <w:p w14:paraId="5B775858"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FE29AE">
              <w:rPr>
                <w:rFonts w:cs="Arial"/>
                <w:b/>
                <w:bCs/>
                <w:sz w:val="18"/>
                <w:szCs w:val="18"/>
              </w:rPr>
              <w:t xml:space="preserve">Geo-Redundancy. </w:t>
            </w:r>
          </w:p>
          <w:p w14:paraId="0C84FFF0"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FE29AE">
              <w:rPr>
                <w:rFonts w:cs="Arial"/>
                <w:sz w:val="18"/>
                <w:szCs w:val="18"/>
              </w:rPr>
              <w:t>The solution must provide geo-redundancy features, ensuring data centres in multiple geographic locations for failover and disaster recovery. Proposals should explain how the system ensures high availability and data recovery in the event of a data centre failure.</w:t>
            </w:r>
          </w:p>
          <w:p w14:paraId="655B571A"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263" w:type="dxa"/>
            <w:shd w:val="clear" w:color="auto" w:fill="DAE9F7"/>
            <w:vAlign w:val="center"/>
          </w:tcPr>
          <w:p w14:paraId="7C297422"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FE29AE">
              <w:rPr>
                <w:rFonts w:cs="Arial"/>
                <w:sz w:val="18"/>
                <w:szCs w:val="18"/>
              </w:rPr>
              <w:t>MUST</w:t>
            </w:r>
          </w:p>
        </w:tc>
      </w:tr>
      <w:tr w:rsidR="00E6054D" w:rsidRPr="00FE29AE" w14:paraId="123769C6"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4050098B" w14:textId="77777777" w:rsidR="00E6054D" w:rsidRPr="00FE29AE" w:rsidRDefault="00E6054D" w:rsidP="003849FA">
            <w:pPr>
              <w:spacing w:line="276" w:lineRule="auto"/>
              <w:jc w:val="center"/>
              <w:rPr>
                <w:rFonts w:cs="Arial"/>
                <w:sz w:val="18"/>
                <w:szCs w:val="18"/>
              </w:rPr>
            </w:pPr>
            <w:r w:rsidRPr="00FE29AE">
              <w:rPr>
                <w:rFonts w:cs="Arial"/>
                <w:sz w:val="18"/>
                <w:szCs w:val="18"/>
              </w:rPr>
              <w:t>NFR 6.4</w:t>
            </w:r>
          </w:p>
        </w:tc>
        <w:tc>
          <w:tcPr>
            <w:tcW w:w="7894" w:type="dxa"/>
            <w:shd w:val="clear" w:color="auto" w:fill="DAE9F7"/>
            <w:vAlign w:val="center"/>
          </w:tcPr>
          <w:p w14:paraId="598AFCDA"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FE29AE">
              <w:rPr>
                <w:rFonts w:cs="Arial"/>
                <w:b/>
                <w:bCs/>
                <w:sz w:val="18"/>
                <w:szCs w:val="18"/>
              </w:rPr>
              <w:t xml:space="preserve">Mobile Access. </w:t>
            </w:r>
          </w:p>
          <w:p w14:paraId="44130B7D"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FE29AE">
              <w:rPr>
                <w:rFonts w:cs="Arial"/>
                <w:sz w:val="18"/>
                <w:szCs w:val="18"/>
              </w:rPr>
              <w:t>The system must be fully accessible on mobile devices (smartphones/tablets), supporting operational staff with a responsive design.</w:t>
            </w:r>
          </w:p>
          <w:p w14:paraId="29ACA183"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rFonts w:cs="Arial"/>
                <w:b/>
                <w:bCs/>
                <w:sz w:val="18"/>
                <w:szCs w:val="18"/>
              </w:rPr>
            </w:pPr>
          </w:p>
        </w:tc>
        <w:tc>
          <w:tcPr>
            <w:tcW w:w="1263" w:type="dxa"/>
            <w:shd w:val="clear" w:color="auto" w:fill="DAE9F7"/>
            <w:vAlign w:val="center"/>
          </w:tcPr>
          <w:p w14:paraId="5EBCF608"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FE29AE">
              <w:rPr>
                <w:rFonts w:cs="Arial"/>
                <w:sz w:val="18"/>
                <w:szCs w:val="18"/>
              </w:rPr>
              <w:t>MUST</w:t>
            </w:r>
          </w:p>
        </w:tc>
      </w:tr>
      <w:tr w:rsidR="00E6054D" w:rsidRPr="00FE29AE" w14:paraId="4CAEA60B"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72E194BD" w14:textId="77777777" w:rsidR="00E6054D" w:rsidRPr="00FE29AE" w:rsidRDefault="00E6054D" w:rsidP="003849FA">
            <w:pPr>
              <w:spacing w:line="276" w:lineRule="auto"/>
              <w:jc w:val="center"/>
              <w:rPr>
                <w:rFonts w:cs="Arial"/>
                <w:sz w:val="18"/>
                <w:szCs w:val="18"/>
              </w:rPr>
            </w:pPr>
            <w:r w:rsidRPr="00FE29AE">
              <w:rPr>
                <w:rFonts w:cs="Arial"/>
                <w:sz w:val="18"/>
                <w:szCs w:val="18"/>
              </w:rPr>
              <w:t>NFR 6.5</w:t>
            </w:r>
          </w:p>
        </w:tc>
        <w:tc>
          <w:tcPr>
            <w:tcW w:w="7894" w:type="dxa"/>
            <w:shd w:val="clear" w:color="auto" w:fill="DAE9F7"/>
            <w:vAlign w:val="center"/>
          </w:tcPr>
          <w:p w14:paraId="5313FF42"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FE29AE">
              <w:rPr>
                <w:rFonts w:cs="Arial"/>
                <w:b/>
                <w:bCs/>
                <w:sz w:val="18"/>
                <w:szCs w:val="18"/>
              </w:rPr>
              <w:t>System Architecture</w:t>
            </w:r>
          </w:p>
          <w:p w14:paraId="413476B2"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highlight w:val="yellow"/>
              </w:rPr>
            </w:pPr>
            <w:r w:rsidRPr="00FE29AE">
              <w:rPr>
                <w:rFonts w:cs="Arial"/>
                <w:sz w:val="18"/>
                <w:szCs w:val="18"/>
              </w:rPr>
              <w:t xml:space="preserve">Tenderers must provide an overview of their proposed system architecture. </w:t>
            </w:r>
          </w:p>
        </w:tc>
        <w:tc>
          <w:tcPr>
            <w:tcW w:w="1263" w:type="dxa"/>
            <w:shd w:val="clear" w:color="auto" w:fill="DAE9F7"/>
            <w:vAlign w:val="center"/>
          </w:tcPr>
          <w:p w14:paraId="14BA5DD6"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highlight w:val="yellow"/>
              </w:rPr>
            </w:pPr>
            <w:r w:rsidRPr="00FE29AE">
              <w:rPr>
                <w:rFonts w:cs="Arial"/>
                <w:sz w:val="18"/>
                <w:szCs w:val="18"/>
              </w:rPr>
              <w:t>MUST</w:t>
            </w:r>
          </w:p>
        </w:tc>
      </w:tr>
    </w:tbl>
    <w:p w14:paraId="6324E2E3" w14:textId="77777777" w:rsidR="00E6054D" w:rsidRPr="00FE29AE" w:rsidRDefault="00E6054D" w:rsidP="00E6054D">
      <w:pPr>
        <w:tabs>
          <w:tab w:val="center" w:pos="4513"/>
        </w:tabs>
        <w:spacing w:line="259" w:lineRule="auto"/>
        <w:rPr>
          <w:b/>
        </w:rPr>
      </w:pPr>
    </w:p>
    <w:p w14:paraId="19211813" w14:textId="77777777" w:rsidR="00E6054D" w:rsidRPr="00FE29AE" w:rsidRDefault="00E6054D" w:rsidP="00E6054D">
      <w:pPr>
        <w:tabs>
          <w:tab w:val="center" w:pos="4513"/>
        </w:tabs>
        <w:spacing w:line="259" w:lineRule="auto"/>
        <w:rPr>
          <w:b/>
        </w:rPr>
      </w:pPr>
    </w:p>
    <w:tbl>
      <w:tblPr>
        <w:tblStyle w:val="GridTable4-Accent622"/>
        <w:tblW w:w="5000" w:type="pct"/>
        <w:jc w:val="center"/>
        <w:tblLook w:val="04A0" w:firstRow="1" w:lastRow="0" w:firstColumn="1" w:lastColumn="0" w:noHBand="0" w:noVBand="1"/>
      </w:tblPr>
      <w:tblGrid>
        <w:gridCol w:w="767"/>
        <w:gridCol w:w="7068"/>
        <w:gridCol w:w="1175"/>
      </w:tblGrid>
      <w:tr w:rsidR="00E6054D" w:rsidRPr="00FE29AE" w14:paraId="54DA79C2" w14:textId="77777777" w:rsidTr="003849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20" w:type="dxa"/>
            <w:gridSpan w:val="3"/>
            <w:tcBorders>
              <w:right w:val="single" w:sz="4" w:space="0" w:color="FFFFFF" w:themeColor="background1"/>
            </w:tcBorders>
            <w:shd w:val="clear" w:color="auto" w:fill="2F5496" w:themeFill="accent1" w:themeFillShade="BF"/>
            <w:vAlign w:val="center"/>
          </w:tcPr>
          <w:p w14:paraId="25A5632D" w14:textId="77777777" w:rsidR="00E6054D" w:rsidRPr="00FE29AE" w:rsidRDefault="00E6054D" w:rsidP="003849FA">
            <w:pPr>
              <w:spacing w:line="276" w:lineRule="auto"/>
              <w:rPr>
                <w:b w:val="0"/>
                <w:bCs w:val="0"/>
              </w:rPr>
            </w:pPr>
            <w:r w:rsidRPr="00FE29AE">
              <w:t>7. INTEGRATION &amp; INTEROPERABILITY</w:t>
            </w:r>
          </w:p>
        </w:tc>
      </w:tr>
      <w:tr w:rsidR="00E6054D" w:rsidRPr="00FE29AE" w14:paraId="6CAEE95A"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tcBorders>
              <w:right w:val="single" w:sz="4" w:space="0" w:color="FFFFFF" w:themeColor="background1"/>
            </w:tcBorders>
            <w:shd w:val="clear" w:color="auto" w:fill="8EAADB" w:themeFill="accent1" w:themeFillTint="99"/>
            <w:vAlign w:val="center"/>
          </w:tcPr>
          <w:p w14:paraId="5C7DDB18" w14:textId="77777777" w:rsidR="00E6054D" w:rsidRPr="00FE29AE" w:rsidRDefault="00E6054D" w:rsidP="003849FA">
            <w:pPr>
              <w:spacing w:line="276" w:lineRule="auto"/>
              <w:jc w:val="center"/>
            </w:pPr>
            <w:r w:rsidRPr="00FE29AE">
              <w:t>Ref.</w:t>
            </w:r>
          </w:p>
        </w:tc>
        <w:tc>
          <w:tcPr>
            <w:tcW w:w="7730" w:type="dxa"/>
            <w:tcBorders>
              <w:left w:val="single" w:sz="4" w:space="0" w:color="FFFFFF" w:themeColor="background1"/>
              <w:right w:val="single" w:sz="4" w:space="0" w:color="FFFFFF" w:themeColor="background1"/>
            </w:tcBorders>
            <w:shd w:val="clear" w:color="auto" w:fill="8EAADB" w:themeFill="accent1" w:themeFillTint="99"/>
            <w:vAlign w:val="center"/>
          </w:tcPr>
          <w:p w14:paraId="634B1CD4"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r w:rsidRPr="00FE29AE">
              <w:rPr>
                <w:b/>
                <w:bCs/>
              </w:rPr>
              <w:t>Description</w:t>
            </w:r>
          </w:p>
        </w:tc>
        <w:tc>
          <w:tcPr>
            <w:tcW w:w="1220" w:type="dxa"/>
            <w:tcBorders>
              <w:left w:val="single" w:sz="4" w:space="0" w:color="FFFFFF" w:themeColor="background1"/>
              <w:right w:val="single" w:sz="4" w:space="0" w:color="FFFFFF" w:themeColor="background1"/>
            </w:tcBorders>
            <w:shd w:val="clear" w:color="auto" w:fill="8EAADB" w:themeFill="accent1" w:themeFillTint="99"/>
            <w:vAlign w:val="center"/>
          </w:tcPr>
          <w:p w14:paraId="539DED8C"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E6054D" w:rsidRPr="00FE29AE" w14:paraId="295525C5"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0D3B0534" w14:textId="77777777" w:rsidR="00E6054D" w:rsidRPr="00FE29AE" w:rsidRDefault="00E6054D" w:rsidP="003849FA">
            <w:pPr>
              <w:spacing w:line="276" w:lineRule="auto"/>
              <w:jc w:val="center"/>
              <w:rPr>
                <w:sz w:val="18"/>
                <w:szCs w:val="18"/>
              </w:rPr>
            </w:pPr>
            <w:r w:rsidRPr="00FE29AE">
              <w:rPr>
                <w:sz w:val="18"/>
                <w:szCs w:val="18"/>
              </w:rPr>
              <w:t>NFR 7.1</w:t>
            </w:r>
          </w:p>
        </w:tc>
        <w:tc>
          <w:tcPr>
            <w:tcW w:w="7730" w:type="dxa"/>
            <w:shd w:val="clear" w:color="auto" w:fill="DAE9F7"/>
            <w:vAlign w:val="center"/>
          </w:tcPr>
          <w:p w14:paraId="2C4357C3"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Integration. </w:t>
            </w:r>
          </w:p>
          <w:p w14:paraId="2E8A8C56"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The system should integrate seamlessly with enterprise systems and customer relationship management solutions and tools.</w:t>
            </w:r>
          </w:p>
          <w:p w14:paraId="14369770"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20" w:type="dxa"/>
            <w:shd w:val="clear" w:color="auto" w:fill="DAE9F7"/>
            <w:vAlign w:val="center"/>
          </w:tcPr>
          <w:p w14:paraId="0D5C4F26"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SHOULD</w:t>
            </w:r>
          </w:p>
        </w:tc>
      </w:tr>
      <w:tr w:rsidR="00E6054D" w:rsidRPr="00FE29AE" w14:paraId="60DC0314"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4296BC8D" w14:textId="77777777" w:rsidR="00E6054D" w:rsidRPr="00FE29AE" w:rsidRDefault="00E6054D" w:rsidP="003849FA">
            <w:pPr>
              <w:spacing w:line="276" w:lineRule="auto"/>
              <w:jc w:val="center"/>
              <w:rPr>
                <w:sz w:val="18"/>
                <w:szCs w:val="18"/>
              </w:rPr>
            </w:pPr>
            <w:r w:rsidRPr="00FE29AE">
              <w:rPr>
                <w:sz w:val="18"/>
                <w:szCs w:val="18"/>
              </w:rPr>
              <w:t>NFR 7.2</w:t>
            </w:r>
          </w:p>
        </w:tc>
        <w:tc>
          <w:tcPr>
            <w:tcW w:w="7730" w:type="dxa"/>
            <w:shd w:val="clear" w:color="auto" w:fill="DAE9F7"/>
            <w:vAlign w:val="center"/>
          </w:tcPr>
          <w:p w14:paraId="2BCC39BA"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 xml:space="preserve">Third-Party Payment Providers: </w:t>
            </w:r>
          </w:p>
          <w:p w14:paraId="54CF5981"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It is essential that the system supports integration with major third-party payment gateways for automated payment processing.</w:t>
            </w:r>
          </w:p>
          <w:p w14:paraId="31A987E6"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20" w:type="dxa"/>
            <w:shd w:val="clear" w:color="auto" w:fill="DAE9F7"/>
            <w:vAlign w:val="center"/>
          </w:tcPr>
          <w:p w14:paraId="4FCF5AD2"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E6054D" w:rsidRPr="00FE29AE" w14:paraId="79119641"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736EF978" w14:textId="77777777" w:rsidR="00E6054D" w:rsidRPr="00FE29AE" w:rsidRDefault="00E6054D" w:rsidP="003849FA">
            <w:pPr>
              <w:spacing w:line="276" w:lineRule="auto"/>
              <w:jc w:val="center"/>
              <w:rPr>
                <w:sz w:val="18"/>
                <w:szCs w:val="18"/>
              </w:rPr>
            </w:pPr>
            <w:r w:rsidRPr="00FE29AE">
              <w:rPr>
                <w:sz w:val="18"/>
                <w:szCs w:val="18"/>
              </w:rPr>
              <w:t>NFR 7.3</w:t>
            </w:r>
          </w:p>
        </w:tc>
        <w:tc>
          <w:tcPr>
            <w:tcW w:w="7730" w:type="dxa"/>
            <w:shd w:val="clear" w:color="auto" w:fill="DAE9F7"/>
            <w:vAlign w:val="center"/>
          </w:tcPr>
          <w:p w14:paraId="03655D52"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APIs: </w:t>
            </w:r>
          </w:p>
          <w:p w14:paraId="62B9B57B"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The solution is expected to provide, well-documented APIs to ensure future integration with external systems or new tools.</w:t>
            </w:r>
          </w:p>
          <w:p w14:paraId="09740D59" w14:textId="77777777" w:rsidR="00E6054D" w:rsidRPr="00FE29AE" w:rsidRDefault="00E6054D" w:rsidP="00E6054D">
            <w:pPr>
              <w:numPr>
                <w:ilvl w:val="0"/>
                <w:numId w:val="12"/>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 xml:space="preserve">Third-Party Integration Support. Specify the API architecture(s) supported by the solution (e.g. REST, SOAP, </w:t>
            </w:r>
            <w:proofErr w:type="spellStart"/>
            <w:r w:rsidRPr="00FE29AE">
              <w:rPr>
                <w:sz w:val="18"/>
                <w:szCs w:val="18"/>
              </w:rPr>
              <w:t>GraphQL</w:t>
            </w:r>
            <w:proofErr w:type="spellEnd"/>
            <w:r w:rsidRPr="00FE29AE">
              <w:rPr>
                <w:sz w:val="18"/>
                <w:szCs w:val="18"/>
              </w:rPr>
              <w:t>,) and detail how integration with third-party fintech services is handled. Include whether the solution supports Open APIs, Partner APIs, Internal APIs, or Composite APIs, and provide examples of pre-built integrations or flexibility for future integration.</w:t>
            </w:r>
          </w:p>
          <w:p w14:paraId="4430C4C2" w14:textId="77777777" w:rsidR="00E6054D" w:rsidRPr="00FE29AE" w:rsidRDefault="00E6054D" w:rsidP="00E6054D">
            <w:pPr>
              <w:numPr>
                <w:ilvl w:val="0"/>
                <w:numId w:val="12"/>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087455">
              <w:rPr>
                <w:sz w:val="18"/>
                <w:szCs w:val="18"/>
                <w:lang w:val="fr-FR"/>
              </w:rPr>
              <w:t xml:space="preserve">API Rate Limits &amp; Usage Quotas.  </w:t>
            </w:r>
            <w:r w:rsidRPr="00FE29AE">
              <w:rPr>
                <w:sz w:val="18"/>
                <w:szCs w:val="18"/>
              </w:rPr>
              <w:t>Include details on API usage limits (rate limits per minute/hour) and define requirements for monitoring and reporting API usage, such as throttling mechanisms or alerts.</w:t>
            </w:r>
          </w:p>
          <w:p w14:paraId="1DF90D83" w14:textId="77777777" w:rsidR="00E6054D" w:rsidRPr="00FE29AE" w:rsidRDefault="00E6054D" w:rsidP="00E6054D">
            <w:pPr>
              <w:numPr>
                <w:ilvl w:val="0"/>
                <w:numId w:val="12"/>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API Cost Structure. Include requirements for transparent API pricing models. If there are costs per API call, per user, or based on data usage, these should be clearly defined with no hidden fees.</w:t>
            </w:r>
          </w:p>
          <w:p w14:paraId="7688158E" w14:textId="77777777" w:rsidR="00E6054D" w:rsidRPr="00FE29AE" w:rsidRDefault="00E6054D" w:rsidP="00E6054D">
            <w:pPr>
              <w:numPr>
                <w:ilvl w:val="0"/>
                <w:numId w:val="12"/>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API Support &amp; Maintenance. Provide details regarding API support and maintenance, including bug fixes, updates, and ongoing development. This should cover both regular updates and emergency patches for vulnerabilities.</w:t>
            </w:r>
          </w:p>
          <w:p w14:paraId="5DAFE6EA" w14:textId="77777777" w:rsidR="00E6054D" w:rsidRPr="00FE29AE" w:rsidRDefault="00E6054D" w:rsidP="00E6054D">
            <w:pPr>
              <w:numPr>
                <w:ilvl w:val="0"/>
                <w:numId w:val="12"/>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 xml:space="preserve">Tokenised Sessions for Mobile Security. The API should support secure, token-based authentication methods (such as OAuth tokens or JSON Web Tokens) to protect mobile sessions. </w:t>
            </w:r>
          </w:p>
          <w:p w14:paraId="403A8270" w14:textId="77777777" w:rsidR="00E6054D" w:rsidRPr="00FE29AE" w:rsidRDefault="00E6054D" w:rsidP="003849FA">
            <w:pPr>
              <w:spacing w:line="276" w:lineRule="auto"/>
              <w:ind w:left="720"/>
              <w:cnfStyle w:val="000000000000" w:firstRow="0" w:lastRow="0" w:firstColumn="0" w:lastColumn="0" w:oddVBand="0" w:evenVBand="0" w:oddHBand="0" w:evenHBand="0" w:firstRowFirstColumn="0" w:firstRowLastColumn="0" w:lastRowFirstColumn="0" w:lastRowLastColumn="0"/>
              <w:rPr>
                <w:sz w:val="18"/>
                <w:szCs w:val="18"/>
              </w:rPr>
            </w:pPr>
          </w:p>
        </w:tc>
        <w:tc>
          <w:tcPr>
            <w:tcW w:w="1220" w:type="dxa"/>
            <w:shd w:val="clear" w:color="auto" w:fill="DAE9F7"/>
            <w:vAlign w:val="center"/>
          </w:tcPr>
          <w:p w14:paraId="1FAADDF4"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bl>
    <w:p w14:paraId="32BE39CB" w14:textId="77777777" w:rsidR="00E6054D" w:rsidRPr="00FE29AE" w:rsidRDefault="00E6054D" w:rsidP="00E6054D">
      <w:pPr>
        <w:tabs>
          <w:tab w:val="center" w:pos="4513"/>
        </w:tabs>
        <w:spacing w:line="259" w:lineRule="auto"/>
        <w:rPr>
          <w:b/>
        </w:rPr>
      </w:pPr>
    </w:p>
    <w:p w14:paraId="46BBF617" w14:textId="77777777" w:rsidR="00E6054D" w:rsidRPr="00FE29AE" w:rsidRDefault="00E6054D" w:rsidP="00E6054D">
      <w:pPr>
        <w:tabs>
          <w:tab w:val="center" w:pos="4513"/>
        </w:tabs>
        <w:spacing w:line="259" w:lineRule="auto"/>
        <w:rPr>
          <w:b/>
        </w:rPr>
      </w:pPr>
    </w:p>
    <w:p w14:paraId="33DCA5ED" w14:textId="77777777" w:rsidR="00E6054D" w:rsidRPr="00FE29AE" w:rsidRDefault="00E6054D" w:rsidP="00E6054D">
      <w:pPr>
        <w:tabs>
          <w:tab w:val="center" w:pos="4513"/>
        </w:tabs>
        <w:spacing w:line="259" w:lineRule="auto"/>
        <w:rPr>
          <w:b/>
        </w:rPr>
      </w:pPr>
    </w:p>
    <w:tbl>
      <w:tblPr>
        <w:tblStyle w:val="GridTable4-Accent624"/>
        <w:tblW w:w="5000" w:type="pct"/>
        <w:jc w:val="center"/>
        <w:tblLook w:val="04A0" w:firstRow="1" w:lastRow="0" w:firstColumn="1" w:lastColumn="0" w:noHBand="0" w:noVBand="1"/>
      </w:tblPr>
      <w:tblGrid>
        <w:gridCol w:w="771"/>
        <w:gridCol w:w="7076"/>
        <w:gridCol w:w="1163"/>
      </w:tblGrid>
      <w:tr w:rsidR="00E6054D" w:rsidRPr="00FE29AE" w14:paraId="5F5D845D" w14:textId="77777777" w:rsidTr="003849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20" w:type="dxa"/>
            <w:gridSpan w:val="3"/>
            <w:tcBorders>
              <w:right w:val="single" w:sz="4" w:space="0" w:color="FFFFFF" w:themeColor="background1"/>
            </w:tcBorders>
            <w:shd w:val="clear" w:color="auto" w:fill="2F5496" w:themeFill="accent1" w:themeFillShade="BF"/>
            <w:vAlign w:val="center"/>
          </w:tcPr>
          <w:p w14:paraId="32D63935" w14:textId="77777777" w:rsidR="00E6054D" w:rsidRPr="00FE29AE" w:rsidRDefault="00E6054D" w:rsidP="003849FA">
            <w:pPr>
              <w:spacing w:line="276" w:lineRule="auto"/>
              <w:rPr>
                <w:b w:val="0"/>
                <w:bCs w:val="0"/>
              </w:rPr>
            </w:pPr>
            <w:r w:rsidRPr="00FE29AE">
              <w:t>8. PERFORMANCE &amp; AVAILABILITY</w:t>
            </w:r>
          </w:p>
        </w:tc>
      </w:tr>
      <w:tr w:rsidR="00E6054D" w:rsidRPr="00FE29AE" w14:paraId="63037E53"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tcBorders>
              <w:right w:val="single" w:sz="4" w:space="0" w:color="FFFFFF" w:themeColor="background1"/>
            </w:tcBorders>
            <w:shd w:val="clear" w:color="auto" w:fill="8EAADB" w:themeFill="accent1" w:themeFillTint="99"/>
            <w:vAlign w:val="center"/>
          </w:tcPr>
          <w:p w14:paraId="21ABC305" w14:textId="77777777" w:rsidR="00E6054D" w:rsidRPr="00FE29AE" w:rsidRDefault="00E6054D" w:rsidP="003849FA">
            <w:pPr>
              <w:spacing w:line="276" w:lineRule="auto"/>
              <w:jc w:val="center"/>
            </w:pPr>
            <w:r w:rsidRPr="00FE29AE">
              <w:lastRenderedPageBreak/>
              <w:t>Ref.</w:t>
            </w:r>
          </w:p>
        </w:tc>
        <w:tc>
          <w:tcPr>
            <w:tcW w:w="7730" w:type="dxa"/>
            <w:tcBorders>
              <w:left w:val="single" w:sz="4" w:space="0" w:color="FFFFFF" w:themeColor="background1"/>
              <w:right w:val="single" w:sz="4" w:space="0" w:color="FFFFFF" w:themeColor="background1"/>
            </w:tcBorders>
            <w:shd w:val="clear" w:color="auto" w:fill="8EAADB" w:themeFill="accent1" w:themeFillTint="99"/>
            <w:vAlign w:val="center"/>
          </w:tcPr>
          <w:p w14:paraId="55656B7C"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r w:rsidRPr="00FE29AE">
              <w:rPr>
                <w:b/>
                <w:bCs/>
              </w:rPr>
              <w:t>Description</w:t>
            </w:r>
          </w:p>
        </w:tc>
        <w:tc>
          <w:tcPr>
            <w:tcW w:w="1220" w:type="dxa"/>
            <w:tcBorders>
              <w:left w:val="single" w:sz="4" w:space="0" w:color="FFFFFF" w:themeColor="background1"/>
              <w:right w:val="single" w:sz="4" w:space="0" w:color="FFFFFF" w:themeColor="background1"/>
            </w:tcBorders>
            <w:shd w:val="clear" w:color="auto" w:fill="8EAADB" w:themeFill="accent1" w:themeFillTint="99"/>
          </w:tcPr>
          <w:p w14:paraId="2ED957A1"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E6054D" w:rsidRPr="00FE29AE" w14:paraId="2E83F9E8"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181210E5" w14:textId="77777777" w:rsidR="00E6054D" w:rsidRPr="00FE29AE" w:rsidRDefault="00E6054D" w:rsidP="003849FA">
            <w:pPr>
              <w:spacing w:line="276" w:lineRule="auto"/>
              <w:jc w:val="center"/>
              <w:rPr>
                <w:sz w:val="18"/>
                <w:szCs w:val="18"/>
              </w:rPr>
            </w:pPr>
            <w:r w:rsidRPr="00FE29AE">
              <w:rPr>
                <w:sz w:val="18"/>
                <w:szCs w:val="18"/>
              </w:rPr>
              <w:t>NFR 8.1</w:t>
            </w:r>
          </w:p>
        </w:tc>
        <w:tc>
          <w:tcPr>
            <w:tcW w:w="7730" w:type="dxa"/>
            <w:shd w:val="clear" w:color="auto" w:fill="DAE9F7"/>
            <w:vAlign w:val="center"/>
          </w:tcPr>
          <w:p w14:paraId="081ED366"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High Availability. </w:t>
            </w:r>
          </w:p>
          <w:p w14:paraId="21A097FE"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 xml:space="preserve">The system is expected to be highly available and provide redundancy across multiple data centres and regions to avoid downtime. Vendors are expected to guarantee at least 99.9% system uptime. </w:t>
            </w:r>
          </w:p>
          <w:p w14:paraId="28F3BDFF"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20" w:type="dxa"/>
            <w:shd w:val="clear" w:color="auto" w:fill="DAE9F7"/>
          </w:tcPr>
          <w:p w14:paraId="29CCA77F"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p w14:paraId="2B426E08"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E6054D" w:rsidRPr="00FE29AE" w14:paraId="44E3A326"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1816FA52" w14:textId="77777777" w:rsidR="00E6054D" w:rsidRPr="00FE29AE" w:rsidRDefault="00E6054D" w:rsidP="003849FA">
            <w:pPr>
              <w:spacing w:line="276" w:lineRule="auto"/>
              <w:jc w:val="center"/>
              <w:rPr>
                <w:sz w:val="18"/>
                <w:szCs w:val="18"/>
              </w:rPr>
            </w:pPr>
            <w:r w:rsidRPr="00FE29AE">
              <w:rPr>
                <w:sz w:val="18"/>
                <w:szCs w:val="18"/>
              </w:rPr>
              <w:t>NFR 8.2</w:t>
            </w:r>
          </w:p>
        </w:tc>
        <w:tc>
          <w:tcPr>
            <w:tcW w:w="7730" w:type="dxa"/>
            <w:shd w:val="clear" w:color="auto" w:fill="DAE9F7"/>
            <w:vAlign w:val="center"/>
          </w:tcPr>
          <w:p w14:paraId="448DE8BE"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 xml:space="preserve">Latency. </w:t>
            </w:r>
          </w:p>
          <w:p w14:paraId="13268968"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Low-latency performance is critical for real-time transactions and reporting.</w:t>
            </w:r>
          </w:p>
          <w:p w14:paraId="48722017"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20" w:type="dxa"/>
            <w:shd w:val="clear" w:color="auto" w:fill="DAE9F7"/>
          </w:tcPr>
          <w:p w14:paraId="5D45ECDE"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p w14:paraId="5E9CEAAC"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E6054D" w:rsidRPr="00FE29AE" w14:paraId="7132994F"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6BF6BA66" w14:textId="77777777" w:rsidR="00E6054D" w:rsidRPr="00FE29AE" w:rsidRDefault="00E6054D" w:rsidP="003849FA">
            <w:pPr>
              <w:spacing w:line="276" w:lineRule="auto"/>
              <w:jc w:val="center"/>
              <w:rPr>
                <w:sz w:val="18"/>
                <w:szCs w:val="18"/>
              </w:rPr>
            </w:pPr>
            <w:r w:rsidRPr="00FE29AE">
              <w:rPr>
                <w:sz w:val="18"/>
                <w:szCs w:val="18"/>
              </w:rPr>
              <w:t>NFR 8.3</w:t>
            </w:r>
          </w:p>
        </w:tc>
        <w:tc>
          <w:tcPr>
            <w:tcW w:w="7730" w:type="dxa"/>
            <w:shd w:val="clear" w:color="auto" w:fill="DAE9F7"/>
            <w:vAlign w:val="center"/>
          </w:tcPr>
          <w:p w14:paraId="7359D3D6"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Transaction Volume. </w:t>
            </w:r>
          </w:p>
          <w:p w14:paraId="5820B173"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The system must handle high transaction volumes, especially during peak periods, with automatic scaling.</w:t>
            </w:r>
          </w:p>
          <w:p w14:paraId="79447A97"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20" w:type="dxa"/>
            <w:shd w:val="clear" w:color="auto" w:fill="DAE9F7"/>
          </w:tcPr>
          <w:p w14:paraId="531FEFAF"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p w14:paraId="0B3AFE18"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bl>
    <w:p w14:paraId="3D306D8D" w14:textId="77777777" w:rsidR="00E6054D" w:rsidRPr="00FE29AE" w:rsidRDefault="00E6054D" w:rsidP="00E6054D">
      <w:pPr>
        <w:tabs>
          <w:tab w:val="center" w:pos="4513"/>
        </w:tabs>
        <w:spacing w:line="259" w:lineRule="auto"/>
        <w:rPr>
          <w:b/>
        </w:rPr>
      </w:pPr>
    </w:p>
    <w:p w14:paraId="05E78BD3" w14:textId="77777777" w:rsidR="00E6054D" w:rsidRPr="00FE29AE" w:rsidRDefault="00E6054D" w:rsidP="00E6054D">
      <w:pPr>
        <w:tabs>
          <w:tab w:val="center" w:pos="4513"/>
        </w:tabs>
        <w:spacing w:line="259" w:lineRule="auto"/>
        <w:rPr>
          <w:b/>
        </w:rPr>
      </w:pPr>
    </w:p>
    <w:tbl>
      <w:tblPr>
        <w:tblStyle w:val="GridTable4-Accent627"/>
        <w:tblW w:w="5000" w:type="pct"/>
        <w:jc w:val="center"/>
        <w:tblLook w:val="04A0" w:firstRow="1" w:lastRow="0" w:firstColumn="1" w:lastColumn="0" w:noHBand="0" w:noVBand="1"/>
      </w:tblPr>
      <w:tblGrid>
        <w:gridCol w:w="768"/>
        <w:gridCol w:w="7085"/>
        <w:gridCol w:w="1157"/>
      </w:tblGrid>
      <w:tr w:rsidR="00E6054D" w:rsidRPr="00FE29AE" w14:paraId="56A61D76" w14:textId="77777777" w:rsidTr="003849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20" w:type="dxa"/>
            <w:gridSpan w:val="3"/>
            <w:tcBorders>
              <w:right w:val="single" w:sz="4" w:space="0" w:color="FFFFFF" w:themeColor="background1"/>
            </w:tcBorders>
            <w:shd w:val="clear" w:color="auto" w:fill="2F5496" w:themeFill="accent1" w:themeFillShade="BF"/>
            <w:vAlign w:val="center"/>
          </w:tcPr>
          <w:p w14:paraId="1EEBC9B6" w14:textId="77777777" w:rsidR="00E6054D" w:rsidRPr="00FE29AE" w:rsidRDefault="00E6054D" w:rsidP="003849FA">
            <w:pPr>
              <w:spacing w:line="276" w:lineRule="auto"/>
              <w:rPr>
                <w:b w:val="0"/>
                <w:bCs w:val="0"/>
              </w:rPr>
            </w:pPr>
            <w:r w:rsidRPr="00FE29AE">
              <w:t>9. PORTABILITY</w:t>
            </w:r>
          </w:p>
        </w:tc>
      </w:tr>
      <w:tr w:rsidR="00E6054D" w:rsidRPr="00FE29AE" w14:paraId="3122ECD2"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tcBorders>
              <w:right w:val="single" w:sz="4" w:space="0" w:color="FFFFFF" w:themeColor="background1"/>
            </w:tcBorders>
            <w:shd w:val="clear" w:color="auto" w:fill="8EAADB" w:themeFill="accent1" w:themeFillTint="99"/>
            <w:vAlign w:val="center"/>
          </w:tcPr>
          <w:p w14:paraId="3DC5299C" w14:textId="77777777" w:rsidR="00E6054D" w:rsidRPr="00FE29AE" w:rsidRDefault="00E6054D" w:rsidP="003849FA">
            <w:pPr>
              <w:spacing w:line="276" w:lineRule="auto"/>
              <w:jc w:val="center"/>
            </w:pPr>
            <w:r w:rsidRPr="00FE29AE">
              <w:t>Ref.</w:t>
            </w:r>
          </w:p>
        </w:tc>
        <w:tc>
          <w:tcPr>
            <w:tcW w:w="7750" w:type="dxa"/>
            <w:tcBorders>
              <w:left w:val="single" w:sz="4" w:space="0" w:color="FFFFFF" w:themeColor="background1"/>
              <w:right w:val="single" w:sz="4" w:space="0" w:color="FFFFFF" w:themeColor="background1"/>
            </w:tcBorders>
            <w:shd w:val="clear" w:color="auto" w:fill="8EAADB" w:themeFill="accent1" w:themeFillTint="99"/>
            <w:vAlign w:val="center"/>
          </w:tcPr>
          <w:p w14:paraId="4FDA152C"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r w:rsidRPr="00FE29AE">
              <w:rPr>
                <w:b/>
                <w:bCs/>
              </w:rPr>
              <w:t>Description</w:t>
            </w:r>
          </w:p>
        </w:tc>
        <w:tc>
          <w:tcPr>
            <w:tcW w:w="1220" w:type="dxa"/>
            <w:tcBorders>
              <w:left w:val="single" w:sz="4" w:space="0" w:color="FFFFFF" w:themeColor="background1"/>
              <w:right w:val="single" w:sz="4" w:space="0" w:color="FFFFFF" w:themeColor="background1"/>
            </w:tcBorders>
            <w:shd w:val="clear" w:color="auto" w:fill="8EAADB" w:themeFill="accent1" w:themeFillTint="99"/>
            <w:vAlign w:val="center"/>
          </w:tcPr>
          <w:p w14:paraId="7C6B081B"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E6054D" w:rsidRPr="00FE29AE" w14:paraId="254362E0"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23E3F541" w14:textId="77777777" w:rsidR="00E6054D" w:rsidRPr="00FE29AE" w:rsidRDefault="00E6054D" w:rsidP="003849FA">
            <w:pPr>
              <w:spacing w:line="276" w:lineRule="auto"/>
              <w:jc w:val="center"/>
              <w:rPr>
                <w:sz w:val="18"/>
                <w:szCs w:val="18"/>
              </w:rPr>
            </w:pPr>
            <w:r w:rsidRPr="00FE29AE">
              <w:rPr>
                <w:sz w:val="18"/>
                <w:szCs w:val="18"/>
              </w:rPr>
              <w:t>NFR 9.1</w:t>
            </w:r>
          </w:p>
        </w:tc>
        <w:tc>
          <w:tcPr>
            <w:tcW w:w="7750" w:type="dxa"/>
            <w:shd w:val="clear" w:color="auto" w:fill="DAE9F7"/>
            <w:vAlign w:val="center"/>
          </w:tcPr>
          <w:p w14:paraId="7B448498"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Cross-Browser Compatibility. </w:t>
            </w:r>
          </w:p>
          <w:p w14:paraId="0E9FAE16"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The web application must maintain consistent functionality and user experience across all major web browsers, including,</w:t>
            </w:r>
          </w:p>
          <w:p w14:paraId="1EE64701" w14:textId="77777777" w:rsidR="00E6054D" w:rsidRPr="00FE29AE" w:rsidRDefault="00E6054D" w:rsidP="00E6054D">
            <w:pPr>
              <w:numPr>
                <w:ilvl w:val="0"/>
                <w:numId w:val="38"/>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Google Chrome</w:t>
            </w:r>
          </w:p>
          <w:p w14:paraId="033EB002" w14:textId="77777777" w:rsidR="00E6054D" w:rsidRPr="00FE29AE" w:rsidRDefault="00E6054D" w:rsidP="00E6054D">
            <w:pPr>
              <w:numPr>
                <w:ilvl w:val="0"/>
                <w:numId w:val="38"/>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Mozilla Firefox</w:t>
            </w:r>
          </w:p>
          <w:p w14:paraId="16F2EA83" w14:textId="77777777" w:rsidR="00E6054D" w:rsidRPr="00FE29AE" w:rsidRDefault="00E6054D" w:rsidP="00E6054D">
            <w:pPr>
              <w:numPr>
                <w:ilvl w:val="0"/>
                <w:numId w:val="38"/>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Apple Safari</w:t>
            </w:r>
          </w:p>
          <w:p w14:paraId="001B5666" w14:textId="77777777" w:rsidR="00E6054D" w:rsidRPr="00FE29AE" w:rsidRDefault="00E6054D" w:rsidP="00E6054D">
            <w:pPr>
              <w:numPr>
                <w:ilvl w:val="0"/>
                <w:numId w:val="38"/>
              </w:num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Microsoft Edge</w:t>
            </w:r>
          </w:p>
          <w:p w14:paraId="33CE3104"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p w14:paraId="083B3582"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The solution should ensure consistent performance, layout, and accessibility across these browsers, regardless of version updates.</w:t>
            </w:r>
          </w:p>
          <w:p w14:paraId="62806FED"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20" w:type="dxa"/>
            <w:shd w:val="clear" w:color="auto" w:fill="DAE9F7"/>
            <w:vAlign w:val="center"/>
          </w:tcPr>
          <w:p w14:paraId="7452BDAC"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E6054D" w:rsidRPr="00FE29AE" w14:paraId="0784A984"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2534FABA" w14:textId="77777777" w:rsidR="00E6054D" w:rsidRPr="00FE29AE" w:rsidRDefault="00E6054D" w:rsidP="003849FA">
            <w:pPr>
              <w:spacing w:line="276" w:lineRule="auto"/>
              <w:jc w:val="center"/>
              <w:rPr>
                <w:sz w:val="18"/>
                <w:szCs w:val="18"/>
              </w:rPr>
            </w:pPr>
            <w:r w:rsidRPr="00FE29AE">
              <w:rPr>
                <w:sz w:val="18"/>
                <w:szCs w:val="18"/>
              </w:rPr>
              <w:t>NFR 9.2</w:t>
            </w:r>
          </w:p>
        </w:tc>
        <w:tc>
          <w:tcPr>
            <w:tcW w:w="7750" w:type="dxa"/>
            <w:shd w:val="clear" w:color="auto" w:fill="DAE9F7"/>
            <w:vAlign w:val="center"/>
          </w:tcPr>
          <w:p w14:paraId="7C8372C1"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Mobile App &amp; Device Compatibility.</w:t>
            </w:r>
          </w:p>
          <w:p w14:paraId="59D6575D"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 xml:space="preserve">The application is expected to function seamlessly on various mobile devices, ensuring a responsive design that adapts to different screen sizes and resolutions (smartphones, tablets, etc.). </w:t>
            </w:r>
          </w:p>
          <w:p w14:paraId="0EE2715E"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p w14:paraId="2023C9D0"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The solution must employ a familiar graphical user interface and conforms with Level A criteria of the Web Content Accessibility Guidelines (WCAG) 2.2.</w:t>
            </w:r>
          </w:p>
          <w:p w14:paraId="1801FFEA"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It should maintain a consistent user experience and full operability across both iOS and Android platforms.</w:t>
            </w:r>
          </w:p>
          <w:p w14:paraId="1FC37533" w14:textId="77777777" w:rsidR="00E6054D" w:rsidRPr="00FE29AE" w:rsidRDefault="00E6054D" w:rsidP="00E6054D">
            <w:pPr>
              <w:numPr>
                <w:ilvl w:val="0"/>
                <w:numId w:val="33"/>
              </w:num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Native App</w:t>
            </w:r>
          </w:p>
          <w:p w14:paraId="2873DA0E" w14:textId="77777777" w:rsidR="00E6054D" w:rsidRPr="00FE29AE" w:rsidRDefault="00E6054D" w:rsidP="00E6054D">
            <w:pPr>
              <w:numPr>
                <w:ilvl w:val="0"/>
                <w:numId w:val="33"/>
              </w:num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Hybrid App</w:t>
            </w:r>
          </w:p>
          <w:p w14:paraId="7F810B39" w14:textId="77777777" w:rsidR="00E6054D" w:rsidRPr="00FE29AE" w:rsidRDefault="00E6054D" w:rsidP="00E6054D">
            <w:pPr>
              <w:numPr>
                <w:ilvl w:val="0"/>
                <w:numId w:val="33"/>
              </w:num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Web App</w:t>
            </w:r>
          </w:p>
          <w:p w14:paraId="14987622" w14:textId="77777777" w:rsidR="00E6054D" w:rsidRPr="00FE29AE" w:rsidRDefault="00E6054D" w:rsidP="00E6054D">
            <w:pPr>
              <w:numPr>
                <w:ilvl w:val="0"/>
                <w:numId w:val="33"/>
              </w:num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Progressive Web App</w:t>
            </w:r>
          </w:p>
          <w:p w14:paraId="37F8A389"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20" w:type="dxa"/>
            <w:shd w:val="clear" w:color="auto" w:fill="DAE9F7"/>
            <w:vAlign w:val="center"/>
          </w:tcPr>
          <w:p w14:paraId="58A6868D"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tr w:rsidR="00E6054D" w:rsidRPr="00FE29AE" w14:paraId="28F10BBD"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94" w:type="dxa"/>
            <w:shd w:val="clear" w:color="auto" w:fill="DAE9F7"/>
            <w:vAlign w:val="center"/>
          </w:tcPr>
          <w:p w14:paraId="0767DBB6" w14:textId="77777777" w:rsidR="00E6054D" w:rsidRPr="00FE29AE" w:rsidRDefault="00E6054D" w:rsidP="003849FA">
            <w:pPr>
              <w:spacing w:line="276" w:lineRule="auto"/>
              <w:jc w:val="center"/>
              <w:rPr>
                <w:sz w:val="18"/>
                <w:szCs w:val="18"/>
              </w:rPr>
            </w:pPr>
            <w:r w:rsidRPr="00FE29AE">
              <w:rPr>
                <w:sz w:val="18"/>
                <w:szCs w:val="18"/>
              </w:rPr>
              <w:t>NFR 9.3</w:t>
            </w:r>
          </w:p>
        </w:tc>
        <w:tc>
          <w:tcPr>
            <w:tcW w:w="7750" w:type="dxa"/>
            <w:shd w:val="clear" w:color="auto" w:fill="DAE9F7"/>
            <w:vAlign w:val="center"/>
          </w:tcPr>
          <w:p w14:paraId="366495C8"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Offline Mode. </w:t>
            </w:r>
          </w:p>
          <w:p w14:paraId="4BD2EA21"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Outline the offline capabilities of the application, allowing employees to access and capture data while offline, with automatic syncing when internet connectivity is restored.</w:t>
            </w:r>
          </w:p>
          <w:p w14:paraId="756CD0F9"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20" w:type="dxa"/>
            <w:shd w:val="clear" w:color="auto" w:fill="DAE9F7"/>
            <w:vAlign w:val="center"/>
          </w:tcPr>
          <w:p w14:paraId="6A99CA41"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bl>
    <w:p w14:paraId="425C0942" w14:textId="77777777" w:rsidR="00E6054D" w:rsidRPr="00FE29AE" w:rsidRDefault="00E6054D" w:rsidP="00E6054D">
      <w:pPr>
        <w:tabs>
          <w:tab w:val="center" w:pos="4513"/>
        </w:tabs>
        <w:spacing w:line="259" w:lineRule="auto"/>
        <w:rPr>
          <w:b/>
        </w:rPr>
      </w:pPr>
    </w:p>
    <w:p w14:paraId="5FDBFA46" w14:textId="77777777" w:rsidR="00E6054D" w:rsidRPr="00FE29AE" w:rsidRDefault="00E6054D" w:rsidP="00E6054D">
      <w:pPr>
        <w:tabs>
          <w:tab w:val="center" w:pos="4513"/>
        </w:tabs>
        <w:spacing w:line="259" w:lineRule="auto"/>
        <w:rPr>
          <w:b/>
        </w:rPr>
      </w:pPr>
    </w:p>
    <w:p w14:paraId="151D2C58" w14:textId="77777777" w:rsidR="00E6054D" w:rsidRPr="00FE29AE" w:rsidRDefault="00E6054D" w:rsidP="00E6054D">
      <w:pPr>
        <w:tabs>
          <w:tab w:val="center" w:pos="4513"/>
        </w:tabs>
        <w:spacing w:line="259" w:lineRule="auto"/>
        <w:rPr>
          <w:b/>
        </w:rPr>
      </w:pPr>
    </w:p>
    <w:tbl>
      <w:tblPr>
        <w:tblStyle w:val="GridTable4-Accent626"/>
        <w:tblW w:w="5000" w:type="pct"/>
        <w:jc w:val="center"/>
        <w:tblLook w:val="04A0" w:firstRow="1" w:lastRow="0" w:firstColumn="1" w:lastColumn="0" w:noHBand="0" w:noVBand="1"/>
      </w:tblPr>
      <w:tblGrid>
        <w:gridCol w:w="743"/>
        <w:gridCol w:w="7104"/>
        <w:gridCol w:w="1163"/>
      </w:tblGrid>
      <w:tr w:rsidR="00E6054D" w:rsidRPr="00FE29AE" w14:paraId="3DF3DA91" w14:textId="77777777" w:rsidTr="003849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20" w:type="dxa"/>
            <w:gridSpan w:val="3"/>
            <w:tcBorders>
              <w:right w:val="single" w:sz="4" w:space="0" w:color="FFFFFF" w:themeColor="background1"/>
            </w:tcBorders>
            <w:shd w:val="clear" w:color="auto" w:fill="2F5496" w:themeFill="accent1" w:themeFillShade="BF"/>
            <w:vAlign w:val="center"/>
          </w:tcPr>
          <w:p w14:paraId="1B3AE870" w14:textId="77777777" w:rsidR="00E6054D" w:rsidRPr="00FE29AE" w:rsidRDefault="00E6054D" w:rsidP="003849FA">
            <w:pPr>
              <w:spacing w:line="276" w:lineRule="auto"/>
              <w:rPr>
                <w:b w:val="0"/>
                <w:bCs w:val="0"/>
              </w:rPr>
            </w:pPr>
            <w:bookmarkStart w:id="7" w:name="_Hlk179447237"/>
            <w:r w:rsidRPr="00FE29AE">
              <w:t>10. VENDOR LOCK-IN MITIGATION</w:t>
            </w:r>
          </w:p>
        </w:tc>
      </w:tr>
      <w:tr w:rsidR="00E6054D" w:rsidRPr="00FE29AE" w14:paraId="105FE665"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3" w:type="dxa"/>
            <w:tcBorders>
              <w:right w:val="single" w:sz="4" w:space="0" w:color="FFFFFF" w:themeColor="background1"/>
            </w:tcBorders>
            <w:shd w:val="clear" w:color="auto" w:fill="8EAADB" w:themeFill="accent1" w:themeFillTint="99"/>
            <w:vAlign w:val="center"/>
          </w:tcPr>
          <w:p w14:paraId="4F14CA43" w14:textId="77777777" w:rsidR="00E6054D" w:rsidRPr="00FE29AE" w:rsidRDefault="00E6054D" w:rsidP="003849FA">
            <w:pPr>
              <w:spacing w:line="276" w:lineRule="auto"/>
              <w:jc w:val="center"/>
            </w:pPr>
            <w:r w:rsidRPr="00FE29AE">
              <w:t>Ref.</w:t>
            </w:r>
          </w:p>
        </w:tc>
        <w:tc>
          <w:tcPr>
            <w:tcW w:w="7737" w:type="dxa"/>
            <w:tcBorders>
              <w:left w:val="single" w:sz="4" w:space="0" w:color="FFFFFF" w:themeColor="background1"/>
              <w:right w:val="single" w:sz="4" w:space="0" w:color="FFFFFF" w:themeColor="background1"/>
            </w:tcBorders>
            <w:shd w:val="clear" w:color="auto" w:fill="8EAADB" w:themeFill="accent1" w:themeFillTint="99"/>
            <w:vAlign w:val="center"/>
          </w:tcPr>
          <w:p w14:paraId="6BA04128"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r w:rsidRPr="00FE29AE">
              <w:rPr>
                <w:b/>
                <w:bCs/>
              </w:rPr>
              <w:t>Description</w:t>
            </w:r>
          </w:p>
        </w:tc>
        <w:tc>
          <w:tcPr>
            <w:tcW w:w="1220" w:type="dxa"/>
            <w:tcBorders>
              <w:left w:val="single" w:sz="4" w:space="0" w:color="FFFFFF" w:themeColor="background1"/>
              <w:right w:val="single" w:sz="4" w:space="0" w:color="FFFFFF" w:themeColor="background1"/>
            </w:tcBorders>
            <w:shd w:val="clear" w:color="auto" w:fill="8EAADB" w:themeFill="accent1" w:themeFillTint="99"/>
            <w:vAlign w:val="center"/>
          </w:tcPr>
          <w:p w14:paraId="7DF08D0B" w14:textId="77777777" w:rsidR="00E6054D" w:rsidRPr="00FE29AE" w:rsidRDefault="00E6054D" w:rsidP="003849FA">
            <w:pPr>
              <w:spacing w:line="276" w:lineRule="auto"/>
              <w:jc w:val="center"/>
              <w:cnfStyle w:val="000000100000" w:firstRow="0" w:lastRow="0" w:firstColumn="0" w:lastColumn="0" w:oddVBand="0" w:evenVBand="0" w:oddHBand="1" w:evenHBand="0" w:firstRowFirstColumn="0" w:firstRowLastColumn="0" w:lastRowFirstColumn="0" w:lastRowLastColumn="0"/>
              <w:rPr>
                <w:b/>
                <w:bCs/>
              </w:rPr>
            </w:pPr>
          </w:p>
        </w:tc>
      </w:tr>
      <w:tr w:rsidR="00E6054D" w:rsidRPr="00FE29AE" w14:paraId="343695F6" w14:textId="77777777" w:rsidTr="003849FA">
        <w:trPr>
          <w:jc w:val="center"/>
        </w:trPr>
        <w:tc>
          <w:tcPr>
            <w:cnfStyle w:val="001000000000" w:firstRow="0" w:lastRow="0" w:firstColumn="1" w:lastColumn="0" w:oddVBand="0" w:evenVBand="0" w:oddHBand="0" w:evenHBand="0" w:firstRowFirstColumn="0" w:firstRowLastColumn="0" w:lastRowFirstColumn="0" w:lastRowLastColumn="0"/>
            <w:tcW w:w="763" w:type="dxa"/>
            <w:shd w:val="clear" w:color="auto" w:fill="DAE9F7"/>
            <w:vAlign w:val="center"/>
          </w:tcPr>
          <w:p w14:paraId="4A166CDC" w14:textId="77777777" w:rsidR="00E6054D" w:rsidRPr="00FE29AE" w:rsidRDefault="00E6054D" w:rsidP="003849FA">
            <w:pPr>
              <w:spacing w:line="276" w:lineRule="auto"/>
              <w:jc w:val="center"/>
              <w:rPr>
                <w:sz w:val="18"/>
                <w:szCs w:val="18"/>
              </w:rPr>
            </w:pPr>
            <w:r w:rsidRPr="00FE29AE">
              <w:rPr>
                <w:sz w:val="18"/>
                <w:szCs w:val="18"/>
              </w:rPr>
              <w:lastRenderedPageBreak/>
              <w:t>NFR 10.1</w:t>
            </w:r>
          </w:p>
        </w:tc>
        <w:tc>
          <w:tcPr>
            <w:tcW w:w="7737" w:type="dxa"/>
            <w:shd w:val="clear" w:color="auto" w:fill="DAE9F7"/>
            <w:vAlign w:val="center"/>
          </w:tcPr>
          <w:p w14:paraId="595B084A"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FE29AE">
              <w:rPr>
                <w:b/>
                <w:bCs/>
                <w:sz w:val="18"/>
                <w:szCs w:val="18"/>
              </w:rPr>
              <w:t xml:space="preserve">Data Portability. </w:t>
            </w:r>
          </w:p>
          <w:p w14:paraId="1459ECF5"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The solution must support data export in standard formats (e.g., CSV, XML, XLS) to ensure data portability to other platforms if required.</w:t>
            </w:r>
          </w:p>
          <w:p w14:paraId="58E41FF6"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20" w:type="dxa"/>
            <w:shd w:val="clear" w:color="auto" w:fill="DAE9F7"/>
            <w:vAlign w:val="center"/>
          </w:tcPr>
          <w:p w14:paraId="42AAF99B" w14:textId="77777777" w:rsidR="00E6054D" w:rsidRPr="00FE29AE" w:rsidRDefault="00E6054D" w:rsidP="003849FA">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FE29AE">
              <w:rPr>
                <w:sz w:val="18"/>
                <w:szCs w:val="18"/>
              </w:rPr>
              <w:t>MUST</w:t>
            </w:r>
          </w:p>
        </w:tc>
      </w:tr>
      <w:tr w:rsidR="00E6054D" w:rsidRPr="00FE29AE" w14:paraId="5435671C" w14:textId="77777777" w:rsidTr="003849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3" w:type="dxa"/>
            <w:shd w:val="clear" w:color="auto" w:fill="DAE9F7"/>
            <w:vAlign w:val="center"/>
          </w:tcPr>
          <w:p w14:paraId="2D23D25D" w14:textId="77777777" w:rsidR="00E6054D" w:rsidRPr="00FE29AE" w:rsidRDefault="00E6054D" w:rsidP="003849FA">
            <w:pPr>
              <w:spacing w:line="276" w:lineRule="auto"/>
              <w:jc w:val="center"/>
              <w:rPr>
                <w:sz w:val="18"/>
                <w:szCs w:val="18"/>
              </w:rPr>
            </w:pPr>
            <w:r w:rsidRPr="00FE29AE">
              <w:rPr>
                <w:sz w:val="18"/>
                <w:szCs w:val="18"/>
              </w:rPr>
              <w:t>NFR 10.2</w:t>
            </w:r>
          </w:p>
        </w:tc>
        <w:tc>
          <w:tcPr>
            <w:tcW w:w="7737" w:type="dxa"/>
            <w:shd w:val="clear" w:color="auto" w:fill="DAE9F7"/>
            <w:vAlign w:val="center"/>
          </w:tcPr>
          <w:p w14:paraId="524A0503"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b/>
                <w:bCs/>
                <w:sz w:val="18"/>
                <w:szCs w:val="18"/>
              </w:rPr>
            </w:pPr>
            <w:r w:rsidRPr="00FE29AE">
              <w:rPr>
                <w:b/>
                <w:bCs/>
                <w:sz w:val="18"/>
                <w:szCs w:val="18"/>
              </w:rPr>
              <w:t xml:space="preserve">Interoperability. </w:t>
            </w:r>
          </w:p>
          <w:p w14:paraId="7CAF2C03"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The system must adhere to open standards to reduce the risk of vendor lock-in and ensure compatibility with future tools or platforms.</w:t>
            </w:r>
          </w:p>
          <w:p w14:paraId="67386CD1"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20" w:type="dxa"/>
            <w:shd w:val="clear" w:color="auto" w:fill="DAE9F7"/>
            <w:vAlign w:val="center"/>
          </w:tcPr>
          <w:p w14:paraId="7AB38655" w14:textId="77777777" w:rsidR="00E6054D" w:rsidRPr="00FE29AE" w:rsidRDefault="00E6054D" w:rsidP="003849FA">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FE29AE">
              <w:rPr>
                <w:sz w:val="18"/>
                <w:szCs w:val="18"/>
              </w:rPr>
              <w:t>MUST</w:t>
            </w:r>
          </w:p>
        </w:tc>
      </w:tr>
      <w:bookmarkEnd w:id="7"/>
    </w:tbl>
    <w:p w14:paraId="1FC17D4F" w14:textId="77777777" w:rsidR="00E6054D" w:rsidRPr="00FE29AE" w:rsidRDefault="00E6054D" w:rsidP="00E6054D"/>
    <w:p w14:paraId="5CF0F4E6" w14:textId="77777777" w:rsidR="00E6054D" w:rsidRPr="00FE29AE" w:rsidRDefault="00E6054D" w:rsidP="00E6054D">
      <w:pPr>
        <w:pStyle w:val="Heading1"/>
        <w:rPr>
          <w:rFonts w:asciiTheme="minorHAnsi" w:eastAsiaTheme="minorEastAsia" w:hAnsiTheme="minorHAnsi" w:cstheme="minorBidi"/>
          <w:color w:val="auto"/>
          <w:sz w:val="24"/>
          <w:szCs w:val="24"/>
        </w:rPr>
      </w:pPr>
      <w:r w:rsidRPr="00FE29AE">
        <w:rPr>
          <w:rFonts w:asciiTheme="minorHAnsi" w:eastAsiaTheme="minorEastAsia" w:hAnsiTheme="minorHAnsi" w:cstheme="minorBidi"/>
          <w:color w:val="auto"/>
          <w:sz w:val="24"/>
          <w:szCs w:val="24"/>
        </w:rPr>
        <w:br w:type="page"/>
      </w:r>
    </w:p>
    <w:p w14:paraId="5AA068E1" w14:textId="77777777" w:rsidR="00CB29DC" w:rsidRPr="00FE29AE" w:rsidRDefault="00CB29DC" w:rsidP="001235D5"/>
    <w:p w14:paraId="53D06B6F" w14:textId="4759797C" w:rsidR="00AA2E4A" w:rsidRPr="00FE29AE" w:rsidRDefault="00AA2E4A" w:rsidP="00AA2E4A">
      <w:pPr>
        <w:pStyle w:val="Heading1"/>
      </w:pPr>
      <w:bookmarkStart w:id="8" w:name="_Toc1041545080"/>
      <w:r>
        <w:t>1.</w:t>
      </w:r>
      <w:r w:rsidR="00D63980">
        <w:t>3</w:t>
      </w:r>
      <w:r>
        <w:t xml:space="preserve"> </w:t>
      </w:r>
      <w:r w:rsidR="59B9C65A">
        <w:t xml:space="preserve">AWARD CRITERIA C: </w:t>
      </w:r>
      <w:r>
        <w:t>Requirements</w:t>
      </w:r>
      <w:r w:rsidR="00D63980">
        <w:t xml:space="preserve"> - Resources</w:t>
      </w:r>
      <w:bookmarkEnd w:id="8"/>
      <w:r>
        <w:t xml:space="preserve"> </w:t>
      </w:r>
    </w:p>
    <w:p w14:paraId="0F28D38F" w14:textId="544BA6B4" w:rsidR="00F82C1E" w:rsidRPr="00FE29AE" w:rsidRDefault="005F7507" w:rsidP="00F82C1E">
      <w:pPr>
        <w:tabs>
          <w:tab w:val="center" w:pos="4513"/>
        </w:tabs>
        <w:spacing w:after="240" w:line="276" w:lineRule="auto"/>
      </w:pPr>
      <w:r w:rsidRPr="00FE29AE">
        <w:t xml:space="preserve">Tenderers are asked to describe their team that will be used for the duration of the implementation and support phases of the contract to ensure consistency of approach and effectiveness of delivery </w:t>
      </w:r>
      <w:r w:rsidR="00F82C1E" w:rsidRPr="00FE29AE">
        <w:t>which should include the following:</w:t>
      </w:r>
    </w:p>
    <w:p w14:paraId="2C48D4CA" w14:textId="77777777" w:rsidR="00F82C1E" w:rsidRPr="00FE29AE" w:rsidRDefault="00F82C1E" w:rsidP="006305CF">
      <w:pPr>
        <w:pStyle w:val="ListParagraph"/>
        <w:widowControl w:val="0"/>
        <w:numPr>
          <w:ilvl w:val="0"/>
          <w:numId w:val="26"/>
        </w:numPr>
        <w:tabs>
          <w:tab w:val="center" w:pos="4513"/>
        </w:tabs>
        <w:autoSpaceDE w:val="0"/>
        <w:autoSpaceDN w:val="0"/>
        <w:spacing w:after="240" w:line="276" w:lineRule="auto"/>
        <w:contextualSpacing w:val="0"/>
      </w:pPr>
      <w:r w:rsidRPr="00FE29AE">
        <w:t>Describe the proposed team, including roles, responsibilities, and reporting lines. Highlight whether roles are in-house or outsourced/subcontracted. Also, highlight the location of roles, particularly any located outside of the EEA.</w:t>
      </w:r>
    </w:p>
    <w:p w14:paraId="011819EF" w14:textId="77777777" w:rsidR="00F82C1E" w:rsidRPr="00FE29AE" w:rsidRDefault="00F82C1E" w:rsidP="006305CF">
      <w:pPr>
        <w:pStyle w:val="ListParagraph"/>
        <w:widowControl w:val="0"/>
        <w:numPr>
          <w:ilvl w:val="0"/>
          <w:numId w:val="26"/>
        </w:numPr>
        <w:tabs>
          <w:tab w:val="center" w:pos="4513"/>
        </w:tabs>
        <w:autoSpaceDE w:val="0"/>
        <w:autoSpaceDN w:val="0"/>
        <w:spacing w:after="240" w:line="276" w:lineRule="auto"/>
        <w:contextualSpacing w:val="0"/>
      </w:pPr>
      <w:r w:rsidRPr="00FE29AE">
        <w:t>Provide Biographical Summaries for the following team members:</w:t>
      </w:r>
    </w:p>
    <w:p w14:paraId="14A7A36B" w14:textId="77777777" w:rsidR="00F82C1E" w:rsidRPr="00FE29AE" w:rsidRDefault="00F82C1E" w:rsidP="006305CF">
      <w:pPr>
        <w:pStyle w:val="ListParagraph"/>
        <w:widowControl w:val="0"/>
        <w:numPr>
          <w:ilvl w:val="0"/>
          <w:numId w:val="44"/>
        </w:numPr>
        <w:tabs>
          <w:tab w:val="center" w:pos="4513"/>
        </w:tabs>
        <w:autoSpaceDE w:val="0"/>
        <w:autoSpaceDN w:val="0"/>
        <w:spacing w:after="240" w:line="276" w:lineRule="auto"/>
        <w:contextualSpacing w:val="0"/>
      </w:pPr>
      <w:r w:rsidRPr="00FE29AE">
        <w:t>Contract Manager</w:t>
      </w:r>
    </w:p>
    <w:p w14:paraId="7E34FF2F" w14:textId="77777777" w:rsidR="00F82C1E" w:rsidRPr="00FE29AE" w:rsidRDefault="00F82C1E" w:rsidP="006305CF">
      <w:pPr>
        <w:pStyle w:val="ListParagraph"/>
        <w:widowControl w:val="0"/>
        <w:numPr>
          <w:ilvl w:val="0"/>
          <w:numId w:val="44"/>
        </w:numPr>
        <w:tabs>
          <w:tab w:val="center" w:pos="4513"/>
        </w:tabs>
        <w:autoSpaceDE w:val="0"/>
        <w:autoSpaceDN w:val="0"/>
        <w:spacing w:after="240" w:line="276" w:lineRule="auto"/>
        <w:contextualSpacing w:val="0"/>
      </w:pPr>
      <w:r w:rsidRPr="00FE29AE">
        <w:t>Implementation / Project Manager</w:t>
      </w:r>
    </w:p>
    <w:p w14:paraId="3713D6EB" w14:textId="77777777" w:rsidR="00F82C1E" w:rsidRPr="00FE29AE" w:rsidRDefault="00F82C1E" w:rsidP="00F82C1E"/>
    <w:p w14:paraId="77991731" w14:textId="5E7814A5" w:rsidR="00F82C1E" w:rsidRPr="00FE29AE" w:rsidRDefault="00F82C1E" w:rsidP="00F82C1E">
      <w:pPr>
        <w:pStyle w:val="Heading1"/>
      </w:pPr>
      <w:bookmarkStart w:id="9" w:name="_Toc1925688232"/>
      <w:r>
        <w:t xml:space="preserve">1.4 </w:t>
      </w:r>
      <w:r w:rsidR="487E24F5">
        <w:t xml:space="preserve">AWARD CRITERIA D: </w:t>
      </w:r>
      <w:r>
        <w:t>Requirements – Delivery Approach</w:t>
      </w:r>
      <w:bookmarkEnd w:id="9"/>
    </w:p>
    <w:p w14:paraId="5ADF0B2B" w14:textId="77777777" w:rsidR="000B2846" w:rsidRPr="00FE29AE" w:rsidRDefault="000B2846" w:rsidP="000B2846">
      <w:pPr>
        <w:spacing w:after="240" w:line="276" w:lineRule="auto"/>
        <w:jc w:val="both"/>
      </w:pPr>
      <w:r w:rsidRPr="00FE29AE">
        <w:t>Tenderers are asked to describe their proposed delivery approach which will include the following information:</w:t>
      </w:r>
    </w:p>
    <w:p w14:paraId="28C886D0" w14:textId="7C20A99B" w:rsidR="00F23C3A" w:rsidRPr="00FE29AE" w:rsidRDefault="008742BA" w:rsidP="000B2846">
      <w:pPr>
        <w:spacing w:after="240" w:line="276" w:lineRule="auto"/>
        <w:jc w:val="both"/>
        <w:rPr>
          <w:b/>
          <w:bCs/>
        </w:rPr>
      </w:pPr>
      <w:r w:rsidRPr="00FE29AE">
        <w:rPr>
          <w:b/>
          <w:bCs/>
        </w:rPr>
        <w:t xml:space="preserve">1.4.1 </w:t>
      </w:r>
      <w:r w:rsidR="00366CC7" w:rsidRPr="00FE29AE">
        <w:rPr>
          <w:b/>
          <w:bCs/>
        </w:rPr>
        <w:t>Delivery Appro</w:t>
      </w:r>
      <w:r w:rsidR="00DC3F16" w:rsidRPr="00FE29AE">
        <w:rPr>
          <w:b/>
          <w:bCs/>
        </w:rPr>
        <w:t xml:space="preserve">ach </w:t>
      </w:r>
      <w:r w:rsidR="00DB2DD2" w:rsidRPr="00FE29AE">
        <w:rPr>
          <w:b/>
          <w:bCs/>
        </w:rPr>
        <w:t xml:space="preserve">- </w:t>
      </w:r>
      <w:r w:rsidR="00DC3F16" w:rsidRPr="00FE29AE">
        <w:rPr>
          <w:b/>
          <w:bCs/>
        </w:rPr>
        <w:t>Implementation</w:t>
      </w:r>
    </w:p>
    <w:p w14:paraId="39BC52ED" w14:textId="77777777" w:rsidR="000B2846" w:rsidRPr="00FE29AE" w:rsidRDefault="000B2846" w:rsidP="00DB2DD2">
      <w:pPr>
        <w:pStyle w:val="ListParagraph"/>
        <w:widowControl w:val="0"/>
        <w:autoSpaceDE w:val="0"/>
        <w:autoSpaceDN w:val="0"/>
        <w:spacing w:after="240" w:line="276" w:lineRule="auto"/>
        <w:contextualSpacing w:val="0"/>
        <w:jc w:val="both"/>
      </w:pPr>
      <w:r w:rsidRPr="00FE29AE">
        <w:t xml:space="preserve">A </w:t>
      </w:r>
      <w:r w:rsidRPr="00FE29AE">
        <w:rPr>
          <w:b/>
          <w:bCs/>
        </w:rPr>
        <w:t>description of the proposed implementation methodology</w:t>
      </w:r>
      <w:r w:rsidRPr="00FE29AE">
        <w:t xml:space="preserve"> (including reference to software delivery methodology) and any support required from IFI.</w:t>
      </w:r>
    </w:p>
    <w:p w14:paraId="2B295FCA" w14:textId="7F668C52" w:rsidR="00DB2DD2" w:rsidRPr="00FE29AE" w:rsidRDefault="00DB2DD2" w:rsidP="00DB2DD2">
      <w:pPr>
        <w:spacing w:after="240" w:line="276" w:lineRule="auto"/>
        <w:jc w:val="both"/>
        <w:rPr>
          <w:b/>
          <w:bCs/>
        </w:rPr>
      </w:pPr>
      <w:r w:rsidRPr="00FE29AE">
        <w:rPr>
          <w:b/>
          <w:bCs/>
        </w:rPr>
        <w:t>1.4.2 Delivery Approach - Test</w:t>
      </w:r>
    </w:p>
    <w:p w14:paraId="08C633EE" w14:textId="77777777" w:rsidR="000B2846" w:rsidRPr="00FE29AE" w:rsidRDefault="000B2846" w:rsidP="00DB2DD2">
      <w:pPr>
        <w:pStyle w:val="ListParagraph"/>
        <w:widowControl w:val="0"/>
        <w:autoSpaceDE w:val="0"/>
        <w:autoSpaceDN w:val="0"/>
        <w:spacing w:after="240" w:line="276" w:lineRule="auto"/>
        <w:contextualSpacing w:val="0"/>
        <w:jc w:val="both"/>
      </w:pPr>
      <w:r w:rsidRPr="00FE29AE">
        <w:t xml:space="preserve">A </w:t>
      </w:r>
      <w:r w:rsidRPr="00FE29AE">
        <w:rPr>
          <w:b/>
          <w:bCs/>
        </w:rPr>
        <w:t>description of the proposed test approach</w:t>
      </w:r>
      <w:r w:rsidRPr="00FE29AE">
        <w:t xml:space="preserve"> and any support required from IFI. IFI has the following requirements with regards to testing:</w:t>
      </w:r>
    </w:p>
    <w:p w14:paraId="36C2DF2B" w14:textId="77777777" w:rsidR="000B2846" w:rsidRPr="00FE29AE" w:rsidRDefault="000B2846" w:rsidP="006305CF">
      <w:pPr>
        <w:pStyle w:val="ListParagraph"/>
        <w:widowControl w:val="0"/>
        <w:numPr>
          <w:ilvl w:val="0"/>
          <w:numId w:val="44"/>
        </w:numPr>
        <w:tabs>
          <w:tab w:val="center" w:pos="4513"/>
        </w:tabs>
        <w:autoSpaceDE w:val="0"/>
        <w:autoSpaceDN w:val="0"/>
        <w:spacing w:after="240" w:line="276" w:lineRule="auto"/>
        <w:contextualSpacing w:val="0"/>
      </w:pPr>
      <w:r w:rsidRPr="00FE29AE">
        <w:t>The successful tenderer must perform, manage, and document a full test cycle when implementing the system.</w:t>
      </w:r>
    </w:p>
    <w:p w14:paraId="6CF846D1" w14:textId="77777777" w:rsidR="000B2846" w:rsidRPr="00FE29AE" w:rsidRDefault="000B2846" w:rsidP="006305CF">
      <w:pPr>
        <w:pStyle w:val="ListParagraph"/>
        <w:widowControl w:val="0"/>
        <w:numPr>
          <w:ilvl w:val="0"/>
          <w:numId w:val="44"/>
        </w:numPr>
        <w:tabs>
          <w:tab w:val="center" w:pos="4513"/>
        </w:tabs>
        <w:autoSpaceDE w:val="0"/>
        <w:autoSpaceDN w:val="0"/>
        <w:spacing w:after="240" w:line="276" w:lineRule="auto"/>
        <w:contextualSpacing w:val="0"/>
      </w:pPr>
      <w:r w:rsidRPr="00FE29AE">
        <w:t>The successful tenderer must perform, manage, and document a full test cycle when implementing any subsequent updates or changes.</w:t>
      </w:r>
    </w:p>
    <w:p w14:paraId="0BC1A3BC" w14:textId="77777777" w:rsidR="003F5494" w:rsidRPr="00FE29AE" w:rsidRDefault="000B2846" w:rsidP="003F5494">
      <w:pPr>
        <w:pStyle w:val="ListParagraph"/>
        <w:widowControl w:val="0"/>
        <w:numPr>
          <w:ilvl w:val="0"/>
          <w:numId w:val="44"/>
        </w:numPr>
        <w:tabs>
          <w:tab w:val="center" w:pos="4513"/>
        </w:tabs>
        <w:autoSpaceDE w:val="0"/>
        <w:autoSpaceDN w:val="0"/>
        <w:spacing w:after="240" w:line="276" w:lineRule="auto"/>
        <w:contextualSpacing w:val="0"/>
      </w:pPr>
      <w:r w:rsidRPr="00FE29AE">
        <w:t>Provision must be made for user acceptance testing in the proposed test approach. Acceptance of the financial management system will only take place once the requirements are proven to function as described and detailed within the contractual documentation and requirements associated with this tender document.</w:t>
      </w:r>
    </w:p>
    <w:p w14:paraId="255BAA51" w14:textId="6685ACA1" w:rsidR="003F5494" w:rsidRPr="00FE29AE" w:rsidRDefault="003F5494" w:rsidP="003F5494">
      <w:pPr>
        <w:widowControl w:val="0"/>
        <w:tabs>
          <w:tab w:val="center" w:pos="4513"/>
        </w:tabs>
        <w:autoSpaceDE w:val="0"/>
        <w:autoSpaceDN w:val="0"/>
        <w:spacing w:after="240" w:line="276" w:lineRule="auto"/>
        <w:rPr>
          <w:b/>
          <w:bCs/>
        </w:rPr>
      </w:pPr>
      <w:r w:rsidRPr="00FE29AE">
        <w:rPr>
          <w:b/>
          <w:bCs/>
        </w:rPr>
        <w:lastRenderedPageBreak/>
        <w:t xml:space="preserve">1.4.3 </w:t>
      </w:r>
      <w:r w:rsidR="007F54FD" w:rsidRPr="00FE29AE">
        <w:rPr>
          <w:b/>
          <w:bCs/>
        </w:rPr>
        <w:t xml:space="preserve">Delivery Approach – </w:t>
      </w:r>
      <w:r w:rsidR="000014C1" w:rsidRPr="00FE29AE">
        <w:rPr>
          <w:b/>
          <w:bCs/>
        </w:rPr>
        <w:t>P</w:t>
      </w:r>
      <w:r w:rsidR="007F54FD" w:rsidRPr="00FE29AE">
        <w:rPr>
          <w:b/>
          <w:bCs/>
        </w:rPr>
        <w:t>roject Plan</w:t>
      </w:r>
    </w:p>
    <w:p w14:paraId="1EB314AD" w14:textId="77777777" w:rsidR="000B2846" w:rsidRPr="00FE29AE" w:rsidRDefault="000B2846" w:rsidP="000014C1">
      <w:pPr>
        <w:pStyle w:val="ListParagraph"/>
        <w:widowControl w:val="0"/>
        <w:autoSpaceDE w:val="0"/>
        <w:autoSpaceDN w:val="0"/>
        <w:spacing w:after="240" w:line="276" w:lineRule="auto"/>
        <w:contextualSpacing w:val="0"/>
        <w:jc w:val="both"/>
      </w:pPr>
      <w:r w:rsidRPr="00FE29AE">
        <w:t xml:space="preserve">A </w:t>
      </w:r>
      <w:r w:rsidRPr="00FE29AE">
        <w:rPr>
          <w:b/>
          <w:bCs/>
        </w:rPr>
        <w:t>project plan for the implementation and test phase</w:t>
      </w:r>
      <w:r w:rsidRPr="00FE29AE">
        <w:t xml:space="preserve"> which will contain the following information: </w:t>
      </w:r>
    </w:p>
    <w:p w14:paraId="572CFF39" w14:textId="77777777" w:rsidR="000B2846" w:rsidRPr="00FE29AE" w:rsidRDefault="000B2846" w:rsidP="006305CF">
      <w:pPr>
        <w:pStyle w:val="ListParagraph"/>
        <w:widowControl w:val="0"/>
        <w:numPr>
          <w:ilvl w:val="0"/>
          <w:numId w:val="44"/>
        </w:numPr>
        <w:tabs>
          <w:tab w:val="center" w:pos="4513"/>
        </w:tabs>
        <w:autoSpaceDE w:val="0"/>
        <w:autoSpaceDN w:val="0"/>
        <w:spacing w:after="240" w:line="276" w:lineRule="auto"/>
        <w:contextualSpacing w:val="0"/>
      </w:pPr>
      <w:r w:rsidRPr="00FE29AE">
        <w:t>Key tasks and activities.</w:t>
      </w:r>
    </w:p>
    <w:p w14:paraId="74480765" w14:textId="77777777" w:rsidR="000B2846" w:rsidRPr="00FE29AE" w:rsidRDefault="000B2846" w:rsidP="006305CF">
      <w:pPr>
        <w:pStyle w:val="ListParagraph"/>
        <w:widowControl w:val="0"/>
        <w:numPr>
          <w:ilvl w:val="0"/>
          <w:numId w:val="44"/>
        </w:numPr>
        <w:tabs>
          <w:tab w:val="center" w:pos="4513"/>
        </w:tabs>
        <w:autoSpaceDE w:val="0"/>
        <w:autoSpaceDN w:val="0"/>
        <w:spacing w:after="240" w:line="276" w:lineRule="auto"/>
        <w:contextualSpacing w:val="0"/>
      </w:pPr>
      <w:r w:rsidRPr="00FE29AE">
        <w:t>Work Breakdown Structure including effort analysis.</w:t>
      </w:r>
    </w:p>
    <w:p w14:paraId="0A5097CB" w14:textId="77777777" w:rsidR="000B2846" w:rsidRPr="00FE29AE" w:rsidRDefault="000B2846" w:rsidP="006305CF">
      <w:pPr>
        <w:pStyle w:val="ListParagraph"/>
        <w:widowControl w:val="0"/>
        <w:numPr>
          <w:ilvl w:val="0"/>
          <w:numId w:val="44"/>
        </w:numPr>
        <w:tabs>
          <w:tab w:val="center" w:pos="4513"/>
        </w:tabs>
        <w:autoSpaceDE w:val="0"/>
        <w:autoSpaceDN w:val="0"/>
        <w:spacing w:after="240" w:line="276" w:lineRule="auto"/>
        <w:contextualSpacing w:val="0"/>
      </w:pPr>
      <w:r w:rsidRPr="00FE29AE">
        <w:t>Key assumptions (Timeline, Cost, Resources).</w:t>
      </w:r>
    </w:p>
    <w:p w14:paraId="50DC0204" w14:textId="77777777" w:rsidR="000B2846" w:rsidRPr="00FE29AE" w:rsidRDefault="000B2846" w:rsidP="006305CF">
      <w:pPr>
        <w:pStyle w:val="ListParagraph"/>
        <w:widowControl w:val="0"/>
        <w:numPr>
          <w:ilvl w:val="0"/>
          <w:numId w:val="44"/>
        </w:numPr>
        <w:tabs>
          <w:tab w:val="center" w:pos="4513"/>
        </w:tabs>
        <w:autoSpaceDE w:val="0"/>
        <w:autoSpaceDN w:val="0"/>
        <w:spacing w:after="240" w:line="276" w:lineRule="auto"/>
        <w:contextualSpacing w:val="0"/>
      </w:pPr>
      <w:r w:rsidRPr="00FE29AE">
        <w:t>Dependencies (External and Internal).</w:t>
      </w:r>
    </w:p>
    <w:p w14:paraId="7982AFF1" w14:textId="56DFCB10" w:rsidR="000014C1" w:rsidRPr="00FE29AE" w:rsidRDefault="000014C1" w:rsidP="000014C1">
      <w:pPr>
        <w:widowControl w:val="0"/>
        <w:tabs>
          <w:tab w:val="center" w:pos="4513"/>
        </w:tabs>
        <w:autoSpaceDE w:val="0"/>
        <w:autoSpaceDN w:val="0"/>
        <w:spacing w:after="240" w:line="276" w:lineRule="auto"/>
        <w:rPr>
          <w:b/>
          <w:bCs/>
        </w:rPr>
      </w:pPr>
      <w:r w:rsidRPr="00FE29AE">
        <w:rPr>
          <w:b/>
          <w:bCs/>
        </w:rPr>
        <w:t xml:space="preserve">1.4.4 Delivery Approach - </w:t>
      </w:r>
      <w:r w:rsidR="00C10928" w:rsidRPr="00FE29AE">
        <w:rPr>
          <w:b/>
          <w:bCs/>
        </w:rPr>
        <w:t>Training</w:t>
      </w:r>
    </w:p>
    <w:p w14:paraId="234620EE" w14:textId="77777777" w:rsidR="000B2846" w:rsidRPr="00FE29AE" w:rsidRDefault="000B2846" w:rsidP="006305CF">
      <w:pPr>
        <w:pStyle w:val="ListParagraph"/>
        <w:widowControl w:val="0"/>
        <w:numPr>
          <w:ilvl w:val="0"/>
          <w:numId w:val="19"/>
        </w:numPr>
        <w:autoSpaceDE w:val="0"/>
        <w:autoSpaceDN w:val="0"/>
        <w:spacing w:after="240" w:line="276" w:lineRule="auto"/>
        <w:contextualSpacing w:val="0"/>
        <w:jc w:val="both"/>
      </w:pPr>
      <w:r w:rsidRPr="00FE29AE">
        <w:t xml:space="preserve">A description of the </w:t>
      </w:r>
      <w:r w:rsidRPr="00FE29AE">
        <w:rPr>
          <w:b/>
          <w:bCs/>
        </w:rPr>
        <w:t>proposal for training of IFI staff</w:t>
      </w:r>
      <w:r w:rsidRPr="00FE29AE">
        <w:t xml:space="preserve">. IFI has the following requirements </w:t>
      </w:r>
      <w:proofErr w:type="gramStart"/>
      <w:r w:rsidRPr="00FE29AE">
        <w:t>in regard to</w:t>
      </w:r>
      <w:proofErr w:type="gramEnd"/>
      <w:r w:rsidRPr="00FE29AE">
        <w:t xml:space="preserve"> training:</w:t>
      </w:r>
    </w:p>
    <w:p w14:paraId="546A1D41" w14:textId="77777777" w:rsidR="000B2846" w:rsidRPr="00FE29AE" w:rsidRDefault="000B2846" w:rsidP="006305CF">
      <w:pPr>
        <w:pStyle w:val="ListParagraph"/>
        <w:widowControl w:val="0"/>
        <w:numPr>
          <w:ilvl w:val="0"/>
          <w:numId w:val="44"/>
        </w:numPr>
        <w:tabs>
          <w:tab w:val="center" w:pos="4513"/>
        </w:tabs>
        <w:autoSpaceDE w:val="0"/>
        <w:autoSpaceDN w:val="0"/>
        <w:spacing w:after="240" w:line="276" w:lineRule="auto"/>
        <w:contextualSpacing w:val="0"/>
      </w:pPr>
      <w:r w:rsidRPr="00FE29AE">
        <w:t>Overview of provision of a Training Plan to IFI.</w:t>
      </w:r>
    </w:p>
    <w:p w14:paraId="43A6F323" w14:textId="77777777" w:rsidR="00A4402A" w:rsidRPr="00FE29AE" w:rsidRDefault="000B2846" w:rsidP="006305CF">
      <w:pPr>
        <w:pStyle w:val="ListParagraph"/>
        <w:widowControl w:val="0"/>
        <w:numPr>
          <w:ilvl w:val="0"/>
          <w:numId w:val="44"/>
        </w:numPr>
        <w:tabs>
          <w:tab w:val="center" w:pos="4513"/>
        </w:tabs>
        <w:autoSpaceDE w:val="0"/>
        <w:autoSpaceDN w:val="0"/>
        <w:spacing w:after="240" w:line="276" w:lineRule="auto"/>
        <w:contextualSpacing w:val="0"/>
      </w:pPr>
      <w:r w:rsidRPr="00FE29AE">
        <w:t>Comprehensive training resources and user/admin documentation should be provided to facilitate system adoption.</w:t>
      </w:r>
    </w:p>
    <w:p w14:paraId="76CA5450" w14:textId="77777777" w:rsidR="00A4402A" w:rsidRPr="00FE29AE" w:rsidRDefault="00A4402A" w:rsidP="006305CF">
      <w:pPr>
        <w:pStyle w:val="ListParagraph"/>
        <w:widowControl w:val="0"/>
        <w:numPr>
          <w:ilvl w:val="0"/>
          <w:numId w:val="44"/>
        </w:numPr>
        <w:tabs>
          <w:tab w:val="center" w:pos="4513"/>
        </w:tabs>
        <w:autoSpaceDE w:val="0"/>
        <w:autoSpaceDN w:val="0"/>
        <w:spacing w:after="240" w:line="276" w:lineRule="auto"/>
        <w:contextualSpacing w:val="0"/>
      </w:pPr>
      <w:r w:rsidRPr="00FE29AE">
        <w:t>Tenderers should include provisions for ongoing training as part of the support contract, especially after major upgrades or feature rollouts.</w:t>
      </w:r>
    </w:p>
    <w:p w14:paraId="4B116FA8" w14:textId="6D0B8B0A" w:rsidR="00A4402A" w:rsidRPr="00FE29AE" w:rsidRDefault="00A4402A" w:rsidP="006305CF">
      <w:pPr>
        <w:pStyle w:val="ListParagraph"/>
        <w:widowControl w:val="0"/>
        <w:numPr>
          <w:ilvl w:val="0"/>
          <w:numId w:val="44"/>
        </w:numPr>
        <w:tabs>
          <w:tab w:val="center" w:pos="4513"/>
        </w:tabs>
        <w:autoSpaceDE w:val="0"/>
        <w:autoSpaceDN w:val="0"/>
        <w:spacing w:after="240" w:line="276" w:lineRule="auto"/>
        <w:contextualSpacing w:val="0"/>
      </w:pPr>
      <w:r w:rsidRPr="00FE29AE">
        <w:t xml:space="preserve">Online / remote instructor-led training should be provided for selected IFI employees, approximately </w:t>
      </w:r>
      <w:r w:rsidRPr="00B72C83">
        <w:t>8 people</w:t>
      </w:r>
      <w:r w:rsidRPr="00FE29AE">
        <w:t xml:space="preserve"> (i.e. super-users).</w:t>
      </w:r>
    </w:p>
    <w:p w14:paraId="76F55DC3" w14:textId="77777777" w:rsidR="00A4402A" w:rsidRPr="00FE29AE" w:rsidRDefault="00A4402A" w:rsidP="006305CF">
      <w:pPr>
        <w:pStyle w:val="ListParagraph"/>
        <w:widowControl w:val="0"/>
        <w:numPr>
          <w:ilvl w:val="0"/>
          <w:numId w:val="44"/>
        </w:numPr>
        <w:tabs>
          <w:tab w:val="center" w:pos="4513"/>
        </w:tabs>
        <w:autoSpaceDE w:val="0"/>
        <w:autoSpaceDN w:val="0"/>
        <w:spacing w:after="240" w:line="276" w:lineRule="auto"/>
        <w:contextualSpacing w:val="0"/>
      </w:pPr>
      <w:r w:rsidRPr="00FE29AE">
        <w:t>Online self-paced training should be provided for all other IFI employees.</w:t>
      </w:r>
    </w:p>
    <w:p w14:paraId="1A9B906F" w14:textId="3727C26B" w:rsidR="00C10928" w:rsidRPr="00FE29AE" w:rsidRDefault="00C10928" w:rsidP="00C10928">
      <w:pPr>
        <w:widowControl w:val="0"/>
        <w:tabs>
          <w:tab w:val="center" w:pos="4513"/>
        </w:tabs>
        <w:autoSpaceDE w:val="0"/>
        <w:autoSpaceDN w:val="0"/>
        <w:spacing w:after="240" w:line="276" w:lineRule="auto"/>
        <w:rPr>
          <w:b/>
          <w:bCs/>
        </w:rPr>
      </w:pPr>
      <w:r w:rsidRPr="00FE29AE">
        <w:rPr>
          <w:b/>
          <w:bCs/>
        </w:rPr>
        <w:t>1.4.5 Delivery Approach – Data Migration</w:t>
      </w:r>
    </w:p>
    <w:p w14:paraId="1A73E5CF" w14:textId="77777777" w:rsidR="00F709E5" w:rsidRPr="00FE29AE" w:rsidRDefault="00F709E5" w:rsidP="006305CF">
      <w:pPr>
        <w:pStyle w:val="ListParagraph"/>
        <w:widowControl w:val="0"/>
        <w:numPr>
          <w:ilvl w:val="0"/>
          <w:numId w:val="19"/>
        </w:numPr>
        <w:autoSpaceDE w:val="0"/>
        <w:autoSpaceDN w:val="0"/>
        <w:spacing w:after="240" w:line="276" w:lineRule="auto"/>
        <w:contextualSpacing w:val="0"/>
        <w:jc w:val="both"/>
      </w:pPr>
      <w:r w:rsidRPr="00FE29AE">
        <w:t xml:space="preserve">A description of the </w:t>
      </w:r>
      <w:r w:rsidRPr="00FE29AE">
        <w:rPr>
          <w:b/>
          <w:bCs/>
        </w:rPr>
        <w:t>proposal for data migration during solution implementation</w:t>
      </w:r>
      <w:r w:rsidRPr="00FE29AE">
        <w:t>. IFI have the following data migration requirements as part of solution implementation:</w:t>
      </w:r>
    </w:p>
    <w:p w14:paraId="7A2D7A8E" w14:textId="120FFE0C" w:rsidR="00F709E5" w:rsidRPr="00FE29AE" w:rsidRDefault="00B72C83" w:rsidP="006305CF">
      <w:pPr>
        <w:pStyle w:val="ListParagraph"/>
        <w:widowControl w:val="0"/>
        <w:numPr>
          <w:ilvl w:val="0"/>
          <w:numId w:val="44"/>
        </w:numPr>
        <w:tabs>
          <w:tab w:val="center" w:pos="4513"/>
        </w:tabs>
        <w:autoSpaceDE w:val="0"/>
        <w:autoSpaceDN w:val="0"/>
        <w:spacing w:after="240" w:line="276" w:lineRule="auto"/>
        <w:contextualSpacing w:val="0"/>
      </w:pPr>
      <w:r w:rsidRPr="00FE29AE">
        <w:t xml:space="preserve">Tenderers </w:t>
      </w:r>
      <w:r w:rsidR="00B75037" w:rsidRPr="00FE29AE">
        <w:t>must include</w:t>
      </w:r>
      <w:r w:rsidR="00F709E5" w:rsidRPr="00FE29AE">
        <w:t xml:space="preserve"> a description of data migration roles and responsibilities for both IFI and </w:t>
      </w:r>
      <w:r w:rsidR="00067CD4" w:rsidRPr="00FE29AE">
        <w:t>Tenderer</w:t>
      </w:r>
      <w:r w:rsidR="00F709E5" w:rsidRPr="00FE29AE">
        <w:t xml:space="preserve">.  </w:t>
      </w:r>
    </w:p>
    <w:p w14:paraId="3DC398F7" w14:textId="77777777" w:rsidR="00F709E5" w:rsidRPr="00FE29AE" w:rsidRDefault="00F709E5" w:rsidP="006305CF">
      <w:pPr>
        <w:pStyle w:val="ListParagraph"/>
        <w:widowControl w:val="0"/>
        <w:numPr>
          <w:ilvl w:val="0"/>
          <w:numId w:val="44"/>
        </w:numPr>
        <w:tabs>
          <w:tab w:val="center" w:pos="4513"/>
        </w:tabs>
        <w:autoSpaceDE w:val="0"/>
        <w:autoSpaceDN w:val="0"/>
        <w:spacing w:after="240" w:line="276" w:lineRule="auto"/>
        <w:contextualSpacing w:val="0"/>
      </w:pPr>
      <w:r w:rsidRPr="00FE29AE">
        <w:t xml:space="preserve">IFI will provide a copy of the current database and attachments via data transfer to an agreed location. </w:t>
      </w:r>
    </w:p>
    <w:p w14:paraId="13D00D7B" w14:textId="76E47A7F" w:rsidR="00F709E5" w:rsidRPr="00FE29AE" w:rsidRDefault="00F709E5" w:rsidP="006305CF">
      <w:pPr>
        <w:pStyle w:val="ListParagraph"/>
        <w:widowControl w:val="0"/>
        <w:numPr>
          <w:ilvl w:val="0"/>
          <w:numId w:val="44"/>
        </w:numPr>
        <w:tabs>
          <w:tab w:val="center" w:pos="4513"/>
        </w:tabs>
        <w:autoSpaceDE w:val="0"/>
        <w:autoSpaceDN w:val="0"/>
        <w:spacing w:after="240" w:line="276" w:lineRule="auto"/>
        <w:contextualSpacing w:val="0"/>
      </w:pPr>
      <w:r w:rsidRPr="00FE29AE">
        <w:t>IFI have a requirement to lia</w:t>
      </w:r>
      <w:r w:rsidR="00803212" w:rsidRPr="00FE29AE">
        <w:t>i</w:t>
      </w:r>
      <w:r w:rsidRPr="00FE29AE">
        <w:t xml:space="preserve">se with the tender to ensure data integrity through dry runs of the data migration process. The expectation is for 3 dry runs, at a minimum, with caveat that this may need to be increased </w:t>
      </w:r>
      <w:r w:rsidRPr="00FE29AE">
        <w:lastRenderedPageBreak/>
        <w:t>depending on data quality.</w:t>
      </w:r>
    </w:p>
    <w:p w14:paraId="2FA1E1AE" w14:textId="695643ED" w:rsidR="00F709E5" w:rsidRPr="00FE29AE" w:rsidRDefault="00F709E5" w:rsidP="006305CF">
      <w:pPr>
        <w:pStyle w:val="ListParagraph"/>
        <w:widowControl w:val="0"/>
        <w:numPr>
          <w:ilvl w:val="0"/>
          <w:numId w:val="44"/>
        </w:numPr>
        <w:tabs>
          <w:tab w:val="center" w:pos="4513"/>
        </w:tabs>
        <w:autoSpaceDE w:val="0"/>
        <w:autoSpaceDN w:val="0"/>
        <w:spacing w:after="240" w:line="276" w:lineRule="auto"/>
        <w:contextualSpacing w:val="0"/>
      </w:pPr>
      <w:r w:rsidRPr="00FE29AE">
        <w:t>Tenderers must include a description of the data migration support.</w:t>
      </w:r>
      <w:r w:rsidR="00B46124" w:rsidRPr="00FE29AE">
        <w:t xml:space="preserve"> </w:t>
      </w:r>
      <w:r w:rsidRPr="00FE29AE">
        <w:t xml:space="preserve">The IFI side will support the data migration process. IFI will require guidance and support on the migration process (including data transfer and data load) from the tenderer, including migration tools that can be used. </w:t>
      </w:r>
    </w:p>
    <w:p w14:paraId="24A0A887" w14:textId="33981A98" w:rsidR="00D87441" w:rsidRPr="00FE29AE" w:rsidRDefault="00D87441" w:rsidP="06A88517">
      <w:pPr>
        <w:pStyle w:val="Heading1"/>
        <w:spacing w:line="259" w:lineRule="auto"/>
      </w:pPr>
      <w:bookmarkStart w:id="10" w:name="_Toc925988681"/>
      <w:r>
        <w:t xml:space="preserve">1.5 </w:t>
      </w:r>
      <w:r w:rsidR="7FA2E106">
        <w:t xml:space="preserve">AWARD CRITERIA E: </w:t>
      </w:r>
      <w:r>
        <w:t xml:space="preserve">Requirements – </w:t>
      </w:r>
      <w:r w:rsidR="01E9F17A">
        <w:t xml:space="preserve">Quality Assurance and </w:t>
      </w:r>
      <w:r>
        <w:t>Support</w:t>
      </w:r>
      <w:bookmarkEnd w:id="10"/>
    </w:p>
    <w:p w14:paraId="0C2451AE" w14:textId="6301AEE5" w:rsidR="002A2EC9" w:rsidRPr="00FE29AE" w:rsidRDefault="002A2EC9" w:rsidP="002A2EC9">
      <w:pPr>
        <w:spacing w:after="240" w:line="276" w:lineRule="auto"/>
        <w:jc w:val="both"/>
        <w:rPr>
          <w:b/>
          <w:bCs/>
        </w:rPr>
      </w:pPr>
      <w:r w:rsidRPr="00FE29AE">
        <w:rPr>
          <w:b/>
          <w:bCs/>
        </w:rPr>
        <w:t>1.5.1 Contract / Account Management</w:t>
      </w:r>
    </w:p>
    <w:p w14:paraId="685E315D" w14:textId="77777777" w:rsidR="002A2EC9" w:rsidRPr="00FE29AE" w:rsidRDefault="002A2EC9" w:rsidP="002A2EC9">
      <w:pPr>
        <w:spacing w:after="240" w:line="276" w:lineRule="auto"/>
        <w:jc w:val="both"/>
        <w:rPr>
          <w:highlight w:val="yellow"/>
        </w:rPr>
      </w:pPr>
      <w:r w:rsidRPr="00FE29AE">
        <w:t>Tenderers are asked to provide a description of the on-going Contract / Account Management process for IFI.</w:t>
      </w:r>
    </w:p>
    <w:p w14:paraId="00989C9F" w14:textId="4AD8395B" w:rsidR="002A2EC9" w:rsidRPr="00FE29AE" w:rsidRDefault="002A2EC9" w:rsidP="002A2EC9">
      <w:pPr>
        <w:spacing w:after="240" w:line="276" w:lineRule="auto"/>
        <w:jc w:val="both"/>
        <w:rPr>
          <w:b/>
          <w:bCs/>
        </w:rPr>
      </w:pPr>
      <w:bookmarkStart w:id="11" w:name="_Hlk188805517"/>
      <w:r w:rsidRPr="00FE29AE">
        <w:rPr>
          <w:b/>
          <w:bCs/>
        </w:rPr>
        <w:t xml:space="preserve">1.5.2 Support Model </w:t>
      </w:r>
    </w:p>
    <w:bookmarkEnd w:id="11"/>
    <w:p w14:paraId="79BD3F73" w14:textId="77777777" w:rsidR="002A2EC9" w:rsidRPr="00FE29AE" w:rsidRDefault="002A2EC9" w:rsidP="002A2EC9">
      <w:pPr>
        <w:spacing w:after="240" w:line="276" w:lineRule="auto"/>
        <w:jc w:val="both"/>
      </w:pPr>
      <w:r w:rsidRPr="00FE29AE">
        <w:t>Tenderers are asked to provide a description of their proposed service support model, which must include:</w:t>
      </w:r>
    </w:p>
    <w:p w14:paraId="6C3807C0" w14:textId="77777777" w:rsidR="002A2EC9" w:rsidRPr="00FE29AE" w:rsidRDefault="002A2EC9" w:rsidP="006305CF">
      <w:pPr>
        <w:numPr>
          <w:ilvl w:val="0"/>
          <w:numId w:val="39"/>
        </w:numPr>
        <w:spacing w:after="240" w:line="276" w:lineRule="auto"/>
        <w:jc w:val="both"/>
      </w:pPr>
      <w:r w:rsidRPr="00FE29AE">
        <w:t>Clearly describe the responsibilities for Level 1 Support, Level 2 Support, and Level 3 Support</w:t>
      </w:r>
    </w:p>
    <w:p w14:paraId="3C8E4890" w14:textId="770B295B" w:rsidR="002A2EC9" w:rsidRPr="00FE29AE" w:rsidRDefault="002A2EC9" w:rsidP="006305CF">
      <w:pPr>
        <w:numPr>
          <w:ilvl w:val="0"/>
          <w:numId w:val="39"/>
        </w:numPr>
        <w:spacing w:after="240" w:line="276" w:lineRule="auto"/>
        <w:jc w:val="both"/>
      </w:pPr>
      <w:r w:rsidRPr="00FE29AE">
        <w:t xml:space="preserve">Describe the incident response process. IFI have the following requirements in this </w:t>
      </w:r>
      <w:r w:rsidR="00B72C83" w:rsidRPr="00FE29AE">
        <w:t>regard,</w:t>
      </w:r>
      <w:r w:rsidRPr="00FE29AE">
        <w:t xml:space="preserve"> and your response should address whether you can satisfy these:</w:t>
      </w:r>
    </w:p>
    <w:p w14:paraId="398280DF" w14:textId="77777777" w:rsidR="002A2EC9" w:rsidRPr="00FE29AE" w:rsidRDefault="002A2EC9" w:rsidP="006305CF">
      <w:pPr>
        <w:numPr>
          <w:ilvl w:val="0"/>
          <w:numId w:val="36"/>
        </w:numPr>
        <w:spacing w:after="240" w:line="276" w:lineRule="auto"/>
        <w:jc w:val="both"/>
      </w:pPr>
      <w:r w:rsidRPr="00FE29AE">
        <w:t xml:space="preserve">The provider must offer 24/7 incident response </w:t>
      </w:r>
    </w:p>
    <w:p w14:paraId="5E96CC91" w14:textId="77777777" w:rsidR="002A2EC9" w:rsidRPr="00FE29AE" w:rsidRDefault="002A2EC9" w:rsidP="006305CF">
      <w:pPr>
        <w:numPr>
          <w:ilvl w:val="0"/>
          <w:numId w:val="36"/>
        </w:numPr>
        <w:spacing w:after="240" w:line="276" w:lineRule="auto"/>
        <w:jc w:val="both"/>
      </w:pPr>
      <w:r w:rsidRPr="00FE29AE">
        <w:t>Response times should be as follows:</w:t>
      </w:r>
    </w:p>
    <w:p w14:paraId="5A32C38C" w14:textId="77777777" w:rsidR="002A2EC9" w:rsidRPr="00FE29AE" w:rsidRDefault="002A2EC9" w:rsidP="006305CF">
      <w:pPr>
        <w:numPr>
          <w:ilvl w:val="1"/>
          <w:numId w:val="36"/>
        </w:numPr>
        <w:spacing w:after="240" w:line="276" w:lineRule="auto"/>
        <w:jc w:val="both"/>
      </w:pPr>
      <w:r w:rsidRPr="00FE29AE">
        <w:t>Critical issues: Initial response within 30 minutes.</w:t>
      </w:r>
    </w:p>
    <w:p w14:paraId="6884A8C6" w14:textId="77777777" w:rsidR="002A2EC9" w:rsidRPr="00FE29AE" w:rsidRDefault="002A2EC9" w:rsidP="006305CF">
      <w:pPr>
        <w:numPr>
          <w:ilvl w:val="1"/>
          <w:numId w:val="36"/>
        </w:numPr>
        <w:spacing w:after="240" w:line="276" w:lineRule="auto"/>
        <w:jc w:val="both"/>
      </w:pPr>
      <w:r w:rsidRPr="00FE29AE">
        <w:t>Major issues: Initial response within 1 hour.</w:t>
      </w:r>
    </w:p>
    <w:p w14:paraId="444BA8BE" w14:textId="77777777" w:rsidR="002A2EC9" w:rsidRPr="00FE29AE" w:rsidRDefault="002A2EC9" w:rsidP="006305CF">
      <w:pPr>
        <w:numPr>
          <w:ilvl w:val="1"/>
          <w:numId w:val="36"/>
        </w:numPr>
        <w:spacing w:after="240" w:line="276" w:lineRule="auto"/>
        <w:jc w:val="both"/>
      </w:pPr>
      <w:r w:rsidRPr="00FE29AE">
        <w:t>Minor issues: Initial response within 4 hours.</w:t>
      </w:r>
    </w:p>
    <w:p w14:paraId="259561AF" w14:textId="77777777" w:rsidR="002A2EC9" w:rsidRPr="00FE29AE" w:rsidRDefault="002A2EC9" w:rsidP="006305CF">
      <w:pPr>
        <w:numPr>
          <w:ilvl w:val="0"/>
          <w:numId w:val="39"/>
        </w:numPr>
        <w:spacing w:after="240" w:line="276" w:lineRule="auto"/>
        <w:jc w:val="both"/>
      </w:pPr>
      <w:r w:rsidRPr="00FE29AE">
        <w:t>Describe the escalation process for unresolved issues, including contact points at different escalation levels.</w:t>
      </w:r>
    </w:p>
    <w:p w14:paraId="6ED13630" w14:textId="2F14A6EE" w:rsidR="002A2EC9" w:rsidRPr="00FE29AE" w:rsidRDefault="002A2EC9" w:rsidP="006305CF">
      <w:pPr>
        <w:numPr>
          <w:ilvl w:val="0"/>
          <w:numId w:val="39"/>
        </w:numPr>
        <w:spacing w:after="240" w:line="276" w:lineRule="auto"/>
        <w:jc w:val="both"/>
      </w:pPr>
      <w:r w:rsidRPr="00FE29AE">
        <w:t xml:space="preserve">Describe the processes for downtime notification and communication. We have the following requirements in this </w:t>
      </w:r>
      <w:r w:rsidR="00B72C83" w:rsidRPr="00FE29AE">
        <w:t>regard,</w:t>
      </w:r>
      <w:r w:rsidRPr="00FE29AE">
        <w:t xml:space="preserve"> and your response should address whether you can satisfy these:</w:t>
      </w:r>
    </w:p>
    <w:p w14:paraId="6B18B171" w14:textId="77777777" w:rsidR="002A2EC9" w:rsidRPr="00FE29AE" w:rsidRDefault="002A2EC9" w:rsidP="006305CF">
      <w:pPr>
        <w:numPr>
          <w:ilvl w:val="0"/>
          <w:numId w:val="30"/>
        </w:numPr>
        <w:spacing w:after="240" w:line="276" w:lineRule="auto"/>
        <w:jc w:val="both"/>
      </w:pPr>
      <w:r w:rsidRPr="00FE29AE">
        <w:t>The provider must notify the client of planned maintenance at least 7 days in advance, and of unplanned outages within 30 minutes of detection.</w:t>
      </w:r>
    </w:p>
    <w:p w14:paraId="2D5C2C5F" w14:textId="77777777" w:rsidR="002A2EC9" w:rsidRPr="00FE29AE" w:rsidRDefault="002A2EC9" w:rsidP="006305CF">
      <w:pPr>
        <w:numPr>
          <w:ilvl w:val="0"/>
          <w:numId w:val="30"/>
        </w:numPr>
        <w:spacing w:after="240" w:line="276" w:lineRule="auto"/>
        <w:jc w:val="both"/>
      </w:pPr>
      <w:r w:rsidRPr="00FE29AE">
        <w:lastRenderedPageBreak/>
        <w:t>Regular updates must be provided during outages or service disruptions, at least every hour for critical incidents.</w:t>
      </w:r>
    </w:p>
    <w:p w14:paraId="441EF6C7" w14:textId="5FFF3A44" w:rsidR="002A2EC9" w:rsidRPr="00FE29AE" w:rsidRDefault="002A2EC9" w:rsidP="002A2EC9">
      <w:pPr>
        <w:spacing w:line="276" w:lineRule="auto"/>
        <w:jc w:val="both"/>
        <w:rPr>
          <w:b/>
          <w:bCs/>
        </w:rPr>
      </w:pPr>
      <w:r w:rsidRPr="00FE29AE">
        <w:rPr>
          <w:b/>
          <w:bCs/>
        </w:rPr>
        <w:t>1.</w:t>
      </w:r>
      <w:r w:rsidR="00536C1B" w:rsidRPr="00FE29AE">
        <w:rPr>
          <w:b/>
          <w:bCs/>
        </w:rPr>
        <w:t>5</w:t>
      </w:r>
      <w:r w:rsidRPr="00FE29AE">
        <w:rPr>
          <w:b/>
          <w:bCs/>
        </w:rPr>
        <w:t>.3 Reporting</w:t>
      </w:r>
    </w:p>
    <w:p w14:paraId="72EE07F5" w14:textId="283ED11C" w:rsidR="002A2EC9" w:rsidRPr="00FE29AE" w:rsidRDefault="002A2EC9" w:rsidP="002A2EC9">
      <w:pPr>
        <w:spacing w:after="240" w:line="276" w:lineRule="auto"/>
        <w:jc w:val="both"/>
      </w:pPr>
      <w:r w:rsidRPr="00FE29AE">
        <w:t>Tenderers are asked to provide a description of Service Management reporting that they would provide for IFI</w:t>
      </w:r>
      <w:r w:rsidR="7C71CE62" w:rsidRPr="00FE29AE">
        <w:t xml:space="preserve"> along with associated KPIs.</w:t>
      </w:r>
    </w:p>
    <w:p w14:paraId="30B42FC6" w14:textId="766B7607" w:rsidR="002A2EC9" w:rsidRPr="00FE29AE" w:rsidRDefault="002A2EC9" w:rsidP="002A2EC9">
      <w:pPr>
        <w:spacing w:after="240" w:line="276" w:lineRule="auto"/>
        <w:jc w:val="both"/>
        <w:rPr>
          <w:b/>
          <w:bCs/>
        </w:rPr>
      </w:pPr>
      <w:r w:rsidRPr="00FE29AE">
        <w:rPr>
          <w:b/>
          <w:bCs/>
        </w:rPr>
        <w:t>1.</w:t>
      </w:r>
      <w:r w:rsidR="00536C1B" w:rsidRPr="00FE29AE">
        <w:rPr>
          <w:b/>
          <w:bCs/>
        </w:rPr>
        <w:t>5</w:t>
      </w:r>
      <w:r w:rsidRPr="00FE29AE">
        <w:rPr>
          <w:b/>
          <w:bCs/>
        </w:rPr>
        <w:t>.4 Change Management</w:t>
      </w:r>
    </w:p>
    <w:p w14:paraId="0B999CD2" w14:textId="77777777" w:rsidR="002A2EC9" w:rsidRPr="00FE29AE" w:rsidRDefault="002A2EC9" w:rsidP="002A2EC9">
      <w:pPr>
        <w:spacing w:after="240" w:line="276" w:lineRule="auto"/>
        <w:jc w:val="both"/>
      </w:pPr>
      <w:r w:rsidRPr="00FE29AE">
        <w:t>IFI requires a process for dealing with various change requests that may arise (requests for additional functionality, web development support etc.). Tenderers are asked to describe their process for dealing with Change Requests.</w:t>
      </w:r>
    </w:p>
    <w:p w14:paraId="1F21C842" w14:textId="5FC010C0" w:rsidR="002A2EC9" w:rsidRPr="00FE29AE" w:rsidRDefault="002A2EC9" w:rsidP="002A2EC9">
      <w:pPr>
        <w:spacing w:line="276" w:lineRule="auto"/>
        <w:jc w:val="both"/>
        <w:rPr>
          <w:b/>
          <w:bCs/>
        </w:rPr>
      </w:pPr>
      <w:bookmarkStart w:id="12" w:name="_Toc173484108"/>
      <w:r w:rsidRPr="00FE29AE">
        <w:rPr>
          <w:b/>
          <w:bCs/>
        </w:rPr>
        <w:t>1.</w:t>
      </w:r>
      <w:r w:rsidR="00536C1B" w:rsidRPr="00FE29AE">
        <w:rPr>
          <w:b/>
          <w:bCs/>
        </w:rPr>
        <w:t>5</w:t>
      </w:r>
      <w:r w:rsidRPr="00FE29AE">
        <w:rPr>
          <w:b/>
          <w:bCs/>
        </w:rPr>
        <w:t>.5 Service Level Agreement</w:t>
      </w:r>
      <w:bookmarkEnd w:id="12"/>
      <w:r w:rsidRPr="00FE29AE">
        <w:rPr>
          <w:b/>
          <w:bCs/>
        </w:rPr>
        <w:t xml:space="preserve"> </w:t>
      </w:r>
    </w:p>
    <w:p w14:paraId="6E0C46A5" w14:textId="5BDCA269" w:rsidR="002A2EC9" w:rsidRPr="00FE29AE" w:rsidRDefault="002A2EC9" w:rsidP="002A2EC9">
      <w:pPr>
        <w:spacing w:after="240" w:line="276" w:lineRule="auto"/>
        <w:jc w:val="both"/>
      </w:pPr>
      <w:r w:rsidRPr="00FE29AE">
        <w:t xml:space="preserve">A service level agreement (SLA) will be included in the Services Contract with the successful tenderer prior to commencing the project (it will be contained in Schedule 4 of the Service Contract contained in Appendix </w:t>
      </w:r>
      <w:r w:rsidR="00A953D1" w:rsidRPr="00FE29AE">
        <w:t>5</w:t>
      </w:r>
      <w:r w:rsidRPr="00FE29AE">
        <w:t xml:space="preserve"> of this document).</w:t>
      </w:r>
    </w:p>
    <w:p w14:paraId="67FF0A65" w14:textId="77777777" w:rsidR="002A2EC9" w:rsidRPr="00FE29AE" w:rsidRDefault="002A2EC9" w:rsidP="002A2EC9">
      <w:pPr>
        <w:spacing w:after="240" w:line="276" w:lineRule="auto"/>
        <w:jc w:val="both"/>
      </w:pPr>
      <w:r w:rsidRPr="00FE29AE">
        <w:t xml:space="preserve">Tenderers are asked to provide a proposed SLA. It should incorporate the following: </w:t>
      </w:r>
    </w:p>
    <w:p w14:paraId="3E3EB89B" w14:textId="65FCFA66" w:rsidR="002A2EC9" w:rsidRPr="00FE29AE" w:rsidRDefault="002A2EC9" w:rsidP="5A0E31BC">
      <w:pPr>
        <w:pStyle w:val="ListParagraph"/>
        <w:widowControl w:val="0"/>
        <w:numPr>
          <w:ilvl w:val="0"/>
          <w:numId w:val="2"/>
        </w:numPr>
        <w:spacing w:after="240" w:line="276" w:lineRule="auto"/>
        <w:jc w:val="both"/>
      </w:pPr>
      <w:r w:rsidRPr="00FE29AE">
        <w:t>The SLA should include not only a description of the services to be provided and their expected service levels, but also metrics by which the services are measured</w:t>
      </w:r>
      <w:r w:rsidR="6E0C296B" w:rsidRPr="00FE29AE">
        <w:t>/ KPIs</w:t>
      </w:r>
      <w:r w:rsidRPr="00FE29AE">
        <w:t>, the duties and responsibilities of each party, the remedies or penalties for breach, and a protocol for adding and removing metrics.</w:t>
      </w:r>
    </w:p>
    <w:p w14:paraId="073CEC14" w14:textId="77777777" w:rsidR="002A2EC9" w:rsidRPr="00FE29AE" w:rsidRDefault="002A2EC9" w:rsidP="006305CF">
      <w:pPr>
        <w:pStyle w:val="ListParagraph"/>
        <w:widowControl w:val="0"/>
        <w:numPr>
          <w:ilvl w:val="0"/>
          <w:numId w:val="2"/>
        </w:numPr>
        <w:spacing w:after="240" w:line="276" w:lineRule="auto"/>
        <w:contextualSpacing w:val="0"/>
        <w:jc w:val="both"/>
      </w:pPr>
      <w:r w:rsidRPr="00FE29AE">
        <w:t>The SLA should address the above for hosting, maintenance, support and development services.</w:t>
      </w:r>
    </w:p>
    <w:p w14:paraId="47395F9B" w14:textId="77777777" w:rsidR="002A2EC9" w:rsidRPr="00FE29AE" w:rsidRDefault="002A2EC9" w:rsidP="006305CF">
      <w:pPr>
        <w:pStyle w:val="ListParagraph"/>
        <w:widowControl w:val="0"/>
        <w:numPr>
          <w:ilvl w:val="0"/>
          <w:numId w:val="2"/>
        </w:numPr>
        <w:spacing w:after="240" w:line="276" w:lineRule="auto"/>
        <w:contextualSpacing w:val="0"/>
        <w:jc w:val="both"/>
      </w:pPr>
      <w:r w:rsidRPr="00FE29AE">
        <w:t>The SLA should set out proposed incident resolution response and target or aspirational resolution or workaround timelines.</w:t>
      </w:r>
    </w:p>
    <w:p w14:paraId="7F159AD1" w14:textId="77777777" w:rsidR="002A2EC9" w:rsidRPr="00FE29AE" w:rsidRDefault="002A2EC9" w:rsidP="006305CF">
      <w:pPr>
        <w:pStyle w:val="ListParagraph"/>
        <w:widowControl w:val="0"/>
        <w:numPr>
          <w:ilvl w:val="0"/>
          <w:numId w:val="2"/>
        </w:numPr>
        <w:spacing w:after="240" w:line="276" w:lineRule="auto"/>
        <w:contextualSpacing w:val="0"/>
        <w:jc w:val="both"/>
      </w:pPr>
      <w:r w:rsidRPr="00FE29AE">
        <w:t>The SLA should outline system performance commitments.</w:t>
      </w:r>
    </w:p>
    <w:p w14:paraId="7AE13823" w14:textId="77777777" w:rsidR="002A2EC9" w:rsidRPr="00FE29AE" w:rsidRDefault="002A2EC9" w:rsidP="006305CF">
      <w:pPr>
        <w:pStyle w:val="ListParagraph"/>
        <w:widowControl w:val="0"/>
        <w:numPr>
          <w:ilvl w:val="0"/>
          <w:numId w:val="2"/>
        </w:numPr>
        <w:spacing w:after="240" w:line="276" w:lineRule="auto"/>
        <w:contextualSpacing w:val="0"/>
        <w:jc w:val="both"/>
      </w:pPr>
      <w:r w:rsidRPr="00FE29AE">
        <w:t>The SLA should outline disaster recovery times.</w:t>
      </w:r>
    </w:p>
    <w:p w14:paraId="2D338C6E" w14:textId="77777777" w:rsidR="002A2EC9" w:rsidRPr="00FE29AE" w:rsidRDefault="002A2EC9" w:rsidP="006305CF">
      <w:pPr>
        <w:pStyle w:val="ListParagraph"/>
        <w:widowControl w:val="0"/>
        <w:numPr>
          <w:ilvl w:val="0"/>
          <w:numId w:val="2"/>
        </w:numPr>
        <w:spacing w:after="240" w:line="276" w:lineRule="auto"/>
        <w:contextualSpacing w:val="0"/>
        <w:jc w:val="both"/>
      </w:pPr>
      <w:r w:rsidRPr="00FE29AE">
        <w:t>The SLA should describe escalation procedures.</w:t>
      </w:r>
    </w:p>
    <w:p w14:paraId="2D9F193A" w14:textId="373F9D54" w:rsidR="002A2EC9" w:rsidRPr="00FE29AE" w:rsidRDefault="002A2EC9" w:rsidP="006305CF">
      <w:pPr>
        <w:pStyle w:val="ListParagraph"/>
        <w:widowControl w:val="0"/>
        <w:numPr>
          <w:ilvl w:val="0"/>
          <w:numId w:val="2"/>
        </w:numPr>
        <w:spacing w:after="240" w:line="276" w:lineRule="auto"/>
        <w:contextualSpacing w:val="0"/>
        <w:jc w:val="both"/>
      </w:pPr>
      <w:r w:rsidRPr="00FE29AE">
        <w:t xml:space="preserve">The SLA should include service availability parameters and include proposed system uptime. </w:t>
      </w:r>
      <w:r w:rsidRPr="00FE29AE">
        <w:rPr>
          <w:b/>
          <w:bCs/>
        </w:rPr>
        <w:t>Note:</w:t>
      </w:r>
      <w:r w:rsidRPr="00FE29AE">
        <w:t xml:space="preserve"> it is a requirement (NFR </w:t>
      </w:r>
      <w:r w:rsidR="009F2F43" w:rsidRPr="00FE29AE">
        <w:t>8.1</w:t>
      </w:r>
      <w:r w:rsidRPr="00FE29AE">
        <w:t>) that Vendors are expected to guarantee at least 99.9% system uptime.</w:t>
      </w:r>
    </w:p>
    <w:p w14:paraId="4B978190" w14:textId="77777777" w:rsidR="002A2EC9" w:rsidRPr="00FE29AE" w:rsidRDefault="002A2EC9" w:rsidP="006305CF">
      <w:pPr>
        <w:pStyle w:val="ListParagraph"/>
        <w:widowControl w:val="0"/>
        <w:numPr>
          <w:ilvl w:val="0"/>
          <w:numId w:val="2"/>
        </w:numPr>
        <w:spacing w:after="240" w:line="276" w:lineRule="auto"/>
        <w:contextualSpacing w:val="0"/>
        <w:jc w:val="both"/>
      </w:pPr>
      <w:r w:rsidRPr="00FE29AE">
        <w:t>The vendor should demonstrate their capacity for high-availability service delivery.</w:t>
      </w:r>
    </w:p>
    <w:p w14:paraId="0E5253B2" w14:textId="77777777" w:rsidR="002A2EC9" w:rsidRPr="00FE29AE" w:rsidRDefault="002A2EC9" w:rsidP="006305CF">
      <w:pPr>
        <w:pStyle w:val="ListParagraph"/>
        <w:widowControl w:val="0"/>
        <w:numPr>
          <w:ilvl w:val="0"/>
          <w:numId w:val="2"/>
        </w:numPr>
        <w:spacing w:after="240" w:line="276" w:lineRule="auto"/>
        <w:contextualSpacing w:val="0"/>
        <w:jc w:val="both"/>
      </w:pPr>
      <w:r w:rsidRPr="00FE29AE">
        <w:t xml:space="preserve">The SLA should define responsibilities for software upgrades and updates and incorporate details of planned monthly maintenance of the system and any </w:t>
      </w:r>
      <w:r w:rsidRPr="00FE29AE">
        <w:lastRenderedPageBreak/>
        <w:t>embedded third-party applications including upgrades, new versions, patches, general maintenance and security upgrades. These should be provided within a defined number of days</w:t>
      </w:r>
    </w:p>
    <w:p w14:paraId="07619A1A" w14:textId="7129EEEA" w:rsidR="002A2EC9" w:rsidRPr="00FE29AE" w:rsidRDefault="002A2EC9" w:rsidP="006305CF">
      <w:pPr>
        <w:pStyle w:val="ListParagraph"/>
        <w:widowControl w:val="0"/>
        <w:numPr>
          <w:ilvl w:val="0"/>
          <w:numId w:val="2"/>
        </w:numPr>
        <w:spacing w:after="240" w:line="276" w:lineRule="auto"/>
        <w:contextualSpacing w:val="0"/>
        <w:jc w:val="both"/>
      </w:pPr>
      <w:r w:rsidRPr="00FE29AE">
        <w:t xml:space="preserve">Planned and unplanned downtime should be clearly defined and, where relevant, any unplanned downtime should be notified in a timely way. Downtime should not include scheduled or emergency maintenance. </w:t>
      </w:r>
      <w:r w:rsidRPr="00FE29AE">
        <w:rPr>
          <w:b/>
          <w:bCs/>
        </w:rPr>
        <w:t>Note:</w:t>
      </w:r>
      <w:r w:rsidRPr="00FE29AE">
        <w:t xml:space="preserve"> It is a requirement (NFR </w:t>
      </w:r>
      <w:r w:rsidR="00C604EE" w:rsidRPr="00FE29AE">
        <w:t>4.3</w:t>
      </w:r>
      <w:r w:rsidRPr="00FE29AE">
        <w:t>) that the provider must notify the client of planned maintenance at least 7 days in advance, and of unplanned outages within 30 minutes of detection.</w:t>
      </w:r>
    </w:p>
    <w:p w14:paraId="46618108" w14:textId="77777777" w:rsidR="002A2EC9" w:rsidRPr="00FE29AE" w:rsidRDefault="002A2EC9" w:rsidP="006305CF">
      <w:pPr>
        <w:pStyle w:val="ListParagraph"/>
        <w:widowControl w:val="0"/>
        <w:numPr>
          <w:ilvl w:val="0"/>
          <w:numId w:val="2"/>
        </w:numPr>
        <w:spacing w:after="240" w:line="276" w:lineRule="auto"/>
        <w:contextualSpacing w:val="0"/>
        <w:jc w:val="both"/>
      </w:pPr>
      <w:r w:rsidRPr="00FE29AE">
        <w:t>Planned down time should not be carried forward from period to period; that is, the planned downtime period is set for a discrete period such as a month and, if not used, should not carry forward to another period. Planned downtime must be outside of normal working hours.</w:t>
      </w:r>
    </w:p>
    <w:p w14:paraId="259FE27B" w14:textId="77777777" w:rsidR="002A2EC9" w:rsidRPr="00FE29AE" w:rsidRDefault="002A2EC9" w:rsidP="006305CF">
      <w:pPr>
        <w:pStyle w:val="ListParagraph"/>
        <w:widowControl w:val="0"/>
        <w:numPr>
          <w:ilvl w:val="0"/>
          <w:numId w:val="2"/>
        </w:numPr>
        <w:spacing w:after="240" w:line="276" w:lineRule="auto"/>
        <w:contextualSpacing w:val="0"/>
        <w:jc w:val="both"/>
      </w:pPr>
      <w:r w:rsidRPr="00FE29AE">
        <w:t>The SLA should include a provision that the services terms and conditions will not be subject to change without the Contracting Authority’s agreement.</w:t>
      </w:r>
    </w:p>
    <w:p w14:paraId="01C0429B" w14:textId="77777777" w:rsidR="002A2EC9" w:rsidRPr="00FE29AE" w:rsidRDefault="002A2EC9" w:rsidP="006305CF">
      <w:pPr>
        <w:pStyle w:val="ListParagraph"/>
        <w:widowControl w:val="0"/>
        <w:numPr>
          <w:ilvl w:val="0"/>
          <w:numId w:val="2"/>
        </w:numPr>
        <w:spacing w:after="240" w:line="276" w:lineRule="auto"/>
        <w:contextualSpacing w:val="0"/>
        <w:jc w:val="both"/>
      </w:pPr>
      <w:r w:rsidRPr="00FE29AE">
        <w:t xml:space="preserve">The SLA should include a proposed service credit regime for failing to meet SLA commitments and it should be clear and unambiguous. </w:t>
      </w:r>
    </w:p>
    <w:p w14:paraId="47C7F772" w14:textId="77777777" w:rsidR="002A2EC9" w:rsidRPr="00FE29AE" w:rsidRDefault="002A2EC9" w:rsidP="002A2EC9">
      <w:pPr>
        <w:spacing w:after="240" w:line="276" w:lineRule="auto"/>
        <w:jc w:val="both"/>
      </w:pPr>
      <w:r w:rsidRPr="00FE29AE">
        <w:t xml:space="preserve">In addition to the requirements set out above, Tenderers are also welcome to propose additional service level components or approaches should they wish to do so. </w:t>
      </w:r>
    </w:p>
    <w:p w14:paraId="5D6CA0AA" w14:textId="0F61FEE1" w:rsidR="002A2EC9" w:rsidRPr="00FE29AE" w:rsidRDefault="002A2EC9" w:rsidP="002A2EC9">
      <w:pPr>
        <w:spacing w:after="240" w:line="276" w:lineRule="auto"/>
        <w:jc w:val="both"/>
        <w:rPr>
          <w:b/>
          <w:bCs/>
        </w:rPr>
      </w:pPr>
      <w:r w:rsidRPr="00FE29AE">
        <w:rPr>
          <w:b/>
          <w:bCs/>
        </w:rPr>
        <w:t>1.</w:t>
      </w:r>
      <w:r w:rsidR="00C869D5" w:rsidRPr="00FE29AE">
        <w:rPr>
          <w:b/>
          <w:bCs/>
        </w:rPr>
        <w:t>5</w:t>
      </w:r>
      <w:r w:rsidRPr="00FE29AE">
        <w:rPr>
          <w:b/>
          <w:bCs/>
        </w:rPr>
        <w:t>.6 Exit Management</w:t>
      </w:r>
    </w:p>
    <w:p w14:paraId="2B5C78D8" w14:textId="17C0D900" w:rsidR="002A2EC9" w:rsidRPr="00FE29AE" w:rsidRDefault="002A2EC9" w:rsidP="002A2EC9">
      <w:pPr>
        <w:spacing w:after="240" w:line="276" w:lineRule="auto"/>
        <w:jc w:val="both"/>
      </w:pPr>
      <w:r w:rsidRPr="00FE29AE">
        <w:t xml:space="preserve">It is a requirement of IFI that Tenderer shall provide all reasonable technical and other assistance (including remote and onsite assistance and know-how transfer (if required)), and co-operation to the Customer to ensure the successful transfer of all Customer Data in its possession and control to either the Customer or to an alternative </w:t>
      </w:r>
      <w:r w:rsidR="00B75037" w:rsidRPr="00FE29AE">
        <w:t>third-party</w:t>
      </w:r>
      <w:r w:rsidRPr="00FE29AE">
        <w:t xml:space="preserve"> supplier in the format and on the media as directed by the Customer.</w:t>
      </w:r>
      <w:r w:rsidR="0D23C8BC" w:rsidRPr="00FE29AE">
        <w:t xml:space="preserve"> Due consideration must be given to time constraints and ensuring process is closed off as efficiently as possible.</w:t>
      </w:r>
    </w:p>
    <w:p w14:paraId="1594BD34" w14:textId="77777777" w:rsidR="002A2EC9" w:rsidRPr="00FE29AE" w:rsidRDefault="002A2EC9" w:rsidP="002A2EC9">
      <w:pPr>
        <w:spacing w:after="240" w:line="276" w:lineRule="auto"/>
        <w:jc w:val="both"/>
      </w:pPr>
      <w:r w:rsidRPr="00FE29AE">
        <w:t>Tenders are asked to provide details of their exit management approach in the event of termination of the contract between the Tenderer and the Contracting Authority.</w:t>
      </w:r>
    </w:p>
    <w:p w14:paraId="3759393D" w14:textId="01595BA9" w:rsidR="00396254" w:rsidRPr="00FE29AE" w:rsidRDefault="00396254" w:rsidP="00396254">
      <w:pPr>
        <w:pStyle w:val="Heading1"/>
      </w:pPr>
      <w:bookmarkStart w:id="13" w:name="_Toc1205852923"/>
      <w:r>
        <w:t xml:space="preserve">1.6 </w:t>
      </w:r>
      <w:r w:rsidR="7920D219">
        <w:t xml:space="preserve">AWARD CRITERIA F: </w:t>
      </w:r>
      <w:r>
        <w:t>Requirements – Sustainability</w:t>
      </w:r>
      <w:r w:rsidR="00A81FBB">
        <w:t>/ Environmental</w:t>
      </w:r>
      <w:bookmarkEnd w:id="13"/>
    </w:p>
    <w:p w14:paraId="43AD0A8F" w14:textId="77777777" w:rsidR="00E720A6" w:rsidRPr="00FE29AE" w:rsidRDefault="00E720A6" w:rsidP="00E720A6">
      <w:pPr>
        <w:spacing w:after="240" w:line="276" w:lineRule="auto"/>
        <w:jc w:val="both"/>
      </w:pPr>
      <w:r w:rsidRPr="00FE29AE">
        <w:t>Tenderers must demonstrate that adequate measures are in place to ensure the delivery of a sustainable, environmentally friendly service:</w:t>
      </w:r>
    </w:p>
    <w:p w14:paraId="607AF16E" w14:textId="77777777" w:rsidR="00E720A6" w:rsidRPr="00FE29AE" w:rsidRDefault="00E720A6" w:rsidP="006305CF">
      <w:pPr>
        <w:pStyle w:val="ListParagraph"/>
        <w:widowControl w:val="0"/>
        <w:numPr>
          <w:ilvl w:val="0"/>
          <w:numId w:val="7"/>
        </w:numPr>
        <w:spacing w:after="240" w:line="276" w:lineRule="auto"/>
        <w:contextualSpacing w:val="0"/>
        <w:jc w:val="both"/>
      </w:pPr>
      <w:r w:rsidRPr="00FE29AE">
        <w:t>Describe the Tenderer’s policy and procedures for environmental management.</w:t>
      </w:r>
    </w:p>
    <w:p w14:paraId="678CEEDC" w14:textId="77777777" w:rsidR="00E720A6" w:rsidRPr="00FE29AE" w:rsidRDefault="00E720A6" w:rsidP="006305CF">
      <w:pPr>
        <w:pStyle w:val="ListParagraph"/>
        <w:widowControl w:val="0"/>
        <w:numPr>
          <w:ilvl w:val="0"/>
          <w:numId w:val="7"/>
        </w:numPr>
        <w:spacing w:after="240" w:line="276" w:lineRule="auto"/>
        <w:contextualSpacing w:val="0"/>
        <w:jc w:val="both"/>
      </w:pPr>
      <w:r w:rsidRPr="00FE29AE">
        <w:lastRenderedPageBreak/>
        <w:t>If third-party certified, provide details</w:t>
      </w:r>
    </w:p>
    <w:p w14:paraId="24B46F53" w14:textId="015FCF1D" w:rsidR="00E720A6" w:rsidRPr="00FE29AE" w:rsidRDefault="00E720A6" w:rsidP="00E720A6">
      <w:pPr>
        <w:spacing w:after="240" w:line="276" w:lineRule="auto"/>
        <w:jc w:val="both"/>
      </w:pPr>
      <w:r w:rsidRPr="00FE29AE">
        <w:rPr>
          <w:b/>
          <w:bCs/>
        </w:rPr>
        <w:t>Note:</w:t>
      </w:r>
      <w:r w:rsidRPr="00FE29AE">
        <w:t xml:space="preserve"> In describing their policies and procedures, </w:t>
      </w:r>
      <w:r w:rsidR="3FC8EAE7" w:rsidRPr="00B72C83">
        <w:t xml:space="preserve">Tenderers should describe how their respective company, </w:t>
      </w:r>
      <w:proofErr w:type="gramStart"/>
      <w:r w:rsidR="3FC8EAE7" w:rsidRPr="00B72C83">
        <w:t>in particular how</w:t>
      </w:r>
      <w:proofErr w:type="gramEnd"/>
      <w:r w:rsidR="3FC8EAE7" w:rsidRPr="00B72C83">
        <w:t xml:space="preserve"> the green criteria is incorporated into the service and supply chain</w:t>
      </w:r>
      <w:r w:rsidRPr="00B72C83">
        <w:t>. For Data services / hosting platforms this can include (but is not limited to):</w:t>
      </w:r>
    </w:p>
    <w:p w14:paraId="0664047F" w14:textId="7958E67A" w:rsidR="004B502D" w:rsidRPr="00FE29AE" w:rsidRDefault="004B502D" w:rsidP="004B502D">
      <w:pPr>
        <w:widowControl w:val="0"/>
        <w:numPr>
          <w:ilvl w:val="0"/>
          <w:numId w:val="11"/>
        </w:numPr>
        <w:ind w:right="462"/>
        <w:contextualSpacing/>
        <w:jc w:val="both"/>
      </w:pPr>
      <w:r w:rsidRPr="00FE29AE">
        <w:t xml:space="preserve">Steps taken to verify energy efficiency of ICT and data centre services </w:t>
      </w:r>
    </w:p>
    <w:p w14:paraId="460D1ED4" w14:textId="77777777" w:rsidR="004B502D" w:rsidRPr="00FE29AE" w:rsidRDefault="004B502D" w:rsidP="004B502D">
      <w:pPr>
        <w:widowControl w:val="0"/>
        <w:numPr>
          <w:ilvl w:val="0"/>
          <w:numId w:val="11"/>
        </w:numPr>
        <w:ind w:right="462"/>
        <w:contextualSpacing/>
        <w:jc w:val="both"/>
      </w:pPr>
      <w:r w:rsidRPr="00FE29AE">
        <w:t>Use of renewable energy sources by ICT and data centre services</w:t>
      </w:r>
    </w:p>
    <w:p w14:paraId="006488AE" w14:textId="77777777" w:rsidR="004B502D" w:rsidRPr="00FE29AE" w:rsidRDefault="004B502D" w:rsidP="004B502D">
      <w:pPr>
        <w:widowControl w:val="0"/>
        <w:numPr>
          <w:ilvl w:val="0"/>
          <w:numId w:val="11"/>
        </w:numPr>
        <w:ind w:right="462"/>
        <w:jc w:val="both"/>
      </w:pPr>
      <w:r w:rsidRPr="00FE29AE">
        <w:t>Responsible sourcing and end-of-life management</w:t>
      </w:r>
    </w:p>
    <w:p w14:paraId="2BDC30A3" w14:textId="77777777" w:rsidR="004B502D" w:rsidRPr="00FE29AE" w:rsidRDefault="004B502D" w:rsidP="004B502D">
      <w:pPr>
        <w:widowControl w:val="0"/>
        <w:numPr>
          <w:ilvl w:val="0"/>
          <w:numId w:val="11"/>
        </w:numPr>
        <w:ind w:right="462"/>
        <w:jc w:val="both"/>
      </w:pPr>
      <w:r w:rsidRPr="00FE29AE">
        <w:t xml:space="preserve">Renewable energy initiatives – solar, wind </w:t>
      </w:r>
    </w:p>
    <w:p w14:paraId="3942A440" w14:textId="77777777" w:rsidR="004B502D" w:rsidRPr="00FE29AE" w:rsidRDefault="004B502D" w:rsidP="004B502D">
      <w:pPr>
        <w:widowControl w:val="0"/>
        <w:numPr>
          <w:ilvl w:val="0"/>
          <w:numId w:val="11"/>
        </w:numPr>
        <w:ind w:right="462"/>
        <w:contextualSpacing/>
        <w:jc w:val="both"/>
      </w:pPr>
      <w:r w:rsidRPr="00FE29AE">
        <w:t>Promotion of Sustainable Transport - Electric Vehicles, Hydro Treated Vegetable Oil, Electric Bikes, Smarter Travel Mark</w:t>
      </w:r>
    </w:p>
    <w:p w14:paraId="4CA3F49B" w14:textId="77777777" w:rsidR="004B502D" w:rsidRPr="00FE29AE" w:rsidRDefault="004B502D" w:rsidP="004B502D">
      <w:pPr>
        <w:widowControl w:val="0"/>
        <w:numPr>
          <w:ilvl w:val="0"/>
          <w:numId w:val="11"/>
        </w:numPr>
        <w:ind w:right="462"/>
        <w:contextualSpacing/>
        <w:jc w:val="both"/>
      </w:pPr>
      <w:r w:rsidRPr="00FE29AE">
        <w:t xml:space="preserve">Energy efficient design in buildings </w:t>
      </w:r>
    </w:p>
    <w:p w14:paraId="48EBB17B" w14:textId="77777777" w:rsidR="004B502D" w:rsidRPr="00FE29AE" w:rsidRDefault="004B502D" w:rsidP="004B502D">
      <w:pPr>
        <w:widowControl w:val="0"/>
        <w:numPr>
          <w:ilvl w:val="0"/>
          <w:numId w:val="11"/>
        </w:numPr>
        <w:ind w:right="462"/>
        <w:contextualSpacing/>
        <w:jc w:val="both"/>
      </w:pPr>
      <w:r w:rsidRPr="00FE29AE">
        <w:t xml:space="preserve">Green Teams </w:t>
      </w:r>
    </w:p>
    <w:p w14:paraId="150486FD" w14:textId="77777777" w:rsidR="004B502D" w:rsidRPr="00FE29AE" w:rsidRDefault="004B502D" w:rsidP="004B502D">
      <w:pPr>
        <w:widowControl w:val="0"/>
        <w:numPr>
          <w:ilvl w:val="0"/>
          <w:numId w:val="11"/>
        </w:numPr>
        <w:ind w:right="462"/>
        <w:contextualSpacing/>
        <w:jc w:val="both"/>
      </w:pPr>
      <w:r w:rsidRPr="00FE29AE">
        <w:t>Energy Management Systems</w:t>
      </w:r>
    </w:p>
    <w:p w14:paraId="48D0F56B" w14:textId="77777777" w:rsidR="00A81FBB" w:rsidRPr="00FE29AE" w:rsidRDefault="00A81FBB" w:rsidP="00A81FBB"/>
    <w:p w14:paraId="5FEBEC51" w14:textId="21653B76" w:rsidR="00CB29DC" w:rsidRPr="00FE29AE" w:rsidRDefault="00CB29DC" w:rsidP="00F709E5">
      <w:pPr>
        <w:pStyle w:val="ListParagraph"/>
        <w:widowControl w:val="0"/>
        <w:tabs>
          <w:tab w:val="center" w:pos="4513"/>
        </w:tabs>
        <w:autoSpaceDE w:val="0"/>
        <w:autoSpaceDN w:val="0"/>
        <w:spacing w:after="240" w:line="276" w:lineRule="auto"/>
        <w:ind w:left="1440"/>
        <w:contextualSpacing w:val="0"/>
      </w:pPr>
      <w:r w:rsidRPr="00FE29AE">
        <w:rPr>
          <w:rFonts w:eastAsiaTheme="minorEastAsia"/>
        </w:rPr>
        <w:br w:type="page"/>
      </w:r>
    </w:p>
    <w:p w14:paraId="1C0BB9FA" w14:textId="1D77A61A" w:rsidR="001F2ACC" w:rsidRPr="00FE29AE" w:rsidRDefault="001F2ACC" w:rsidP="000F61D5">
      <w:pPr>
        <w:pStyle w:val="Heading1"/>
      </w:pPr>
      <w:bookmarkStart w:id="14" w:name="_Toc1173915425"/>
      <w:r>
        <w:lastRenderedPageBreak/>
        <w:t xml:space="preserve"> </w:t>
      </w:r>
      <w:r w:rsidR="03301370">
        <w:t xml:space="preserve">AWARD CRITERIA G: </w:t>
      </w:r>
      <w:r w:rsidR="00164C53">
        <w:t>Pricing Schedule</w:t>
      </w:r>
      <w:bookmarkEnd w:id="14"/>
    </w:p>
    <w:p w14:paraId="38A14495" w14:textId="10BFDAE4" w:rsidR="00393678" w:rsidRPr="00FE29AE" w:rsidRDefault="00393678" w:rsidP="32255072">
      <w:pPr>
        <w:pStyle w:val="BodyText"/>
        <w:spacing w:before="56" w:after="240" w:line="276" w:lineRule="auto"/>
        <w:ind w:left="138" w:right="1000"/>
        <w:rPr>
          <w:b/>
          <w:bCs/>
          <w:lang w:val="en-IE"/>
        </w:rPr>
      </w:pPr>
      <w:r w:rsidRPr="00FE29AE">
        <w:rPr>
          <w:b/>
          <w:bCs/>
          <w:lang w:val="en-IE"/>
        </w:rPr>
        <w:t xml:space="preserve">Tenderers are required to complete the pricing table(s) </w:t>
      </w:r>
      <w:r w:rsidR="26292EC4" w:rsidRPr="00FE29AE">
        <w:rPr>
          <w:b/>
          <w:bCs/>
          <w:lang w:val="en-IE"/>
        </w:rPr>
        <w:t>in Appendix 2</w:t>
      </w:r>
      <w:r w:rsidRPr="00FE29AE">
        <w:rPr>
          <w:b/>
          <w:bCs/>
          <w:spacing w:val="31"/>
          <w:lang w:val="en-IE"/>
        </w:rPr>
        <w:t>– Pricing Schedule which</w:t>
      </w:r>
      <w:r w:rsidRPr="32255072">
        <w:rPr>
          <w:b/>
          <w:bCs/>
          <w:lang w:val="en-IE"/>
        </w:rPr>
        <w:t xml:space="preserve"> is provided as a separate attachment to this RFT.</w:t>
      </w:r>
    </w:p>
    <w:p w14:paraId="1DD0D47C" w14:textId="77777777" w:rsidR="00393678" w:rsidRPr="00FE29AE" w:rsidRDefault="00393678" w:rsidP="00393678">
      <w:pPr>
        <w:pStyle w:val="BodyText"/>
        <w:spacing w:before="164" w:after="240" w:line="276" w:lineRule="auto"/>
        <w:ind w:left="138"/>
        <w:rPr>
          <w:lang w:val="en-IE"/>
        </w:rPr>
      </w:pPr>
      <w:r w:rsidRPr="00FE29AE">
        <w:rPr>
          <w:lang w:val="en-IE"/>
        </w:rPr>
        <w:t>RFT</w:t>
      </w:r>
      <w:r w:rsidRPr="00FE29AE">
        <w:rPr>
          <w:spacing w:val="4"/>
          <w:lang w:val="en-IE"/>
        </w:rPr>
        <w:t xml:space="preserve"> </w:t>
      </w:r>
      <w:r w:rsidRPr="00FE29AE">
        <w:rPr>
          <w:lang w:val="en-IE"/>
        </w:rPr>
        <w:t>Tender</w:t>
      </w:r>
      <w:r w:rsidRPr="00FE29AE">
        <w:rPr>
          <w:spacing w:val="5"/>
          <w:lang w:val="en-IE"/>
        </w:rPr>
        <w:t xml:space="preserve"> </w:t>
      </w:r>
      <w:r w:rsidRPr="00FE29AE">
        <w:rPr>
          <w:lang w:val="en-IE"/>
        </w:rPr>
        <w:t>prices</w:t>
      </w:r>
      <w:r w:rsidRPr="00FE29AE">
        <w:rPr>
          <w:spacing w:val="2"/>
          <w:lang w:val="en-IE"/>
        </w:rPr>
        <w:t xml:space="preserve"> </w:t>
      </w:r>
      <w:r w:rsidRPr="00FE29AE">
        <w:rPr>
          <w:lang w:val="en-IE"/>
        </w:rPr>
        <w:t>will</w:t>
      </w:r>
      <w:r w:rsidRPr="00FE29AE">
        <w:rPr>
          <w:spacing w:val="4"/>
          <w:lang w:val="en-IE"/>
        </w:rPr>
        <w:t xml:space="preserve"> </w:t>
      </w:r>
      <w:r w:rsidRPr="00FE29AE">
        <w:rPr>
          <w:lang w:val="en-IE"/>
        </w:rPr>
        <w:t>be</w:t>
      </w:r>
      <w:r w:rsidRPr="00FE29AE">
        <w:rPr>
          <w:spacing w:val="5"/>
          <w:lang w:val="en-IE"/>
        </w:rPr>
        <w:t xml:space="preserve"> </w:t>
      </w:r>
      <w:r w:rsidRPr="00FE29AE">
        <w:rPr>
          <w:lang w:val="en-IE"/>
        </w:rPr>
        <w:t>evaluated</w:t>
      </w:r>
      <w:r w:rsidRPr="00FE29AE">
        <w:rPr>
          <w:spacing w:val="4"/>
          <w:lang w:val="en-IE"/>
        </w:rPr>
        <w:t xml:space="preserve"> </w:t>
      </w:r>
      <w:r w:rsidRPr="00FE29AE">
        <w:rPr>
          <w:lang w:val="en-IE"/>
        </w:rPr>
        <w:t>based</w:t>
      </w:r>
      <w:r w:rsidRPr="00FE29AE">
        <w:rPr>
          <w:spacing w:val="2"/>
          <w:lang w:val="en-IE"/>
        </w:rPr>
        <w:t xml:space="preserve"> </w:t>
      </w:r>
      <w:r w:rsidRPr="00FE29AE">
        <w:rPr>
          <w:lang w:val="en-IE"/>
        </w:rPr>
        <w:t>on</w:t>
      </w:r>
      <w:r w:rsidRPr="00FE29AE">
        <w:rPr>
          <w:spacing w:val="3"/>
          <w:lang w:val="en-IE"/>
        </w:rPr>
        <w:t xml:space="preserve"> </w:t>
      </w:r>
      <w:r w:rsidRPr="00FE29AE">
        <w:rPr>
          <w:lang w:val="en-IE"/>
        </w:rPr>
        <w:t>the</w:t>
      </w:r>
      <w:r w:rsidRPr="00FE29AE">
        <w:rPr>
          <w:spacing w:val="5"/>
          <w:lang w:val="en-IE"/>
        </w:rPr>
        <w:t xml:space="preserve"> Overall cost</w:t>
      </w:r>
      <w:r w:rsidRPr="00FE29AE">
        <w:rPr>
          <w:b/>
          <w:spacing w:val="8"/>
          <w:lang w:val="en-IE"/>
        </w:rPr>
        <w:t xml:space="preserve"> </w:t>
      </w:r>
      <w:r w:rsidRPr="00FE29AE">
        <w:rPr>
          <w:lang w:val="en-IE"/>
        </w:rPr>
        <w:t>(excl.</w:t>
      </w:r>
      <w:r w:rsidRPr="00FE29AE">
        <w:rPr>
          <w:spacing w:val="4"/>
          <w:lang w:val="en-IE"/>
        </w:rPr>
        <w:t xml:space="preserve"> </w:t>
      </w:r>
      <w:r w:rsidRPr="00FE29AE">
        <w:rPr>
          <w:lang w:val="en-IE"/>
        </w:rPr>
        <w:t xml:space="preserve">VAT). </w:t>
      </w:r>
    </w:p>
    <w:p w14:paraId="6F74500B" w14:textId="23207FC6" w:rsidR="00393678" w:rsidRPr="00FE29AE" w:rsidRDefault="00393678" w:rsidP="32255072">
      <w:pPr>
        <w:pStyle w:val="BodyText"/>
        <w:spacing w:before="161" w:after="240" w:line="276" w:lineRule="auto"/>
        <w:ind w:left="138"/>
        <w:rPr>
          <w:sz w:val="24"/>
          <w:szCs w:val="24"/>
          <w:lang w:val="en-IE"/>
        </w:rPr>
      </w:pPr>
      <w:r w:rsidRPr="00FE29AE">
        <w:rPr>
          <w:lang w:val="en-IE"/>
        </w:rPr>
        <w:t>If</w:t>
      </w:r>
      <w:r w:rsidRPr="00FE29AE">
        <w:rPr>
          <w:spacing w:val="-11"/>
          <w:lang w:val="en-IE"/>
        </w:rPr>
        <w:t xml:space="preserve"> </w:t>
      </w:r>
      <w:r w:rsidRPr="00FE29AE">
        <w:rPr>
          <w:lang w:val="en-IE"/>
        </w:rPr>
        <w:t>Tenderers</w:t>
      </w:r>
      <w:r w:rsidRPr="00FE29AE">
        <w:rPr>
          <w:spacing w:val="-10"/>
          <w:lang w:val="en-IE"/>
        </w:rPr>
        <w:t xml:space="preserve"> </w:t>
      </w:r>
      <w:r w:rsidRPr="00FE29AE">
        <w:rPr>
          <w:lang w:val="en-IE"/>
        </w:rPr>
        <w:t>have</w:t>
      </w:r>
      <w:r w:rsidRPr="00FE29AE">
        <w:rPr>
          <w:spacing w:val="-9"/>
          <w:lang w:val="en-IE"/>
        </w:rPr>
        <w:t xml:space="preserve"> </w:t>
      </w:r>
      <w:r w:rsidRPr="00FE29AE">
        <w:rPr>
          <w:lang w:val="en-IE"/>
        </w:rPr>
        <w:t>any</w:t>
      </w:r>
      <w:r w:rsidRPr="00FE29AE">
        <w:rPr>
          <w:spacing w:val="-10"/>
          <w:lang w:val="en-IE"/>
        </w:rPr>
        <w:t xml:space="preserve"> </w:t>
      </w:r>
      <w:r w:rsidRPr="00FE29AE">
        <w:rPr>
          <w:lang w:val="en-IE"/>
        </w:rPr>
        <w:t>queries</w:t>
      </w:r>
      <w:r w:rsidRPr="00FE29AE">
        <w:rPr>
          <w:spacing w:val="-10"/>
          <w:lang w:val="en-IE"/>
        </w:rPr>
        <w:t xml:space="preserve"> </w:t>
      </w:r>
      <w:r w:rsidRPr="00FE29AE">
        <w:rPr>
          <w:lang w:val="en-IE"/>
        </w:rPr>
        <w:t>in</w:t>
      </w:r>
      <w:r w:rsidRPr="00FE29AE">
        <w:rPr>
          <w:spacing w:val="-10"/>
          <w:lang w:val="en-IE"/>
        </w:rPr>
        <w:t xml:space="preserve"> </w:t>
      </w:r>
      <w:r w:rsidRPr="00FE29AE">
        <w:rPr>
          <w:lang w:val="en-IE"/>
        </w:rPr>
        <w:t>relation</w:t>
      </w:r>
      <w:r w:rsidRPr="00FE29AE">
        <w:rPr>
          <w:spacing w:val="-11"/>
          <w:lang w:val="en-IE"/>
        </w:rPr>
        <w:t xml:space="preserve"> </w:t>
      </w:r>
      <w:r w:rsidRPr="00FE29AE">
        <w:rPr>
          <w:lang w:val="en-IE"/>
        </w:rPr>
        <w:t>to</w:t>
      </w:r>
      <w:r w:rsidRPr="00FE29AE">
        <w:rPr>
          <w:spacing w:val="-8"/>
          <w:lang w:val="en-IE"/>
        </w:rPr>
        <w:t xml:space="preserve"> </w:t>
      </w:r>
      <w:r w:rsidRPr="00FE29AE">
        <w:rPr>
          <w:lang w:val="en-IE"/>
        </w:rPr>
        <w:t>the</w:t>
      </w:r>
      <w:r w:rsidRPr="00FE29AE">
        <w:rPr>
          <w:spacing w:val="-10"/>
          <w:lang w:val="en-IE"/>
        </w:rPr>
        <w:t xml:space="preserve"> </w:t>
      </w:r>
      <w:r w:rsidRPr="00FE29AE">
        <w:rPr>
          <w:lang w:val="en-IE"/>
        </w:rPr>
        <w:t>Pricing Schedule (</w:t>
      </w:r>
      <w:r w:rsidR="50AB1CE4" w:rsidRPr="00FE29AE">
        <w:rPr>
          <w:lang w:val="en-IE"/>
        </w:rPr>
        <w:t>Appendix</w:t>
      </w:r>
      <w:r w:rsidR="50AB1CE4" w:rsidRPr="00FE29AE">
        <w:rPr>
          <w:spacing w:val="-9"/>
          <w:lang w:val="en-IE"/>
        </w:rPr>
        <w:t xml:space="preserve"> 2</w:t>
      </w:r>
      <w:r w:rsidRPr="32255072">
        <w:rPr>
          <w:lang w:val="en-IE"/>
        </w:rPr>
        <w:t xml:space="preserve">- Pricing Schedule) please use the </w:t>
      </w:r>
      <w:r w:rsidR="000210E3" w:rsidRPr="32255072">
        <w:rPr>
          <w:lang w:val="en-IE"/>
        </w:rPr>
        <w:t>messaging</w:t>
      </w:r>
      <w:r w:rsidR="00EC21B3" w:rsidRPr="32255072">
        <w:rPr>
          <w:lang w:val="en-IE"/>
        </w:rPr>
        <w:t xml:space="preserve"> facility on</w:t>
      </w:r>
      <w:r w:rsidR="000210E3" w:rsidRPr="32255072">
        <w:rPr>
          <w:lang w:val="en-IE"/>
        </w:rPr>
        <w:t xml:space="preserve"> </w:t>
      </w:r>
      <w:r w:rsidRPr="32255072">
        <w:rPr>
          <w:lang w:val="en-IE"/>
        </w:rPr>
        <w:t>eTenders before the deadline date for clarifications.</w:t>
      </w:r>
    </w:p>
    <w:p w14:paraId="5C2F9C46" w14:textId="249A1DFC" w:rsidR="00393678" w:rsidRPr="00FE29AE" w:rsidRDefault="00393678" w:rsidP="006305CF">
      <w:pPr>
        <w:pStyle w:val="ListParagraph"/>
        <w:widowControl w:val="0"/>
        <w:numPr>
          <w:ilvl w:val="1"/>
          <w:numId w:val="22"/>
        </w:numPr>
        <w:tabs>
          <w:tab w:val="left" w:pos="567"/>
        </w:tabs>
        <w:autoSpaceDE w:val="0"/>
        <w:autoSpaceDN w:val="0"/>
        <w:spacing w:after="240" w:line="276" w:lineRule="auto"/>
        <w:ind w:right="799"/>
        <w:contextualSpacing w:val="0"/>
        <w:jc w:val="both"/>
      </w:pPr>
      <w:r w:rsidRPr="00FE29AE">
        <w:t xml:space="preserve">Tenderers must not insert additional items in the Pricing </w:t>
      </w:r>
      <w:r w:rsidR="00D64CDE" w:rsidRPr="00FE29AE">
        <w:t>Schedule or</w:t>
      </w:r>
      <w:r w:rsidRPr="00FE29AE">
        <w:t xml:space="preserve"> make any alterations to</w:t>
      </w:r>
      <w:r w:rsidRPr="00FE29AE">
        <w:rPr>
          <w:spacing w:val="-47"/>
        </w:rPr>
        <w:t xml:space="preserve">        </w:t>
      </w:r>
      <w:r w:rsidRPr="00FE29AE">
        <w:t>the</w:t>
      </w:r>
      <w:r w:rsidRPr="00FE29AE">
        <w:rPr>
          <w:spacing w:val="-1"/>
        </w:rPr>
        <w:t xml:space="preserve"> </w:t>
      </w:r>
      <w:r w:rsidRPr="00FE29AE">
        <w:t>Pricing</w:t>
      </w:r>
      <w:r w:rsidRPr="00FE29AE">
        <w:rPr>
          <w:spacing w:val="-1"/>
        </w:rPr>
        <w:t xml:space="preserve"> </w:t>
      </w:r>
      <w:r w:rsidRPr="00FE29AE">
        <w:t xml:space="preserve">Schedule. Except in those places where it is indicated as acceptable, Tenderers must not insert additional items in the Pricing </w:t>
      </w:r>
      <w:r w:rsidR="00D64CDE" w:rsidRPr="00FE29AE">
        <w:t>Schedule or</w:t>
      </w:r>
      <w:r w:rsidRPr="00FE29AE">
        <w:t xml:space="preserve"> make any alterations to the Pricing Schedule.</w:t>
      </w:r>
    </w:p>
    <w:p w14:paraId="3569801C" w14:textId="77777777" w:rsidR="00393678" w:rsidRPr="00FE29AE" w:rsidRDefault="00393678" w:rsidP="006305CF">
      <w:pPr>
        <w:pStyle w:val="ListParagraph"/>
        <w:widowControl w:val="0"/>
        <w:numPr>
          <w:ilvl w:val="1"/>
          <w:numId w:val="22"/>
        </w:numPr>
        <w:tabs>
          <w:tab w:val="left" w:pos="567"/>
        </w:tabs>
        <w:autoSpaceDE w:val="0"/>
        <w:autoSpaceDN w:val="0"/>
        <w:spacing w:after="240" w:line="276" w:lineRule="auto"/>
        <w:ind w:right="723"/>
        <w:contextualSpacing w:val="0"/>
      </w:pPr>
      <w:r w:rsidRPr="00FE29AE">
        <w:t>Variations and/or qualifications to the Pricing Schedule are not permitted and will result in the</w:t>
      </w:r>
      <w:r w:rsidRPr="00FE29AE">
        <w:rPr>
          <w:spacing w:val="-47"/>
        </w:rPr>
        <w:t xml:space="preserve"> </w:t>
      </w:r>
      <w:r w:rsidRPr="00FE29AE">
        <w:t>Tenderer</w:t>
      </w:r>
      <w:r w:rsidRPr="00FE29AE">
        <w:rPr>
          <w:spacing w:val="-2"/>
        </w:rPr>
        <w:t xml:space="preserve"> </w:t>
      </w:r>
      <w:r w:rsidRPr="00FE29AE">
        <w:t>being</w:t>
      </w:r>
      <w:r w:rsidRPr="00FE29AE">
        <w:rPr>
          <w:spacing w:val="-2"/>
        </w:rPr>
        <w:t xml:space="preserve"> </w:t>
      </w:r>
      <w:r w:rsidRPr="00FE29AE">
        <w:t>eliminated</w:t>
      </w:r>
      <w:r w:rsidRPr="00FE29AE">
        <w:rPr>
          <w:spacing w:val="-3"/>
        </w:rPr>
        <w:t xml:space="preserve"> </w:t>
      </w:r>
      <w:r w:rsidRPr="00FE29AE">
        <w:t>from</w:t>
      </w:r>
      <w:r w:rsidRPr="00FE29AE">
        <w:rPr>
          <w:spacing w:val="-2"/>
        </w:rPr>
        <w:t xml:space="preserve"> </w:t>
      </w:r>
      <w:r w:rsidRPr="00FE29AE">
        <w:t>the</w:t>
      </w:r>
      <w:r w:rsidRPr="00FE29AE">
        <w:rPr>
          <w:spacing w:val="-2"/>
        </w:rPr>
        <w:t xml:space="preserve"> </w:t>
      </w:r>
      <w:r w:rsidRPr="00FE29AE">
        <w:t>Competition.</w:t>
      </w:r>
    </w:p>
    <w:p w14:paraId="2B64906F" w14:textId="77777777" w:rsidR="00393678" w:rsidRPr="00FE29AE" w:rsidRDefault="00393678" w:rsidP="006305CF">
      <w:pPr>
        <w:numPr>
          <w:ilvl w:val="0"/>
          <w:numId w:val="54"/>
        </w:numPr>
        <w:autoSpaceDE w:val="0"/>
        <w:autoSpaceDN w:val="0"/>
        <w:adjustRightInd w:val="0"/>
        <w:spacing w:after="240" w:line="276" w:lineRule="auto"/>
        <w:ind w:left="720" w:hanging="360"/>
        <w:contextualSpacing/>
      </w:pPr>
      <w:r w:rsidRPr="00FE29AE">
        <w:t xml:space="preserve">The rates and prices quoted in the Pricing Schedule must be all-inclusive and </w:t>
      </w:r>
      <w:r w:rsidRPr="00FE29AE">
        <w:rPr>
          <w:bCs/>
          <w:u w:val="single"/>
        </w:rPr>
        <w:t>include all costs</w:t>
      </w:r>
      <w:r w:rsidRPr="00FE29AE">
        <w:t xml:space="preserve"> associated with the provision of these services, howsoever incurred (including but not limited to any / all ancillary costs and incidental expenses) together with all general risks, liabilities, and obligations set out or implied in this Request for Tenders and the Contract.</w:t>
      </w:r>
      <w:r w:rsidRPr="00FE29AE">
        <w:rPr>
          <w:b/>
        </w:rPr>
        <w:t xml:space="preserve"> </w:t>
      </w:r>
      <w:r w:rsidRPr="00FE29AE">
        <w:t xml:space="preserve"> </w:t>
      </w:r>
    </w:p>
    <w:p w14:paraId="4C05B922" w14:textId="4B542026" w:rsidR="00393678" w:rsidRPr="00543542" w:rsidRDefault="00393678" w:rsidP="32255072">
      <w:pPr>
        <w:pStyle w:val="ListParagraph"/>
        <w:widowControl w:val="0"/>
        <w:numPr>
          <w:ilvl w:val="1"/>
          <w:numId w:val="22"/>
        </w:numPr>
        <w:tabs>
          <w:tab w:val="left" w:pos="567"/>
        </w:tabs>
        <w:autoSpaceDE w:val="0"/>
        <w:autoSpaceDN w:val="0"/>
        <w:spacing w:after="240" w:line="276" w:lineRule="auto"/>
        <w:ind w:right="669"/>
        <w:contextualSpacing w:val="0"/>
        <w:rPr>
          <w:b/>
          <w:bCs/>
        </w:rPr>
      </w:pPr>
      <w:r w:rsidRPr="00543542">
        <w:t>All rates and prices quoted in the pricing schedules must be in Euros [€], to two decimal places,</w:t>
      </w:r>
      <w:r w:rsidRPr="00543542">
        <w:rPr>
          <w:spacing w:val="-47"/>
        </w:rPr>
        <w:t xml:space="preserve"> </w:t>
      </w:r>
      <w:r w:rsidRPr="00543542">
        <w:t>exclusive of VAT, except as expressly provided.</w:t>
      </w:r>
      <w:r w:rsidR="391C05C9" w:rsidRPr="00543542">
        <w:t xml:space="preserve"> P</w:t>
      </w:r>
      <w:r w:rsidRPr="00543542">
        <w:t>rices</w:t>
      </w:r>
      <w:r w:rsidRPr="00543542">
        <w:rPr>
          <w:spacing w:val="-1"/>
        </w:rPr>
        <w:t xml:space="preserve"> </w:t>
      </w:r>
      <w:r w:rsidRPr="00543542">
        <w:t>quoted in</w:t>
      </w:r>
      <w:r w:rsidRPr="00543542">
        <w:rPr>
          <w:spacing w:val="-1"/>
        </w:rPr>
        <w:t xml:space="preserve"> </w:t>
      </w:r>
      <w:r w:rsidRPr="00543542">
        <w:t>Tenders</w:t>
      </w:r>
      <w:r w:rsidRPr="00543542">
        <w:rPr>
          <w:spacing w:val="-3"/>
        </w:rPr>
        <w:t xml:space="preserve"> </w:t>
      </w:r>
      <w:r w:rsidRPr="00543542">
        <w:t>will</w:t>
      </w:r>
      <w:r w:rsidRPr="00543542">
        <w:rPr>
          <w:spacing w:val="-1"/>
        </w:rPr>
        <w:t xml:space="preserve"> </w:t>
      </w:r>
      <w:r w:rsidRPr="00543542">
        <w:t>remain</w:t>
      </w:r>
      <w:r w:rsidRPr="00543542">
        <w:rPr>
          <w:spacing w:val="-4"/>
        </w:rPr>
        <w:t xml:space="preserve"> </w:t>
      </w:r>
      <w:r w:rsidRPr="00543542">
        <w:t>valid</w:t>
      </w:r>
      <w:r w:rsidRPr="00543542">
        <w:rPr>
          <w:spacing w:val="-1"/>
        </w:rPr>
        <w:t xml:space="preserve"> </w:t>
      </w:r>
      <w:r w:rsidRPr="00543542">
        <w:t>for</w:t>
      </w:r>
      <w:r w:rsidRPr="00543542">
        <w:rPr>
          <w:spacing w:val="-1"/>
        </w:rPr>
        <w:t xml:space="preserve"> </w:t>
      </w:r>
      <w:r w:rsidRPr="00543542">
        <w:rPr>
          <w:b/>
          <w:bCs/>
          <w:spacing w:val="-1"/>
        </w:rPr>
        <w:t xml:space="preserve">entire duration of </w:t>
      </w:r>
      <w:r w:rsidR="00543542" w:rsidRPr="00543542">
        <w:rPr>
          <w:b/>
          <w:bCs/>
          <w:spacing w:val="-1"/>
        </w:rPr>
        <w:t>contract</w:t>
      </w:r>
      <w:r w:rsidR="00543542" w:rsidRPr="00543542">
        <w:rPr>
          <w:spacing w:val="-2"/>
        </w:rPr>
        <w:t xml:space="preserve"> (</w:t>
      </w:r>
      <w:r w:rsidRPr="00543542">
        <w:rPr>
          <w:spacing w:val="-2"/>
        </w:rPr>
        <w:t xml:space="preserve">including any extensions) </w:t>
      </w:r>
      <w:r w:rsidRPr="00543542">
        <w:t>from</w:t>
      </w:r>
      <w:r w:rsidRPr="00543542">
        <w:rPr>
          <w:spacing w:val="-1"/>
        </w:rPr>
        <w:t xml:space="preserve"> </w:t>
      </w:r>
      <w:r w:rsidRPr="00543542">
        <w:t>the</w:t>
      </w:r>
      <w:r w:rsidRPr="00543542">
        <w:rPr>
          <w:spacing w:val="-3"/>
        </w:rPr>
        <w:t xml:space="preserve"> </w:t>
      </w:r>
      <w:r w:rsidRPr="00543542">
        <w:t>Tender Deadline</w:t>
      </w:r>
      <w:r w:rsidRPr="32255072">
        <w:rPr>
          <w:b/>
          <w:bCs/>
        </w:rPr>
        <w:t>.</w:t>
      </w:r>
    </w:p>
    <w:p w14:paraId="2ED8CA5A" w14:textId="77777777" w:rsidR="008C4202" w:rsidRPr="00FE29AE" w:rsidRDefault="008C4202">
      <w:pPr>
        <w:rPr>
          <w:b/>
          <w:bCs/>
        </w:rPr>
      </w:pPr>
    </w:p>
    <w:p w14:paraId="67BE0938" w14:textId="77777777" w:rsidR="008C4202" w:rsidRPr="00FE29AE" w:rsidRDefault="008C4202">
      <w:pPr>
        <w:rPr>
          <w:b/>
          <w:bCs/>
        </w:rPr>
      </w:pPr>
    </w:p>
    <w:p w14:paraId="175F4147" w14:textId="76551D26" w:rsidR="00DF6214" w:rsidRPr="00FE29AE" w:rsidRDefault="00DF6214">
      <w:pPr>
        <w:rPr>
          <w:b/>
          <w:bCs/>
        </w:rPr>
      </w:pPr>
      <w:r w:rsidRPr="00FE29AE">
        <w:rPr>
          <w:b/>
          <w:bCs/>
        </w:rPr>
        <w:t>Scoring Methodology for Pricing Schedule</w:t>
      </w:r>
    </w:p>
    <w:p w14:paraId="37E0BB01" w14:textId="77777777" w:rsidR="00AB2757" w:rsidRPr="00FE29AE" w:rsidRDefault="00AB2757" w:rsidP="00DA7B4F">
      <w:pPr>
        <w:pStyle w:val="BodyText"/>
        <w:spacing w:before="57" w:line="271" w:lineRule="auto"/>
        <w:rPr>
          <w:lang w:val="en-IE"/>
        </w:rPr>
      </w:pPr>
      <w:proofErr w:type="gramStart"/>
      <w:r w:rsidRPr="00FE29AE">
        <w:rPr>
          <w:lang w:val="en-IE"/>
        </w:rPr>
        <w:t>With</w:t>
      </w:r>
      <w:r w:rsidRPr="00FE29AE">
        <w:rPr>
          <w:spacing w:val="-3"/>
          <w:lang w:val="en-IE"/>
        </w:rPr>
        <w:t xml:space="preserve"> </w:t>
      </w:r>
      <w:r w:rsidRPr="00FE29AE">
        <w:rPr>
          <w:lang w:val="en-IE"/>
        </w:rPr>
        <w:t>regard</w:t>
      </w:r>
      <w:r w:rsidRPr="00FE29AE">
        <w:rPr>
          <w:spacing w:val="-3"/>
          <w:lang w:val="en-IE"/>
        </w:rPr>
        <w:t xml:space="preserve"> </w:t>
      </w:r>
      <w:r w:rsidRPr="00FE29AE">
        <w:rPr>
          <w:lang w:val="en-IE"/>
        </w:rPr>
        <w:t>to</w:t>
      </w:r>
      <w:proofErr w:type="gramEnd"/>
      <w:r w:rsidRPr="00FE29AE">
        <w:rPr>
          <w:spacing w:val="-7"/>
          <w:lang w:val="en-IE"/>
        </w:rPr>
        <w:t xml:space="preserve"> </w:t>
      </w:r>
      <w:r w:rsidRPr="00FE29AE">
        <w:rPr>
          <w:lang w:val="en-IE"/>
        </w:rPr>
        <w:t>marking,</w:t>
      </w:r>
      <w:r w:rsidRPr="00FE29AE">
        <w:rPr>
          <w:spacing w:val="-4"/>
          <w:lang w:val="en-IE"/>
        </w:rPr>
        <w:t xml:space="preserve"> </w:t>
      </w:r>
      <w:r w:rsidRPr="00FE29AE">
        <w:rPr>
          <w:lang w:val="en-IE"/>
        </w:rPr>
        <w:t>the</w:t>
      </w:r>
      <w:r w:rsidRPr="00FE29AE">
        <w:rPr>
          <w:spacing w:val="-3"/>
          <w:lang w:val="en-IE"/>
        </w:rPr>
        <w:t xml:space="preserve"> </w:t>
      </w:r>
      <w:r w:rsidRPr="00FE29AE">
        <w:rPr>
          <w:lang w:val="en-IE"/>
        </w:rPr>
        <w:t>lowest</w:t>
      </w:r>
      <w:r w:rsidRPr="00FE29AE">
        <w:rPr>
          <w:spacing w:val="-4"/>
          <w:lang w:val="en-IE"/>
        </w:rPr>
        <w:t xml:space="preserve"> </w:t>
      </w:r>
      <w:r w:rsidRPr="00FE29AE">
        <w:rPr>
          <w:lang w:val="en-IE"/>
        </w:rPr>
        <w:t>price</w:t>
      </w:r>
      <w:r w:rsidRPr="00FE29AE">
        <w:rPr>
          <w:spacing w:val="-6"/>
          <w:lang w:val="en-IE"/>
        </w:rPr>
        <w:t xml:space="preserve"> </w:t>
      </w:r>
      <w:r w:rsidRPr="00FE29AE">
        <w:rPr>
          <w:lang w:val="en-IE"/>
        </w:rPr>
        <w:t>tender</w:t>
      </w:r>
      <w:r w:rsidRPr="00FE29AE">
        <w:rPr>
          <w:spacing w:val="-4"/>
          <w:lang w:val="en-IE"/>
        </w:rPr>
        <w:t xml:space="preserve"> </w:t>
      </w:r>
      <w:r w:rsidRPr="00FE29AE">
        <w:rPr>
          <w:lang w:val="en-IE"/>
        </w:rPr>
        <w:t>will</w:t>
      </w:r>
      <w:r w:rsidRPr="00FE29AE">
        <w:rPr>
          <w:spacing w:val="-4"/>
          <w:lang w:val="en-IE"/>
        </w:rPr>
        <w:t xml:space="preserve"> </w:t>
      </w:r>
      <w:r w:rsidRPr="00FE29AE">
        <w:rPr>
          <w:lang w:val="en-IE"/>
        </w:rPr>
        <w:t>receive</w:t>
      </w:r>
      <w:r w:rsidRPr="00FE29AE">
        <w:rPr>
          <w:spacing w:val="-4"/>
          <w:lang w:val="en-IE"/>
        </w:rPr>
        <w:t xml:space="preserve"> </w:t>
      </w:r>
      <w:r w:rsidRPr="00FE29AE">
        <w:rPr>
          <w:lang w:val="en-IE"/>
        </w:rPr>
        <w:t>the</w:t>
      </w:r>
      <w:r w:rsidRPr="00FE29AE">
        <w:rPr>
          <w:spacing w:val="-8"/>
          <w:lang w:val="en-IE"/>
        </w:rPr>
        <w:t xml:space="preserve"> </w:t>
      </w:r>
      <w:r w:rsidRPr="00FE29AE">
        <w:rPr>
          <w:lang w:val="en-IE"/>
        </w:rPr>
        <w:t>maximum</w:t>
      </w:r>
      <w:r w:rsidRPr="00FE29AE">
        <w:rPr>
          <w:spacing w:val="-4"/>
          <w:lang w:val="en-IE"/>
        </w:rPr>
        <w:t xml:space="preserve"> </w:t>
      </w:r>
      <w:r w:rsidRPr="00FE29AE">
        <w:rPr>
          <w:lang w:val="en-IE"/>
        </w:rPr>
        <w:t>score</w:t>
      </w:r>
      <w:r w:rsidRPr="00FE29AE">
        <w:rPr>
          <w:spacing w:val="-8"/>
          <w:lang w:val="en-IE"/>
        </w:rPr>
        <w:t xml:space="preserve"> </w:t>
      </w:r>
      <w:r w:rsidRPr="00FE29AE">
        <w:rPr>
          <w:lang w:val="en-IE"/>
        </w:rPr>
        <w:t>achievable</w:t>
      </w:r>
      <w:r w:rsidRPr="00FE29AE">
        <w:rPr>
          <w:spacing w:val="-5"/>
          <w:lang w:val="en-IE"/>
        </w:rPr>
        <w:t xml:space="preserve"> </w:t>
      </w:r>
      <w:r w:rsidRPr="00FE29AE">
        <w:rPr>
          <w:lang w:val="en-IE"/>
        </w:rPr>
        <w:t>under</w:t>
      </w:r>
      <w:r w:rsidRPr="00FE29AE">
        <w:rPr>
          <w:spacing w:val="-5"/>
          <w:lang w:val="en-IE"/>
        </w:rPr>
        <w:t xml:space="preserve"> </w:t>
      </w:r>
      <w:r w:rsidRPr="00FE29AE">
        <w:rPr>
          <w:lang w:val="en-IE"/>
        </w:rPr>
        <w:t>this</w:t>
      </w:r>
      <w:r w:rsidRPr="00FE29AE">
        <w:rPr>
          <w:spacing w:val="-46"/>
          <w:lang w:val="en-IE"/>
        </w:rPr>
        <w:t xml:space="preserve"> </w:t>
      </w:r>
      <w:r w:rsidRPr="00FE29AE">
        <w:rPr>
          <w:lang w:val="en-IE"/>
        </w:rPr>
        <w:t>criterion.</w:t>
      </w:r>
      <w:r w:rsidRPr="00FE29AE">
        <w:rPr>
          <w:spacing w:val="-2"/>
          <w:lang w:val="en-IE"/>
        </w:rPr>
        <w:t xml:space="preserve">  </w:t>
      </w:r>
      <w:r w:rsidRPr="00FE29AE">
        <w:rPr>
          <w:lang w:val="en-IE"/>
        </w:rPr>
        <w:t>The</w:t>
      </w:r>
      <w:r w:rsidRPr="00FE29AE">
        <w:rPr>
          <w:spacing w:val="-2"/>
          <w:lang w:val="en-IE"/>
        </w:rPr>
        <w:t xml:space="preserve"> </w:t>
      </w:r>
      <w:r w:rsidRPr="00FE29AE">
        <w:rPr>
          <w:lang w:val="en-IE"/>
        </w:rPr>
        <w:t>maximum</w:t>
      </w:r>
      <w:r w:rsidRPr="00FE29AE">
        <w:rPr>
          <w:spacing w:val="1"/>
          <w:lang w:val="en-IE"/>
        </w:rPr>
        <w:t xml:space="preserve"> </w:t>
      </w:r>
      <w:r w:rsidRPr="00FE29AE">
        <w:rPr>
          <w:lang w:val="en-IE"/>
        </w:rPr>
        <w:t>score available</w:t>
      </w:r>
      <w:r w:rsidRPr="00FE29AE">
        <w:rPr>
          <w:spacing w:val="-3"/>
          <w:lang w:val="en-IE"/>
        </w:rPr>
        <w:t xml:space="preserve"> </w:t>
      </w:r>
      <w:r w:rsidRPr="00FE29AE">
        <w:rPr>
          <w:lang w:val="en-IE"/>
        </w:rPr>
        <w:t>for</w:t>
      </w:r>
      <w:r w:rsidRPr="00FE29AE">
        <w:rPr>
          <w:spacing w:val="-3"/>
          <w:lang w:val="en-IE"/>
        </w:rPr>
        <w:t xml:space="preserve"> </w:t>
      </w:r>
      <w:r w:rsidRPr="00FE29AE">
        <w:rPr>
          <w:lang w:val="en-IE"/>
        </w:rPr>
        <w:t>Price</w:t>
      </w:r>
      <w:r w:rsidRPr="00FE29AE">
        <w:rPr>
          <w:spacing w:val="1"/>
          <w:lang w:val="en-IE"/>
        </w:rPr>
        <w:t xml:space="preserve"> </w:t>
      </w:r>
      <w:r w:rsidRPr="00FE29AE">
        <w:rPr>
          <w:lang w:val="en-IE"/>
        </w:rPr>
        <w:t>is as listed in award criteria.</w:t>
      </w:r>
    </w:p>
    <w:p w14:paraId="4372E95C" w14:textId="77777777" w:rsidR="00AB2757" w:rsidRPr="00FE29AE" w:rsidRDefault="00AB2757" w:rsidP="00DA7B4F">
      <w:pPr>
        <w:pStyle w:val="BodyText"/>
        <w:spacing w:before="158"/>
        <w:rPr>
          <w:lang w:val="en-IE"/>
        </w:rPr>
      </w:pPr>
      <w:r w:rsidRPr="00FE29AE">
        <w:rPr>
          <w:lang w:val="en-IE"/>
        </w:rPr>
        <w:t>The</w:t>
      </w:r>
      <w:r w:rsidRPr="00FE29AE">
        <w:rPr>
          <w:spacing w:val="-1"/>
          <w:lang w:val="en-IE"/>
        </w:rPr>
        <w:t xml:space="preserve"> </w:t>
      </w:r>
      <w:r w:rsidRPr="00FE29AE">
        <w:rPr>
          <w:lang w:val="en-IE"/>
        </w:rPr>
        <w:t>scores</w:t>
      </w:r>
      <w:r w:rsidRPr="00FE29AE">
        <w:rPr>
          <w:spacing w:val="-2"/>
          <w:lang w:val="en-IE"/>
        </w:rPr>
        <w:t xml:space="preserve"> </w:t>
      </w:r>
      <w:r w:rsidRPr="00FE29AE">
        <w:rPr>
          <w:lang w:val="en-IE"/>
        </w:rPr>
        <w:t>of all</w:t>
      </w:r>
      <w:r w:rsidRPr="00FE29AE">
        <w:rPr>
          <w:spacing w:val="-4"/>
          <w:lang w:val="en-IE"/>
        </w:rPr>
        <w:t xml:space="preserve"> </w:t>
      </w:r>
      <w:r w:rsidRPr="00FE29AE">
        <w:rPr>
          <w:lang w:val="en-IE"/>
        </w:rPr>
        <w:t>the</w:t>
      </w:r>
      <w:r w:rsidRPr="00FE29AE">
        <w:rPr>
          <w:spacing w:val="-1"/>
          <w:lang w:val="en-IE"/>
        </w:rPr>
        <w:t xml:space="preserve"> </w:t>
      </w:r>
      <w:r w:rsidRPr="00FE29AE">
        <w:rPr>
          <w:lang w:val="en-IE"/>
        </w:rPr>
        <w:t>valid</w:t>
      </w:r>
      <w:r w:rsidRPr="00FE29AE">
        <w:rPr>
          <w:spacing w:val="-4"/>
          <w:lang w:val="en-IE"/>
        </w:rPr>
        <w:t xml:space="preserve"> </w:t>
      </w:r>
      <w:r w:rsidRPr="00FE29AE">
        <w:rPr>
          <w:lang w:val="en-IE"/>
        </w:rPr>
        <w:t>Tenders will</w:t>
      </w:r>
      <w:r w:rsidRPr="00FE29AE">
        <w:rPr>
          <w:spacing w:val="-3"/>
          <w:lang w:val="en-IE"/>
        </w:rPr>
        <w:t xml:space="preserve"> </w:t>
      </w:r>
      <w:r w:rsidRPr="00FE29AE">
        <w:rPr>
          <w:lang w:val="en-IE"/>
        </w:rPr>
        <w:t>be</w:t>
      </w:r>
      <w:r w:rsidRPr="00FE29AE">
        <w:rPr>
          <w:spacing w:val="-1"/>
          <w:lang w:val="en-IE"/>
        </w:rPr>
        <w:t xml:space="preserve"> </w:t>
      </w:r>
      <w:r w:rsidRPr="00FE29AE">
        <w:rPr>
          <w:lang w:val="en-IE"/>
        </w:rPr>
        <w:t>calculated</w:t>
      </w:r>
      <w:r w:rsidRPr="00FE29AE">
        <w:rPr>
          <w:spacing w:val="-1"/>
          <w:lang w:val="en-IE"/>
        </w:rPr>
        <w:t xml:space="preserve"> </w:t>
      </w:r>
      <w:r w:rsidRPr="00FE29AE">
        <w:rPr>
          <w:lang w:val="en-IE"/>
        </w:rPr>
        <w:t>by using</w:t>
      </w:r>
      <w:r w:rsidRPr="00FE29AE">
        <w:rPr>
          <w:spacing w:val="-2"/>
          <w:lang w:val="en-IE"/>
        </w:rPr>
        <w:t xml:space="preserve"> </w:t>
      </w:r>
      <w:r w:rsidRPr="00FE29AE">
        <w:rPr>
          <w:lang w:val="en-IE"/>
        </w:rPr>
        <w:t>the</w:t>
      </w:r>
      <w:r w:rsidRPr="00FE29AE">
        <w:rPr>
          <w:spacing w:val="1"/>
          <w:lang w:val="en-IE"/>
        </w:rPr>
        <w:t xml:space="preserve"> </w:t>
      </w:r>
      <w:r w:rsidRPr="00FE29AE">
        <w:rPr>
          <w:lang w:val="en-IE"/>
        </w:rPr>
        <w:t>following</w:t>
      </w:r>
      <w:r w:rsidRPr="00FE29AE">
        <w:rPr>
          <w:spacing w:val="-2"/>
          <w:lang w:val="en-IE"/>
        </w:rPr>
        <w:t xml:space="preserve"> </w:t>
      </w:r>
      <w:r w:rsidRPr="00FE29AE">
        <w:rPr>
          <w:lang w:val="en-IE"/>
        </w:rPr>
        <w:t>formula:</w:t>
      </w:r>
    </w:p>
    <w:p w14:paraId="2A6F39A7" w14:textId="77777777" w:rsidR="00AB2757" w:rsidRPr="00FE29AE" w:rsidRDefault="00AB2757" w:rsidP="00AB2757">
      <w:pPr>
        <w:pStyle w:val="BodyText"/>
        <w:spacing w:before="9"/>
        <w:rPr>
          <w:sz w:val="27"/>
          <w:lang w:val="en-IE"/>
        </w:rPr>
      </w:pPr>
    </w:p>
    <w:p w14:paraId="08037D3C" w14:textId="77777777" w:rsidR="00AB2757" w:rsidRPr="00FE29AE" w:rsidRDefault="00AB2757" w:rsidP="00DA7B4F">
      <w:pPr>
        <w:pStyle w:val="BodyText"/>
        <w:ind w:right="2003"/>
        <w:rPr>
          <w:lang w:val="en-IE"/>
        </w:rPr>
      </w:pPr>
      <w:r w:rsidRPr="00FE29AE">
        <w:rPr>
          <w:u w:val="single"/>
          <w:lang w:val="en-IE"/>
        </w:rPr>
        <w:t>Maximum</w:t>
      </w:r>
      <w:r w:rsidRPr="00FE29AE">
        <w:rPr>
          <w:spacing w:val="-3"/>
          <w:u w:val="single"/>
          <w:lang w:val="en-IE"/>
        </w:rPr>
        <w:t xml:space="preserve"> </w:t>
      </w:r>
      <w:r w:rsidRPr="00FE29AE">
        <w:rPr>
          <w:u w:val="single"/>
          <w:lang w:val="en-IE"/>
        </w:rPr>
        <w:t>Score</w:t>
      </w:r>
      <w:r w:rsidRPr="00FE29AE">
        <w:rPr>
          <w:spacing w:val="1"/>
          <w:u w:val="single"/>
          <w:lang w:val="en-IE"/>
        </w:rPr>
        <w:t xml:space="preserve"> </w:t>
      </w:r>
      <w:r w:rsidRPr="00FE29AE">
        <w:rPr>
          <w:u w:val="single"/>
          <w:lang w:val="en-IE"/>
        </w:rPr>
        <w:t>x</w:t>
      </w:r>
      <w:r w:rsidRPr="00FE29AE">
        <w:rPr>
          <w:spacing w:val="-2"/>
          <w:u w:val="single"/>
          <w:lang w:val="en-IE"/>
        </w:rPr>
        <w:t xml:space="preserve"> </w:t>
      </w:r>
      <w:r w:rsidRPr="00FE29AE">
        <w:rPr>
          <w:u w:val="single"/>
          <w:lang w:val="en-IE"/>
        </w:rPr>
        <w:t>Lowest</w:t>
      </w:r>
      <w:r w:rsidRPr="00FE29AE">
        <w:rPr>
          <w:spacing w:val="-3"/>
          <w:u w:val="single"/>
          <w:lang w:val="en-IE"/>
        </w:rPr>
        <w:t xml:space="preserve"> </w:t>
      </w:r>
      <w:r w:rsidRPr="00FE29AE">
        <w:rPr>
          <w:u w:val="single"/>
          <w:lang w:val="en-IE"/>
        </w:rPr>
        <w:t>Tender Cost</w:t>
      </w:r>
      <w:r w:rsidRPr="00FE29AE">
        <w:rPr>
          <w:spacing w:val="-2"/>
          <w:lang w:val="en-IE"/>
        </w:rPr>
        <w:t xml:space="preserve"> </w:t>
      </w:r>
      <w:r w:rsidRPr="00FE29AE">
        <w:rPr>
          <w:lang w:val="en-IE"/>
        </w:rPr>
        <w:t>=</w:t>
      </w:r>
      <w:r w:rsidRPr="00FE29AE">
        <w:rPr>
          <w:spacing w:val="-1"/>
          <w:lang w:val="en-IE"/>
        </w:rPr>
        <w:t xml:space="preserve"> </w:t>
      </w:r>
      <w:r w:rsidRPr="00FE29AE">
        <w:rPr>
          <w:lang w:val="en-IE"/>
        </w:rPr>
        <w:t>Score for</w:t>
      </w:r>
      <w:r w:rsidRPr="00FE29AE">
        <w:rPr>
          <w:spacing w:val="-2"/>
          <w:lang w:val="en-IE"/>
        </w:rPr>
        <w:t xml:space="preserve"> </w:t>
      </w:r>
      <w:r w:rsidRPr="00FE29AE">
        <w:rPr>
          <w:lang w:val="en-IE"/>
        </w:rPr>
        <w:t>that</w:t>
      </w:r>
      <w:r w:rsidRPr="00FE29AE">
        <w:rPr>
          <w:spacing w:val="-3"/>
          <w:lang w:val="en-IE"/>
        </w:rPr>
        <w:t xml:space="preserve"> </w:t>
      </w:r>
      <w:r w:rsidRPr="00FE29AE">
        <w:rPr>
          <w:lang w:val="en-IE"/>
        </w:rPr>
        <w:t>Tender</w:t>
      </w:r>
      <w:r w:rsidRPr="00FE29AE">
        <w:rPr>
          <w:spacing w:val="-2"/>
          <w:lang w:val="en-IE"/>
        </w:rPr>
        <w:t xml:space="preserve"> </w:t>
      </w:r>
      <w:r w:rsidRPr="00FE29AE">
        <w:rPr>
          <w:lang w:val="en-IE"/>
        </w:rPr>
        <w:t>Price.</w:t>
      </w:r>
    </w:p>
    <w:p w14:paraId="08E817CE" w14:textId="77777777" w:rsidR="00AB2757" w:rsidRPr="00FE29AE" w:rsidRDefault="00AB2757" w:rsidP="00DA7B4F">
      <w:pPr>
        <w:pStyle w:val="BodyText"/>
        <w:spacing w:before="57"/>
        <w:ind w:firstLine="720"/>
        <w:rPr>
          <w:lang w:val="en-IE"/>
        </w:rPr>
      </w:pPr>
      <w:r w:rsidRPr="00FE29AE">
        <w:rPr>
          <w:lang w:val="en-IE"/>
        </w:rPr>
        <w:t>Tender</w:t>
      </w:r>
      <w:r w:rsidRPr="00FE29AE">
        <w:rPr>
          <w:spacing w:val="-2"/>
          <w:lang w:val="en-IE"/>
        </w:rPr>
        <w:t xml:space="preserve"> </w:t>
      </w:r>
      <w:r w:rsidRPr="00FE29AE">
        <w:rPr>
          <w:lang w:val="en-IE"/>
        </w:rPr>
        <w:t>Price</w:t>
      </w:r>
      <w:r w:rsidRPr="00FE29AE">
        <w:rPr>
          <w:spacing w:val="-1"/>
          <w:lang w:val="en-IE"/>
        </w:rPr>
        <w:t xml:space="preserve"> </w:t>
      </w:r>
      <w:r w:rsidRPr="00FE29AE">
        <w:rPr>
          <w:lang w:val="en-IE"/>
        </w:rPr>
        <w:t>in</w:t>
      </w:r>
      <w:r w:rsidRPr="00FE29AE">
        <w:rPr>
          <w:spacing w:val="-3"/>
          <w:lang w:val="en-IE"/>
        </w:rPr>
        <w:t xml:space="preserve"> </w:t>
      </w:r>
      <w:r w:rsidRPr="00FE29AE">
        <w:rPr>
          <w:lang w:val="en-IE"/>
        </w:rPr>
        <w:t>Question</w:t>
      </w:r>
    </w:p>
    <w:p w14:paraId="4625EC22" w14:textId="77777777" w:rsidR="00AB2757" w:rsidRPr="00FE29AE" w:rsidRDefault="00AB2757">
      <w:pPr>
        <w:rPr>
          <w:b/>
          <w:bCs/>
        </w:rPr>
      </w:pPr>
    </w:p>
    <w:p w14:paraId="5687535C" w14:textId="77777777" w:rsidR="00A040CF" w:rsidRPr="00FE29AE" w:rsidRDefault="00A040CF" w:rsidP="32255072">
      <w:pPr>
        <w:spacing w:line="259" w:lineRule="auto"/>
        <w:rPr>
          <w:b/>
          <w:bCs/>
        </w:rPr>
      </w:pPr>
    </w:p>
    <w:p w14:paraId="2FEA2214" w14:textId="2597750C" w:rsidR="00A040CF" w:rsidRPr="00FE29AE" w:rsidRDefault="2B048EEF" w:rsidP="32255072">
      <w:pPr>
        <w:rPr>
          <w:b/>
          <w:bCs/>
        </w:rPr>
      </w:pPr>
      <w:r w:rsidRPr="32255072">
        <w:rPr>
          <w:b/>
          <w:bCs/>
          <w:color w:val="FF0000"/>
        </w:rPr>
        <w:t>End of Document</w:t>
      </w:r>
    </w:p>
    <w:p w14:paraId="20BB32B5" w14:textId="77777777" w:rsidR="00A040CF" w:rsidRPr="00FE29AE" w:rsidRDefault="00A040CF" w:rsidP="32255072">
      <w:pPr>
        <w:spacing w:line="259" w:lineRule="auto"/>
        <w:rPr>
          <w:b/>
          <w:bCs/>
        </w:rPr>
      </w:pPr>
    </w:p>
    <w:p w14:paraId="1B63DCD3" w14:textId="77777777" w:rsidR="00A040CF" w:rsidRPr="00FE29AE" w:rsidRDefault="00A040CF" w:rsidP="32255072">
      <w:pPr>
        <w:spacing w:line="259" w:lineRule="auto"/>
        <w:rPr>
          <w:b/>
          <w:bCs/>
        </w:rPr>
      </w:pPr>
    </w:p>
    <w:sectPr w:rsidR="00A040CF" w:rsidRPr="00FE29AE" w:rsidSect="009004B8">
      <w:headerReference w:type="default" r:id="rId10"/>
      <w:foot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F7082" w14:textId="77777777" w:rsidR="00240385" w:rsidRPr="00FE29AE" w:rsidRDefault="00240385" w:rsidP="007A515A">
      <w:r w:rsidRPr="00FE29AE">
        <w:separator/>
      </w:r>
    </w:p>
  </w:endnote>
  <w:endnote w:type="continuationSeparator" w:id="0">
    <w:p w14:paraId="680C48B6" w14:textId="77777777" w:rsidR="00240385" w:rsidRPr="00FE29AE" w:rsidRDefault="00240385" w:rsidP="007A515A">
      <w:r w:rsidRPr="00FE29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D640" w14:textId="2232A8EE" w:rsidR="007A515A" w:rsidRPr="00FE29AE" w:rsidRDefault="007A515A">
    <w:pPr>
      <w:pStyle w:val="Footer"/>
      <w:jc w:val="center"/>
      <w:rPr>
        <w:caps/>
        <w:color w:val="4472C4" w:themeColor="accent1"/>
        <w:lang w:val="en-IE"/>
      </w:rPr>
    </w:pPr>
    <w:r w:rsidRPr="00FE29AE">
      <w:rPr>
        <w:caps/>
        <w:color w:val="4472C4" w:themeColor="accent1"/>
        <w:lang w:val="en-IE"/>
      </w:rPr>
      <w:fldChar w:fldCharType="begin"/>
    </w:r>
    <w:r w:rsidRPr="00FE29AE">
      <w:rPr>
        <w:caps/>
        <w:color w:val="4472C4" w:themeColor="accent1"/>
        <w:lang w:val="en-IE"/>
      </w:rPr>
      <w:instrText xml:space="preserve"> PAGE   \* MERGEFORMAT </w:instrText>
    </w:r>
    <w:r w:rsidRPr="00FE29AE">
      <w:rPr>
        <w:caps/>
        <w:color w:val="4472C4" w:themeColor="accent1"/>
        <w:lang w:val="en-IE"/>
      </w:rPr>
      <w:fldChar w:fldCharType="separate"/>
    </w:r>
    <w:r w:rsidRPr="00FE29AE">
      <w:rPr>
        <w:caps/>
        <w:color w:val="4472C4" w:themeColor="accent1"/>
        <w:lang w:val="en-IE"/>
      </w:rPr>
      <w:t>2</w:t>
    </w:r>
    <w:r w:rsidRPr="00FE29AE">
      <w:rPr>
        <w:caps/>
        <w:color w:val="4472C4" w:themeColor="accent1"/>
        <w:lang w:val="en-IE"/>
      </w:rPr>
      <w:fldChar w:fldCharType="end"/>
    </w:r>
  </w:p>
  <w:p w14:paraId="721B6EF5" w14:textId="03C11A4C" w:rsidR="007A515A" w:rsidRPr="00FE29AE" w:rsidRDefault="4093AA9E">
    <w:pPr>
      <w:pStyle w:val="Footer"/>
      <w:rPr>
        <w:sz w:val="18"/>
        <w:szCs w:val="18"/>
        <w:lang w:val="en-IE"/>
      </w:rPr>
    </w:pPr>
    <w:r w:rsidRPr="4093AA9E">
      <w:rPr>
        <w:lang w:val="en-IE"/>
      </w:rPr>
      <w:t>A</w:t>
    </w:r>
    <w:r w:rsidRPr="4093AA9E">
      <w:rPr>
        <w:sz w:val="18"/>
        <w:szCs w:val="18"/>
        <w:lang w:val="en-IE"/>
      </w:rPr>
      <w:t>ppendix 2.1 RFT Telematic Award Criteria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95EBE" w14:textId="77777777" w:rsidR="00240385" w:rsidRPr="00FE29AE" w:rsidRDefault="00240385" w:rsidP="007A515A">
      <w:r w:rsidRPr="00FE29AE">
        <w:separator/>
      </w:r>
    </w:p>
  </w:footnote>
  <w:footnote w:type="continuationSeparator" w:id="0">
    <w:p w14:paraId="5BB311C9" w14:textId="77777777" w:rsidR="00240385" w:rsidRPr="00FE29AE" w:rsidRDefault="00240385" w:rsidP="007A515A">
      <w:r w:rsidRPr="00FE29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2255072" w14:paraId="52FB4DAF" w14:textId="77777777" w:rsidTr="32255072">
      <w:trPr>
        <w:trHeight w:val="300"/>
      </w:trPr>
      <w:tc>
        <w:tcPr>
          <w:tcW w:w="3005" w:type="dxa"/>
        </w:tcPr>
        <w:p w14:paraId="46B4C25D" w14:textId="1ADCC7A3" w:rsidR="32255072" w:rsidRDefault="32255072" w:rsidP="32255072">
          <w:pPr>
            <w:pStyle w:val="Header"/>
            <w:ind w:left="-115"/>
            <w:jc w:val="left"/>
          </w:pPr>
        </w:p>
      </w:tc>
      <w:tc>
        <w:tcPr>
          <w:tcW w:w="3005" w:type="dxa"/>
        </w:tcPr>
        <w:p w14:paraId="21592188" w14:textId="5EAB4ED6" w:rsidR="32255072" w:rsidRDefault="32255072" w:rsidP="32255072">
          <w:pPr>
            <w:pStyle w:val="Header"/>
            <w:jc w:val="center"/>
          </w:pPr>
        </w:p>
      </w:tc>
      <w:tc>
        <w:tcPr>
          <w:tcW w:w="3005" w:type="dxa"/>
        </w:tcPr>
        <w:p w14:paraId="3963E677" w14:textId="40AC754D" w:rsidR="32255072" w:rsidRDefault="32255072" w:rsidP="32255072">
          <w:pPr>
            <w:pStyle w:val="Header"/>
            <w:ind w:right="-115"/>
            <w:jc w:val="right"/>
          </w:pPr>
        </w:p>
      </w:tc>
    </w:tr>
  </w:tbl>
  <w:p w14:paraId="565CFAA2" w14:textId="0BE8E238" w:rsidR="32255072" w:rsidRDefault="32255072" w:rsidP="32255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0A8"/>
    <w:multiLevelType w:val="hybridMultilevel"/>
    <w:tmpl w:val="BD365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C0548"/>
    <w:multiLevelType w:val="hybridMultilevel"/>
    <w:tmpl w:val="958201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81E95"/>
    <w:multiLevelType w:val="hybridMultilevel"/>
    <w:tmpl w:val="EA66C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FF04C0"/>
    <w:multiLevelType w:val="hybridMultilevel"/>
    <w:tmpl w:val="C7F21E68"/>
    <w:lvl w:ilvl="0" w:tplc="96C812BA">
      <w:start w:val="1"/>
      <w:numFmt w:val="lowerRoman"/>
      <w:lvlText w:val="%1."/>
      <w:lvlJc w:val="left"/>
      <w:pPr>
        <w:ind w:left="1440" w:hanging="360"/>
      </w:pPr>
      <w:rPr>
        <w:rFonts w:ascii="Calibri" w:eastAsia="Times New Roman" w:hAnsi="Calibri" w:cs="Times New Roman"/>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71273A3"/>
    <w:multiLevelType w:val="multilevel"/>
    <w:tmpl w:val="EAA8DDAC"/>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08AC7173"/>
    <w:multiLevelType w:val="hybridMultilevel"/>
    <w:tmpl w:val="4E0A4E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8D87B49"/>
    <w:multiLevelType w:val="hybridMultilevel"/>
    <w:tmpl w:val="CD34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3716F6"/>
    <w:multiLevelType w:val="multilevel"/>
    <w:tmpl w:val="78EA2356"/>
    <w:styleLink w:val="CurrentList4"/>
    <w:lvl w:ilvl="0">
      <w:start w:val="1"/>
      <w:numFmt w:val="upperLetter"/>
      <w:lvlText w:val="%1."/>
      <w:lvlJc w:val="left"/>
      <w:pPr>
        <w:ind w:left="3600" w:hanging="360"/>
      </w:pPr>
      <w:rPr>
        <w:rFonts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B03155F"/>
    <w:multiLevelType w:val="hybridMultilevel"/>
    <w:tmpl w:val="430E03FC"/>
    <w:lvl w:ilvl="0" w:tplc="EB68922A">
      <w:start w:val="1"/>
      <w:numFmt w:val="lowerLetter"/>
      <w:lvlText w:val="%1."/>
      <w:lvlJc w:val="left"/>
      <w:pPr>
        <w:ind w:left="1038" w:hanging="360"/>
      </w:pPr>
      <w:rPr>
        <w:b w:val="0"/>
        <w:bCs w:val="0"/>
      </w:rPr>
    </w:lvl>
    <w:lvl w:ilvl="1" w:tplc="08090001">
      <w:start w:val="1"/>
      <w:numFmt w:val="bullet"/>
      <w:lvlText w:val=""/>
      <w:lvlJc w:val="left"/>
      <w:pPr>
        <w:ind w:left="720" w:hanging="360"/>
      </w:pPr>
      <w:rPr>
        <w:rFonts w:ascii="Symbol" w:hAnsi="Symbol" w:hint="default"/>
      </w:rPr>
    </w:lvl>
    <w:lvl w:ilvl="2" w:tplc="1809001B">
      <w:start w:val="1"/>
      <w:numFmt w:val="lowerRoman"/>
      <w:lvlText w:val="%3."/>
      <w:lvlJc w:val="right"/>
      <w:pPr>
        <w:ind w:left="2478" w:hanging="180"/>
      </w:pPr>
    </w:lvl>
    <w:lvl w:ilvl="3" w:tplc="1809000F" w:tentative="1">
      <w:start w:val="1"/>
      <w:numFmt w:val="decimal"/>
      <w:lvlText w:val="%4."/>
      <w:lvlJc w:val="left"/>
      <w:pPr>
        <w:ind w:left="3198" w:hanging="360"/>
      </w:pPr>
    </w:lvl>
    <w:lvl w:ilvl="4" w:tplc="18090019" w:tentative="1">
      <w:start w:val="1"/>
      <w:numFmt w:val="lowerLetter"/>
      <w:lvlText w:val="%5."/>
      <w:lvlJc w:val="left"/>
      <w:pPr>
        <w:ind w:left="3918" w:hanging="360"/>
      </w:pPr>
    </w:lvl>
    <w:lvl w:ilvl="5" w:tplc="1809001B" w:tentative="1">
      <w:start w:val="1"/>
      <w:numFmt w:val="lowerRoman"/>
      <w:lvlText w:val="%6."/>
      <w:lvlJc w:val="right"/>
      <w:pPr>
        <w:ind w:left="4638" w:hanging="180"/>
      </w:pPr>
    </w:lvl>
    <w:lvl w:ilvl="6" w:tplc="1809000F" w:tentative="1">
      <w:start w:val="1"/>
      <w:numFmt w:val="decimal"/>
      <w:lvlText w:val="%7."/>
      <w:lvlJc w:val="left"/>
      <w:pPr>
        <w:ind w:left="5358" w:hanging="360"/>
      </w:pPr>
    </w:lvl>
    <w:lvl w:ilvl="7" w:tplc="18090019" w:tentative="1">
      <w:start w:val="1"/>
      <w:numFmt w:val="lowerLetter"/>
      <w:lvlText w:val="%8."/>
      <w:lvlJc w:val="left"/>
      <w:pPr>
        <w:ind w:left="6078" w:hanging="360"/>
      </w:pPr>
    </w:lvl>
    <w:lvl w:ilvl="8" w:tplc="1809001B" w:tentative="1">
      <w:start w:val="1"/>
      <w:numFmt w:val="lowerRoman"/>
      <w:lvlText w:val="%9."/>
      <w:lvlJc w:val="right"/>
      <w:pPr>
        <w:ind w:left="6798" w:hanging="180"/>
      </w:pPr>
    </w:lvl>
  </w:abstractNum>
  <w:abstractNum w:abstractNumId="10" w15:restartNumberingAfterBreak="0">
    <w:nsid w:val="0D826870"/>
    <w:multiLevelType w:val="hybridMultilevel"/>
    <w:tmpl w:val="9D987B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E87110B"/>
    <w:multiLevelType w:val="multilevel"/>
    <w:tmpl w:val="8CCE5714"/>
    <w:styleLink w:val="CurrentList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0611A85"/>
    <w:multiLevelType w:val="multilevel"/>
    <w:tmpl w:val="EAA8DDAC"/>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3" w15:restartNumberingAfterBreak="0">
    <w:nsid w:val="12A3407D"/>
    <w:multiLevelType w:val="hybridMultilevel"/>
    <w:tmpl w:val="FFFFFFFF"/>
    <w:lvl w:ilvl="0" w:tplc="C3EE273E">
      <w:start w:val="1"/>
      <w:numFmt w:val="bullet"/>
      <w:lvlText w:val=""/>
      <w:lvlJc w:val="left"/>
      <w:pPr>
        <w:ind w:left="720" w:hanging="360"/>
      </w:pPr>
      <w:rPr>
        <w:rFonts w:ascii="Symbol" w:hAnsi="Symbol" w:hint="default"/>
      </w:rPr>
    </w:lvl>
    <w:lvl w:ilvl="1" w:tplc="CF00CFD0">
      <w:start w:val="1"/>
      <w:numFmt w:val="bullet"/>
      <w:lvlText w:val="o"/>
      <w:lvlJc w:val="left"/>
      <w:pPr>
        <w:ind w:left="1440" w:hanging="360"/>
      </w:pPr>
      <w:rPr>
        <w:rFonts w:ascii="Courier New" w:hAnsi="Courier New" w:hint="default"/>
      </w:rPr>
    </w:lvl>
    <w:lvl w:ilvl="2" w:tplc="1A92A150">
      <w:start w:val="1"/>
      <w:numFmt w:val="bullet"/>
      <w:lvlText w:val=""/>
      <w:lvlJc w:val="left"/>
      <w:pPr>
        <w:ind w:left="2160" w:hanging="360"/>
      </w:pPr>
      <w:rPr>
        <w:rFonts w:ascii="Wingdings" w:hAnsi="Wingdings" w:hint="default"/>
      </w:rPr>
    </w:lvl>
    <w:lvl w:ilvl="3" w:tplc="FD962120">
      <w:start w:val="1"/>
      <w:numFmt w:val="bullet"/>
      <w:lvlText w:val=""/>
      <w:lvlJc w:val="left"/>
      <w:pPr>
        <w:ind w:left="2880" w:hanging="360"/>
      </w:pPr>
      <w:rPr>
        <w:rFonts w:ascii="Symbol" w:hAnsi="Symbol" w:hint="default"/>
      </w:rPr>
    </w:lvl>
    <w:lvl w:ilvl="4" w:tplc="0E1A5DAC">
      <w:start w:val="1"/>
      <w:numFmt w:val="bullet"/>
      <w:lvlText w:val="o"/>
      <w:lvlJc w:val="left"/>
      <w:pPr>
        <w:ind w:left="3600" w:hanging="360"/>
      </w:pPr>
      <w:rPr>
        <w:rFonts w:ascii="Courier New" w:hAnsi="Courier New" w:hint="default"/>
      </w:rPr>
    </w:lvl>
    <w:lvl w:ilvl="5" w:tplc="07ACA0DE">
      <w:start w:val="1"/>
      <w:numFmt w:val="bullet"/>
      <w:lvlText w:val=""/>
      <w:lvlJc w:val="left"/>
      <w:pPr>
        <w:ind w:left="4320" w:hanging="360"/>
      </w:pPr>
      <w:rPr>
        <w:rFonts w:ascii="Wingdings" w:hAnsi="Wingdings" w:hint="default"/>
      </w:rPr>
    </w:lvl>
    <w:lvl w:ilvl="6" w:tplc="1578183A">
      <w:start w:val="1"/>
      <w:numFmt w:val="bullet"/>
      <w:lvlText w:val=""/>
      <w:lvlJc w:val="left"/>
      <w:pPr>
        <w:ind w:left="5040" w:hanging="360"/>
      </w:pPr>
      <w:rPr>
        <w:rFonts w:ascii="Symbol" w:hAnsi="Symbol" w:hint="default"/>
      </w:rPr>
    </w:lvl>
    <w:lvl w:ilvl="7" w:tplc="CE4A8836">
      <w:start w:val="1"/>
      <w:numFmt w:val="bullet"/>
      <w:lvlText w:val="o"/>
      <w:lvlJc w:val="left"/>
      <w:pPr>
        <w:ind w:left="5760" w:hanging="360"/>
      </w:pPr>
      <w:rPr>
        <w:rFonts w:ascii="Courier New" w:hAnsi="Courier New" w:hint="default"/>
      </w:rPr>
    </w:lvl>
    <w:lvl w:ilvl="8" w:tplc="0AB65FC6">
      <w:start w:val="1"/>
      <w:numFmt w:val="bullet"/>
      <w:lvlText w:val=""/>
      <w:lvlJc w:val="left"/>
      <w:pPr>
        <w:ind w:left="6480" w:hanging="360"/>
      </w:pPr>
      <w:rPr>
        <w:rFonts w:ascii="Wingdings" w:hAnsi="Wingdings" w:hint="default"/>
      </w:rPr>
    </w:lvl>
  </w:abstractNum>
  <w:abstractNum w:abstractNumId="14" w15:restartNumberingAfterBreak="0">
    <w:nsid w:val="13BC4E4B"/>
    <w:multiLevelType w:val="multilevel"/>
    <w:tmpl w:val="A5AE6C98"/>
    <w:styleLink w:val="CurrentList3"/>
    <w:lvl w:ilvl="0">
      <w:start w:val="1"/>
      <w:numFmt w:val="decimal"/>
      <w:lvlText w:val="%1."/>
      <w:lvlJc w:val="left"/>
      <w:pPr>
        <w:ind w:left="1440" w:hanging="360"/>
      </w:pPr>
      <w:rPr>
        <w:rFont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16242739"/>
    <w:multiLevelType w:val="hybridMultilevel"/>
    <w:tmpl w:val="D93210A2"/>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BE719D5"/>
    <w:multiLevelType w:val="hybridMultilevel"/>
    <w:tmpl w:val="530083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E665F53"/>
    <w:multiLevelType w:val="hybridMultilevel"/>
    <w:tmpl w:val="9C922C7A"/>
    <w:lvl w:ilvl="0" w:tplc="45449D96">
      <w:start w:val="1"/>
      <w:numFmt w:val="lowerLetter"/>
      <w:lvlText w:val="%1."/>
      <w:lvlJc w:val="left"/>
      <w:pPr>
        <w:ind w:left="720" w:hanging="360"/>
      </w:pPr>
      <w:rPr>
        <w:b w:val="0"/>
        <w:bCs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17A7571"/>
    <w:multiLevelType w:val="hybridMultilevel"/>
    <w:tmpl w:val="71566A26"/>
    <w:lvl w:ilvl="0" w:tplc="96C812BA">
      <w:start w:val="1"/>
      <w:numFmt w:val="lowerRoman"/>
      <w:lvlText w:val="%1."/>
      <w:lvlJc w:val="left"/>
      <w:pPr>
        <w:ind w:left="720" w:hanging="360"/>
      </w:pPr>
      <w:rPr>
        <w:rFonts w:ascii="Calibri" w:eastAsia="Times New Roman" w:hAnsi="Calibr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63577F0"/>
    <w:multiLevelType w:val="hybridMultilevel"/>
    <w:tmpl w:val="F10040FC"/>
    <w:lvl w:ilvl="0" w:tplc="18090001">
      <w:start w:val="1"/>
      <w:numFmt w:val="bullet"/>
      <w:lvlText w:val=""/>
      <w:lvlJc w:val="left"/>
      <w:pPr>
        <w:ind w:left="926" w:hanging="360"/>
      </w:pPr>
      <w:rPr>
        <w:rFonts w:ascii="Symbol" w:hAnsi="Symbol" w:hint="default"/>
      </w:rPr>
    </w:lvl>
    <w:lvl w:ilvl="1" w:tplc="18090003" w:tentative="1">
      <w:start w:val="1"/>
      <w:numFmt w:val="bullet"/>
      <w:lvlText w:val="o"/>
      <w:lvlJc w:val="left"/>
      <w:pPr>
        <w:ind w:left="1646" w:hanging="360"/>
      </w:pPr>
      <w:rPr>
        <w:rFonts w:ascii="Courier New" w:hAnsi="Courier New" w:cs="Courier New" w:hint="default"/>
      </w:rPr>
    </w:lvl>
    <w:lvl w:ilvl="2" w:tplc="18090005" w:tentative="1">
      <w:start w:val="1"/>
      <w:numFmt w:val="bullet"/>
      <w:lvlText w:val=""/>
      <w:lvlJc w:val="left"/>
      <w:pPr>
        <w:ind w:left="2366" w:hanging="360"/>
      </w:pPr>
      <w:rPr>
        <w:rFonts w:ascii="Wingdings" w:hAnsi="Wingdings" w:hint="default"/>
      </w:rPr>
    </w:lvl>
    <w:lvl w:ilvl="3" w:tplc="18090001" w:tentative="1">
      <w:start w:val="1"/>
      <w:numFmt w:val="bullet"/>
      <w:lvlText w:val=""/>
      <w:lvlJc w:val="left"/>
      <w:pPr>
        <w:ind w:left="3086" w:hanging="360"/>
      </w:pPr>
      <w:rPr>
        <w:rFonts w:ascii="Symbol" w:hAnsi="Symbol" w:hint="default"/>
      </w:rPr>
    </w:lvl>
    <w:lvl w:ilvl="4" w:tplc="18090003" w:tentative="1">
      <w:start w:val="1"/>
      <w:numFmt w:val="bullet"/>
      <w:lvlText w:val="o"/>
      <w:lvlJc w:val="left"/>
      <w:pPr>
        <w:ind w:left="3806" w:hanging="360"/>
      </w:pPr>
      <w:rPr>
        <w:rFonts w:ascii="Courier New" w:hAnsi="Courier New" w:cs="Courier New" w:hint="default"/>
      </w:rPr>
    </w:lvl>
    <w:lvl w:ilvl="5" w:tplc="18090005" w:tentative="1">
      <w:start w:val="1"/>
      <w:numFmt w:val="bullet"/>
      <w:lvlText w:val=""/>
      <w:lvlJc w:val="left"/>
      <w:pPr>
        <w:ind w:left="4526" w:hanging="360"/>
      </w:pPr>
      <w:rPr>
        <w:rFonts w:ascii="Wingdings" w:hAnsi="Wingdings" w:hint="default"/>
      </w:rPr>
    </w:lvl>
    <w:lvl w:ilvl="6" w:tplc="18090001" w:tentative="1">
      <w:start w:val="1"/>
      <w:numFmt w:val="bullet"/>
      <w:lvlText w:val=""/>
      <w:lvlJc w:val="left"/>
      <w:pPr>
        <w:ind w:left="5246" w:hanging="360"/>
      </w:pPr>
      <w:rPr>
        <w:rFonts w:ascii="Symbol" w:hAnsi="Symbol" w:hint="default"/>
      </w:rPr>
    </w:lvl>
    <w:lvl w:ilvl="7" w:tplc="18090003" w:tentative="1">
      <w:start w:val="1"/>
      <w:numFmt w:val="bullet"/>
      <w:lvlText w:val="o"/>
      <w:lvlJc w:val="left"/>
      <w:pPr>
        <w:ind w:left="5966" w:hanging="360"/>
      </w:pPr>
      <w:rPr>
        <w:rFonts w:ascii="Courier New" w:hAnsi="Courier New" w:cs="Courier New" w:hint="default"/>
      </w:rPr>
    </w:lvl>
    <w:lvl w:ilvl="8" w:tplc="18090005" w:tentative="1">
      <w:start w:val="1"/>
      <w:numFmt w:val="bullet"/>
      <w:lvlText w:val=""/>
      <w:lvlJc w:val="left"/>
      <w:pPr>
        <w:ind w:left="6686" w:hanging="360"/>
      </w:pPr>
      <w:rPr>
        <w:rFonts w:ascii="Wingdings" w:hAnsi="Wingdings" w:hint="default"/>
      </w:rPr>
    </w:lvl>
  </w:abstractNum>
  <w:abstractNum w:abstractNumId="20" w15:restartNumberingAfterBreak="0">
    <w:nsid w:val="27E0099B"/>
    <w:multiLevelType w:val="hybridMultilevel"/>
    <w:tmpl w:val="40B262A2"/>
    <w:lvl w:ilvl="0" w:tplc="45449D96">
      <w:start w:val="1"/>
      <w:numFmt w:val="lowerLetter"/>
      <w:lvlText w:val="%1."/>
      <w:lvlJc w:val="left"/>
      <w:pPr>
        <w:ind w:left="720" w:hanging="360"/>
      </w:pPr>
      <w:rPr>
        <w:b w:val="0"/>
        <w:bCs w:val="0"/>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424E0B"/>
    <w:multiLevelType w:val="hybridMultilevel"/>
    <w:tmpl w:val="2D1263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C61393B"/>
    <w:multiLevelType w:val="hybridMultilevel"/>
    <w:tmpl w:val="5FC6CAA4"/>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5765C3"/>
    <w:multiLevelType w:val="hybridMultilevel"/>
    <w:tmpl w:val="FFFFFFFF"/>
    <w:lvl w:ilvl="0" w:tplc="91F851AE">
      <w:start w:val="1"/>
      <w:numFmt w:val="bullet"/>
      <w:lvlText w:val=""/>
      <w:lvlJc w:val="left"/>
      <w:pPr>
        <w:ind w:left="720" w:hanging="360"/>
      </w:pPr>
      <w:rPr>
        <w:rFonts w:ascii="Symbol" w:hAnsi="Symbol" w:hint="default"/>
      </w:rPr>
    </w:lvl>
    <w:lvl w:ilvl="1" w:tplc="E7B6AE4C">
      <w:start w:val="1"/>
      <w:numFmt w:val="bullet"/>
      <w:lvlText w:val="o"/>
      <w:lvlJc w:val="left"/>
      <w:pPr>
        <w:ind w:left="1440" w:hanging="360"/>
      </w:pPr>
      <w:rPr>
        <w:rFonts w:ascii="Courier New" w:hAnsi="Courier New" w:hint="default"/>
      </w:rPr>
    </w:lvl>
    <w:lvl w:ilvl="2" w:tplc="4FDC2426">
      <w:start w:val="1"/>
      <w:numFmt w:val="bullet"/>
      <w:lvlText w:val=""/>
      <w:lvlJc w:val="left"/>
      <w:pPr>
        <w:ind w:left="2160" w:hanging="360"/>
      </w:pPr>
      <w:rPr>
        <w:rFonts w:ascii="Wingdings" w:hAnsi="Wingdings" w:hint="default"/>
      </w:rPr>
    </w:lvl>
    <w:lvl w:ilvl="3" w:tplc="16E24278">
      <w:start w:val="1"/>
      <w:numFmt w:val="bullet"/>
      <w:lvlText w:val=""/>
      <w:lvlJc w:val="left"/>
      <w:pPr>
        <w:ind w:left="2880" w:hanging="360"/>
      </w:pPr>
      <w:rPr>
        <w:rFonts w:ascii="Symbol" w:hAnsi="Symbol" w:hint="default"/>
      </w:rPr>
    </w:lvl>
    <w:lvl w:ilvl="4" w:tplc="8516FB96">
      <w:start w:val="1"/>
      <w:numFmt w:val="bullet"/>
      <w:lvlText w:val="o"/>
      <w:lvlJc w:val="left"/>
      <w:pPr>
        <w:ind w:left="3600" w:hanging="360"/>
      </w:pPr>
      <w:rPr>
        <w:rFonts w:ascii="Courier New" w:hAnsi="Courier New" w:hint="default"/>
      </w:rPr>
    </w:lvl>
    <w:lvl w:ilvl="5" w:tplc="350448C0">
      <w:start w:val="1"/>
      <w:numFmt w:val="bullet"/>
      <w:lvlText w:val=""/>
      <w:lvlJc w:val="left"/>
      <w:pPr>
        <w:ind w:left="4320" w:hanging="360"/>
      </w:pPr>
      <w:rPr>
        <w:rFonts w:ascii="Wingdings" w:hAnsi="Wingdings" w:hint="default"/>
      </w:rPr>
    </w:lvl>
    <w:lvl w:ilvl="6" w:tplc="3C1C5950">
      <w:start w:val="1"/>
      <w:numFmt w:val="bullet"/>
      <w:lvlText w:val=""/>
      <w:lvlJc w:val="left"/>
      <w:pPr>
        <w:ind w:left="5040" w:hanging="360"/>
      </w:pPr>
      <w:rPr>
        <w:rFonts w:ascii="Symbol" w:hAnsi="Symbol" w:hint="default"/>
      </w:rPr>
    </w:lvl>
    <w:lvl w:ilvl="7" w:tplc="BD0649FE">
      <w:start w:val="1"/>
      <w:numFmt w:val="bullet"/>
      <w:lvlText w:val="o"/>
      <w:lvlJc w:val="left"/>
      <w:pPr>
        <w:ind w:left="5760" w:hanging="360"/>
      </w:pPr>
      <w:rPr>
        <w:rFonts w:ascii="Courier New" w:hAnsi="Courier New" w:hint="default"/>
      </w:rPr>
    </w:lvl>
    <w:lvl w:ilvl="8" w:tplc="EB72169A">
      <w:start w:val="1"/>
      <w:numFmt w:val="bullet"/>
      <w:lvlText w:val=""/>
      <w:lvlJc w:val="left"/>
      <w:pPr>
        <w:ind w:left="6480" w:hanging="360"/>
      </w:pPr>
      <w:rPr>
        <w:rFonts w:ascii="Wingdings" w:hAnsi="Wingdings" w:hint="default"/>
      </w:rPr>
    </w:lvl>
  </w:abstractNum>
  <w:abstractNum w:abstractNumId="24" w15:restartNumberingAfterBreak="0">
    <w:nsid w:val="32117613"/>
    <w:multiLevelType w:val="hybridMultilevel"/>
    <w:tmpl w:val="0CEC2E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416004C"/>
    <w:multiLevelType w:val="hybridMultilevel"/>
    <w:tmpl w:val="02A4B38C"/>
    <w:lvl w:ilvl="0" w:tplc="45449D96">
      <w:start w:val="1"/>
      <w:numFmt w:val="lowerLetter"/>
      <w:lvlText w:val="%1."/>
      <w:lvlJc w:val="left"/>
      <w:pPr>
        <w:ind w:left="1080" w:hanging="360"/>
      </w:pPr>
      <w:rPr>
        <w:b w:val="0"/>
        <w:bCs w:val="0"/>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369D62BB"/>
    <w:multiLevelType w:val="hybridMultilevel"/>
    <w:tmpl w:val="B9C8D5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6D00B4A"/>
    <w:multiLevelType w:val="hybridMultilevel"/>
    <w:tmpl w:val="344E2398"/>
    <w:lvl w:ilvl="0" w:tplc="60D0944E">
      <w:start w:val="1"/>
      <w:numFmt w:val="lowerRoman"/>
      <w:lvlText w:val="%1."/>
      <w:lvlJc w:val="left"/>
      <w:pPr>
        <w:ind w:left="720" w:hanging="360"/>
      </w:pPr>
      <w:rPr>
        <w:rFonts w:ascii="Calibri" w:eastAsia="Times New Roman" w:hAnsi="Calibr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3D495DE4"/>
    <w:multiLevelType w:val="hybridMultilevel"/>
    <w:tmpl w:val="DC040C4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5117DC"/>
    <w:multiLevelType w:val="multilevel"/>
    <w:tmpl w:val="8ABAA81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A454FC"/>
    <w:multiLevelType w:val="hybridMultilevel"/>
    <w:tmpl w:val="2D1263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1057663"/>
    <w:multiLevelType w:val="hybridMultilevel"/>
    <w:tmpl w:val="14882D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553227A8"/>
    <w:multiLevelType w:val="hybridMultilevel"/>
    <w:tmpl w:val="1528132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5E15C46"/>
    <w:multiLevelType w:val="multilevel"/>
    <w:tmpl w:val="425E9B18"/>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78C6F64"/>
    <w:multiLevelType w:val="multilevel"/>
    <w:tmpl w:val="53F410C2"/>
    <w:lvl w:ilvl="0">
      <w:start w:val="2"/>
      <w:numFmt w:val="decimal"/>
      <w:lvlText w:val="%1"/>
      <w:lvlJc w:val="left"/>
      <w:pPr>
        <w:ind w:left="566" w:hanging="360"/>
      </w:pPr>
      <w:rPr>
        <w:rFonts w:hint="default"/>
        <w:lang w:val="en-IE" w:eastAsia="en-US" w:bidi="ar-SA"/>
      </w:rPr>
    </w:lvl>
    <w:lvl w:ilvl="1">
      <w:start w:val="1"/>
      <w:numFmt w:val="decimal"/>
      <w:lvlText w:val="%1.%2"/>
      <w:lvlJc w:val="left"/>
      <w:pPr>
        <w:ind w:left="566" w:hanging="360"/>
      </w:pPr>
      <w:rPr>
        <w:rFonts w:ascii="Calibri" w:eastAsia="Calibri" w:hAnsi="Calibri" w:cs="Calibri" w:hint="default"/>
        <w:b/>
        <w:bCs/>
        <w:i w:val="0"/>
        <w:iCs w:val="0"/>
        <w:color w:val="3333FF"/>
        <w:spacing w:val="-2"/>
        <w:w w:val="100"/>
        <w:sz w:val="22"/>
        <w:szCs w:val="22"/>
        <w:lang w:val="en-IE" w:eastAsia="en-US" w:bidi="ar-SA"/>
      </w:rPr>
    </w:lvl>
    <w:lvl w:ilvl="2">
      <w:start w:val="1"/>
      <w:numFmt w:val="lowerLetter"/>
      <w:lvlText w:val="(%3)"/>
      <w:lvlJc w:val="left"/>
      <w:pPr>
        <w:ind w:left="930" w:hanging="396"/>
        <w:jc w:val="right"/>
      </w:pPr>
      <w:rPr>
        <w:rFonts w:ascii="Calibri" w:eastAsia="Calibri" w:hAnsi="Calibri" w:cs="Calibri" w:hint="default"/>
        <w:b w:val="0"/>
        <w:bCs w:val="0"/>
        <w:i w:val="0"/>
        <w:iCs w:val="0"/>
        <w:spacing w:val="-1"/>
        <w:w w:val="100"/>
        <w:sz w:val="22"/>
        <w:szCs w:val="22"/>
        <w:lang w:val="en-IE" w:eastAsia="en-US" w:bidi="ar-SA"/>
      </w:rPr>
    </w:lvl>
    <w:lvl w:ilvl="3">
      <w:numFmt w:val="bullet"/>
      <w:lvlText w:val="•"/>
      <w:lvlJc w:val="left"/>
      <w:pPr>
        <w:ind w:left="2892" w:hanging="396"/>
      </w:pPr>
      <w:rPr>
        <w:rFonts w:hint="default"/>
        <w:lang w:val="en-IE" w:eastAsia="en-US" w:bidi="ar-SA"/>
      </w:rPr>
    </w:lvl>
    <w:lvl w:ilvl="4">
      <w:numFmt w:val="bullet"/>
      <w:lvlText w:val="•"/>
      <w:lvlJc w:val="left"/>
      <w:pPr>
        <w:ind w:left="3868" w:hanging="396"/>
      </w:pPr>
      <w:rPr>
        <w:rFonts w:hint="default"/>
        <w:lang w:val="en-IE" w:eastAsia="en-US" w:bidi="ar-SA"/>
      </w:rPr>
    </w:lvl>
    <w:lvl w:ilvl="5">
      <w:numFmt w:val="bullet"/>
      <w:lvlText w:val="•"/>
      <w:lvlJc w:val="left"/>
      <w:pPr>
        <w:ind w:left="4845" w:hanging="396"/>
      </w:pPr>
      <w:rPr>
        <w:rFonts w:hint="default"/>
        <w:lang w:val="en-IE" w:eastAsia="en-US" w:bidi="ar-SA"/>
      </w:rPr>
    </w:lvl>
    <w:lvl w:ilvl="6">
      <w:numFmt w:val="bullet"/>
      <w:lvlText w:val="•"/>
      <w:lvlJc w:val="left"/>
      <w:pPr>
        <w:ind w:left="5821" w:hanging="396"/>
      </w:pPr>
      <w:rPr>
        <w:rFonts w:hint="default"/>
        <w:lang w:val="en-IE" w:eastAsia="en-US" w:bidi="ar-SA"/>
      </w:rPr>
    </w:lvl>
    <w:lvl w:ilvl="7">
      <w:numFmt w:val="bullet"/>
      <w:lvlText w:val="•"/>
      <w:lvlJc w:val="left"/>
      <w:pPr>
        <w:ind w:left="6797" w:hanging="396"/>
      </w:pPr>
      <w:rPr>
        <w:rFonts w:hint="default"/>
        <w:lang w:val="en-IE" w:eastAsia="en-US" w:bidi="ar-SA"/>
      </w:rPr>
    </w:lvl>
    <w:lvl w:ilvl="8">
      <w:numFmt w:val="bullet"/>
      <w:lvlText w:val="•"/>
      <w:lvlJc w:val="left"/>
      <w:pPr>
        <w:ind w:left="7773" w:hanging="396"/>
      </w:pPr>
      <w:rPr>
        <w:rFonts w:hint="default"/>
        <w:lang w:val="en-IE" w:eastAsia="en-US" w:bidi="ar-SA"/>
      </w:rPr>
    </w:lvl>
  </w:abstractNum>
  <w:abstractNum w:abstractNumId="37" w15:restartNumberingAfterBreak="0">
    <w:nsid w:val="5DBC2FD5"/>
    <w:multiLevelType w:val="hybridMultilevel"/>
    <w:tmpl w:val="6CACA522"/>
    <w:lvl w:ilvl="0" w:tplc="658E788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752914"/>
    <w:multiLevelType w:val="hybridMultilevel"/>
    <w:tmpl w:val="18DAC83E"/>
    <w:lvl w:ilvl="0" w:tplc="45449D96">
      <w:start w:val="1"/>
      <w:numFmt w:val="lowerLetter"/>
      <w:lvlText w:val="%1."/>
      <w:lvlJc w:val="left"/>
      <w:pPr>
        <w:ind w:left="720" w:hanging="360"/>
      </w:pPr>
      <w:rPr>
        <w:b w:val="0"/>
        <w:bCs w:val="0"/>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0E325F2"/>
    <w:multiLevelType w:val="hybridMultilevel"/>
    <w:tmpl w:val="1B722E64"/>
    <w:lvl w:ilvl="0" w:tplc="33BCFB8E">
      <w:start w:val="1"/>
      <w:numFmt w:val="bullet"/>
      <w:pStyle w:val="Bullet"/>
      <w:lvlText w:val=""/>
      <w:lvlJc w:val="left"/>
      <w:rPr>
        <w:rFonts w:ascii="Webdings" w:hAnsi="Webdings" w:hint="default"/>
        <w:color w:val="FFFFFF"/>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984626"/>
    <w:multiLevelType w:val="multilevel"/>
    <w:tmpl w:val="AB56A796"/>
    <w:lvl w:ilvl="0">
      <w:start w:val="2"/>
      <w:numFmt w:val="decimal"/>
      <w:lvlText w:val="%1"/>
      <w:lvlJc w:val="left"/>
      <w:pPr>
        <w:ind w:left="1040" w:hanging="795"/>
      </w:pPr>
      <w:rPr>
        <w:rFonts w:hint="default"/>
        <w:lang w:val="en-US" w:eastAsia="en-US" w:bidi="ar-SA"/>
      </w:rPr>
    </w:lvl>
    <w:lvl w:ilvl="1">
      <w:start w:val="10"/>
      <w:numFmt w:val="decimal"/>
      <w:lvlText w:val="%1.%2"/>
      <w:lvlJc w:val="left"/>
      <w:pPr>
        <w:ind w:left="1040" w:hanging="795"/>
      </w:pPr>
      <w:rPr>
        <w:rFonts w:hint="default"/>
        <w:lang w:val="en-US" w:eastAsia="en-US" w:bidi="ar-SA"/>
      </w:rPr>
    </w:lvl>
    <w:lvl w:ilvl="2">
      <w:start w:val="1"/>
      <w:numFmt w:val="decimal"/>
      <w:lvlText w:val="%1.%2.%3"/>
      <w:lvlJc w:val="left"/>
      <w:pPr>
        <w:ind w:left="1040" w:hanging="795"/>
      </w:pPr>
      <w:rPr>
        <w:rFonts w:ascii="Calibri" w:eastAsia="Calibri" w:hAnsi="Calibri" w:cs="Calibri" w:hint="default"/>
        <w:b w:val="0"/>
        <w:bCs w:val="0"/>
        <w:i w:val="0"/>
        <w:iCs w:val="0"/>
        <w:color w:val="0000FF"/>
        <w:spacing w:val="-1"/>
        <w:w w:val="100"/>
        <w:sz w:val="22"/>
        <w:szCs w:val="22"/>
        <w:lang w:val="en-US" w:eastAsia="en-US" w:bidi="ar-SA"/>
      </w:rPr>
    </w:lvl>
    <w:lvl w:ilvl="3">
      <w:numFmt w:val="bullet"/>
      <w:lvlText w:val="•"/>
      <w:lvlJc w:val="left"/>
      <w:pPr>
        <w:ind w:left="3586" w:hanging="795"/>
      </w:pPr>
      <w:rPr>
        <w:rFonts w:hint="default"/>
        <w:lang w:val="en-US" w:eastAsia="en-US" w:bidi="ar-SA"/>
      </w:rPr>
    </w:lvl>
    <w:lvl w:ilvl="4">
      <w:numFmt w:val="bullet"/>
      <w:lvlText w:val="•"/>
      <w:lvlJc w:val="left"/>
      <w:pPr>
        <w:ind w:left="4435" w:hanging="795"/>
      </w:pPr>
      <w:rPr>
        <w:rFonts w:hint="default"/>
        <w:lang w:val="en-US" w:eastAsia="en-US" w:bidi="ar-SA"/>
      </w:rPr>
    </w:lvl>
    <w:lvl w:ilvl="5">
      <w:numFmt w:val="bullet"/>
      <w:lvlText w:val="•"/>
      <w:lvlJc w:val="left"/>
      <w:pPr>
        <w:ind w:left="5283" w:hanging="795"/>
      </w:pPr>
      <w:rPr>
        <w:rFonts w:hint="default"/>
        <w:lang w:val="en-US" w:eastAsia="en-US" w:bidi="ar-SA"/>
      </w:rPr>
    </w:lvl>
    <w:lvl w:ilvl="6">
      <w:numFmt w:val="bullet"/>
      <w:lvlText w:val="•"/>
      <w:lvlJc w:val="left"/>
      <w:pPr>
        <w:ind w:left="6132" w:hanging="795"/>
      </w:pPr>
      <w:rPr>
        <w:rFonts w:hint="default"/>
        <w:lang w:val="en-US" w:eastAsia="en-US" w:bidi="ar-SA"/>
      </w:rPr>
    </w:lvl>
    <w:lvl w:ilvl="7">
      <w:numFmt w:val="bullet"/>
      <w:lvlText w:val="•"/>
      <w:lvlJc w:val="left"/>
      <w:pPr>
        <w:ind w:left="6981" w:hanging="795"/>
      </w:pPr>
      <w:rPr>
        <w:rFonts w:hint="default"/>
        <w:lang w:val="en-US" w:eastAsia="en-US" w:bidi="ar-SA"/>
      </w:rPr>
    </w:lvl>
    <w:lvl w:ilvl="8">
      <w:numFmt w:val="bullet"/>
      <w:lvlText w:val="•"/>
      <w:lvlJc w:val="left"/>
      <w:pPr>
        <w:ind w:left="7830" w:hanging="795"/>
      </w:pPr>
      <w:rPr>
        <w:rFonts w:hint="default"/>
        <w:lang w:val="en-US" w:eastAsia="en-US" w:bidi="ar-SA"/>
      </w:rPr>
    </w:lvl>
  </w:abstractNum>
  <w:abstractNum w:abstractNumId="41" w15:restartNumberingAfterBreak="0">
    <w:nsid w:val="638541E8"/>
    <w:multiLevelType w:val="hybridMultilevel"/>
    <w:tmpl w:val="0B8E955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3D2E629"/>
    <w:multiLevelType w:val="hybridMultilevel"/>
    <w:tmpl w:val="FFFFFFFF"/>
    <w:lvl w:ilvl="0" w:tplc="91141114">
      <w:start w:val="1"/>
      <w:numFmt w:val="bullet"/>
      <w:lvlText w:val=""/>
      <w:lvlJc w:val="left"/>
      <w:pPr>
        <w:ind w:left="720" w:hanging="360"/>
      </w:pPr>
      <w:rPr>
        <w:rFonts w:ascii="Symbol" w:hAnsi="Symbol" w:hint="default"/>
      </w:rPr>
    </w:lvl>
    <w:lvl w:ilvl="1" w:tplc="90161D88">
      <w:start w:val="1"/>
      <w:numFmt w:val="bullet"/>
      <w:lvlText w:val="o"/>
      <w:lvlJc w:val="left"/>
      <w:pPr>
        <w:ind w:left="1440" w:hanging="360"/>
      </w:pPr>
      <w:rPr>
        <w:rFonts w:ascii="Courier New" w:hAnsi="Courier New" w:hint="default"/>
      </w:rPr>
    </w:lvl>
    <w:lvl w:ilvl="2" w:tplc="51B2A990">
      <w:start w:val="1"/>
      <w:numFmt w:val="bullet"/>
      <w:lvlText w:val=""/>
      <w:lvlJc w:val="left"/>
      <w:pPr>
        <w:ind w:left="2160" w:hanging="360"/>
      </w:pPr>
      <w:rPr>
        <w:rFonts w:ascii="Wingdings" w:hAnsi="Wingdings" w:hint="default"/>
      </w:rPr>
    </w:lvl>
    <w:lvl w:ilvl="3" w:tplc="6720D7B2">
      <w:start w:val="1"/>
      <w:numFmt w:val="bullet"/>
      <w:lvlText w:val="o"/>
      <w:lvlJc w:val="left"/>
      <w:pPr>
        <w:ind w:left="720" w:hanging="360"/>
      </w:pPr>
      <w:rPr>
        <w:rFonts w:ascii="Courier New" w:hAnsi="Courier New" w:hint="default"/>
      </w:rPr>
    </w:lvl>
    <w:lvl w:ilvl="4" w:tplc="41920B30">
      <w:start w:val="1"/>
      <w:numFmt w:val="bullet"/>
      <w:lvlText w:val="o"/>
      <w:lvlJc w:val="left"/>
      <w:pPr>
        <w:ind w:left="3600" w:hanging="360"/>
      </w:pPr>
      <w:rPr>
        <w:rFonts w:ascii="Courier New" w:hAnsi="Courier New" w:hint="default"/>
      </w:rPr>
    </w:lvl>
    <w:lvl w:ilvl="5" w:tplc="79123654">
      <w:start w:val="1"/>
      <w:numFmt w:val="bullet"/>
      <w:lvlText w:val=""/>
      <w:lvlJc w:val="left"/>
      <w:pPr>
        <w:ind w:left="4320" w:hanging="360"/>
      </w:pPr>
      <w:rPr>
        <w:rFonts w:ascii="Wingdings" w:hAnsi="Wingdings" w:hint="default"/>
      </w:rPr>
    </w:lvl>
    <w:lvl w:ilvl="6" w:tplc="C548D080">
      <w:start w:val="1"/>
      <w:numFmt w:val="bullet"/>
      <w:lvlText w:val=""/>
      <w:lvlJc w:val="left"/>
      <w:pPr>
        <w:ind w:left="5040" w:hanging="360"/>
      </w:pPr>
      <w:rPr>
        <w:rFonts w:ascii="Symbol" w:hAnsi="Symbol" w:hint="default"/>
      </w:rPr>
    </w:lvl>
    <w:lvl w:ilvl="7" w:tplc="5F327352">
      <w:start w:val="1"/>
      <w:numFmt w:val="bullet"/>
      <w:lvlText w:val="o"/>
      <w:lvlJc w:val="left"/>
      <w:pPr>
        <w:ind w:left="5760" w:hanging="360"/>
      </w:pPr>
      <w:rPr>
        <w:rFonts w:ascii="Courier New" w:hAnsi="Courier New" w:hint="default"/>
      </w:rPr>
    </w:lvl>
    <w:lvl w:ilvl="8" w:tplc="8C74A01E">
      <w:start w:val="1"/>
      <w:numFmt w:val="bullet"/>
      <w:lvlText w:val=""/>
      <w:lvlJc w:val="left"/>
      <w:pPr>
        <w:ind w:left="6480" w:hanging="360"/>
      </w:pPr>
      <w:rPr>
        <w:rFonts w:ascii="Wingdings" w:hAnsi="Wingdings" w:hint="default"/>
      </w:rPr>
    </w:lvl>
  </w:abstractNum>
  <w:abstractNum w:abstractNumId="43" w15:restartNumberingAfterBreak="0">
    <w:nsid w:val="64654D67"/>
    <w:multiLevelType w:val="hybridMultilevel"/>
    <w:tmpl w:val="684C8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3F0A51"/>
    <w:multiLevelType w:val="hybridMultilevel"/>
    <w:tmpl w:val="F1B2DD54"/>
    <w:lvl w:ilvl="0" w:tplc="96C812BA">
      <w:start w:val="1"/>
      <w:numFmt w:val="lowerRoman"/>
      <w:lvlText w:val="%1."/>
      <w:lvlJc w:val="left"/>
      <w:pPr>
        <w:ind w:left="720" w:hanging="360"/>
      </w:pPr>
      <w:rPr>
        <w:rFonts w:ascii="Calibri" w:eastAsia="Times New Roman" w:hAnsi="Calibr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E1023DE"/>
    <w:multiLevelType w:val="hybridMultilevel"/>
    <w:tmpl w:val="8F3C8E1E"/>
    <w:lvl w:ilvl="0" w:tplc="8B70BB54">
      <w:start w:val="1"/>
      <w:numFmt w:val="lowerRoman"/>
      <w:lvlText w:val="(%1)"/>
      <w:lvlJc w:val="left"/>
      <w:pPr>
        <w:ind w:left="720" w:hanging="360"/>
      </w:pPr>
      <w:rPr>
        <w:rFonts w:ascii="Calibri" w:eastAsia="Calibri" w:hAnsi="Calibri" w:cs="Calibri" w:hint="default"/>
        <w:b w:val="0"/>
        <w:bCs w:val="0"/>
        <w:i w:val="0"/>
        <w:iCs w:val="0"/>
        <w:spacing w:val="-1"/>
        <w:w w:val="100"/>
        <w:sz w:val="22"/>
        <w:szCs w:val="22"/>
        <w:lang w:val="en-IE" w:eastAsia="en-US" w:bidi="ar-SA"/>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E4065B2"/>
    <w:multiLevelType w:val="multilevel"/>
    <w:tmpl w:val="D15EADB8"/>
    <w:styleLink w:val="CurrentList1"/>
    <w:lvl w:ilvl="0">
      <w:start w:val="1"/>
      <w:numFmt w:val="lowerRoman"/>
      <w:lvlText w:val="%1."/>
      <w:lvlJc w:val="left"/>
      <w:pPr>
        <w:ind w:left="720" w:hanging="360"/>
      </w:pPr>
      <w:rPr>
        <w:rFonts w:ascii="Calibri" w:eastAsia="Times New Roman" w:hAnsi="Calibri"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0134EF9"/>
    <w:multiLevelType w:val="hybridMultilevel"/>
    <w:tmpl w:val="BCB2AF94"/>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8" w15:restartNumberingAfterBreak="0">
    <w:nsid w:val="720C1595"/>
    <w:multiLevelType w:val="hybridMultilevel"/>
    <w:tmpl w:val="7790452E"/>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30849B5"/>
    <w:multiLevelType w:val="hybridMultilevel"/>
    <w:tmpl w:val="2B5838C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9F626B9"/>
    <w:multiLevelType w:val="hybridMultilevel"/>
    <w:tmpl w:val="A4248D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AE27C92"/>
    <w:multiLevelType w:val="hybridMultilevel"/>
    <w:tmpl w:val="9300DE92"/>
    <w:lvl w:ilvl="0" w:tplc="52AE4D54">
      <w:start w:val="1"/>
      <w:numFmt w:val="decimal"/>
      <w:lvlText w:val="2.%1"/>
      <w:lvlJc w:val="left"/>
      <w:rPr>
        <w:rFonts w:ascii="Calibri" w:hAnsi="Calibri" w:cs="Times New Roman" w:hint="default"/>
        <w:b/>
        <w:color w:val="3333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AF316D9"/>
    <w:multiLevelType w:val="hybridMultilevel"/>
    <w:tmpl w:val="572493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3" w15:restartNumberingAfterBreak="0">
    <w:nsid w:val="7FA77B4F"/>
    <w:multiLevelType w:val="hybridMultilevel"/>
    <w:tmpl w:val="9BD4C0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8164286">
    <w:abstractNumId w:val="26"/>
  </w:num>
  <w:num w:numId="2" w16cid:durableId="1121991490">
    <w:abstractNumId w:val="1"/>
  </w:num>
  <w:num w:numId="3" w16cid:durableId="1136994208">
    <w:abstractNumId w:val="34"/>
  </w:num>
  <w:num w:numId="4" w16cid:durableId="1153833460">
    <w:abstractNumId w:val="45"/>
  </w:num>
  <w:num w:numId="5" w16cid:durableId="1160197505">
    <w:abstractNumId w:val="33"/>
  </w:num>
  <w:num w:numId="6" w16cid:durableId="1172986367">
    <w:abstractNumId w:val="4"/>
  </w:num>
  <w:num w:numId="7" w16cid:durableId="1258563409">
    <w:abstractNumId w:val="50"/>
  </w:num>
  <w:num w:numId="8" w16cid:durableId="1274939083">
    <w:abstractNumId w:val="17"/>
  </w:num>
  <w:num w:numId="9" w16cid:durableId="1308391183">
    <w:abstractNumId w:val="38"/>
  </w:num>
  <w:num w:numId="10" w16cid:durableId="1311986497">
    <w:abstractNumId w:val="13"/>
  </w:num>
  <w:num w:numId="11" w16cid:durableId="133908926">
    <w:abstractNumId w:val="43"/>
  </w:num>
  <w:num w:numId="12" w16cid:durableId="1345984693">
    <w:abstractNumId w:val="53"/>
  </w:num>
  <w:num w:numId="13" w16cid:durableId="1346328132">
    <w:abstractNumId w:val="14"/>
  </w:num>
  <w:num w:numId="14" w16cid:durableId="1355307114">
    <w:abstractNumId w:val="25"/>
  </w:num>
  <w:num w:numId="15" w16cid:durableId="13768282">
    <w:abstractNumId w:val="11"/>
  </w:num>
  <w:num w:numId="16" w16cid:durableId="139345662">
    <w:abstractNumId w:val="3"/>
  </w:num>
  <w:num w:numId="17" w16cid:durableId="1433283684">
    <w:abstractNumId w:val="37"/>
  </w:num>
  <w:num w:numId="18" w16cid:durableId="147791459">
    <w:abstractNumId w:val="18"/>
  </w:num>
  <w:num w:numId="19" w16cid:durableId="1588542243">
    <w:abstractNumId w:val="49"/>
  </w:num>
  <w:num w:numId="20" w16cid:durableId="160394510">
    <w:abstractNumId w:val="27"/>
  </w:num>
  <w:num w:numId="21" w16cid:durableId="1607343516">
    <w:abstractNumId w:val="28"/>
  </w:num>
  <w:num w:numId="22" w16cid:durableId="168105668">
    <w:abstractNumId w:val="36"/>
  </w:num>
  <w:num w:numId="23" w16cid:durableId="1808161979">
    <w:abstractNumId w:val="22"/>
  </w:num>
  <w:num w:numId="24" w16cid:durableId="1961767123">
    <w:abstractNumId w:val="10"/>
  </w:num>
  <w:num w:numId="25" w16cid:durableId="1988320114">
    <w:abstractNumId w:val="0"/>
  </w:num>
  <w:num w:numId="26" w16cid:durableId="202601940">
    <w:abstractNumId w:val="48"/>
  </w:num>
  <w:num w:numId="27" w16cid:durableId="204028103">
    <w:abstractNumId w:val="39"/>
  </w:num>
  <w:num w:numId="28" w16cid:durableId="2046559433">
    <w:abstractNumId w:val="21"/>
  </w:num>
  <w:num w:numId="29" w16cid:durableId="2090342795">
    <w:abstractNumId w:val="19"/>
  </w:num>
  <w:num w:numId="30" w16cid:durableId="238712059">
    <w:abstractNumId w:val="5"/>
  </w:num>
  <w:num w:numId="31" w16cid:durableId="274216462">
    <w:abstractNumId w:val="8"/>
  </w:num>
  <w:num w:numId="32" w16cid:durableId="340280539">
    <w:abstractNumId w:val="32"/>
  </w:num>
  <w:num w:numId="33" w16cid:durableId="358047794">
    <w:abstractNumId w:val="16"/>
  </w:num>
  <w:num w:numId="34" w16cid:durableId="374549330">
    <w:abstractNumId w:val="15"/>
  </w:num>
  <w:num w:numId="35" w16cid:durableId="404686539">
    <w:abstractNumId w:val="44"/>
  </w:num>
  <w:num w:numId="36" w16cid:durableId="465197948">
    <w:abstractNumId w:val="12"/>
  </w:num>
  <w:num w:numId="37" w16cid:durableId="508834090">
    <w:abstractNumId w:val="46"/>
  </w:num>
  <w:num w:numId="38" w16cid:durableId="512764510">
    <w:abstractNumId w:val="6"/>
  </w:num>
  <w:num w:numId="39" w16cid:durableId="542330785">
    <w:abstractNumId w:val="30"/>
  </w:num>
  <w:num w:numId="40" w16cid:durableId="552155694">
    <w:abstractNumId w:val="9"/>
  </w:num>
  <w:num w:numId="41" w16cid:durableId="568999783">
    <w:abstractNumId w:val="52"/>
  </w:num>
  <w:num w:numId="42" w16cid:durableId="581840697">
    <w:abstractNumId w:val="42"/>
  </w:num>
  <w:num w:numId="43" w16cid:durableId="582179000">
    <w:abstractNumId w:val="7"/>
  </w:num>
  <w:num w:numId="44" w16cid:durableId="599795763">
    <w:abstractNumId w:val="47"/>
  </w:num>
  <w:num w:numId="45" w16cid:durableId="611471279">
    <w:abstractNumId w:val="40"/>
  </w:num>
  <w:num w:numId="46" w16cid:durableId="615452882">
    <w:abstractNumId w:val="41"/>
  </w:num>
  <w:num w:numId="47" w16cid:durableId="63069142">
    <w:abstractNumId w:val="31"/>
  </w:num>
  <w:num w:numId="48" w16cid:durableId="710690272">
    <w:abstractNumId w:val="35"/>
  </w:num>
  <w:num w:numId="49" w16cid:durableId="730033835">
    <w:abstractNumId w:val="29"/>
  </w:num>
  <w:num w:numId="50" w16cid:durableId="78061766">
    <w:abstractNumId w:val="2"/>
  </w:num>
  <w:num w:numId="51" w16cid:durableId="782070894">
    <w:abstractNumId w:val="24"/>
  </w:num>
  <w:num w:numId="52" w16cid:durableId="948968084">
    <w:abstractNumId w:val="20"/>
  </w:num>
  <w:num w:numId="53" w16cid:durableId="949509280">
    <w:abstractNumId w:val="23"/>
  </w:num>
  <w:num w:numId="54" w16cid:durableId="990476312">
    <w:abstractNumId w:val="5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6B"/>
    <w:rsid w:val="000010EE"/>
    <w:rsid w:val="000014C1"/>
    <w:rsid w:val="00001C0D"/>
    <w:rsid w:val="000048BC"/>
    <w:rsid w:val="00004C7A"/>
    <w:rsid w:val="00004FDB"/>
    <w:rsid w:val="000053DC"/>
    <w:rsid w:val="0000613C"/>
    <w:rsid w:val="000069CA"/>
    <w:rsid w:val="000069D1"/>
    <w:rsid w:val="0000777B"/>
    <w:rsid w:val="00007B68"/>
    <w:rsid w:val="00010561"/>
    <w:rsid w:val="0001196B"/>
    <w:rsid w:val="0001353C"/>
    <w:rsid w:val="000153D1"/>
    <w:rsid w:val="00020A71"/>
    <w:rsid w:val="000210E3"/>
    <w:rsid w:val="000236A5"/>
    <w:rsid w:val="0002517D"/>
    <w:rsid w:val="00025762"/>
    <w:rsid w:val="0002637C"/>
    <w:rsid w:val="000272A1"/>
    <w:rsid w:val="000311BB"/>
    <w:rsid w:val="000311C9"/>
    <w:rsid w:val="00031DCA"/>
    <w:rsid w:val="00032DB6"/>
    <w:rsid w:val="00035DBA"/>
    <w:rsid w:val="00036A55"/>
    <w:rsid w:val="00037279"/>
    <w:rsid w:val="00040269"/>
    <w:rsid w:val="00041FD6"/>
    <w:rsid w:val="00042701"/>
    <w:rsid w:val="00043DD6"/>
    <w:rsid w:val="000446AC"/>
    <w:rsid w:val="000446BE"/>
    <w:rsid w:val="00047090"/>
    <w:rsid w:val="0005031D"/>
    <w:rsid w:val="000504AA"/>
    <w:rsid w:val="000518DF"/>
    <w:rsid w:val="0005351C"/>
    <w:rsid w:val="00053A5F"/>
    <w:rsid w:val="0006225B"/>
    <w:rsid w:val="00067CD4"/>
    <w:rsid w:val="000709D3"/>
    <w:rsid w:val="0007178E"/>
    <w:rsid w:val="00072662"/>
    <w:rsid w:val="00073966"/>
    <w:rsid w:val="000766DB"/>
    <w:rsid w:val="00076E84"/>
    <w:rsid w:val="00077127"/>
    <w:rsid w:val="000772F8"/>
    <w:rsid w:val="0008060A"/>
    <w:rsid w:val="00081D52"/>
    <w:rsid w:val="000853E9"/>
    <w:rsid w:val="00086977"/>
    <w:rsid w:val="000869DB"/>
    <w:rsid w:val="00086B1B"/>
    <w:rsid w:val="00087455"/>
    <w:rsid w:val="0008785A"/>
    <w:rsid w:val="000901C5"/>
    <w:rsid w:val="000907B4"/>
    <w:rsid w:val="000911B5"/>
    <w:rsid w:val="00092FEE"/>
    <w:rsid w:val="000941D3"/>
    <w:rsid w:val="00095A5F"/>
    <w:rsid w:val="00096057"/>
    <w:rsid w:val="0009605C"/>
    <w:rsid w:val="000A0975"/>
    <w:rsid w:val="000A0F4D"/>
    <w:rsid w:val="000A231E"/>
    <w:rsid w:val="000A2FBB"/>
    <w:rsid w:val="000A333C"/>
    <w:rsid w:val="000A4CE2"/>
    <w:rsid w:val="000A5391"/>
    <w:rsid w:val="000A653A"/>
    <w:rsid w:val="000A710F"/>
    <w:rsid w:val="000A7398"/>
    <w:rsid w:val="000B0148"/>
    <w:rsid w:val="000B1FB6"/>
    <w:rsid w:val="000B2846"/>
    <w:rsid w:val="000B2E88"/>
    <w:rsid w:val="000B47E5"/>
    <w:rsid w:val="000B6790"/>
    <w:rsid w:val="000B760D"/>
    <w:rsid w:val="000C46D1"/>
    <w:rsid w:val="000C49AE"/>
    <w:rsid w:val="000D04B7"/>
    <w:rsid w:val="000D093A"/>
    <w:rsid w:val="000D249C"/>
    <w:rsid w:val="000D2742"/>
    <w:rsid w:val="000D3480"/>
    <w:rsid w:val="000D403E"/>
    <w:rsid w:val="000D41ED"/>
    <w:rsid w:val="000D4B6D"/>
    <w:rsid w:val="000D64E6"/>
    <w:rsid w:val="000D70DD"/>
    <w:rsid w:val="000E03E1"/>
    <w:rsid w:val="000E064C"/>
    <w:rsid w:val="000E09AD"/>
    <w:rsid w:val="000E0E9E"/>
    <w:rsid w:val="000E0F65"/>
    <w:rsid w:val="000E1A9F"/>
    <w:rsid w:val="000E257D"/>
    <w:rsid w:val="000E3077"/>
    <w:rsid w:val="000E64FF"/>
    <w:rsid w:val="000E7AD6"/>
    <w:rsid w:val="000EDB82"/>
    <w:rsid w:val="000F0030"/>
    <w:rsid w:val="000F1440"/>
    <w:rsid w:val="000F3859"/>
    <w:rsid w:val="000F4324"/>
    <w:rsid w:val="000F4638"/>
    <w:rsid w:val="000F603D"/>
    <w:rsid w:val="000F61D5"/>
    <w:rsid w:val="000F6C8E"/>
    <w:rsid w:val="000F7203"/>
    <w:rsid w:val="00100BCC"/>
    <w:rsid w:val="00102D2C"/>
    <w:rsid w:val="00102F8B"/>
    <w:rsid w:val="00105735"/>
    <w:rsid w:val="00105D03"/>
    <w:rsid w:val="001073F5"/>
    <w:rsid w:val="001077AB"/>
    <w:rsid w:val="001107B3"/>
    <w:rsid w:val="00111958"/>
    <w:rsid w:val="00113F68"/>
    <w:rsid w:val="001144C4"/>
    <w:rsid w:val="001155EC"/>
    <w:rsid w:val="001155FD"/>
    <w:rsid w:val="001164F8"/>
    <w:rsid w:val="00121D13"/>
    <w:rsid w:val="00122510"/>
    <w:rsid w:val="001235D5"/>
    <w:rsid w:val="00123943"/>
    <w:rsid w:val="00123E76"/>
    <w:rsid w:val="00124444"/>
    <w:rsid w:val="00126CB7"/>
    <w:rsid w:val="0012776E"/>
    <w:rsid w:val="00127DA0"/>
    <w:rsid w:val="001349C9"/>
    <w:rsid w:val="00137D7A"/>
    <w:rsid w:val="00142D1F"/>
    <w:rsid w:val="0014323F"/>
    <w:rsid w:val="00145FC8"/>
    <w:rsid w:val="00147A3B"/>
    <w:rsid w:val="001519A8"/>
    <w:rsid w:val="00154433"/>
    <w:rsid w:val="001544FE"/>
    <w:rsid w:val="00154608"/>
    <w:rsid w:val="00154747"/>
    <w:rsid w:val="00155C94"/>
    <w:rsid w:val="001575C4"/>
    <w:rsid w:val="001576CF"/>
    <w:rsid w:val="00160D79"/>
    <w:rsid w:val="001613D6"/>
    <w:rsid w:val="00161453"/>
    <w:rsid w:val="001630A5"/>
    <w:rsid w:val="00163B33"/>
    <w:rsid w:val="00164C53"/>
    <w:rsid w:val="00164D17"/>
    <w:rsid w:val="001665AE"/>
    <w:rsid w:val="0016780E"/>
    <w:rsid w:val="001704BC"/>
    <w:rsid w:val="00174003"/>
    <w:rsid w:val="00176BEB"/>
    <w:rsid w:val="001773E5"/>
    <w:rsid w:val="0017770D"/>
    <w:rsid w:val="00181E86"/>
    <w:rsid w:val="00183CBE"/>
    <w:rsid w:val="00185364"/>
    <w:rsid w:val="00187079"/>
    <w:rsid w:val="001904F4"/>
    <w:rsid w:val="00191C81"/>
    <w:rsid w:val="00197148"/>
    <w:rsid w:val="001A41DF"/>
    <w:rsid w:val="001A46BE"/>
    <w:rsid w:val="001A4A35"/>
    <w:rsid w:val="001A6B67"/>
    <w:rsid w:val="001A7ADC"/>
    <w:rsid w:val="001B0B07"/>
    <w:rsid w:val="001B0E89"/>
    <w:rsid w:val="001B0FAB"/>
    <w:rsid w:val="001B118A"/>
    <w:rsid w:val="001B1D5E"/>
    <w:rsid w:val="001B4F1A"/>
    <w:rsid w:val="001B544D"/>
    <w:rsid w:val="001B6E23"/>
    <w:rsid w:val="001B77B0"/>
    <w:rsid w:val="001C1753"/>
    <w:rsid w:val="001C2451"/>
    <w:rsid w:val="001C29CC"/>
    <w:rsid w:val="001C40C5"/>
    <w:rsid w:val="001C7220"/>
    <w:rsid w:val="001C7585"/>
    <w:rsid w:val="001D2190"/>
    <w:rsid w:val="001D226C"/>
    <w:rsid w:val="001D2A06"/>
    <w:rsid w:val="001D3080"/>
    <w:rsid w:val="001D391D"/>
    <w:rsid w:val="001D6B8A"/>
    <w:rsid w:val="001D77F9"/>
    <w:rsid w:val="001D790E"/>
    <w:rsid w:val="001E32A2"/>
    <w:rsid w:val="001E3B79"/>
    <w:rsid w:val="001E6671"/>
    <w:rsid w:val="001F1AA7"/>
    <w:rsid w:val="001F2ACC"/>
    <w:rsid w:val="001F3A41"/>
    <w:rsid w:val="001F5D07"/>
    <w:rsid w:val="001F61E7"/>
    <w:rsid w:val="001F74EF"/>
    <w:rsid w:val="00202BE6"/>
    <w:rsid w:val="0020331B"/>
    <w:rsid w:val="00203857"/>
    <w:rsid w:val="00203990"/>
    <w:rsid w:val="00205EF8"/>
    <w:rsid w:val="00206666"/>
    <w:rsid w:val="00207369"/>
    <w:rsid w:val="00212B70"/>
    <w:rsid w:val="0021334B"/>
    <w:rsid w:val="00213BDB"/>
    <w:rsid w:val="00213E9F"/>
    <w:rsid w:val="002144DD"/>
    <w:rsid w:val="0022027B"/>
    <w:rsid w:val="00223914"/>
    <w:rsid w:val="00225256"/>
    <w:rsid w:val="00225B20"/>
    <w:rsid w:val="0022601E"/>
    <w:rsid w:val="00226237"/>
    <w:rsid w:val="00226C1E"/>
    <w:rsid w:val="00230E85"/>
    <w:rsid w:val="00231124"/>
    <w:rsid w:val="00236265"/>
    <w:rsid w:val="00236789"/>
    <w:rsid w:val="00237AFE"/>
    <w:rsid w:val="00240385"/>
    <w:rsid w:val="00241F11"/>
    <w:rsid w:val="0024573D"/>
    <w:rsid w:val="002461F8"/>
    <w:rsid w:val="00250D29"/>
    <w:rsid w:val="00250E0B"/>
    <w:rsid w:val="0025104B"/>
    <w:rsid w:val="00251723"/>
    <w:rsid w:val="00256322"/>
    <w:rsid w:val="00261087"/>
    <w:rsid w:val="00261362"/>
    <w:rsid w:val="00261BC2"/>
    <w:rsid w:val="00261CA0"/>
    <w:rsid w:val="0026369A"/>
    <w:rsid w:val="00266BF2"/>
    <w:rsid w:val="00266C9D"/>
    <w:rsid w:val="00266F0D"/>
    <w:rsid w:val="00270E49"/>
    <w:rsid w:val="002713AE"/>
    <w:rsid w:val="00272A34"/>
    <w:rsid w:val="00272A64"/>
    <w:rsid w:val="0027402B"/>
    <w:rsid w:val="0027522B"/>
    <w:rsid w:val="00277961"/>
    <w:rsid w:val="00277B1F"/>
    <w:rsid w:val="00280ECD"/>
    <w:rsid w:val="00282277"/>
    <w:rsid w:val="00283926"/>
    <w:rsid w:val="00287E9D"/>
    <w:rsid w:val="00292FEF"/>
    <w:rsid w:val="002930D1"/>
    <w:rsid w:val="002938B0"/>
    <w:rsid w:val="00293994"/>
    <w:rsid w:val="00294005"/>
    <w:rsid w:val="00295CAF"/>
    <w:rsid w:val="00296AF9"/>
    <w:rsid w:val="00297B42"/>
    <w:rsid w:val="002A1070"/>
    <w:rsid w:val="002A2EC9"/>
    <w:rsid w:val="002A3037"/>
    <w:rsid w:val="002A3562"/>
    <w:rsid w:val="002A4581"/>
    <w:rsid w:val="002A46EA"/>
    <w:rsid w:val="002A4F74"/>
    <w:rsid w:val="002A5497"/>
    <w:rsid w:val="002B13A4"/>
    <w:rsid w:val="002B2BB7"/>
    <w:rsid w:val="002B3D82"/>
    <w:rsid w:val="002B4037"/>
    <w:rsid w:val="002B4B0D"/>
    <w:rsid w:val="002B4B5C"/>
    <w:rsid w:val="002B5E43"/>
    <w:rsid w:val="002B644E"/>
    <w:rsid w:val="002C278A"/>
    <w:rsid w:val="002C304E"/>
    <w:rsid w:val="002C3146"/>
    <w:rsid w:val="002C5A6D"/>
    <w:rsid w:val="002D2749"/>
    <w:rsid w:val="002D3126"/>
    <w:rsid w:val="002D45BD"/>
    <w:rsid w:val="002D52DB"/>
    <w:rsid w:val="002D534D"/>
    <w:rsid w:val="002D5F0C"/>
    <w:rsid w:val="002D658B"/>
    <w:rsid w:val="002D6604"/>
    <w:rsid w:val="002D7C82"/>
    <w:rsid w:val="002E0AB7"/>
    <w:rsid w:val="002E1B17"/>
    <w:rsid w:val="002E1E27"/>
    <w:rsid w:val="002E30DA"/>
    <w:rsid w:val="002E3BEF"/>
    <w:rsid w:val="002E423A"/>
    <w:rsid w:val="002E4631"/>
    <w:rsid w:val="002E481F"/>
    <w:rsid w:val="002E4F3A"/>
    <w:rsid w:val="002E5D37"/>
    <w:rsid w:val="002E6608"/>
    <w:rsid w:val="002E755C"/>
    <w:rsid w:val="002E7651"/>
    <w:rsid w:val="002E7DDA"/>
    <w:rsid w:val="002F063B"/>
    <w:rsid w:val="002F0F87"/>
    <w:rsid w:val="002F1788"/>
    <w:rsid w:val="002F3397"/>
    <w:rsid w:val="002F4E4F"/>
    <w:rsid w:val="0030156C"/>
    <w:rsid w:val="00306291"/>
    <w:rsid w:val="003067F7"/>
    <w:rsid w:val="00307766"/>
    <w:rsid w:val="00307C98"/>
    <w:rsid w:val="00313BA1"/>
    <w:rsid w:val="00314877"/>
    <w:rsid w:val="00314ABF"/>
    <w:rsid w:val="003156EB"/>
    <w:rsid w:val="00317925"/>
    <w:rsid w:val="00322465"/>
    <w:rsid w:val="00323FCA"/>
    <w:rsid w:val="0032424E"/>
    <w:rsid w:val="003265AD"/>
    <w:rsid w:val="00331BFC"/>
    <w:rsid w:val="00334C7B"/>
    <w:rsid w:val="00335EE4"/>
    <w:rsid w:val="00340F0F"/>
    <w:rsid w:val="003410C3"/>
    <w:rsid w:val="0034190D"/>
    <w:rsid w:val="00344391"/>
    <w:rsid w:val="003447F8"/>
    <w:rsid w:val="00353983"/>
    <w:rsid w:val="00354FC0"/>
    <w:rsid w:val="00355405"/>
    <w:rsid w:val="00355929"/>
    <w:rsid w:val="00357080"/>
    <w:rsid w:val="003578EE"/>
    <w:rsid w:val="00357A17"/>
    <w:rsid w:val="00357FC1"/>
    <w:rsid w:val="0036009D"/>
    <w:rsid w:val="00360A5D"/>
    <w:rsid w:val="00360F3F"/>
    <w:rsid w:val="0036290B"/>
    <w:rsid w:val="00366228"/>
    <w:rsid w:val="0036639B"/>
    <w:rsid w:val="00366CC7"/>
    <w:rsid w:val="00366DFF"/>
    <w:rsid w:val="00370CFB"/>
    <w:rsid w:val="00373A66"/>
    <w:rsid w:val="00373D5C"/>
    <w:rsid w:val="0037426E"/>
    <w:rsid w:val="00374664"/>
    <w:rsid w:val="00374AF1"/>
    <w:rsid w:val="00374FFB"/>
    <w:rsid w:val="00375780"/>
    <w:rsid w:val="00377AC0"/>
    <w:rsid w:val="00383A4D"/>
    <w:rsid w:val="00383E6B"/>
    <w:rsid w:val="00384074"/>
    <w:rsid w:val="003849C7"/>
    <w:rsid w:val="003849FA"/>
    <w:rsid w:val="00384FB2"/>
    <w:rsid w:val="0038635F"/>
    <w:rsid w:val="00387616"/>
    <w:rsid w:val="00390831"/>
    <w:rsid w:val="003911B1"/>
    <w:rsid w:val="00392005"/>
    <w:rsid w:val="00392299"/>
    <w:rsid w:val="00393678"/>
    <w:rsid w:val="0039467E"/>
    <w:rsid w:val="003957CA"/>
    <w:rsid w:val="00396254"/>
    <w:rsid w:val="00396518"/>
    <w:rsid w:val="00396C78"/>
    <w:rsid w:val="003A2DB4"/>
    <w:rsid w:val="003A3859"/>
    <w:rsid w:val="003A400F"/>
    <w:rsid w:val="003A5D9D"/>
    <w:rsid w:val="003A61A8"/>
    <w:rsid w:val="003B1948"/>
    <w:rsid w:val="003B220C"/>
    <w:rsid w:val="003B3BB4"/>
    <w:rsid w:val="003B4194"/>
    <w:rsid w:val="003B5A22"/>
    <w:rsid w:val="003B7A7D"/>
    <w:rsid w:val="003C4FA8"/>
    <w:rsid w:val="003C6E1C"/>
    <w:rsid w:val="003C75BD"/>
    <w:rsid w:val="003C75FA"/>
    <w:rsid w:val="003D089D"/>
    <w:rsid w:val="003D1838"/>
    <w:rsid w:val="003D679B"/>
    <w:rsid w:val="003E00E0"/>
    <w:rsid w:val="003E6EB0"/>
    <w:rsid w:val="003E700B"/>
    <w:rsid w:val="003E712B"/>
    <w:rsid w:val="003E73FC"/>
    <w:rsid w:val="003E7688"/>
    <w:rsid w:val="003E798C"/>
    <w:rsid w:val="003E7D35"/>
    <w:rsid w:val="003F0CC2"/>
    <w:rsid w:val="003F0F81"/>
    <w:rsid w:val="003F11BC"/>
    <w:rsid w:val="003F3BE0"/>
    <w:rsid w:val="003F5494"/>
    <w:rsid w:val="003F5C59"/>
    <w:rsid w:val="003F5CAE"/>
    <w:rsid w:val="003F72E5"/>
    <w:rsid w:val="003F79D6"/>
    <w:rsid w:val="00401655"/>
    <w:rsid w:val="0040295D"/>
    <w:rsid w:val="00402C21"/>
    <w:rsid w:val="004033FC"/>
    <w:rsid w:val="00403EC2"/>
    <w:rsid w:val="00404285"/>
    <w:rsid w:val="00404C6B"/>
    <w:rsid w:val="0040764F"/>
    <w:rsid w:val="00414E43"/>
    <w:rsid w:val="004169C5"/>
    <w:rsid w:val="004177E7"/>
    <w:rsid w:val="00417C4E"/>
    <w:rsid w:val="004206C1"/>
    <w:rsid w:val="00421663"/>
    <w:rsid w:val="00421A43"/>
    <w:rsid w:val="004236DC"/>
    <w:rsid w:val="00426025"/>
    <w:rsid w:val="00427EE6"/>
    <w:rsid w:val="00431DF0"/>
    <w:rsid w:val="004330F0"/>
    <w:rsid w:val="00433496"/>
    <w:rsid w:val="0043702D"/>
    <w:rsid w:val="00437033"/>
    <w:rsid w:val="00437466"/>
    <w:rsid w:val="00437A02"/>
    <w:rsid w:val="00441D50"/>
    <w:rsid w:val="00442C55"/>
    <w:rsid w:val="00444D83"/>
    <w:rsid w:val="0044589A"/>
    <w:rsid w:val="00450E1F"/>
    <w:rsid w:val="00450F6D"/>
    <w:rsid w:val="00453387"/>
    <w:rsid w:val="00453438"/>
    <w:rsid w:val="004560E5"/>
    <w:rsid w:val="004563B8"/>
    <w:rsid w:val="004576FC"/>
    <w:rsid w:val="0045770E"/>
    <w:rsid w:val="00457C8B"/>
    <w:rsid w:val="004604DC"/>
    <w:rsid w:val="00461C50"/>
    <w:rsid w:val="00465D7E"/>
    <w:rsid w:val="00466B8E"/>
    <w:rsid w:val="0047066B"/>
    <w:rsid w:val="00472010"/>
    <w:rsid w:val="004726C7"/>
    <w:rsid w:val="00475036"/>
    <w:rsid w:val="004755C4"/>
    <w:rsid w:val="00477416"/>
    <w:rsid w:val="004777B3"/>
    <w:rsid w:val="00480DC4"/>
    <w:rsid w:val="00481A87"/>
    <w:rsid w:val="00481D81"/>
    <w:rsid w:val="00482456"/>
    <w:rsid w:val="00482804"/>
    <w:rsid w:val="00482D82"/>
    <w:rsid w:val="004852A2"/>
    <w:rsid w:val="004A00DD"/>
    <w:rsid w:val="004A16FF"/>
    <w:rsid w:val="004A2C51"/>
    <w:rsid w:val="004A31B9"/>
    <w:rsid w:val="004A3E29"/>
    <w:rsid w:val="004A3EB2"/>
    <w:rsid w:val="004A41DF"/>
    <w:rsid w:val="004A5D8E"/>
    <w:rsid w:val="004B0A30"/>
    <w:rsid w:val="004B2ED3"/>
    <w:rsid w:val="004B4F3A"/>
    <w:rsid w:val="004B502D"/>
    <w:rsid w:val="004B635D"/>
    <w:rsid w:val="004B7CAA"/>
    <w:rsid w:val="004C1522"/>
    <w:rsid w:val="004C16EE"/>
    <w:rsid w:val="004C2AA2"/>
    <w:rsid w:val="004C3057"/>
    <w:rsid w:val="004C4F29"/>
    <w:rsid w:val="004C7DD0"/>
    <w:rsid w:val="004D2156"/>
    <w:rsid w:val="004D2C11"/>
    <w:rsid w:val="004D31AA"/>
    <w:rsid w:val="004D4720"/>
    <w:rsid w:val="004D5B26"/>
    <w:rsid w:val="004D6BD8"/>
    <w:rsid w:val="004D6FBC"/>
    <w:rsid w:val="004E1504"/>
    <w:rsid w:val="004F0211"/>
    <w:rsid w:val="004F10C5"/>
    <w:rsid w:val="004F2DC2"/>
    <w:rsid w:val="004F5D79"/>
    <w:rsid w:val="004F5E61"/>
    <w:rsid w:val="004F5F10"/>
    <w:rsid w:val="005005C7"/>
    <w:rsid w:val="0050251F"/>
    <w:rsid w:val="00503D65"/>
    <w:rsid w:val="00504968"/>
    <w:rsid w:val="00505357"/>
    <w:rsid w:val="00505F42"/>
    <w:rsid w:val="005070B6"/>
    <w:rsid w:val="00507BAF"/>
    <w:rsid w:val="00507D9B"/>
    <w:rsid w:val="005166CF"/>
    <w:rsid w:val="005167A0"/>
    <w:rsid w:val="00516B3E"/>
    <w:rsid w:val="00520E30"/>
    <w:rsid w:val="00520F64"/>
    <w:rsid w:val="0052264F"/>
    <w:rsid w:val="00522C4A"/>
    <w:rsid w:val="0052346F"/>
    <w:rsid w:val="005264DD"/>
    <w:rsid w:val="00527E5A"/>
    <w:rsid w:val="005309DF"/>
    <w:rsid w:val="00533F15"/>
    <w:rsid w:val="0053447F"/>
    <w:rsid w:val="00534E25"/>
    <w:rsid w:val="00534EA3"/>
    <w:rsid w:val="00535AA3"/>
    <w:rsid w:val="00536C1B"/>
    <w:rsid w:val="005400A3"/>
    <w:rsid w:val="00540E3F"/>
    <w:rsid w:val="00541D9C"/>
    <w:rsid w:val="00543542"/>
    <w:rsid w:val="005440E2"/>
    <w:rsid w:val="00544DA4"/>
    <w:rsid w:val="00550249"/>
    <w:rsid w:val="00552B9F"/>
    <w:rsid w:val="00553C48"/>
    <w:rsid w:val="00553F0D"/>
    <w:rsid w:val="005563EA"/>
    <w:rsid w:val="005569EF"/>
    <w:rsid w:val="005625CE"/>
    <w:rsid w:val="00562D21"/>
    <w:rsid w:val="00563198"/>
    <w:rsid w:val="00564684"/>
    <w:rsid w:val="00565DA7"/>
    <w:rsid w:val="005675A4"/>
    <w:rsid w:val="005677EB"/>
    <w:rsid w:val="00570902"/>
    <w:rsid w:val="00572829"/>
    <w:rsid w:val="00572E77"/>
    <w:rsid w:val="00576451"/>
    <w:rsid w:val="00577C01"/>
    <w:rsid w:val="00577E64"/>
    <w:rsid w:val="005801EE"/>
    <w:rsid w:val="00580CE8"/>
    <w:rsid w:val="00580DD2"/>
    <w:rsid w:val="00583CED"/>
    <w:rsid w:val="00584CC2"/>
    <w:rsid w:val="00585D6C"/>
    <w:rsid w:val="00585DA4"/>
    <w:rsid w:val="005866F5"/>
    <w:rsid w:val="005867F1"/>
    <w:rsid w:val="00586FD4"/>
    <w:rsid w:val="005910E0"/>
    <w:rsid w:val="00592431"/>
    <w:rsid w:val="0059288F"/>
    <w:rsid w:val="005952D0"/>
    <w:rsid w:val="0059622D"/>
    <w:rsid w:val="005A0336"/>
    <w:rsid w:val="005A0339"/>
    <w:rsid w:val="005A05F3"/>
    <w:rsid w:val="005A21BD"/>
    <w:rsid w:val="005A367D"/>
    <w:rsid w:val="005A4BE2"/>
    <w:rsid w:val="005A523D"/>
    <w:rsid w:val="005A560F"/>
    <w:rsid w:val="005A6B8F"/>
    <w:rsid w:val="005B03A8"/>
    <w:rsid w:val="005B19FB"/>
    <w:rsid w:val="005B1D4C"/>
    <w:rsid w:val="005B2562"/>
    <w:rsid w:val="005B4B53"/>
    <w:rsid w:val="005B50BC"/>
    <w:rsid w:val="005B5822"/>
    <w:rsid w:val="005B6F50"/>
    <w:rsid w:val="005B7210"/>
    <w:rsid w:val="005B72A9"/>
    <w:rsid w:val="005C0C9D"/>
    <w:rsid w:val="005C47E7"/>
    <w:rsid w:val="005C4950"/>
    <w:rsid w:val="005C5462"/>
    <w:rsid w:val="005D1809"/>
    <w:rsid w:val="005D194B"/>
    <w:rsid w:val="005D651C"/>
    <w:rsid w:val="005D6A00"/>
    <w:rsid w:val="005D7E3F"/>
    <w:rsid w:val="005E5AA9"/>
    <w:rsid w:val="005E671F"/>
    <w:rsid w:val="005E68DD"/>
    <w:rsid w:val="005E6B9C"/>
    <w:rsid w:val="005E6F80"/>
    <w:rsid w:val="005E7957"/>
    <w:rsid w:val="005F1F83"/>
    <w:rsid w:val="005F3112"/>
    <w:rsid w:val="005F4833"/>
    <w:rsid w:val="005F61DE"/>
    <w:rsid w:val="005F66D5"/>
    <w:rsid w:val="005F6A6B"/>
    <w:rsid w:val="005F7507"/>
    <w:rsid w:val="00600136"/>
    <w:rsid w:val="006024FE"/>
    <w:rsid w:val="0060295F"/>
    <w:rsid w:val="006047C5"/>
    <w:rsid w:val="0060583A"/>
    <w:rsid w:val="006058D4"/>
    <w:rsid w:val="006075C0"/>
    <w:rsid w:val="006113B6"/>
    <w:rsid w:val="00616312"/>
    <w:rsid w:val="00622EB2"/>
    <w:rsid w:val="006237C3"/>
    <w:rsid w:val="0062474E"/>
    <w:rsid w:val="00624A64"/>
    <w:rsid w:val="00624A8A"/>
    <w:rsid w:val="0062533D"/>
    <w:rsid w:val="00625351"/>
    <w:rsid w:val="0062586E"/>
    <w:rsid w:val="00627A39"/>
    <w:rsid w:val="006305CF"/>
    <w:rsid w:val="006310BF"/>
    <w:rsid w:val="006333A7"/>
    <w:rsid w:val="00633A42"/>
    <w:rsid w:val="006349CE"/>
    <w:rsid w:val="006356D4"/>
    <w:rsid w:val="006358C6"/>
    <w:rsid w:val="00637928"/>
    <w:rsid w:val="00640A54"/>
    <w:rsid w:val="00640CEC"/>
    <w:rsid w:val="006415D8"/>
    <w:rsid w:val="00641BB3"/>
    <w:rsid w:val="00642701"/>
    <w:rsid w:val="00647D7E"/>
    <w:rsid w:val="00650093"/>
    <w:rsid w:val="00651904"/>
    <w:rsid w:val="006521FD"/>
    <w:rsid w:val="006564D7"/>
    <w:rsid w:val="00656B63"/>
    <w:rsid w:val="00657724"/>
    <w:rsid w:val="00657A45"/>
    <w:rsid w:val="00660B69"/>
    <w:rsid w:val="006611EA"/>
    <w:rsid w:val="0066220A"/>
    <w:rsid w:val="006717ED"/>
    <w:rsid w:val="0067288E"/>
    <w:rsid w:val="006731AE"/>
    <w:rsid w:val="00674158"/>
    <w:rsid w:val="00674215"/>
    <w:rsid w:val="00674481"/>
    <w:rsid w:val="00675F93"/>
    <w:rsid w:val="006771F3"/>
    <w:rsid w:val="00682BD3"/>
    <w:rsid w:val="00683190"/>
    <w:rsid w:val="0068342F"/>
    <w:rsid w:val="006845BE"/>
    <w:rsid w:val="00684E6E"/>
    <w:rsid w:val="00685663"/>
    <w:rsid w:val="00685D5D"/>
    <w:rsid w:val="006874EB"/>
    <w:rsid w:val="00691A21"/>
    <w:rsid w:val="00692656"/>
    <w:rsid w:val="0069507D"/>
    <w:rsid w:val="00695612"/>
    <w:rsid w:val="006A1730"/>
    <w:rsid w:val="006A2529"/>
    <w:rsid w:val="006A6B5C"/>
    <w:rsid w:val="006B13FF"/>
    <w:rsid w:val="006B2136"/>
    <w:rsid w:val="006B36A0"/>
    <w:rsid w:val="006B4D6D"/>
    <w:rsid w:val="006B58FF"/>
    <w:rsid w:val="006C5111"/>
    <w:rsid w:val="006C540C"/>
    <w:rsid w:val="006C71B8"/>
    <w:rsid w:val="006D031A"/>
    <w:rsid w:val="006D0FEA"/>
    <w:rsid w:val="006D2A41"/>
    <w:rsid w:val="006D2B56"/>
    <w:rsid w:val="006D2F52"/>
    <w:rsid w:val="006D2FED"/>
    <w:rsid w:val="006D420E"/>
    <w:rsid w:val="006D4D9C"/>
    <w:rsid w:val="006D6338"/>
    <w:rsid w:val="006E55EC"/>
    <w:rsid w:val="006E61FD"/>
    <w:rsid w:val="006E72A6"/>
    <w:rsid w:val="006F0032"/>
    <w:rsid w:val="006F1F40"/>
    <w:rsid w:val="006F3A0C"/>
    <w:rsid w:val="006F4651"/>
    <w:rsid w:val="006F508B"/>
    <w:rsid w:val="006F5B08"/>
    <w:rsid w:val="006F6A16"/>
    <w:rsid w:val="006F6A28"/>
    <w:rsid w:val="006F706F"/>
    <w:rsid w:val="006F7390"/>
    <w:rsid w:val="00705047"/>
    <w:rsid w:val="0070517F"/>
    <w:rsid w:val="00705F2D"/>
    <w:rsid w:val="0070743E"/>
    <w:rsid w:val="00707CE9"/>
    <w:rsid w:val="00712092"/>
    <w:rsid w:val="00714033"/>
    <w:rsid w:val="00714B68"/>
    <w:rsid w:val="007154CE"/>
    <w:rsid w:val="0071588F"/>
    <w:rsid w:val="00716801"/>
    <w:rsid w:val="0071757E"/>
    <w:rsid w:val="0072018D"/>
    <w:rsid w:val="00720782"/>
    <w:rsid w:val="007211B5"/>
    <w:rsid w:val="007221A3"/>
    <w:rsid w:val="007222D2"/>
    <w:rsid w:val="00723681"/>
    <w:rsid w:val="00723BAA"/>
    <w:rsid w:val="007253FF"/>
    <w:rsid w:val="0073020E"/>
    <w:rsid w:val="00730526"/>
    <w:rsid w:val="00731706"/>
    <w:rsid w:val="0073284C"/>
    <w:rsid w:val="00732D6E"/>
    <w:rsid w:val="00734016"/>
    <w:rsid w:val="0073424F"/>
    <w:rsid w:val="00734F32"/>
    <w:rsid w:val="00736204"/>
    <w:rsid w:val="00736982"/>
    <w:rsid w:val="00736FD3"/>
    <w:rsid w:val="00737322"/>
    <w:rsid w:val="00737D46"/>
    <w:rsid w:val="00740E07"/>
    <w:rsid w:val="007411F8"/>
    <w:rsid w:val="00745B98"/>
    <w:rsid w:val="0074623F"/>
    <w:rsid w:val="00747C4F"/>
    <w:rsid w:val="00750977"/>
    <w:rsid w:val="007529E2"/>
    <w:rsid w:val="00752A5A"/>
    <w:rsid w:val="007544D5"/>
    <w:rsid w:val="00754A78"/>
    <w:rsid w:val="007553DA"/>
    <w:rsid w:val="00757289"/>
    <w:rsid w:val="00760730"/>
    <w:rsid w:val="007611D0"/>
    <w:rsid w:val="00762907"/>
    <w:rsid w:val="00762D22"/>
    <w:rsid w:val="0076514F"/>
    <w:rsid w:val="00765249"/>
    <w:rsid w:val="007657F9"/>
    <w:rsid w:val="0076707B"/>
    <w:rsid w:val="0076788C"/>
    <w:rsid w:val="00770874"/>
    <w:rsid w:val="00771814"/>
    <w:rsid w:val="0077343C"/>
    <w:rsid w:val="0077395F"/>
    <w:rsid w:val="0077673B"/>
    <w:rsid w:val="00776A67"/>
    <w:rsid w:val="007817CC"/>
    <w:rsid w:val="0078469E"/>
    <w:rsid w:val="00785746"/>
    <w:rsid w:val="00786BA3"/>
    <w:rsid w:val="00792B79"/>
    <w:rsid w:val="0079657A"/>
    <w:rsid w:val="007967FE"/>
    <w:rsid w:val="007A089B"/>
    <w:rsid w:val="007A5139"/>
    <w:rsid w:val="007A515A"/>
    <w:rsid w:val="007A6FC4"/>
    <w:rsid w:val="007B0C19"/>
    <w:rsid w:val="007B13EF"/>
    <w:rsid w:val="007B2CC3"/>
    <w:rsid w:val="007B3C9B"/>
    <w:rsid w:val="007B595E"/>
    <w:rsid w:val="007B5E59"/>
    <w:rsid w:val="007B71A6"/>
    <w:rsid w:val="007B77C6"/>
    <w:rsid w:val="007C07BB"/>
    <w:rsid w:val="007C2FBA"/>
    <w:rsid w:val="007C30BD"/>
    <w:rsid w:val="007C3225"/>
    <w:rsid w:val="007C4E14"/>
    <w:rsid w:val="007C4EB5"/>
    <w:rsid w:val="007C5FD4"/>
    <w:rsid w:val="007C7438"/>
    <w:rsid w:val="007D013C"/>
    <w:rsid w:val="007D195E"/>
    <w:rsid w:val="007D1E93"/>
    <w:rsid w:val="007D1FB2"/>
    <w:rsid w:val="007D2B85"/>
    <w:rsid w:val="007D2D92"/>
    <w:rsid w:val="007D4DBF"/>
    <w:rsid w:val="007E24D1"/>
    <w:rsid w:val="007E2E38"/>
    <w:rsid w:val="007F111B"/>
    <w:rsid w:val="007F54FD"/>
    <w:rsid w:val="00800191"/>
    <w:rsid w:val="00800D1E"/>
    <w:rsid w:val="0080210E"/>
    <w:rsid w:val="00803212"/>
    <w:rsid w:val="00803E85"/>
    <w:rsid w:val="00803EF7"/>
    <w:rsid w:val="00804BDA"/>
    <w:rsid w:val="008052C3"/>
    <w:rsid w:val="008059BA"/>
    <w:rsid w:val="00805D25"/>
    <w:rsid w:val="00806C9F"/>
    <w:rsid w:val="0080779B"/>
    <w:rsid w:val="0081309D"/>
    <w:rsid w:val="008136E9"/>
    <w:rsid w:val="0081460E"/>
    <w:rsid w:val="0082036A"/>
    <w:rsid w:val="00820E4C"/>
    <w:rsid w:val="008225E7"/>
    <w:rsid w:val="008232C2"/>
    <w:rsid w:val="0082787C"/>
    <w:rsid w:val="00827F43"/>
    <w:rsid w:val="008321A2"/>
    <w:rsid w:val="008330EF"/>
    <w:rsid w:val="008331A9"/>
    <w:rsid w:val="00834C81"/>
    <w:rsid w:val="00837C51"/>
    <w:rsid w:val="00841AA6"/>
    <w:rsid w:val="008427E5"/>
    <w:rsid w:val="008448DF"/>
    <w:rsid w:val="00844DB9"/>
    <w:rsid w:val="008450BA"/>
    <w:rsid w:val="008470AD"/>
    <w:rsid w:val="0085008B"/>
    <w:rsid w:val="00850AE3"/>
    <w:rsid w:val="008518EC"/>
    <w:rsid w:val="00852716"/>
    <w:rsid w:val="00852B95"/>
    <w:rsid w:val="00854BB3"/>
    <w:rsid w:val="00857D26"/>
    <w:rsid w:val="00860D01"/>
    <w:rsid w:val="00860F21"/>
    <w:rsid w:val="0086143B"/>
    <w:rsid w:val="00862912"/>
    <w:rsid w:val="00863145"/>
    <w:rsid w:val="0086354A"/>
    <w:rsid w:val="00863D97"/>
    <w:rsid w:val="0086486E"/>
    <w:rsid w:val="0086513A"/>
    <w:rsid w:val="008676A0"/>
    <w:rsid w:val="008726D5"/>
    <w:rsid w:val="00872B79"/>
    <w:rsid w:val="008742BA"/>
    <w:rsid w:val="0087656E"/>
    <w:rsid w:val="0087693D"/>
    <w:rsid w:val="0087696F"/>
    <w:rsid w:val="00876FFD"/>
    <w:rsid w:val="00877BD9"/>
    <w:rsid w:val="00880E14"/>
    <w:rsid w:val="0088127E"/>
    <w:rsid w:val="0088178D"/>
    <w:rsid w:val="008818F8"/>
    <w:rsid w:val="00882F4A"/>
    <w:rsid w:val="00884649"/>
    <w:rsid w:val="0088573F"/>
    <w:rsid w:val="008857CD"/>
    <w:rsid w:val="00886501"/>
    <w:rsid w:val="00891113"/>
    <w:rsid w:val="0089116B"/>
    <w:rsid w:val="00891A54"/>
    <w:rsid w:val="00891D80"/>
    <w:rsid w:val="0089428C"/>
    <w:rsid w:val="0089438A"/>
    <w:rsid w:val="008A0033"/>
    <w:rsid w:val="008A34CB"/>
    <w:rsid w:val="008A391F"/>
    <w:rsid w:val="008A3EB7"/>
    <w:rsid w:val="008B273C"/>
    <w:rsid w:val="008B38ED"/>
    <w:rsid w:val="008B39DC"/>
    <w:rsid w:val="008B7663"/>
    <w:rsid w:val="008B7C87"/>
    <w:rsid w:val="008C1787"/>
    <w:rsid w:val="008C2E53"/>
    <w:rsid w:val="008C4202"/>
    <w:rsid w:val="008C5290"/>
    <w:rsid w:val="008C545C"/>
    <w:rsid w:val="008D0BAC"/>
    <w:rsid w:val="008D422E"/>
    <w:rsid w:val="008D477D"/>
    <w:rsid w:val="008D5632"/>
    <w:rsid w:val="008D72C2"/>
    <w:rsid w:val="008D7935"/>
    <w:rsid w:val="008E02F9"/>
    <w:rsid w:val="008E0AD3"/>
    <w:rsid w:val="008E2ABE"/>
    <w:rsid w:val="008E2DEF"/>
    <w:rsid w:val="008E34AA"/>
    <w:rsid w:val="008E3942"/>
    <w:rsid w:val="008E4468"/>
    <w:rsid w:val="008E4C37"/>
    <w:rsid w:val="008E55E2"/>
    <w:rsid w:val="008E749F"/>
    <w:rsid w:val="008F0F0F"/>
    <w:rsid w:val="008F2FBD"/>
    <w:rsid w:val="008F4CC7"/>
    <w:rsid w:val="008F4EB8"/>
    <w:rsid w:val="008F4F06"/>
    <w:rsid w:val="009004B8"/>
    <w:rsid w:val="0090170E"/>
    <w:rsid w:val="00901D5A"/>
    <w:rsid w:val="00902BBA"/>
    <w:rsid w:val="00903010"/>
    <w:rsid w:val="009035D0"/>
    <w:rsid w:val="00904969"/>
    <w:rsid w:val="00904B7A"/>
    <w:rsid w:val="00905FC6"/>
    <w:rsid w:val="0090602F"/>
    <w:rsid w:val="00910623"/>
    <w:rsid w:val="00910EAA"/>
    <w:rsid w:val="00911279"/>
    <w:rsid w:val="00913936"/>
    <w:rsid w:val="0091473E"/>
    <w:rsid w:val="00914EEC"/>
    <w:rsid w:val="00917209"/>
    <w:rsid w:val="00917EDB"/>
    <w:rsid w:val="00920122"/>
    <w:rsid w:val="00921B13"/>
    <w:rsid w:val="009223FD"/>
    <w:rsid w:val="00923E33"/>
    <w:rsid w:val="009251E7"/>
    <w:rsid w:val="00926D59"/>
    <w:rsid w:val="00926E07"/>
    <w:rsid w:val="009279A9"/>
    <w:rsid w:val="009303C3"/>
    <w:rsid w:val="00931987"/>
    <w:rsid w:val="00933083"/>
    <w:rsid w:val="00934F2B"/>
    <w:rsid w:val="0093538C"/>
    <w:rsid w:val="0094125E"/>
    <w:rsid w:val="00941990"/>
    <w:rsid w:val="00942805"/>
    <w:rsid w:val="00942F77"/>
    <w:rsid w:val="00942FD1"/>
    <w:rsid w:val="00943621"/>
    <w:rsid w:val="00944F9E"/>
    <w:rsid w:val="0094578D"/>
    <w:rsid w:val="00945A80"/>
    <w:rsid w:val="00947C92"/>
    <w:rsid w:val="00947CAC"/>
    <w:rsid w:val="00950767"/>
    <w:rsid w:val="00951500"/>
    <w:rsid w:val="00951E5D"/>
    <w:rsid w:val="0095242B"/>
    <w:rsid w:val="00953C53"/>
    <w:rsid w:val="00953E55"/>
    <w:rsid w:val="0095628D"/>
    <w:rsid w:val="00960ADE"/>
    <w:rsid w:val="009625D4"/>
    <w:rsid w:val="00964F42"/>
    <w:rsid w:val="00966B24"/>
    <w:rsid w:val="0097012F"/>
    <w:rsid w:val="00972AB7"/>
    <w:rsid w:val="00972B15"/>
    <w:rsid w:val="00975B06"/>
    <w:rsid w:val="00976A4B"/>
    <w:rsid w:val="00976C60"/>
    <w:rsid w:val="00980C5D"/>
    <w:rsid w:val="009811DE"/>
    <w:rsid w:val="00984E0F"/>
    <w:rsid w:val="009850A8"/>
    <w:rsid w:val="00986A9F"/>
    <w:rsid w:val="00987FD2"/>
    <w:rsid w:val="0099075E"/>
    <w:rsid w:val="00991DA7"/>
    <w:rsid w:val="00992176"/>
    <w:rsid w:val="009932B9"/>
    <w:rsid w:val="009A0432"/>
    <w:rsid w:val="009A131C"/>
    <w:rsid w:val="009A1C6F"/>
    <w:rsid w:val="009A28E9"/>
    <w:rsid w:val="009A47CD"/>
    <w:rsid w:val="009A4A49"/>
    <w:rsid w:val="009A6513"/>
    <w:rsid w:val="009A694A"/>
    <w:rsid w:val="009B1095"/>
    <w:rsid w:val="009B1CC0"/>
    <w:rsid w:val="009B4376"/>
    <w:rsid w:val="009C0A90"/>
    <w:rsid w:val="009C0FA9"/>
    <w:rsid w:val="009C1699"/>
    <w:rsid w:val="009C1C42"/>
    <w:rsid w:val="009C232E"/>
    <w:rsid w:val="009C332B"/>
    <w:rsid w:val="009C3CB5"/>
    <w:rsid w:val="009C60BD"/>
    <w:rsid w:val="009C7E42"/>
    <w:rsid w:val="009D1576"/>
    <w:rsid w:val="009D5CB9"/>
    <w:rsid w:val="009D6387"/>
    <w:rsid w:val="009D6798"/>
    <w:rsid w:val="009D6CD4"/>
    <w:rsid w:val="009E0F73"/>
    <w:rsid w:val="009E1288"/>
    <w:rsid w:val="009E33B6"/>
    <w:rsid w:val="009E3B51"/>
    <w:rsid w:val="009E5C4D"/>
    <w:rsid w:val="009F25D1"/>
    <w:rsid w:val="009F2F43"/>
    <w:rsid w:val="009F34C4"/>
    <w:rsid w:val="009F4E1B"/>
    <w:rsid w:val="009F771B"/>
    <w:rsid w:val="009F7C70"/>
    <w:rsid w:val="00A00FD0"/>
    <w:rsid w:val="00A022D3"/>
    <w:rsid w:val="00A040CF"/>
    <w:rsid w:val="00A06F34"/>
    <w:rsid w:val="00A0730D"/>
    <w:rsid w:val="00A10A3A"/>
    <w:rsid w:val="00A1308E"/>
    <w:rsid w:val="00A1443D"/>
    <w:rsid w:val="00A154D5"/>
    <w:rsid w:val="00A16664"/>
    <w:rsid w:val="00A17D87"/>
    <w:rsid w:val="00A17D8C"/>
    <w:rsid w:val="00A236C9"/>
    <w:rsid w:val="00A32E4E"/>
    <w:rsid w:val="00A354E5"/>
    <w:rsid w:val="00A3638E"/>
    <w:rsid w:val="00A37414"/>
    <w:rsid w:val="00A4043A"/>
    <w:rsid w:val="00A4056F"/>
    <w:rsid w:val="00A424AC"/>
    <w:rsid w:val="00A42DB7"/>
    <w:rsid w:val="00A43C47"/>
    <w:rsid w:val="00A4402A"/>
    <w:rsid w:val="00A44BE7"/>
    <w:rsid w:val="00A463C1"/>
    <w:rsid w:val="00A529BC"/>
    <w:rsid w:val="00A53054"/>
    <w:rsid w:val="00A573E4"/>
    <w:rsid w:val="00A62216"/>
    <w:rsid w:val="00A622DC"/>
    <w:rsid w:val="00A62A21"/>
    <w:rsid w:val="00A64038"/>
    <w:rsid w:val="00A640A5"/>
    <w:rsid w:val="00A66D21"/>
    <w:rsid w:val="00A675DC"/>
    <w:rsid w:val="00A707E1"/>
    <w:rsid w:val="00A709DC"/>
    <w:rsid w:val="00A720D8"/>
    <w:rsid w:val="00A72D2B"/>
    <w:rsid w:val="00A74FAB"/>
    <w:rsid w:val="00A76F6F"/>
    <w:rsid w:val="00A802B9"/>
    <w:rsid w:val="00A81FBB"/>
    <w:rsid w:val="00A825C3"/>
    <w:rsid w:val="00A82CDE"/>
    <w:rsid w:val="00A8511F"/>
    <w:rsid w:val="00A85264"/>
    <w:rsid w:val="00A86753"/>
    <w:rsid w:val="00A86F01"/>
    <w:rsid w:val="00A91223"/>
    <w:rsid w:val="00A91ACF"/>
    <w:rsid w:val="00A92D5D"/>
    <w:rsid w:val="00A92EA1"/>
    <w:rsid w:val="00A9398B"/>
    <w:rsid w:val="00A93F36"/>
    <w:rsid w:val="00A953D1"/>
    <w:rsid w:val="00A9722A"/>
    <w:rsid w:val="00A97325"/>
    <w:rsid w:val="00AA0D0C"/>
    <w:rsid w:val="00AA16D2"/>
    <w:rsid w:val="00AA2E4A"/>
    <w:rsid w:val="00AA6EBB"/>
    <w:rsid w:val="00AA7A5A"/>
    <w:rsid w:val="00AA7C9B"/>
    <w:rsid w:val="00AB168F"/>
    <w:rsid w:val="00AB2305"/>
    <w:rsid w:val="00AB2757"/>
    <w:rsid w:val="00AB4FD2"/>
    <w:rsid w:val="00AB5F93"/>
    <w:rsid w:val="00AC0034"/>
    <w:rsid w:val="00AC0C82"/>
    <w:rsid w:val="00AC0C85"/>
    <w:rsid w:val="00AC114F"/>
    <w:rsid w:val="00AC4B77"/>
    <w:rsid w:val="00AC5C14"/>
    <w:rsid w:val="00AC74DC"/>
    <w:rsid w:val="00AC75BD"/>
    <w:rsid w:val="00AD0102"/>
    <w:rsid w:val="00AD07A4"/>
    <w:rsid w:val="00AD2CC3"/>
    <w:rsid w:val="00AD2D86"/>
    <w:rsid w:val="00AD3F94"/>
    <w:rsid w:val="00AD49BF"/>
    <w:rsid w:val="00AD4E05"/>
    <w:rsid w:val="00AD5144"/>
    <w:rsid w:val="00AD7800"/>
    <w:rsid w:val="00AD7C6C"/>
    <w:rsid w:val="00AE0E0A"/>
    <w:rsid w:val="00AE3F81"/>
    <w:rsid w:val="00AE5A0B"/>
    <w:rsid w:val="00AF05ED"/>
    <w:rsid w:val="00AF160D"/>
    <w:rsid w:val="00AF23CF"/>
    <w:rsid w:val="00AF2AD6"/>
    <w:rsid w:val="00AF2DDD"/>
    <w:rsid w:val="00AF4674"/>
    <w:rsid w:val="00AF7950"/>
    <w:rsid w:val="00B00257"/>
    <w:rsid w:val="00B00811"/>
    <w:rsid w:val="00B04B4D"/>
    <w:rsid w:val="00B1146C"/>
    <w:rsid w:val="00B12023"/>
    <w:rsid w:val="00B124A8"/>
    <w:rsid w:val="00B15094"/>
    <w:rsid w:val="00B16564"/>
    <w:rsid w:val="00B17D63"/>
    <w:rsid w:val="00B200FA"/>
    <w:rsid w:val="00B2144D"/>
    <w:rsid w:val="00B23688"/>
    <w:rsid w:val="00B24A58"/>
    <w:rsid w:val="00B2540E"/>
    <w:rsid w:val="00B26292"/>
    <w:rsid w:val="00B2672F"/>
    <w:rsid w:val="00B267F1"/>
    <w:rsid w:val="00B30586"/>
    <w:rsid w:val="00B35EB0"/>
    <w:rsid w:val="00B367E9"/>
    <w:rsid w:val="00B42021"/>
    <w:rsid w:val="00B42093"/>
    <w:rsid w:val="00B46124"/>
    <w:rsid w:val="00B46ED1"/>
    <w:rsid w:val="00B4731E"/>
    <w:rsid w:val="00B47342"/>
    <w:rsid w:val="00B563AA"/>
    <w:rsid w:val="00B56616"/>
    <w:rsid w:val="00B56C71"/>
    <w:rsid w:val="00B57187"/>
    <w:rsid w:val="00B57FF4"/>
    <w:rsid w:val="00B60722"/>
    <w:rsid w:val="00B61803"/>
    <w:rsid w:val="00B61BE2"/>
    <w:rsid w:val="00B6294A"/>
    <w:rsid w:val="00B63025"/>
    <w:rsid w:val="00B710FA"/>
    <w:rsid w:val="00B72C83"/>
    <w:rsid w:val="00B75037"/>
    <w:rsid w:val="00B758E8"/>
    <w:rsid w:val="00B76D7F"/>
    <w:rsid w:val="00B80EBC"/>
    <w:rsid w:val="00B82660"/>
    <w:rsid w:val="00B868CF"/>
    <w:rsid w:val="00B86FCB"/>
    <w:rsid w:val="00B91CE1"/>
    <w:rsid w:val="00B957C7"/>
    <w:rsid w:val="00B97B3D"/>
    <w:rsid w:val="00B97D64"/>
    <w:rsid w:val="00BA17AF"/>
    <w:rsid w:val="00BA2048"/>
    <w:rsid w:val="00BA2AE9"/>
    <w:rsid w:val="00BA4746"/>
    <w:rsid w:val="00BA5F38"/>
    <w:rsid w:val="00BB3864"/>
    <w:rsid w:val="00BB4DE5"/>
    <w:rsid w:val="00BC0745"/>
    <w:rsid w:val="00BC2DB0"/>
    <w:rsid w:val="00BC329F"/>
    <w:rsid w:val="00BC3C24"/>
    <w:rsid w:val="00BC44AD"/>
    <w:rsid w:val="00BC642F"/>
    <w:rsid w:val="00BC79A3"/>
    <w:rsid w:val="00BC7DBD"/>
    <w:rsid w:val="00BD031B"/>
    <w:rsid w:val="00BD5640"/>
    <w:rsid w:val="00BD63E9"/>
    <w:rsid w:val="00BD70A3"/>
    <w:rsid w:val="00BE00FE"/>
    <w:rsid w:val="00BE046C"/>
    <w:rsid w:val="00BE301A"/>
    <w:rsid w:val="00BE3161"/>
    <w:rsid w:val="00BE33FF"/>
    <w:rsid w:val="00BE4833"/>
    <w:rsid w:val="00BE6393"/>
    <w:rsid w:val="00BE76B5"/>
    <w:rsid w:val="00BF05A6"/>
    <w:rsid w:val="00BF0872"/>
    <w:rsid w:val="00BF3B65"/>
    <w:rsid w:val="00BF3E84"/>
    <w:rsid w:val="00BF5CB7"/>
    <w:rsid w:val="00BF6738"/>
    <w:rsid w:val="00BF705B"/>
    <w:rsid w:val="00C0146B"/>
    <w:rsid w:val="00C01B48"/>
    <w:rsid w:val="00C03CD6"/>
    <w:rsid w:val="00C03E64"/>
    <w:rsid w:val="00C10928"/>
    <w:rsid w:val="00C133ED"/>
    <w:rsid w:val="00C154B7"/>
    <w:rsid w:val="00C16934"/>
    <w:rsid w:val="00C23EF2"/>
    <w:rsid w:val="00C24908"/>
    <w:rsid w:val="00C24FDD"/>
    <w:rsid w:val="00C27C68"/>
    <w:rsid w:val="00C31898"/>
    <w:rsid w:val="00C32416"/>
    <w:rsid w:val="00C33AEF"/>
    <w:rsid w:val="00C35EE0"/>
    <w:rsid w:val="00C37CCC"/>
    <w:rsid w:val="00C40EC1"/>
    <w:rsid w:val="00C41794"/>
    <w:rsid w:val="00C43225"/>
    <w:rsid w:val="00C44ECD"/>
    <w:rsid w:val="00C45193"/>
    <w:rsid w:val="00C45659"/>
    <w:rsid w:val="00C45A4D"/>
    <w:rsid w:val="00C469ED"/>
    <w:rsid w:val="00C46EBB"/>
    <w:rsid w:val="00C471A8"/>
    <w:rsid w:val="00C4770F"/>
    <w:rsid w:val="00C503AF"/>
    <w:rsid w:val="00C50EB2"/>
    <w:rsid w:val="00C52144"/>
    <w:rsid w:val="00C5354E"/>
    <w:rsid w:val="00C547CE"/>
    <w:rsid w:val="00C55749"/>
    <w:rsid w:val="00C5616F"/>
    <w:rsid w:val="00C56425"/>
    <w:rsid w:val="00C57FEE"/>
    <w:rsid w:val="00C604EE"/>
    <w:rsid w:val="00C62383"/>
    <w:rsid w:val="00C631F2"/>
    <w:rsid w:val="00C673C6"/>
    <w:rsid w:val="00C67A88"/>
    <w:rsid w:val="00C67D53"/>
    <w:rsid w:val="00C67F0F"/>
    <w:rsid w:val="00C706DA"/>
    <w:rsid w:val="00C714BD"/>
    <w:rsid w:val="00C724C0"/>
    <w:rsid w:val="00C73FFA"/>
    <w:rsid w:val="00C74DA4"/>
    <w:rsid w:val="00C750E1"/>
    <w:rsid w:val="00C766A8"/>
    <w:rsid w:val="00C808B4"/>
    <w:rsid w:val="00C8138C"/>
    <w:rsid w:val="00C839B9"/>
    <w:rsid w:val="00C850C0"/>
    <w:rsid w:val="00C85E1A"/>
    <w:rsid w:val="00C85FDC"/>
    <w:rsid w:val="00C869D5"/>
    <w:rsid w:val="00C875C0"/>
    <w:rsid w:val="00C875C6"/>
    <w:rsid w:val="00C87A0C"/>
    <w:rsid w:val="00C87DBE"/>
    <w:rsid w:val="00C90470"/>
    <w:rsid w:val="00C925A1"/>
    <w:rsid w:val="00C9397F"/>
    <w:rsid w:val="00C94B43"/>
    <w:rsid w:val="00C958E9"/>
    <w:rsid w:val="00C95C97"/>
    <w:rsid w:val="00C9666C"/>
    <w:rsid w:val="00CA085E"/>
    <w:rsid w:val="00CA0DDB"/>
    <w:rsid w:val="00CA167A"/>
    <w:rsid w:val="00CA1E26"/>
    <w:rsid w:val="00CA5C4D"/>
    <w:rsid w:val="00CB29DC"/>
    <w:rsid w:val="00CB2F74"/>
    <w:rsid w:val="00CB2FE0"/>
    <w:rsid w:val="00CB36A2"/>
    <w:rsid w:val="00CB5304"/>
    <w:rsid w:val="00CC2B30"/>
    <w:rsid w:val="00CC35CC"/>
    <w:rsid w:val="00CC689A"/>
    <w:rsid w:val="00CD0F3E"/>
    <w:rsid w:val="00CD1007"/>
    <w:rsid w:val="00CD1B2D"/>
    <w:rsid w:val="00CD23C8"/>
    <w:rsid w:val="00CD312E"/>
    <w:rsid w:val="00CD494F"/>
    <w:rsid w:val="00CD5903"/>
    <w:rsid w:val="00CD64DF"/>
    <w:rsid w:val="00CD6E77"/>
    <w:rsid w:val="00CD7565"/>
    <w:rsid w:val="00CD7933"/>
    <w:rsid w:val="00CD7FEF"/>
    <w:rsid w:val="00CE0552"/>
    <w:rsid w:val="00CE1DF1"/>
    <w:rsid w:val="00CE206C"/>
    <w:rsid w:val="00CE5515"/>
    <w:rsid w:val="00CE6616"/>
    <w:rsid w:val="00CE77C6"/>
    <w:rsid w:val="00CE7F6D"/>
    <w:rsid w:val="00CF0265"/>
    <w:rsid w:val="00CF051B"/>
    <w:rsid w:val="00CF13CA"/>
    <w:rsid w:val="00CF2DAA"/>
    <w:rsid w:val="00CF3946"/>
    <w:rsid w:val="00CF3FD1"/>
    <w:rsid w:val="00CF51F2"/>
    <w:rsid w:val="00CF60A4"/>
    <w:rsid w:val="00CF7F89"/>
    <w:rsid w:val="00D00A7C"/>
    <w:rsid w:val="00D035E0"/>
    <w:rsid w:val="00D03B27"/>
    <w:rsid w:val="00D04499"/>
    <w:rsid w:val="00D04A3B"/>
    <w:rsid w:val="00D055E3"/>
    <w:rsid w:val="00D07375"/>
    <w:rsid w:val="00D10306"/>
    <w:rsid w:val="00D11025"/>
    <w:rsid w:val="00D12CF5"/>
    <w:rsid w:val="00D13242"/>
    <w:rsid w:val="00D15554"/>
    <w:rsid w:val="00D20BDF"/>
    <w:rsid w:val="00D22052"/>
    <w:rsid w:val="00D230C2"/>
    <w:rsid w:val="00D24DCF"/>
    <w:rsid w:val="00D25821"/>
    <w:rsid w:val="00D271B4"/>
    <w:rsid w:val="00D307B9"/>
    <w:rsid w:val="00D317D9"/>
    <w:rsid w:val="00D32213"/>
    <w:rsid w:val="00D326CD"/>
    <w:rsid w:val="00D32A3F"/>
    <w:rsid w:val="00D331CA"/>
    <w:rsid w:val="00D35409"/>
    <w:rsid w:val="00D35C36"/>
    <w:rsid w:val="00D368C0"/>
    <w:rsid w:val="00D44BAD"/>
    <w:rsid w:val="00D45934"/>
    <w:rsid w:val="00D46AC1"/>
    <w:rsid w:val="00D46F72"/>
    <w:rsid w:val="00D47C5C"/>
    <w:rsid w:val="00D50AEC"/>
    <w:rsid w:val="00D50DAC"/>
    <w:rsid w:val="00D5132A"/>
    <w:rsid w:val="00D52990"/>
    <w:rsid w:val="00D53540"/>
    <w:rsid w:val="00D545EA"/>
    <w:rsid w:val="00D56A6A"/>
    <w:rsid w:val="00D578B1"/>
    <w:rsid w:val="00D6075B"/>
    <w:rsid w:val="00D61A76"/>
    <w:rsid w:val="00D61EA3"/>
    <w:rsid w:val="00D62D2B"/>
    <w:rsid w:val="00D635FA"/>
    <w:rsid w:val="00D6372D"/>
    <w:rsid w:val="00D63980"/>
    <w:rsid w:val="00D6445A"/>
    <w:rsid w:val="00D64CDE"/>
    <w:rsid w:val="00D66500"/>
    <w:rsid w:val="00D675BF"/>
    <w:rsid w:val="00D67935"/>
    <w:rsid w:val="00D71997"/>
    <w:rsid w:val="00D750C5"/>
    <w:rsid w:val="00D763D3"/>
    <w:rsid w:val="00D7683F"/>
    <w:rsid w:val="00D779A5"/>
    <w:rsid w:val="00D81C71"/>
    <w:rsid w:val="00D84920"/>
    <w:rsid w:val="00D867A5"/>
    <w:rsid w:val="00D87441"/>
    <w:rsid w:val="00D91634"/>
    <w:rsid w:val="00D91E71"/>
    <w:rsid w:val="00D9328D"/>
    <w:rsid w:val="00D9475B"/>
    <w:rsid w:val="00DA000D"/>
    <w:rsid w:val="00DA2872"/>
    <w:rsid w:val="00DA313A"/>
    <w:rsid w:val="00DA357F"/>
    <w:rsid w:val="00DA363D"/>
    <w:rsid w:val="00DA4F6B"/>
    <w:rsid w:val="00DA6FE0"/>
    <w:rsid w:val="00DA7B4F"/>
    <w:rsid w:val="00DA7F2B"/>
    <w:rsid w:val="00DB0B7F"/>
    <w:rsid w:val="00DB1AED"/>
    <w:rsid w:val="00DB21BE"/>
    <w:rsid w:val="00DB2DD2"/>
    <w:rsid w:val="00DB4B16"/>
    <w:rsid w:val="00DB5AC8"/>
    <w:rsid w:val="00DB6654"/>
    <w:rsid w:val="00DC10A4"/>
    <w:rsid w:val="00DC1444"/>
    <w:rsid w:val="00DC3F16"/>
    <w:rsid w:val="00DC4F36"/>
    <w:rsid w:val="00DC52F1"/>
    <w:rsid w:val="00DC5B7E"/>
    <w:rsid w:val="00DC73D8"/>
    <w:rsid w:val="00DD3E1B"/>
    <w:rsid w:val="00DD4C3C"/>
    <w:rsid w:val="00DD54DB"/>
    <w:rsid w:val="00DD6AFE"/>
    <w:rsid w:val="00DD6DE8"/>
    <w:rsid w:val="00DD70B5"/>
    <w:rsid w:val="00DD7EC1"/>
    <w:rsid w:val="00DE0120"/>
    <w:rsid w:val="00DE3CCE"/>
    <w:rsid w:val="00DE40BB"/>
    <w:rsid w:val="00DE61B5"/>
    <w:rsid w:val="00DE67EA"/>
    <w:rsid w:val="00DE6B99"/>
    <w:rsid w:val="00DF0F13"/>
    <w:rsid w:val="00DF2351"/>
    <w:rsid w:val="00DF285A"/>
    <w:rsid w:val="00DF50EC"/>
    <w:rsid w:val="00DF514C"/>
    <w:rsid w:val="00DF6214"/>
    <w:rsid w:val="00DF6BC0"/>
    <w:rsid w:val="00E0050D"/>
    <w:rsid w:val="00E01ECD"/>
    <w:rsid w:val="00E035CC"/>
    <w:rsid w:val="00E0374D"/>
    <w:rsid w:val="00E0382F"/>
    <w:rsid w:val="00E0677E"/>
    <w:rsid w:val="00E07355"/>
    <w:rsid w:val="00E07C9D"/>
    <w:rsid w:val="00E12FF4"/>
    <w:rsid w:val="00E132B1"/>
    <w:rsid w:val="00E15197"/>
    <w:rsid w:val="00E16878"/>
    <w:rsid w:val="00E23353"/>
    <w:rsid w:val="00E2389D"/>
    <w:rsid w:val="00E23F7C"/>
    <w:rsid w:val="00E25E77"/>
    <w:rsid w:val="00E26310"/>
    <w:rsid w:val="00E26387"/>
    <w:rsid w:val="00E36AE1"/>
    <w:rsid w:val="00E37354"/>
    <w:rsid w:val="00E42AA2"/>
    <w:rsid w:val="00E4376D"/>
    <w:rsid w:val="00E440BB"/>
    <w:rsid w:val="00E4468C"/>
    <w:rsid w:val="00E44870"/>
    <w:rsid w:val="00E45975"/>
    <w:rsid w:val="00E45FD5"/>
    <w:rsid w:val="00E464B1"/>
    <w:rsid w:val="00E52870"/>
    <w:rsid w:val="00E54EF8"/>
    <w:rsid w:val="00E5558E"/>
    <w:rsid w:val="00E556FC"/>
    <w:rsid w:val="00E5704A"/>
    <w:rsid w:val="00E6054D"/>
    <w:rsid w:val="00E61912"/>
    <w:rsid w:val="00E62113"/>
    <w:rsid w:val="00E6267F"/>
    <w:rsid w:val="00E63058"/>
    <w:rsid w:val="00E63AA8"/>
    <w:rsid w:val="00E70037"/>
    <w:rsid w:val="00E71E31"/>
    <w:rsid w:val="00E720A6"/>
    <w:rsid w:val="00E72ED1"/>
    <w:rsid w:val="00E73846"/>
    <w:rsid w:val="00E73DD0"/>
    <w:rsid w:val="00E73E5B"/>
    <w:rsid w:val="00E74F3F"/>
    <w:rsid w:val="00E75B28"/>
    <w:rsid w:val="00E75D06"/>
    <w:rsid w:val="00E77615"/>
    <w:rsid w:val="00E801CA"/>
    <w:rsid w:val="00E80758"/>
    <w:rsid w:val="00E83BFB"/>
    <w:rsid w:val="00E841BA"/>
    <w:rsid w:val="00E84217"/>
    <w:rsid w:val="00E848DB"/>
    <w:rsid w:val="00E87F14"/>
    <w:rsid w:val="00E90344"/>
    <w:rsid w:val="00E92B78"/>
    <w:rsid w:val="00E92BB0"/>
    <w:rsid w:val="00E92EFE"/>
    <w:rsid w:val="00E94279"/>
    <w:rsid w:val="00E974F7"/>
    <w:rsid w:val="00E97B6D"/>
    <w:rsid w:val="00EA2572"/>
    <w:rsid w:val="00EA2EDC"/>
    <w:rsid w:val="00EA38FD"/>
    <w:rsid w:val="00EA5043"/>
    <w:rsid w:val="00EA67D7"/>
    <w:rsid w:val="00EA7A5E"/>
    <w:rsid w:val="00EB5E87"/>
    <w:rsid w:val="00EC0EF2"/>
    <w:rsid w:val="00EC16C9"/>
    <w:rsid w:val="00EC1C5E"/>
    <w:rsid w:val="00EC21B3"/>
    <w:rsid w:val="00EC2CEF"/>
    <w:rsid w:val="00EC33CD"/>
    <w:rsid w:val="00EC4C4E"/>
    <w:rsid w:val="00EC563A"/>
    <w:rsid w:val="00EC71D6"/>
    <w:rsid w:val="00EC7ACD"/>
    <w:rsid w:val="00ED00BA"/>
    <w:rsid w:val="00ED1A44"/>
    <w:rsid w:val="00ED5FC2"/>
    <w:rsid w:val="00EE0E3A"/>
    <w:rsid w:val="00EE1292"/>
    <w:rsid w:val="00EE32D5"/>
    <w:rsid w:val="00EE44B5"/>
    <w:rsid w:val="00EE70A5"/>
    <w:rsid w:val="00EE753C"/>
    <w:rsid w:val="00EE7D5C"/>
    <w:rsid w:val="00EF0285"/>
    <w:rsid w:val="00EF1CAB"/>
    <w:rsid w:val="00EF2BC5"/>
    <w:rsid w:val="00EF564C"/>
    <w:rsid w:val="00EF5C14"/>
    <w:rsid w:val="00EF6BF7"/>
    <w:rsid w:val="00F0189A"/>
    <w:rsid w:val="00F03270"/>
    <w:rsid w:val="00F06904"/>
    <w:rsid w:val="00F109F4"/>
    <w:rsid w:val="00F10D7C"/>
    <w:rsid w:val="00F10E17"/>
    <w:rsid w:val="00F12F1A"/>
    <w:rsid w:val="00F13CDA"/>
    <w:rsid w:val="00F151DA"/>
    <w:rsid w:val="00F176BF"/>
    <w:rsid w:val="00F177C0"/>
    <w:rsid w:val="00F20544"/>
    <w:rsid w:val="00F209C0"/>
    <w:rsid w:val="00F21D05"/>
    <w:rsid w:val="00F2276D"/>
    <w:rsid w:val="00F23C3A"/>
    <w:rsid w:val="00F245B1"/>
    <w:rsid w:val="00F2670D"/>
    <w:rsid w:val="00F3128D"/>
    <w:rsid w:val="00F32292"/>
    <w:rsid w:val="00F33EC7"/>
    <w:rsid w:val="00F34F58"/>
    <w:rsid w:val="00F3693E"/>
    <w:rsid w:val="00F42378"/>
    <w:rsid w:val="00F4299C"/>
    <w:rsid w:val="00F42F94"/>
    <w:rsid w:val="00F44DC9"/>
    <w:rsid w:val="00F4635D"/>
    <w:rsid w:val="00F46BF7"/>
    <w:rsid w:val="00F47314"/>
    <w:rsid w:val="00F474EF"/>
    <w:rsid w:val="00F477DA"/>
    <w:rsid w:val="00F50864"/>
    <w:rsid w:val="00F51792"/>
    <w:rsid w:val="00F51E3E"/>
    <w:rsid w:val="00F52C01"/>
    <w:rsid w:val="00F53443"/>
    <w:rsid w:val="00F53BEA"/>
    <w:rsid w:val="00F54256"/>
    <w:rsid w:val="00F5505A"/>
    <w:rsid w:val="00F553A9"/>
    <w:rsid w:val="00F5565D"/>
    <w:rsid w:val="00F55856"/>
    <w:rsid w:val="00F560A5"/>
    <w:rsid w:val="00F57513"/>
    <w:rsid w:val="00F6170C"/>
    <w:rsid w:val="00F64E2E"/>
    <w:rsid w:val="00F66863"/>
    <w:rsid w:val="00F70971"/>
    <w:rsid w:val="00F709E5"/>
    <w:rsid w:val="00F70DF2"/>
    <w:rsid w:val="00F70F8F"/>
    <w:rsid w:val="00F71361"/>
    <w:rsid w:val="00F7249F"/>
    <w:rsid w:val="00F72F8E"/>
    <w:rsid w:val="00F73440"/>
    <w:rsid w:val="00F7411C"/>
    <w:rsid w:val="00F74516"/>
    <w:rsid w:val="00F75761"/>
    <w:rsid w:val="00F76171"/>
    <w:rsid w:val="00F76819"/>
    <w:rsid w:val="00F80C61"/>
    <w:rsid w:val="00F81522"/>
    <w:rsid w:val="00F817C2"/>
    <w:rsid w:val="00F81821"/>
    <w:rsid w:val="00F81976"/>
    <w:rsid w:val="00F82C1E"/>
    <w:rsid w:val="00F84838"/>
    <w:rsid w:val="00F84AD3"/>
    <w:rsid w:val="00F868A6"/>
    <w:rsid w:val="00F86AE6"/>
    <w:rsid w:val="00F8773C"/>
    <w:rsid w:val="00F9057C"/>
    <w:rsid w:val="00F91AC5"/>
    <w:rsid w:val="00F921BB"/>
    <w:rsid w:val="00F944A5"/>
    <w:rsid w:val="00F94597"/>
    <w:rsid w:val="00F94CA0"/>
    <w:rsid w:val="00F970B2"/>
    <w:rsid w:val="00FA1659"/>
    <w:rsid w:val="00FA19BA"/>
    <w:rsid w:val="00FA2A34"/>
    <w:rsid w:val="00FA366F"/>
    <w:rsid w:val="00FA4DBC"/>
    <w:rsid w:val="00FB2896"/>
    <w:rsid w:val="00FB3373"/>
    <w:rsid w:val="00FB4593"/>
    <w:rsid w:val="00FB47C7"/>
    <w:rsid w:val="00FB6B69"/>
    <w:rsid w:val="00FC1E77"/>
    <w:rsid w:val="00FC3BEA"/>
    <w:rsid w:val="00FC48A2"/>
    <w:rsid w:val="00FC6FAE"/>
    <w:rsid w:val="00FC757F"/>
    <w:rsid w:val="00FD101A"/>
    <w:rsid w:val="00FD280C"/>
    <w:rsid w:val="00FD3F7A"/>
    <w:rsid w:val="00FE02D2"/>
    <w:rsid w:val="00FE15DC"/>
    <w:rsid w:val="00FE1D24"/>
    <w:rsid w:val="00FE29AE"/>
    <w:rsid w:val="00FE39DA"/>
    <w:rsid w:val="00FE3CCD"/>
    <w:rsid w:val="00FE408D"/>
    <w:rsid w:val="00FE6D0A"/>
    <w:rsid w:val="00FE7061"/>
    <w:rsid w:val="00FE7450"/>
    <w:rsid w:val="00FF0664"/>
    <w:rsid w:val="00FF1350"/>
    <w:rsid w:val="00FF3673"/>
    <w:rsid w:val="00FF576C"/>
    <w:rsid w:val="00FF59DC"/>
    <w:rsid w:val="00FF778A"/>
    <w:rsid w:val="0115306F"/>
    <w:rsid w:val="01BDC5AF"/>
    <w:rsid w:val="01E9F17A"/>
    <w:rsid w:val="02743B2C"/>
    <w:rsid w:val="02D7E740"/>
    <w:rsid w:val="03301370"/>
    <w:rsid w:val="0393268C"/>
    <w:rsid w:val="040B0F99"/>
    <w:rsid w:val="04D1107C"/>
    <w:rsid w:val="04D1C3CA"/>
    <w:rsid w:val="06A88517"/>
    <w:rsid w:val="09FF88E7"/>
    <w:rsid w:val="0BB3BFED"/>
    <w:rsid w:val="0CC26A15"/>
    <w:rsid w:val="0D23C8BC"/>
    <w:rsid w:val="0E1AF9D5"/>
    <w:rsid w:val="0EE03DE0"/>
    <w:rsid w:val="100AEC89"/>
    <w:rsid w:val="10514C42"/>
    <w:rsid w:val="10537CF7"/>
    <w:rsid w:val="1076D39B"/>
    <w:rsid w:val="11225D45"/>
    <w:rsid w:val="125A174E"/>
    <w:rsid w:val="14C50CD6"/>
    <w:rsid w:val="15983C56"/>
    <w:rsid w:val="16E20DAE"/>
    <w:rsid w:val="1729A92B"/>
    <w:rsid w:val="17387562"/>
    <w:rsid w:val="17849153"/>
    <w:rsid w:val="17CF3706"/>
    <w:rsid w:val="17DF72B7"/>
    <w:rsid w:val="1870B32D"/>
    <w:rsid w:val="1967C4DE"/>
    <w:rsid w:val="1978E85D"/>
    <w:rsid w:val="198D9A12"/>
    <w:rsid w:val="1B0B040C"/>
    <w:rsid w:val="1C0366F9"/>
    <w:rsid w:val="1C58A575"/>
    <w:rsid w:val="1D8741AF"/>
    <w:rsid w:val="1E082415"/>
    <w:rsid w:val="1F8DCA90"/>
    <w:rsid w:val="1FB5F18A"/>
    <w:rsid w:val="1FC4E6C3"/>
    <w:rsid w:val="2028F74B"/>
    <w:rsid w:val="21F230F5"/>
    <w:rsid w:val="22FE075D"/>
    <w:rsid w:val="234E00C3"/>
    <w:rsid w:val="2483A315"/>
    <w:rsid w:val="249D707C"/>
    <w:rsid w:val="253E34DD"/>
    <w:rsid w:val="260AD92D"/>
    <w:rsid w:val="26292EC4"/>
    <w:rsid w:val="2673AFAE"/>
    <w:rsid w:val="27578E9B"/>
    <w:rsid w:val="27A282B5"/>
    <w:rsid w:val="27C7DC67"/>
    <w:rsid w:val="2A7F9C7A"/>
    <w:rsid w:val="2AA7DF2F"/>
    <w:rsid w:val="2B048EEF"/>
    <w:rsid w:val="2BAEB017"/>
    <w:rsid w:val="2D251C16"/>
    <w:rsid w:val="2D3D2E81"/>
    <w:rsid w:val="2F09F23F"/>
    <w:rsid w:val="2F555E40"/>
    <w:rsid w:val="308A52EE"/>
    <w:rsid w:val="315F5896"/>
    <w:rsid w:val="318232D2"/>
    <w:rsid w:val="31A6ED13"/>
    <w:rsid w:val="32255072"/>
    <w:rsid w:val="32CAE406"/>
    <w:rsid w:val="3642161C"/>
    <w:rsid w:val="36D80BBE"/>
    <w:rsid w:val="3848CE2C"/>
    <w:rsid w:val="38F45B62"/>
    <w:rsid w:val="391C05C9"/>
    <w:rsid w:val="3925F476"/>
    <w:rsid w:val="3A41B3DC"/>
    <w:rsid w:val="3A878DC7"/>
    <w:rsid w:val="3B22416E"/>
    <w:rsid w:val="3B8A2BB2"/>
    <w:rsid w:val="3CA40F0F"/>
    <w:rsid w:val="3DEBD2F3"/>
    <w:rsid w:val="3FC8EAE7"/>
    <w:rsid w:val="3FE2BEA9"/>
    <w:rsid w:val="40541088"/>
    <w:rsid w:val="4093AA9E"/>
    <w:rsid w:val="41589AC4"/>
    <w:rsid w:val="42F34702"/>
    <w:rsid w:val="43A3DA69"/>
    <w:rsid w:val="447949CA"/>
    <w:rsid w:val="45AACD3A"/>
    <w:rsid w:val="487E24F5"/>
    <w:rsid w:val="4964E9B4"/>
    <w:rsid w:val="499F8989"/>
    <w:rsid w:val="4C92A0DE"/>
    <w:rsid w:val="4C998640"/>
    <w:rsid w:val="4CD4BA78"/>
    <w:rsid w:val="4CE82214"/>
    <w:rsid w:val="4E981391"/>
    <w:rsid w:val="4ED725EA"/>
    <w:rsid w:val="500EC5C1"/>
    <w:rsid w:val="50AB1CE4"/>
    <w:rsid w:val="5133B088"/>
    <w:rsid w:val="5179AE36"/>
    <w:rsid w:val="51EDE0ED"/>
    <w:rsid w:val="521F60FC"/>
    <w:rsid w:val="53256150"/>
    <w:rsid w:val="543B5616"/>
    <w:rsid w:val="544E0EB9"/>
    <w:rsid w:val="54C3E0A2"/>
    <w:rsid w:val="565C60A7"/>
    <w:rsid w:val="56A4DD0E"/>
    <w:rsid w:val="574AF9EA"/>
    <w:rsid w:val="58767B52"/>
    <w:rsid w:val="58786C3E"/>
    <w:rsid w:val="589C4FBC"/>
    <w:rsid w:val="599F3A60"/>
    <w:rsid w:val="59B9C65A"/>
    <w:rsid w:val="59E7DE3C"/>
    <w:rsid w:val="5A0E31BC"/>
    <w:rsid w:val="5BA104BF"/>
    <w:rsid w:val="5CE9D41B"/>
    <w:rsid w:val="5D10ED1B"/>
    <w:rsid w:val="5D58F197"/>
    <w:rsid w:val="5D9B6EE6"/>
    <w:rsid w:val="5F3E6015"/>
    <w:rsid w:val="5F4125FD"/>
    <w:rsid w:val="6070C7A3"/>
    <w:rsid w:val="61644634"/>
    <w:rsid w:val="62138608"/>
    <w:rsid w:val="627AF934"/>
    <w:rsid w:val="6696FC19"/>
    <w:rsid w:val="66B70032"/>
    <w:rsid w:val="67AE0AF2"/>
    <w:rsid w:val="67B1DCB8"/>
    <w:rsid w:val="67D446A1"/>
    <w:rsid w:val="68D5F7CD"/>
    <w:rsid w:val="69DE01D9"/>
    <w:rsid w:val="6A4683FF"/>
    <w:rsid w:val="6C2DCE2F"/>
    <w:rsid w:val="6CC7569A"/>
    <w:rsid w:val="6D5B7A8A"/>
    <w:rsid w:val="6D63F385"/>
    <w:rsid w:val="6D8AAB0C"/>
    <w:rsid w:val="6E0C296B"/>
    <w:rsid w:val="6E83F49D"/>
    <w:rsid w:val="6EA6B338"/>
    <w:rsid w:val="6F6FE975"/>
    <w:rsid w:val="6F727758"/>
    <w:rsid w:val="72A328D4"/>
    <w:rsid w:val="72FB148A"/>
    <w:rsid w:val="7323D5A0"/>
    <w:rsid w:val="73658D6A"/>
    <w:rsid w:val="74E52E1E"/>
    <w:rsid w:val="74FE338F"/>
    <w:rsid w:val="750A70D9"/>
    <w:rsid w:val="750ED358"/>
    <w:rsid w:val="75D41BF1"/>
    <w:rsid w:val="75FB5525"/>
    <w:rsid w:val="766D0D2E"/>
    <w:rsid w:val="76752393"/>
    <w:rsid w:val="78751DBB"/>
    <w:rsid w:val="7920D219"/>
    <w:rsid w:val="7A5480D1"/>
    <w:rsid w:val="7B580A13"/>
    <w:rsid w:val="7C71CE62"/>
    <w:rsid w:val="7EB79FD6"/>
    <w:rsid w:val="7FA2E1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7E84E"/>
  <w14:defaultImageDpi w14:val="32767"/>
  <w15:chartTrackingRefBased/>
  <w15:docId w15:val="{8DA54C08-A8BA-48B1-99E2-1249B04A2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7066B"/>
    <w:rPr>
      <w:lang w:val="en-IE"/>
    </w:rPr>
  </w:style>
  <w:style w:type="paragraph" w:styleId="Heading1">
    <w:name w:val="heading 1"/>
    <w:basedOn w:val="Normal"/>
    <w:next w:val="Normal"/>
    <w:link w:val="Heading1Char"/>
    <w:uiPriority w:val="9"/>
    <w:qFormat/>
    <w:rsid w:val="0047066B"/>
    <w:pPr>
      <w:spacing w:after="240"/>
      <w:outlineLvl w:val="0"/>
    </w:pPr>
    <w:rPr>
      <w:rFonts w:ascii="Calibri" w:eastAsia="Times New Roman" w:hAnsi="Calibri" w:cs="Times New Roman"/>
      <w:b/>
      <w:bCs/>
      <w:color w:val="333399"/>
      <w:sz w:val="32"/>
      <w:szCs w:val="32"/>
    </w:rPr>
  </w:style>
  <w:style w:type="paragraph" w:styleId="Heading2">
    <w:name w:val="heading 2"/>
    <w:basedOn w:val="Normal"/>
    <w:next w:val="Normal"/>
    <w:link w:val="Heading2Char"/>
    <w:unhideWhenUsed/>
    <w:qFormat/>
    <w:rsid w:val="253E34DD"/>
    <w:pPr>
      <w:spacing w:beforeAutospacing="1" w:afterAutospacing="1"/>
      <w:outlineLvl w:val="1"/>
    </w:pPr>
    <w:rPr>
      <w:rFonts w:ascii="Calibri" w:eastAsia="Times New Roman" w:hAnsi="Calibri" w:cs="Times New Roman"/>
      <w:b/>
      <w:bCs/>
      <w:color w:val="333399"/>
      <w:sz w:val="28"/>
      <w:szCs w:val="28"/>
      <w:lang w:val="en-GB"/>
    </w:rPr>
  </w:style>
  <w:style w:type="paragraph" w:styleId="Heading3">
    <w:name w:val="heading 3"/>
    <w:basedOn w:val="Normal"/>
    <w:next w:val="Normal"/>
    <w:link w:val="Heading3Char"/>
    <w:uiPriority w:val="9"/>
    <w:unhideWhenUsed/>
    <w:qFormat/>
    <w:rsid w:val="253E34DD"/>
    <w:pPr>
      <w:spacing w:beforeAutospacing="1" w:afterAutospacing="1"/>
      <w:outlineLvl w:val="2"/>
    </w:pPr>
    <w:rPr>
      <w:color w:val="0000FF"/>
      <w:lang w:val="en-GB"/>
    </w:rPr>
  </w:style>
  <w:style w:type="paragraph" w:styleId="Heading4">
    <w:name w:val="heading 4"/>
    <w:basedOn w:val="Normal"/>
    <w:next w:val="Normal"/>
    <w:link w:val="Heading4Char"/>
    <w:uiPriority w:val="9"/>
    <w:semiHidden/>
    <w:unhideWhenUsed/>
    <w:qFormat/>
    <w:rsid w:val="0077673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253E34DD"/>
    <w:pPr>
      <w:keepNext/>
      <w:keepLines/>
      <w:widowControl w:val="0"/>
      <w:spacing w:before="40"/>
      <w:outlineLvl w:val="4"/>
    </w:pPr>
    <w:rPr>
      <w:rFonts w:ascii="Cambria" w:eastAsia="Times New Roman" w:hAnsi="Cambria" w:cs="Times New Roman"/>
      <w:color w:val="365F91"/>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66B"/>
    <w:rPr>
      <w:rFonts w:ascii="Calibri" w:eastAsia="Times New Roman" w:hAnsi="Calibri" w:cs="Times New Roman"/>
      <w:b/>
      <w:bCs/>
      <w:color w:val="333399"/>
      <w:sz w:val="32"/>
      <w:szCs w:val="32"/>
      <w:lang w:val="en-IE"/>
    </w:rPr>
  </w:style>
  <w:style w:type="character" w:customStyle="1" w:styleId="Heading2Char">
    <w:name w:val="Heading 2 Char"/>
    <w:basedOn w:val="DefaultParagraphFont"/>
    <w:link w:val="Heading2"/>
    <w:rsid w:val="0047066B"/>
    <w:rPr>
      <w:rFonts w:ascii="Calibri" w:eastAsia="Times New Roman" w:hAnsi="Calibri" w:cs="Times New Roman"/>
      <w:b/>
      <w:bCs/>
      <w:color w:val="333399"/>
      <w:sz w:val="28"/>
      <w:szCs w:val="28"/>
    </w:rPr>
  </w:style>
  <w:style w:type="paragraph" w:styleId="ListParagraph">
    <w:name w:val="List Paragraph"/>
    <w:aliases w:val="Use Case List Paragraph,Bullet List,FooterText,numbered,List Paragraph1,Paragraphe de liste1,Bulletr List Paragraph,列出段落,列出段落1,List Paragraph2,List Paragraph21,Listeafsnit1,Parágrafo da Lista1,Párrafo de lista1,リスト段落1,List Paragraph11,Foo"/>
    <w:basedOn w:val="Normal"/>
    <w:link w:val="ListParagraphChar"/>
    <w:uiPriority w:val="34"/>
    <w:qFormat/>
    <w:rsid w:val="0047066B"/>
    <w:pPr>
      <w:ind w:left="720"/>
      <w:contextualSpacing/>
    </w:pPr>
  </w:style>
  <w:style w:type="character" w:customStyle="1" w:styleId="ListParagraphChar">
    <w:name w:val="List Paragraph Char"/>
    <w:aliases w:val="Use Case List Paragraph Char,Bullet List Char,FooterText Char,numbered Char,List Paragraph1 Char,Paragraphe de liste1 Char,Bulletr List Paragraph Char,列出段落 Char,列出段落1 Char,List Paragraph2 Char,List Paragraph21 Char,Listeafsnit1 Char"/>
    <w:link w:val="ListParagraph"/>
    <w:uiPriority w:val="34"/>
    <w:qFormat/>
    <w:locked/>
    <w:rsid w:val="0047066B"/>
    <w:rPr>
      <w:lang w:val="en-IE"/>
    </w:rPr>
  </w:style>
  <w:style w:type="character" w:customStyle="1" w:styleId="Heading3Char">
    <w:name w:val="Heading 3 Char"/>
    <w:basedOn w:val="DefaultParagraphFont"/>
    <w:link w:val="Heading3"/>
    <w:uiPriority w:val="9"/>
    <w:rsid w:val="000F61D5"/>
    <w:rPr>
      <w:color w:val="0000FF"/>
    </w:rPr>
  </w:style>
  <w:style w:type="paragraph" w:styleId="DocumentMap">
    <w:name w:val="Document Map"/>
    <w:basedOn w:val="Normal"/>
    <w:link w:val="DocumentMapChar"/>
    <w:uiPriority w:val="99"/>
    <w:semiHidden/>
    <w:unhideWhenUsed/>
    <w:rsid w:val="00C87A0C"/>
    <w:rPr>
      <w:rFonts w:ascii="Times New Roman" w:hAnsi="Times New Roman" w:cs="Times New Roman"/>
    </w:rPr>
  </w:style>
  <w:style w:type="character" w:customStyle="1" w:styleId="DocumentMapChar">
    <w:name w:val="Document Map Char"/>
    <w:basedOn w:val="DefaultParagraphFont"/>
    <w:link w:val="DocumentMap"/>
    <w:uiPriority w:val="99"/>
    <w:semiHidden/>
    <w:rsid w:val="00C87A0C"/>
    <w:rPr>
      <w:rFonts w:ascii="Times New Roman" w:hAnsi="Times New Roman" w:cs="Times New Roman"/>
      <w:lang w:val="en-IE"/>
    </w:rPr>
  </w:style>
  <w:style w:type="character" w:styleId="CommentReference">
    <w:name w:val="annotation reference"/>
    <w:basedOn w:val="DefaultParagraphFont"/>
    <w:uiPriority w:val="99"/>
    <w:unhideWhenUsed/>
    <w:rsid w:val="00E4376D"/>
    <w:rPr>
      <w:sz w:val="18"/>
      <w:szCs w:val="18"/>
    </w:rPr>
  </w:style>
  <w:style w:type="paragraph" w:styleId="CommentText">
    <w:name w:val="annotation text"/>
    <w:basedOn w:val="Normal"/>
    <w:link w:val="CommentTextChar"/>
    <w:uiPriority w:val="99"/>
    <w:unhideWhenUsed/>
    <w:rsid w:val="00E4376D"/>
  </w:style>
  <w:style w:type="character" w:customStyle="1" w:styleId="CommentTextChar">
    <w:name w:val="Comment Text Char"/>
    <w:basedOn w:val="DefaultParagraphFont"/>
    <w:link w:val="CommentText"/>
    <w:uiPriority w:val="99"/>
    <w:rsid w:val="00E4376D"/>
    <w:rPr>
      <w:lang w:val="en-IE"/>
    </w:rPr>
  </w:style>
  <w:style w:type="paragraph" w:styleId="CommentSubject">
    <w:name w:val="annotation subject"/>
    <w:basedOn w:val="CommentText"/>
    <w:next w:val="CommentText"/>
    <w:link w:val="CommentSubjectChar"/>
    <w:uiPriority w:val="99"/>
    <w:semiHidden/>
    <w:unhideWhenUsed/>
    <w:rsid w:val="00E4376D"/>
    <w:rPr>
      <w:b/>
      <w:bCs/>
      <w:sz w:val="20"/>
      <w:szCs w:val="20"/>
    </w:rPr>
  </w:style>
  <w:style w:type="character" w:customStyle="1" w:styleId="CommentSubjectChar">
    <w:name w:val="Comment Subject Char"/>
    <w:basedOn w:val="CommentTextChar"/>
    <w:link w:val="CommentSubject"/>
    <w:uiPriority w:val="99"/>
    <w:semiHidden/>
    <w:rsid w:val="00E4376D"/>
    <w:rPr>
      <w:b/>
      <w:bCs/>
      <w:sz w:val="20"/>
      <w:szCs w:val="20"/>
      <w:lang w:val="en-IE"/>
    </w:rPr>
  </w:style>
  <w:style w:type="paragraph" w:styleId="BalloonText">
    <w:name w:val="Balloon Text"/>
    <w:basedOn w:val="Normal"/>
    <w:link w:val="BalloonTextChar"/>
    <w:uiPriority w:val="99"/>
    <w:semiHidden/>
    <w:unhideWhenUsed/>
    <w:rsid w:val="00E4376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4376D"/>
    <w:rPr>
      <w:rFonts w:ascii="Times New Roman" w:hAnsi="Times New Roman" w:cs="Times New Roman"/>
      <w:sz w:val="18"/>
      <w:szCs w:val="18"/>
      <w:lang w:val="en-IE"/>
    </w:rPr>
  </w:style>
  <w:style w:type="character" w:customStyle="1" w:styleId="Heading4Char">
    <w:name w:val="Heading 4 Char"/>
    <w:basedOn w:val="DefaultParagraphFont"/>
    <w:link w:val="Heading4"/>
    <w:uiPriority w:val="9"/>
    <w:semiHidden/>
    <w:rsid w:val="0077673B"/>
    <w:rPr>
      <w:rFonts w:asciiTheme="majorHAnsi" w:eastAsiaTheme="majorEastAsia" w:hAnsiTheme="majorHAnsi" w:cstheme="majorBidi"/>
      <w:i/>
      <w:iCs/>
      <w:color w:val="2F5496" w:themeColor="accent1" w:themeShade="BF"/>
      <w:lang w:val="en-IE"/>
    </w:rPr>
  </w:style>
  <w:style w:type="table" w:styleId="TableGrid">
    <w:name w:val="Table Grid"/>
    <w:basedOn w:val="TableNormal"/>
    <w:uiPriority w:val="59"/>
    <w:rsid w:val="0077673B"/>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WNormal">
    <w:name w:val="FW Normal"/>
    <w:basedOn w:val="ListParagraph"/>
    <w:link w:val="FWNormalChar"/>
    <w:qFormat/>
    <w:rsid w:val="005A560F"/>
    <w:pPr>
      <w:tabs>
        <w:tab w:val="left" w:pos="709"/>
      </w:tabs>
      <w:ind w:left="737" w:hanging="737"/>
    </w:pPr>
    <w:rPr>
      <w:rFonts w:ascii="Arial" w:eastAsia="Times New Roman" w:hAnsi="Arial" w:cs="Arial"/>
      <w:color w:val="000000" w:themeColor="text1"/>
      <w:sz w:val="22"/>
      <w:lang w:val="en-US"/>
    </w:rPr>
  </w:style>
  <w:style w:type="character" w:customStyle="1" w:styleId="FWNormalChar">
    <w:name w:val="FW Normal Char"/>
    <w:basedOn w:val="DefaultParagraphFont"/>
    <w:link w:val="FWNormal"/>
    <w:rsid w:val="005A560F"/>
    <w:rPr>
      <w:rFonts w:ascii="Arial" w:eastAsia="Times New Roman" w:hAnsi="Arial" w:cs="Arial"/>
      <w:color w:val="000000" w:themeColor="text1"/>
      <w:sz w:val="22"/>
      <w:lang w:val="en-US"/>
    </w:rPr>
  </w:style>
  <w:style w:type="character" w:styleId="Hyperlink">
    <w:name w:val="Hyperlink"/>
    <w:basedOn w:val="DefaultParagraphFont"/>
    <w:uiPriority w:val="99"/>
    <w:unhideWhenUsed/>
    <w:rsid w:val="00181E86"/>
    <w:rPr>
      <w:color w:val="0563C1" w:themeColor="hyperlink"/>
      <w:u w:val="single"/>
    </w:rPr>
  </w:style>
  <w:style w:type="paragraph" w:styleId="NormalWeb">
    <w:name w:val="Normal (Web)"/>
    <w:basedOn w:val="Normal"/>
    <w:uiPriority w:val="99"/>
    <w:semiHidden/>
    <w:unhideWhenUsed/>
    <w:rsid w:val="253E34DD"/>
    <w:pPr>
      <w:spacing w:beforeAutospacing="1" w:afterAutospacing="1"/>
    </w:pPr>
    <w:rPr>
      <w:rFonts w:ascii="Times New Roman" w:eastAsia="Times New Roman" w:hAnsi="Times New Roman" w:cs="Times New Roman"/>
      <w:lang w:val="en-GB" w:eastAsia="en-IE"/>
    </w:rPr>
  </w:style>
  <w:style w:type="paragraph" w:styleId="Revision">
    <w:name w:val="Revision"/>
    <w:hidden/>
    <w:uiPriority w:val="99"/>
    <w:semiHidden/>
    <w:rsid w:val="00366228"/>
    <w:rPr>
      <w:lang w:val="en-IE"/>
    </w:rPr>
  </w:style>
  <w:style w:type="paragraph" w:customStyle="1" w:styleId="TableParagraph">
    <w:name w:val="Table Paragraph"/>
    <w:basedOn w:val="Normal"/>
    <w:uiPriority w:val="1"/>
    <w:qFormat/>
    <w:rsid w:val="253E34DD"/>
    <w:pPr>
      <w:widowControl w:val="0"/>
    </w:pPr>
    <w:rPr>
      <w:rFonts w:ascii="Calibri" w:eastAsia="Calibri" w:hAnsi="Calibri" w:cs="Calibri"/>
      <w:sz w:val="22"/>
      <w:szCs w:val="22"/>
      <w:lang w:val="en-GB"/>
    </w:rPr>
  </w:style>
  <w:style w:type="character" w:styleId="Mention">
    <w:name w:val="Mention"/>
    <w:basedOn w:val="DefaultParagraphFont"/>
    <w:uiPriority w:val="99"/>
    <w:unhideWhenUsed/>
    <w:rsid w:val="00E73846"/>
    <w:rPr>
      <w:color w:val="2B579A"/>
      <w:shd w:val="clear" w:color="auto" w:fill="E1DFDD"/>
    </w:rPr>
  </w:style>
  <w:style w:type="character" w:customStyle="1" w:styleId="Heading5Char">
    <w:name w:val="Heading 5 Char"/>
    <w:basedOn w:val="DefaultParagraphFont"/>
    <w:link w:val="Heading5"/>
    <w:uiPriority w:val="9"/>
    <w:rsid w:val="00E26387"/>
    <w:rPr>
      <w:rFonts w:ascii="Cambria" w:eastAsia="Times New Roman" w:hAnsi="Cambria" w:cs="Times New Roman"/>
      <w:color w:val="365F91"/>
      <w:sz w:val="22"/>
      <w:szCs w:val="22"/>
    </w:rPr>
  </w:style>
  <w:style w:type="paragraph" w:styleId="BodyText">
    <w:name w:val="Body Text"/>
    <w:basedOn w:val="Normal"/>
    <w:link w:val="BodyTextChar"/>
    <w:uiPriority w:val="1"/>
    <w:qFormat/>
    <w:rsid w:val="253E34DD"/>
    <w:pPr>
      <w:widowControl w:val="0"/>
    </w:pPr>
    <w:rPr>
      <w:rFonts w:ascii="Calibri" w:eastAsia="Calibri" w:hAnsi="Calibri" w:cs="Calibri"/>
      <w:sz w:val="22"/>
      <w:szCs w:val="22"/>
      <w:lang w:val="en-GB"/>
    </w:rPr>
  </w:style>
  <w:style w:type="character" w:customStyle="1" w:styleId="BodyTextChar">
    <w:name w:val="Body Text Char"/>
    <w:basedOn w:val="DefaultParagraphFont"/>
    <w:link w:val="BodyText"/>
    <w:uiPriority w:val="1"/>
    <w:rsid w:val="00E26387"/>
    <w:rPr>
      <w:rFonts w:ascii="Calibri" w:eastAsia="Calibri" w:hAnsi="Calibri" w:cs="Calibri"/>
      <w:sz w:val="22"/>
      <w:szCs w:val="22"/>
    </w:rPr>
  </w:style>
  <w:style w:type="character" w:styleId="PlaceholderText">
    <w:name w:val="Placeholder Text"/>
    <w:basedOn w:val="DefaultParagraphFont"/>
    <w:uiPriority w:val="99"/>
    <w:rsid w:val="00E26387"/>
  </w:style>
  <w:style w:type="table" w:styleId="GridTable4-Accent1">
    <w:name w:val="Grid Table 4 Accent 1"/>
    <w:basedOn w:val="TableNormal"/>
    <w:uiPriority w:val="49"/>
    <w:rsid w:val="00E26387"/>
    <w:rPr>
      <w:rFonts w:ascii="Calibri" w:eastAsia="Calibri" w:hAnsi="Calibri" w:cs="Times New Roman"/>
      <w:sz w:val="20"/>
      <w:szCs w:val="20"/>
      <w:lang w:eastAsia="ja-JP"/>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Style1">
    <w:name w:val="Style1"/>
    <w:basedOn w:val="TableNormal"/>
    <w:rsid w:val="00E26387"/>
    <w:rPr>
      <w:rFonts w:ascii="Times New Roman" w:eastAsia="Times New Roman" w:hAnsi="Times New Roman" w:cs="Times New Roman"/>
      <w:sz w:val="20"/>
      <w:szCs w:val="20"/>
      <w:lang w:val="en-IE" w:eastAsia="en-IE"/>
    </w:rPr>
    <w:tblPr/>
  </w:style>
  <w:style w:type="paragraph" w:customStyle="1" w:styleId="Parties">
    <w:name w:val="Parties"/>
    <w:basedOn w:val="Normal"/>
    <w:rsid w:val="253E34DD"/>
    <w:pPr>
      <w:numPr>
        <w:numId w:val="50"/>
      </w:numPr>
      <w:spacing w:after="240" w:line="312" w:lineRule="auto"/>
      <w:jc w:val="both"/>
    </w:pPr>
    <w:rPr>
      <w:rFonts w:ascii="Times New Roman" w:eastAsia="Times New Roman" w:hAnsi="Times New Roman" w:cs="Times New Roman"/>
      <w:lang w:val="en-GB" w:eastAsia="ar-SA"/>
    </w:rPr>
  </w:style>
  <w:style w:type="table" w:customStyle="1" w:styleId="GridTable4-Accent112">
    <w:name w:val="Grid Table 4 - Accent 112"/>
    <w:basedOn w:val="TableNormal"/>
    <w:next w:val="GridTable4-Accent1"/>
    <w:uiPriority w:val="49"/>
    <w:rsid w:val="00E26387"/>
    <w:rPr>
      <w:rFonts w:ascii="Times New Roman" w:eastAsia="Times New Roman" w:hAnsi="Times New Roman" w:cs="Times New Roman"/>
      <w:sz w:val="20"/>
      <w:szCs w:val="20"/>
      <w:lang w:val="en-IE"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23">
    <w:name w:val="Grid Table 4 - Accent 1123"/>
    <w:basedOn w:val="TableNormal"/>
    <w:next w:val="GridTable4-Accent1"/>
    <w:uiPriority w:val="49"/>
    <w:rsid w:val="00E26387"/>
    <w:rPr>
      <w:rFonts w:ascii="Times New Roman" w:eastAsia="Times New Roman" w:hAnsi="Times New Roman" w:cs="Times New Roman"/>
      <w:sz w:val="20"/>
      <w:szCs w:val="20"/>
      <w:lang w:val="en-IE"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paragraph" w:customStyle="1" w:styleId="Default">
    <w:name w:val="Default"/>
    <w:rsid w:val="00E26387"/>
    <w:pPr>
      <w:autoSpaceDE w:val="0"/>
      <w:autoSpaceDN w:val="0"/>
      <w:adjustRightInd w:val="0"/>
    </w:pPr>
    <w:rPr>
      <w:rFonts w:ascii="Calibri" w:eastAsia="Calibri" w:hAnsi="Calibri" w:cs="Calibri"/>
      <w:color w:val="000000"/>
    </w:rPr>
  </w:style>
  <w:style w:type="paragraph" w:styleId="BodyTextIndent">
    <w:name w:val="Body Text Indent"/>
    <w:basedOn w:val="Normal"/>
    <w:link w:val="BodyTextIndentChar"/>
    <w:uiPriority w:val="99"/>
    <w:semiHidden/>
    <w:unhideWhenUsed/>
    <w:rsid w:val="253E34DD"/>
    <w:pPr>
      <w:widowControl w:val="0"/>
      <w:spacing w:after="120"/>
      <w:ind w:left="283"/>
    </w:pPr>
    <w:rPr>
      <w:rFonts w:ascii="Calibri" w:eastAsia="Calibri" w:hAnsi="Calibri" w:cs="Calibri"/>
      <w:sz w:val="22"/>
      <w:szCs w:val="22"/>
      <w:lang w:val="en-GB"/>
    </w:rPr>
  </w:style>
  <w:style w:type="character" w:customStyle="1" w:styleId="BodyTextIndentChar">
    <w:name w:val="Body Text Indent Char"/>
    <w:basedOn w:val="DefaultParagraphFont"/>
    <w:link w:val="BodyTextIndent"/>
    <w:uiPriority w:val="99"/>
    <w:semiHidden/>
    <w:rsid w:val="00E26387"/>
    <w:rPr>
      <w:rFonts w:ascii="Calibri" w:eastAsia="Calibri" w:hAnsi="Calibri" w:cs="Calibri"/>
      <w:sz w:val="22"/>
      <w:szCs w:val="22"/>
    </w:rPr>
  </w:style>
  <w:style w:type="table" w:styleId="GridTable4-Accent2">
    <w:name w:val="Grid Table 4 Accent 2"/>
    <w:basedOn w:val="TableNormal"/>
    <w:uiPriority w:val="49"/>
    <w:rsid w:val="00E26387"/>
    <w:rPr>
      <w:rFonts w:ascii="Calibri" w:eastAsia="Calibri" w:hAnsi="Calibri" w:cs="Times New Roman"/>
      <w:sz w:val="20"/>
      <w:szCs w:val="20"/>
      <w:lang w:val="en-IE" w:eastAsia="ja-JP"/>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customStyle="1" w:styleId="tenderheading">
    <w:name w:val="tender heading"/>
    <w:basedOn w:val="Heading2"/>
    <w:link w:val="tenderheadingChar"/>
    <w:qFormat/>
    <w:rsid w:val="00E26387"/>
    <w:pPr>
      <w:keepNext/>
      <w:pBdr>
        <w:bottom w:val="single" w:sz="12" w:space="1" w:color="333399"/>
      </w:pBdr>
      <w:shd w:val="clear" w:color="auto" w:fill="000080"/>
      <w:tabs>
        <w:tab w:val="left" w:pos="567"/>
        <w:tab w:val="left" w:pos="907"/>
        <w:tab w:val="left" w:pos="1134"/>
      </w:tabs>
      <w:spacing w:before="240" w:beforeAutospacing="0" w:after="80" w:afterAutospacing="0" w:line="276" w:lineRule="auto"/>
      <w:ind w:firstLine="57"/>
      <w:jc w:val="both"/>
    </w:pPr>
    <w:rPr>
      <w:bCs w:val="0"/>
      <w:caps/>
      <w:color w:val="FFFFFF"/>
      <w:sz w:val="22"/>
      <w:szCs w:val="22"/>
    </w:rPr>
  </w:style>
  <w:style w:type="character" w:customStyle="1" w:styleId="tenderheadingChar">
    <w:name w:val="tender heading Char"/>
    <w:link w:val="tenderheading"/>
    <w:rsid w:val="00E26387"/>
    <w:rPr>
      <w:rFonts w:ascii="Calibri" w:eastAsia="Times New Roman" w:hAnsi="Calibri" w:cs="Times New Roman"/>
      <w:b/>
      <w:caps/>
      <w:color w:val="FFFFFF"/>
      <w:sz w:val="22"/>
      <w:szCs w:val="22"/>
      <w:shd w:val="clear" w:color="auto" w:fill="000080"/>
    </w:rPr>
  </w:style>
  <w:style w:type="paragraph" w:customStyle="1" w:styleId="Bullet">
    <w:name w:val="Bullet"/>
    <w:basedOn w:val="Normal"/>
    <w:rsid w:val="00E26387"/>
    <w:pPr>
      <w:numPr>
        <w:numId w:val="27"/>
      </w:numPr>
      <w:spacing w:after="100" w:line="276" w:lineRule="auto"/>
      <w:jc w:val="both"/>
    </w:pPr>
    <w:rPr>
      <w:rFonts w:ascii="Calibri" w:eastAsia="MS Mincho" w:hAnsi="Calibri" w:cs="Times New Roman"/>
      <w:sz w:val="22"/>
      <w:lang w:val="en-US" w:eastAsia="ja-JP"/>
    </w:rPr>
  </w:style>
  <w:style w:type="paragraph" w:styleId="Header">
    <w:name w:val="header"/>
    <w:basedOn w:val="Normal"/>
    <w:link w:val="HeaderChar"/>
    <w:rsid w:val="00E26387"/>
    <w:pPr>
      <w:tabs>
        <w:tab w:val="center" w:pos="4320"/>
        <w:tab w:val="right" w:pos="8640"/>
      </w:tabs>
      <w:spacing w:after="120" w:line="276" w:lineRule="auto"/>
      <w:jc w:val="both"/>
    </w:pPr>
    <w:rPr>
      <w:rFonts w:ascii="Calibri" w:eastAsia="Times New Roman" w:hAnsi="Calibri" w:cs="Times New Roman"/>
      <w:sz w:val="22"/>
      <w:lang w:val="en-GB"/>
    </w:rPr>
  </w:style>
  <w:style w:type="character" w:customStyle="1" w:styleId="HeaderChar">
    <w:name w:val="Header Char"/>
    <w:basedOn w:val="DefaultParagraphFont"/>
    <w:link w:val="Header"/>
    <w:rsid w:val="00E26387"/>
    <w:rPr>
      <w:rFonts w:ascii="Calibri" w:eastAsia="Times New Roman" w:hAnsi="Calibri" w:cs="Times New Roman"/>
      <w:sz w:val="22"/>
    </w:rPr>
  </w:style>
  <w:style w:type="paragraph" w:styleId="Footer">
    <w:name w:val="footer"/>
    <w:basedOn w:val="Normal"/>
    <w:link w:val="FooterChar"/>
    <w:uiPriority w:val="99"/>
    <w:unhideWhenUsed/>
    <w:rsid w:val="253E34DD"/>
    <w:pPr>
      <w:widowControl w:val="0"/>
      <w:tabs>
        <w:tab w:val="center" w:pos="4513"/>
        <w:tab w:val="right" w:pos="9026"/>
      </w:tabs>
    </w:pPr>
    <w:rPr>
      <w:rFonts w:ascii="Calibri" w:eastAsia="Calibri" w:hAnsi="Calibri" w:cs="Calibri"/>
      <w:sz w:val="22"/>
      <w:szCs w:val="22"/>
      <w:lang w:val="en-GB"/>
    </w:rPr>
  </w:style>
  <w:style w:type="character" w:customStyle="1" w:styleId="FooterChar">
    <w:name w:val="Footer Char"/>
    <w:basedOn w:val="DefaultParagraphFont"/>
    <w:link w:val="Footer"/>
    <w:uiPriority w:val="99"/>
    <w:rsid w:val="00E26387"/>
    <w:rPr>
      <w:rFonts w:ascii="Calibri" w:eastAsia="Calibri" w:hAnsi="Calibri" w:cs="Calibri"/>
      <w:sz w:val="22"/>
      <w:szCs w:val="22"/>
    </w:rPr>
  </w:style>
  <w:style w:type="table" w:customStyle="1" w:styleId="TableGrid1">
    <w:name w:val="Table Grid1"/>
    <w:basedOn w:val="TableNormal"/>
    <w:next w:val="TableGrid"/>
    <w:uiPriority w:val="39"/>
    <w:rsid w:val="00E26387"/>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Heading2"/>
    <w:link w:val="Style2Char"/>
    <w:qFormat/>
    <w:rsid w:val="00E26387"/>
    <w:pPr>
      <w:keepNext/>
      <w:keepLines/>
      <w:spacing w:before="200" w:beforeAutospacing="0" w:afterAutospacing="0" w:line="276" w:lineRule="auto"/>
      <w:ind w:left="709" w:hanging="720"/>
    </w:pPr>
    <w:rPr>
      <w:rFonts w:ascii="Georgia" w:hAnsi="Georgia"/>
      <w:color w:val="038B91"/>
      <w:sz w:val="26"/>
      <w:szCs w:val="26"/>
    </w:rPr>
  </w:style>
  <w:style w:type="character" w:customStyle="1" w:styleId="Style2Char">
    <w:name w:val="Style2 Char"/>
    <w:link w:val="Style2"/>
    <w:rsid w:val="00E26387"/>
    <w:rPr>
      <w:rFonts w:ascii="Georgia" w:eastAsia="Times New Roman" w:hAnsi="Georgia" w:cs="Times New Roman"/>
      <w:b/>
      <w:bCs/>
      <w:color w:val="038B91"/>
      <w:sz w:val="26"/>
      <w:szCs w:val="26"/>
    </w:rPr>
  </w:style>
  <w:style w:type="character" w:customStyle="1" w:styleId="UnresolvedMention1">
    <w:name w:val="Unresolved Mention1"/>
    <w:uiPriority w:val="99"/>
    <w:semiHidden/>
    <w:unhideWhenUsed/>
    <w:rsid w:val="00E26387"/>
    <w:rPr>
      <w:color w:val="605E5C"/>
      <w:shd w:val="clear" w:color="auto" w:fill="E1DFDD"/>
    </w:rPr>
  </w:style>
  <w:style w:type="paragraph" w:styleId="Title">
    <w:name w:val="Title"/>
    <w:basedOn w:val="Normal"/>
    <w:link w:val="TitleChar"/>
    <w:qFormat/>
    <w:rsid w:val="253E34DD"/>
    <w:pPr>
      <w:jc w:val="center"/>
    </w:pPr>
    <w:rPr>
      <w:rFonts w:ascii="Verdana" w:eastAsia="Times New Roman" w:hAnsi="Verdana" w:cs="Times New Roman"/>
      <w:b/>
      <w:bCs/>
      <w:color w:val="FFFFFF" w:themeColor="background1"/>
      <w:sz w:val="28"/>
      <w:szCs w:val="28"/>
      <w:lang w:val="en-GB"/>
    </w:rPr>
  </w:style>
  <w:style w:type="character" w:customStyle="1" w:styleId="TitleChar">
    <w:name w:val="Title Char"/>
    <w:basedOn w:val="DefaultParagraphFont"/>
    <w:link w:val="Title"/>
    <w:rsid w:val="00E26387"/>
    <w:rPr>
      <w:rFonts w:ascii="Verdana" w:eastAsia="Times New Roman" w:hAnsi="Verdana" w:cs="Times New Roman"/>
      <w:b/>
      <w:bCs/>
      <w:color w:val="FFFFFF" w:themeColor="background1"/>
      <w:sz w:val="28"/>
      <w:szCs w:val="28"/>
    </w:rPr>
  </w:style>
  <w:style w:type="character" w:customStyle="1" w:styleId="Style3">
    <w:name w:val="Style3"/>
    <w:uiPriority w:val="1"/>
    <w:rsid w:val="00E26387"/>
    <w:rPr>
      <w:rFonts w:ascii="Calibri" w:hAnsi="Calibri"/>
      <w:sz w:val="22"/>
    </w:rPr>
  </w:style>
  <w:style w:type="table" w:customStyle="1" w:styleId="GridTable4-Accent21">
    <w:name w:val="Grid Table 4 - Accent 21"/>
    <w:basedOn w:val="TableNormal"/>
    <w:next w:val="GridTable4-Accent2"/>
    <w:uiPriority w:val="49"/>
    <w:rsid w:val="00E26387"/>
    <w:rPr>
      <w:rFonts w:ascii="Calibri" w:eastAsia="Calibri" w:hAnsi="Calibri" w:cs="Times New Roman"/>
      <w:sz w:val="20"/>
      <w:szCs w:val="20"/>
      <w:lang w:val="en-IE" w:eastAsia="ja-JP"/>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22">
    <w:name w:val="Grid Table 4 - Accent 22"/>
    <w:basedOn w:val="TableNormal"/>
    <w:next w:val="GridTable4-Accent2"/>
    <w:uiPriority w:val="49"/>
    <w:rsid w:val="00E26387"/>
    <w:rPr>
      <w:rFonts w:ascii="Calibri" w:eastAsia="Calibri" w:hAnsi="Calibri" w:cs="Times New Roman"/>
      <w:sz w:val="22"/>
      <w:szCs w:val="22"/>
    </w:rPr>
    <w:tblPr>
      <w:tblStyleRowBandSize w:val="1"/>
      <w:tblStyleColBandSize w:val="1"/>
      <w:tblBorders>
        <w:top w:val="single" w:sz="4" w:space="0" w:color="BBD3ED"/>
        <w:left w:val="single" w:sz="4" w:space="0" w:color="BBD3ED"/>
        <w:bottom w:val="single" w:sz="4" w:space="0" w:color="BBD3ED"/>
        <w:right w:val="single" w:sz="4" w:space="0" w:color="BBD3ED"/>
        <w:insideH w:val="single" w:sz="4" w:space="0" w:color="BBD3ED"/>
        <w:insideV w:val="single" w:sz="4" w:space="0" w:color="BBD3ED"/>
      </w:tblBorders>
    </w:tblPr>
    <w:tblStylePr w:type="firstRow">
      <w:rPr>
        <w:b/>
        <w:bCs/>
        <w:color w:val="FFFFFF"/>
      </w:rPr>
      <w:tblPr/>
      <w:tcPr>
        <w:tcBorders>
          <w:top w:val="single" w:sz="4" w:space="0" w:color="8EB6E2"/>
          <w:left w:val="single" w:sz="4" w:space="0" w:color="8EB6E2"/>
          <w:bottom w:val="single" w:sz="4" w:space="0" w:color="8EB6E2"/>
          <w:right w:val="single" w:sz="4" w:space="0" w:color="8EB6E2"/>
          <w:insideH w:val="nil"/>
          <w:insideV w:val="nil"/>
        </w:tcBorders>
        <w:shd w:val="clear" w:color="auto" w:fill="8EB6E2"/>
      </w:tcPr>
    </w:tblStylePr>
    <w:tblStylePr w:type="lastRow">
      <w:rPr>
        <w:b/>
        <w:bCs/>
      </w:rPr>
      <w:tblPr/>
      <w:tcPr>
        <w:tcBorders>
          <w:top w:val="double" w:sz="4" w:space="0" w:color="8EB6E2"/>
        </w:tcBorders>
      </w:tcPr>
    </w:tblStylePr>
    <w:tblStylePr w:type="firstCol">
      <w:rPr>
        <w:b/>
        <w:bCs/>
      </w:rPr>
    </w:tblStylePr>
    <w:tblStylePr w:type="lastCol">
      <w:rPr>
        <w:b/>
        <w:bCs/>
      </w:rPr>
    </w:tblStylePr>
    <w:tblStylePr w:type="band1Vert">
      <w:tblPr/>
      <w:tcPr>
        <w:shd w:val="clear" w:color="auto" w:fill="E8F0F9"/>
      </w:tcPr>
    </w:tblStylePr>
    <w:tblStylePr w:type="band1Horz">
      <w:tblPr/>
      <w:tcPr>
        <w:shd w:val="clear" w:color="auto" w:fill="E8F0F9"/>
      </w:tcPr>
    </w:tblStylePr>
  </w:style>
  <w:style w:type="paragraph" w:styleId="BodyTextIndent3">
    <w:name w:val="Body Text Indent 3"/>
    <w:basedOn w:val="Normal"/>
    <w:link w:val="BodyTextIndent3Char"/>
    <w:uiPriority w:val="99"/>
    <w:semiHidden/>
    <w:unhideWhenUsed/>
    <w:rsid w:val="253E34DD"/>
    <w:pPr>
      <w:widowControl w:val="0"/>
      <w:spacing w:after="120"/>
      <w:ind w:left="283"/>
    </w:pPr>
    <w:rPr>
      <w:rFonts w:ascii="Calibri" w:eastAsia="Calibri" w:hAnsi="Calibri" w:cs="Calibri"/>
      <w:sz w:val="16"/>
      <w:szCs w:val="16"/>
      <w:lang w:val="en-GB"/>
    </w:rPr>
  </w:style>
  <w:style w:type="character" w:customStyle="1" w:styleId="BodyTextIndent3Char">
    <w:name w:val="Body Text Indent 3 Char"/>
    <w:basedOn w:val="DefaultParagraphFont"/>
    <w:link w:val="BodyTextIndent3"/>
    <w:uiPriority w:val="99"/>
    <w:semiHidden/>
    <w:rsid w:val="00E26387"/>
    <w:rPr>
      <w:rFonts w:ascii="Calibri" w:eastAsia="Calibri" w:hAnsi="Calibri" w:cs="Calibri"/>
      <w:sz w:val="16"/>
      <w:szCs w:val="16"/>
    </w:rPr>
  </w:style>
  <w:style w:type="paragraph" w:customStyle="1" w:styleId="Level1">
    <w:name w:val="Level 1"/>
    <w:basedOn w:val="Normal"/>
    <w:rsid w:val="253E34DD"/>
    <w:pPr>
      <w:numPr>
        <w:numId w:val="47"/>
      </w:numPr>
      <w:tabs>
        <w:tab w:val="left" w:pos="851"/>
      </w:tabs>
      <w:spacing w:after="240" w:line="312" w:lineRule="auto"/>
      <w:jc w:val="both"/>
      <w:outlineLvl w:val="0"/>
    </w:pPr>
    <w:rPr>
      <w:rFonts w:ascii="Calibri" w:eastAsia="Times New Roman" w:hAnsi="Calibri" w:cs="Times New Roman"/>
      <w:sz w:val="22"/>
      <w:szCs w:val="22"/>
      <w:lang w:val="en-GB" w:eastAsia="ar-SA"/>
    </w:rPr>
  </w:style>
  <w:style w:type="paragraph" w:customStyle="1" w:styleId="No2">
    <w:name w:val="No 2"/>
    <w:basedOn w:val="Normal"/>
    <w:rsid w:val="253E34DD"/>
    <w:pPr>
      <w:spacing w:after="240" w:line="276" w:lineRule="auto"/>
      <w:ind w:left="720" w:hanging="720"/>
      <w:jc w:val="both"/>
    </w:pPr>
    <w:rPr>
      <w:rFonts w:ascii="Calibri" w:eastAsia="Times New Roman" w:hAnsi="Calibri" w:cs="Times New Roman"/>
      <w:sz w:val="22"/>
      <w:szCs w:val="22"/>
      <w:lang w:val="en-US" w:eastAsia="ar-SA"/>
    </w:rPr>
  </w:style>
  <w:style w:type="paragraph" w:customStyle="1" w:styleId="Level2">
    <w:name w:val="Level 2"/>
    <w:basedOn w:val="Normal"/>
    <w:rsid w:val="253E34DD"/>
    <w:pPr>
      <w:numPr>
        <w:ilvl w:val="1"/>
        <w:numId w:val="47"/>
      </w:numPr>
      <w:tabs>
        <w:tab w:val="left" w:pos="851"/>
      </w:tabs>
      <w:spacing w:after="240" w:line="312" w:lineRule="auto"/>
      <w:jc w:val="both"/>
      <w:outlineLvl w:val="1"/>
    </w:pPr>
    <w:rPr>
      <w:rFonts w:ascii="Calibri" w:eastAsia="Times New Roman" w:hAnsi="Calibri" w:cs="Times New Roman"/>
      <w:sz w:val="22"/>
      <w:szCs w:val="22"/>
      <w:lang w:val="en-GB" w:eastAsia="ar-SA"/>
    </w:rPr>
  </w:style>
  <w:style w:type="character" w:customStyle="1" w:styleId="Level1asHeadingtext">
    <w:name w:val="Level 1 as Heading (text)"/>
    <w:rsid w:val="00E26387"/>
    <w:rPr>
      <w:b/>
      <w:bCs w:val="0"/>
    </w:rPr>
  </w:style>
  <w:style w:type="table" w:customStyle="1" w:styleId="GridTable4-Accent23">
    <w:name w:val="Grid Table 4 - Accent 23"/>
    <w:basedOn w:val="TableNormal"/>
    <w:next w:val="GridTable4-Accent2"/>
    <w:uiPriority w:val="49"/>
    <w:rsid w:val="00E26387"/>
    <w:rPr>
      <w:rFonts w:ascii="Calibri" w:eastAsia="Calibri" w:hAnsi="Calibri" w:cs="Times New Roman"/>
      <w:sz w:val="22"/>
      <w:szCs w:val="22"/>
    </w:rPr>
    <w:tblPr>
      <w:tblStyleRowBandSize w:val="1"/>
      <w:tblStyleColBandSize w:val="1"/>
      <w:tblBorders>
        <w:top w:val="single" w:sz="4" w:space="0" w:color="BBD3ED"/>
        <w:left w:val="single" w:sz="4" w:space="0" w:color="BBD3ED"/>
        <w:bottom w:val="single" w:sz="4" w:space="0" w:color="BBD3ED"/>
        <w:right w:val="single" w:sz="4" w:space="0" w:color="BBD3ED"/>
        <w:insideH w:val="single" w:sz="4" w:space="0" w:color="BBD3ED"/>
        <w:insideV w:val="single" w:sz="4" w:space="0" w:color="BBD3ED"/>
      </w:tblBorders>
    </w:tblPr>
    <w:tblStylePr w:type="firstRow">
      <w:rPr>
        <w:b/>
        <w:bCs/>
        <w:color w:val="FFFFFF"/>
      </w:rPr>
      <w:tblPr/>
      <w:tcPr>
        <w:tcBorders>
          <w:top w:val="single" w:sz="4" w:space="0" w:color="8EB6E2"/>
          <w:left w:val="single" w:sz="4" w:space="0" w:color="8EB6E2"/>
          <w:bottom w:val="single" w:sz="4" w:space="0" w:color="8EB6E2"/>
          <w:right w:val="single" w:sz="4" w:space="0" w:color="8EB6E2"/>
          <w:insideH w:val="nil"/>
          <w:insideV w:val="nil"/>
        </w:tcBorders>
        <w:shd w:val="clear" w:color="auto" w:fill="8EB6E2"/>
      </w:tcPr>
    </w:tblStylePr>
    <w:tblStylePr w:type="lastRow">
      <w:rPr>
        <w:b/>
        <w:bCs/>
      </w:rPr>
      <w:tblPr/>
      <w:tcPr>
        <w:tcBorders>
          <w:top w:val="double" w:sz="4" w:space="0" w:color="8EB6E2"/>
        </w:tcBorders>
      </w:tcPr>
    </w:tblStylePr>
    <w:tblStylePr w:type="firstCol">
      <w:rPr>
        <w:b/>
        <w:bCs/>
      </w:rPr>
    </w:tblStylePr>
    <w:tblStylePr w:type="lastCol">
      <w:rPr>
        <w:b/>
        <w:bCs/>
      </w:rPr>
    </w:tblStylePr>
    <w:tblStylePr w:type="band1Vert">
      <w:tblPr/>
      <w:tcPr>
        <w:shd w:val="clear" w:color="auto" w:fill="E8F0F9"/>
      </w:tcPr>
    </w:tblStylePr>
    <w:tblStylePr w:type="band1Horz">
      <w:tblPr/>
      <w:tcPr>
        <w:shd w:val="clear" w:color="auto" w:fill="E8F0F9"/>
      </w:tcPr>
    </w:tblStylePr>
  </w:style>
  <w:style w:type="table" w:customStyle="1" w:styleId="GridTable4-Accent211">
    <w:name w:val="Grid Table 4 - Accent 211"/>
    <w:basedOn w:val="TableNormal"/>
    <w:next w:val="GridTable4-Accent2"/>
    <w:uiPriority w:val="49"/>
    <w:rsid w:val="00E26387"/>
    <w:rPr>
      <w:rFonts w:ascii="Calibri" w:eastAsia="Calibri" w:hAnsi="Calibri" w:cs="Times New Roman"/>
      <w:sz w:val="22"/>
      <w:szCs w:val="22"/>
    </w:rPr>
    <w:tblPr>
      <w:tblStyleRowBandSize w:val="1"/>
      <w:tblStyleColBandSize w:val="1"/>
      <w:tblBorders>
        <w:top w:val="single" w:sz="4" w:space="0" w:color="BBD3ED"/>
        <w:left w:val="single" w:sz="4" w:space="0" w:color="BBD3ED"/>
        <w:bottom w:val="single" w:sz="4" w:space="0" w:color="BBD3ED"/>
        <w:right w:val="single" w:sz="4" w:space="0" w:color="BBD3ED"/>
        <w:insideH w:val="single" w:sz="4" w:space="0" w:color="BBD3ED"/>
        <w:insideV w:val="single" w:sz="4" w:space="0" w:color="BBD3ED"/>
      </w:tblBorders>
    </w:tblPr>
    <w:tblStylePr w:type="firstRow">
      <w:rPr>
        <w:b/>
        <w:bCs/>
        <w:color w:val="FFFFFF"/>
      </w:rPr>
      <w:tblPr/>
      <w:tcPr>
        <w:tcBorders>
          <w:top w:val="single" w:sz="4" w:space="0" w:color="8EB6E2"/>
          <w:left w:val="single" w:sz="4" w:space="0" w:color="8EB6E2"/>
          <w:bottom w:val="single" w:sz="4" w:space="0" w:color="8EB6E2"/>
          <w:right w:val="single" w:sz="4" w:space="0" w:color="8EB6E2"/>
          <w:insideH w:val="nil"/>
          <w:insideV w:val="nil"/>
        </w:tcBorders>
        <w:shd w:val="clear" w:color="auto" w:fill="8EB6E2"/>
      </w:tcPr>
    </w:tblStylePr>
    <w:tblStylePr w:type="lastRow">
      <w:rPr>
        <w:b/>
        <w:bCs/>
      </w:rPr>
      <w:tblPr/>
      <w:tcPr>
        <w:tcBorders>
          <w:top w:val="double" w:sz="4" w:space="0" w:color="8EB6E2"/>
        </w:tcBorders>
      </w:tcPr>
    </w:tblStylePr>
    <w:tblStylePr w:type="firstCol">
      <w:rPr>
        <w:b/>
        <w:bCs/>
      </w:rPr>
    </w:tblStylePr>
    <w:tblStylePr w:type="lastCol">
      <w:rPr>
        <w:b/>
        <w:bCs/>
      </w:rPr>
    </w:tblStylePr>
    <w:tblStylePr w:type="band1Vert">
      <w:tblPr/>
      <w:tcPr>
        <w:shd w:val="clear" w:color="auto" w:fill="E8F0F9"/>
      </w:tcPr>
    </w:tblStylePr>
    <w:tblStylePr w:type="band1Horz">
      <w:tblPr/>
      <w:tcPr>
        <w:shd w:val="clear" w:color="auto" w:fill="E8F0F9"/>
      </w:tcPr>
    </w:tblStylePr>
  </w:style>
  <w:style w:type="table" w:customStyle="1" w:styleId="GridTable4-Accent24">
    <w:name w:val="Grid Table 4 - Accent 24"/>
    <w:basedOn w:val="TableNormal"/>
    <w:next w:val="GridTable4-Accent2"/>
    <w:uiPriority w:val="49"/>
    <w:rsid w:val="00E26387"/>
    <w:rPr>
      <w:rFonts w:ascii="Calibri" w:eastAsia="Calibri" w:hAnsi="Calibri" w:cs="Times New Roman"/>
      <w:sz w:val="22"/>
      <w:szCs w:val="22"/>
    </w:rPr>
    <w:tblPr>
      <w:tblStyleRowBandSize w:val="1"/>
      <w:tblStyleColBandSize w:val="1"/>
      <w:tblBorders>
        <w:top w:val="single" w:sz="4" w:space="0" w:color="BBD3ED"/>
        <w:left w:val="single" w:sz="4" w:space="0" w:color="BBD3ED"/>
        <w:bottom w:val="single" w:sz="4" w:space="0" w:color="BBD3ED"/>
        <w:right w:val="single" w:sz="4" w:space="0" w:color="BBD3ED"/>
        <w:insideH w:val="single" w:sz="4" w:space="0" w:color="BBD3ED"/>
        <w:insideV w:val="single" w:sz="4" w:space="0" w:color="BBD3ED"/>
      </w:tblBorders>
    </w:tblPr>
    <w:tblStylePr w:type="firstRow">
      <w:rPr>
        <w:b/>
        <w:bCs/>
        <w:color w:val="FFFFFF"/>
      </w:rPr>
      <w:tblPr/>
      <w:tcPr>
        <w:tcBorders>
          <w:top w:val="single" w:sz="4" w:space="0" w:color="8EB6E2"/>
          <w:left w:val="single" w:sz="4" w:space="0" w:color="8EB6E2"/>
          <w:bottom w:val="single" w:sz="4" w:space="0" w:color="8EB6E2"/>
          <w:right w:val="single" w:sz="4" w:space="0" w:color="8EB6E2"/>
          <w:insideH w:val="nil"/>
          <w:insideV w:val="nil"/>
        </w:tcBorders>
        <w:shd w:val="clear" w:color="auto" w:fill="8EB6E2"/>
      </w:tcPr>
    </w:tblStylePr>
    <w:tblStylePr w:type="lastRow">
      <w:rPr>
        <w:b/>
        <w:bCs/>
      </w:rPr>
      <w:tblPr/>
      <w:tcPr>
        <w:tcBorders>
          <w:top w:val="double" w:sz="4" w:space="0" w:color="8EB6E2"/>
        </w:tcBorders>
      </w:tcPr>
    </w:tblStylePr>
    <w:tblStylePr w:type="firstCol">
      <w:rPr>
        <w:b/>
        <w:bCs/>
      </w:rPr>
    </w:tblStylePr>
    <w:tblStylePr w:type="lastCol">
      <w:rPr>
        <w:b/>
        <w:bCs/>
      </w:rPr>
    </w:tblStylePr>
    <w:tblStylePr w:type="band1Vert">
      <w:tblPr/>
      <w:tcPr>
        <w:shd w:val="clear" w:color="auto" w:fill="E8F0F9"/>
      </w:tcPr>
    </w:tblStylePr>
    <w:tblStylePr w:type="band1Horz">
      <w:tblPr/>
      <w:tcPr>
        <w:shd w:val="clear" w:color="auto" w:fill="E8F0F9"/>
      </w:tcPr>
    </w:tblStylePr>
  </w:style>
  <w:style w:type="table" w:customStyle="1" w:styleId="GridTable4-Accent25">
    <w:name w:val="Grid Table 4 - Accent 25"/>
    <w:basedOn w:val="TableNormal"/>
    <w:next w:val="GridTable4-Accent2"/>
    <w:uiPriority w:val="49"/>
    <w:rsid w:val="00E26387"/>
    <w:rPr>
      <w:rFonts w:ascii="Calibri" w:eastAsia="Calibri" w:hAnsi="Calibri" w:cs="Times New Roman"/>
      <w:sz w:val="22"/>
      <w:szCs w:val="22"/>
    </w:rPr>
    <w:tblPr>
      <w:tblStyleRowBandSize w:val="1"/>
      <w:tblStyleColBandSize w:val="1"/>
      <w:tblBorders>
        <w:top w:val="single" w:sz="4" w:space="0" w:color="BBD3ED"/>
        <w:left w:val="single" w:sz="4" w:space="0" w:color="BBD3ED"/>
        <w:bottom w:val="single" w:sz="4" w:space="0" w:color="BBD3ED"/>
        <w:right w:val="single" w:sz="4" w:space="0" w:color="BBD3ED"/>
        <w:insideH w:val="single" w:sz="4" w:space="0" w:color="BBD3ED"/>
        <w:insideV w:val="single" w:sz="4" w:space="0" w:color="BBD3ED"/>
      </w:tblBorders>
    </w:tblPr>
    <w:tblStylePr w:type="firstRow">
      <w:rPr>
        <w:b/>
        <w:bCs/>
        <w:color w:val="FFFFFF"/>
      </w:rPr>
      <w:tblPr/>
      <w:tcPr>
        <w:tcBorders>
          <w:top w:val="single" w:sz="4" w:space="0" w:color="8EB6E2"/>
          <w:left w:val="single" w:sz="4" w:space="0" w:color="8EB6E2"/>
          <w:bottom w:val="single" w:sz="4" w:space="0" w:color="8EB6E2"/>
          <w:right w:val="single" w:sz="4" w:space="0" w:color="8EB6E2"/>
          <w:insideH w:val="nil"/>
          <w:insideV w:val="nil"/>
        </w:tcBorders>
        <w:shd w:val="clear" w:color="auto" w:fill="8EB6E2"/>
      </w:tcPr>
    </w:tblStylePr>
    <w:tblStylePr w:type="lastRow">
      <w:rPr>
        <w:b/>
        <w:bCs/>
      </w:rPr>
      <w:tblPr/>
      <w:tcPr>
        <w:tcBorders>
          <w:top w:val="double" w:sz="4" w:space="0" w:color="8EB6E2"/>
        </w:tcBorders>
      </w:tcPr>
    </w:tblStylePr>
    <w:tblStylePr w:type="firstCol">
      <w:rPr>
        <w:b/>
        <w:bCs/>
      </w:rPr>
    </w:tblStylePr>
    <w:tblStylePr w:type="lastCol">
      <w:rPr>
        <w:b/>
        <w:bCs/>
      </w:rPr>
    </w:tblStylePr>
    <w:tblStylePr w:type="band1Vert">
      <w:tblPr/>
      <w:tcPr>
        <w:shd w:val="clear" w:color="auto" w:fill="E8F0F9"/>
      </w:tcPr>
    </w:tblStylePr>
    <w:tblStylePr w:type="band1Horz">
      <w:tblPr/>
      <w:tcPr>
        <w:shd w:val="clear" w:color="auto" w:fill="E8F0F9"/>
      </w:tcPr>
    </w:tblStylePr>
  </w:style>
  <w:style w:type="table" w:customStyle="1" w:styleId="GridTable4-Accent26">
    <w:name w:val="Grid Table 4 - Accent 26"/>
    <w:basedOn w:val="TableNormal"/>
    <w:next w:val="GridTable4-Accent2"/>
    <w:uiPriority w:val="49"/>
    <w:rsid w:val="00E26387"/>
    <w:rPr>
      <w:rFonts w:ascii="Calibri" w:eastAsia="Calibri" w:hAnsi="Calibri" w:cs="Times New Roman"/>
      <w:sz w:val="22"/>
      <w:szCs w:val="22"/>
    </w:rPr>
    <w:tblPr>
      <w:tblStyleRowBandSize w:val="1"/>
      <w:tblStyleColBandSize w:val="1"/>
      <w:tblBorders>
        <w:top w:val="single" w:sz="4" w:space="0" w:color="BBD3ED"/>
        <w:left w:val="single" w:sz="4" w:space="0" w:color="BBD3ED"/>
        <w:bottom w:val="single" w:sz="4" w:space="0" w:color="BBD3ED"/>
        <w:right w:val="single" w:sz="4" w:space="0" w:color="BBD3ED"/>
        <w:insideH w:val="single" w:sz="4" w:space="0" w:color="BBD3ED"/>
        <w:insideV w:val="single" w:sz="4" w:space="0" w:color="BBD3ED"/>
      </w:tblBorders>
    </w:tblPr>
    <w:tblStylePr w:type="firstRow">
      <w:rPr>
        <w:b/>
        <w:bCs/>
        <w:color w:val="FFFFFF"/>
      </w:rPr>
      <w:tblPr/>
      <w:tcPr>
        <w:tcBorders>
          <w:top w:val="single" w:sz="4" w:space="0" w:color="8EB6E2"/>
          <w:left w:val="single" w:sz="4" w:space="0" w:color="8EB6E2"/>
          <w:bottom w:val="single" w:sz="4" w:space="0" w:color="8EB6E2"/>
          <w:right w:val="single" w:sz="4" w:space="0" w:color="8EB6E2"/>
          <w:insideH w:val="nil"/>
          <w:insideV w:val="nil"/>
        </w:tcBorders>
        <w:shd w:val="clear" w:color="auto" w:fill="8EB6E2"/>
      </w:tcPr>
    </w:tblStylePr>
    <w:tblStylePr w:type="lastRow">
      <w:rPr>
        <w:b/>
        <w:bCs/>
      </w:rPr>
      <w:tblPr/>
      <w:tcPr>
        <w:tcBorders>
          <w:top w:val="double" w:sz="4" w:space="0" w:color="8EB6E2"/>
        </w:tcBorders>
      </w:tcPr>
    </w:tblStylePr>
    <w:tblStylePr w:type="firstCol">
      <w:rPr>
        <w:b/>
        <w:bCs/>
      </w:rPr>
    </w:tblStylePr>
    <w:tblStylePr w:type="lastCol">
      <w:rPr>
        <w:b/>
        <w:bCs/>
      </w:rPr>
    </w:tblStylePr>
    <w:tblStylePr w:type="band1Vert">
      <w:tblPr/>
      <w:tcPr>
        <w:shd w:val="clear" w:color="auto" w:fill="E8F0F9"/>
      </w:tcPr>
    </w:tblStylePr>
    <w:tblStylePr w:type="band1Horz">
      <w:tblPr/>
      <w:tcPr>
        <w:shd w:val="clear" w:color="auto" w:fill="E8F0F9"/>
      </w:tcPr>
    </w:tblStylePr>
  </w:style>
  <w:style w:type="table" w:customStyle="1" w:styleId="GridTable4-Accent27">
    <w:name w:val="Grid Table 4 - Accent 27"/>
    <w:basedOn w:val="TableNormal"/>
    <w:next w:val="GridTable4-Accent2"/>
    <w:uiPriority w:val="49"/>
    <w:rsid w:val="00E26387"/>
    <w:rPr>
      <w:rFonts w:ascii="Calibri" w:eastAsia="Calibri" w:hAnsi="Calibri" w:cs="Times New Roman"/>
      <w:sz w:val="22"/>
      <w:szCs w:val="22"/>
    </w:rPr>
    <w:tblPr>
      <w:tblStyleRowBandSize w:val="1"/>
      <w:tblStyleColBandSize w:val="1"/>
      <w:tblBorders>
        <w:top w:val="single" w:sz="4" w:space="0" w:color="BBD3ED"/>
        <w:left w:val="single" w:sz="4" w:space="0" w:color="BBD3ED"/>
        <w:bottom w:val="single" w:sz="4" w:space="0" w:color="BBD3ED"/>
        <w:right w:val="single" w:sz="4" w:space="0" w:color="BBD3ED"/>
        <w:insideH w:val="single" w:sz="4" w:space="0" w:color="BBD3ED"/>
        <w:insideV w:val="single" w:sz="4" w:space="0" w:color="BBD3ED"/>
      </w:tblBorders>
    </w:tblPr>
    <w:tblStylePr w:type="firstRow">
      <w:rPr>
        <w:b/>
        <w:bCs/>
        <w:color w:val="FFFFFF"/>
      </w:rPr>
      <w:tblPr/>
      <w:tcPr>
        <w:tcBorders>
          <w:top w:val="single" w:sz="4" w:space="0" w:color="8EB6E2"/>
          <w:left w:val="single" w:sz="4" w:space="0" w:color="8EB6E2"/>
          <w:bottom w:val="single" w:sz="4" w:space="0" w:color="8EB6E2"/>
          <w:right w:val="single" w:sz="4" w:space="0" w:color="8EB6E2"/>
          <w:insideH w:val="nil"/>
          <w:insideV w:val="nil"/>
        </w:tcBorders>
        <w:shd w:val="clear" w:color="auto" w:fill="8EB6E2"/>
      </w:tcPr>
    </w:tblStylePr>
    <w:tblStylePr w:type="lastRow">
      <w:rPr>
        <w:b/>
        <w:bCs/>
      </w:rPr>
      <w:tblPr/>
      <w:tcPr>
        <w:tcBorders>
          <w:top w:val="double" w:sz="4" w:space="0" w:color="8EB6E2"/>
        </w:tcBorders>
      </w:tcPr>
    </w:tblStylePr>
    <w:tblStylePr w:type="firstCol">
      <w:rPr>
        <w:b/>
        <w:bCs/>
      </w:rPr>
    </w:tblStylePr>
    <w:tblStylePr w:type="lastCol">
      <w:rPr>
        <w:b/>
        <w:bCs/>
      </w:rPr>
    </w:tblStylePr>
    <w:tblStylePr w:type="band1Vert">
      <w:tblPr/>
      <w:tcPr>
        <w:shd w:val="clear" w:color="auto" w:fill="E8F0F9"/>
      </w:tcPr>
    </w:tblStylePr>
    <w:tblStylePr w:type="band1Horz">
      <w:tblPr/>
      <w:tcPr>
        <w:shd w:val="clear" w:color="auto" w:fill="E8F0F9"/>
      </w:tcPr>
    </w:tblStylePr>
  </w:style>
  <w:style w:type="character" w:styleId="Strong">
    <w:name w:val="Strong"/>
    <w:uiPriority w:val="22"/>
    <w:qFormat/>
    <w:rsid w:val="00E26387"/>
    <w:rPr>
      <w:b/>
      <w:bCs/>
    </w:rPr>
  </w:style>
  <w:style w:type="paragraph" w:customStyle="1" w:styleId="western">
    <w:name w:val="western"/>
    <w:basedOn w:val="Normal"/>
    <w:rsid w:val="253E34DD"/>
    <w:pPr>
      <w:spacing w:before="280" w:after="120" w:line="276" w:lineRule="auto"/>
      <w:jc w:val="both"/>
    </w:pPr>
    <w:rPr>
      <w:rFonts w:ascii="Arial Unicode MS" w:eastAsia="Arial Unicode MS" w:hAnsi="Arial Unicode MS" w:cs="Times New Roman"/>
      <w:sz w:val="22"/>
      <w:szCs w:val="22"/>
      <w:lang w:val="en-GB" w:eastAsia="ar-SA"/>
    </w:rPr>
  </w:style>
  <w:style w:type="table" w:customStyle="1" w:styleId="TableGrid2">
    <w:name w:val="Table Grid2"/>
    <w:basedOn w:val="TableNormal"/>
    <w:next w:val="TableGrid"/>
    <w:uiPriority w:val="59"/>
    <w:rsid w:val="00E26387"/>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E26387"/>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61">
    <w:name w:val="Grid Table 4 - Accent 61"/>
    <w:basedOn w:val="TableNormal"/>
    <w:next w:val="GridTable4-Accent6"/>
    <w:uiPriority w:val="49"/>
    <w:rsid w:val="00E26387"/>
    <w:rPr>
      <w:kern w:val="2"/>
      <w:sz w:val="22"/>
      <w:szCs w:val="22"/>
      <w:lang w:val="en-IE"/>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E26387"/>
    <w:rPr>
      <w:rFonts w:ascii="Calibri" w:eastAsia="Calibri" w:hAnsi="Calibri" w:cs="Times New Roman"/>
      <w:sz w:val="20"/>
      <w:szCs w:val="20"/>
      <w:lang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NALevel1">
    <w:name w:val="NA Level 1"/>
    <w:basedOn w:val="Normal"/>
    <w:next w:val="Normal"/>
    <w:rsid w:val="253E34DD"/>
    <w:pPr>
      <w:numPr>
        <w:numId w:val="21"/>
      </w:numPr>
      <w:jc w:val="both"/>
    </w:pPr>
    <w:rPr>
      <w:rFonts w:ascii="Times New Roman" w:eastAsia="Times New Roman" w:hAnsi="Times New Roman" w:cs="Times New Roman"/>
      <w:lang w:val="en-GB"/>
    </w:rPr>
  </w:style>
  <w:style w:type="paragraph" w:customStyle="1" w:styleId="NALevel2">
    <w:name w:val="NA Level 2"/>
    <w:basedOn w:val="Normal"/>
    <w:next w:val="Normal"/>
    <w:rsid w:val="253E34DD"/>
    <w:pPr>
      <w:numPr>
        <w:ilvl w:val="1"/>
        <w:numId w:val="21"/>
      </w:numPr>
      <w:jc w:val="both"/>
    </w:pPr>
    <w:rPr>
      <w:rFonts w:ascii="Times New Roman" w:eastAsia="Times New Roman" w:hAnsi="Times New Roman" w:cs="Times New Roman"/>
      <w:lang w:val="en-GB"/>
    </w:rPr>
  </w:style>
  <w:style w:type="paragraph" w:customStyle="1" w:styleId="NALevel3">
    <w:name w:val="NA Level 3"/>
    <w:basedOn w:val="Normal"/>
    <w:next w:val="Normal"/>
    <w:rsid w:val="253E34DD"/>
    <w:pPr>
      <w:numPr>
        <w:ilvl w:val="2"/>
        <w:numId w:val="21"/>
      </w:numPr>
      <w:tabs>
        <w:tab w:val="clear" w:pos="1854"/>
        <w:tab w:val="left" w:pos="1701"/>
      </w:tabs>
      <w:jc w:val="both"/>
    </w:pPr>
    <w:rPr>
      <w:rFonts w:ascii="Times New Roman" w:eastAsia="Times New Roman" w:hAnsi="Times New Roman" w:cs="Times New Roman"/>
      <w:lang w:val="en-GB"/>
    </w:rPr>
  </w:style>
  <w:style w:type="paragraph" w:customStyle="1" w:styleId="NALevel4">
    <w:name w:val="NA Level 4"/>
    <w:basedOn w:val="Normal"/>
    <w:next w:val="Normal"/>
    <w:rsid w:val="253E34DD"/>
    <w:pPr>
      <w:numPr>
        <w:ilvl w:val="3"/>
        <w:numId w:val="21"/>
      </w:numPr>
      <w:jc w:val="both"/>
    </w:pPr>
    <w:rPr>
      <w:rFonts w:ascii="Times New Roman" w:eastAsia="Times New Roman" w:hAnsi="Times New Roman" w:cs="Times New Roman"/>
      <w:lang w:val="en-GB"/>
    </w:rPr>
  </w:style>
  <w:style w:type="paragraph" w:customStyle="1" w:styleId="NALevel5">
    <w:name w:val="NA Level 5"/>
    <w:basedOn w:val="Normal"/>
    <w:next w:val="Normal"/>
    <w:rsid w:val="253E34DD"/>
    <w:pPr>
      <w:numPr>
        <w:ilvl w:val="4"/>
        <w:numId w:val="21"/>
      </w:numPr>
      <w:jc w:val="both"/>
    </w:pPr>
    <w:rPr>
      <w:rFonts w:ascii="Times New Roman" w:eastAsia="Times New Roman" w:hAnsi="Times New Roman" w:cs="Times New Roman"/>
      <w:lang w:val="en-GB"/>
    </w:rPr>
  </w:style>
  <w:style w:type="paragraph" w:customStyle="1" w:styleId="NALevel6">
    <w:name w:val="NA Level 6"/>
    <w:basedOn w:val="Normal"/>
    <w:next w:val="Normal"/>
    <w:rsid w:val="253E34DD"/>
    <w:pPr>
      <w:numPr>
        <w:ilvl w:val="5"/>
        <w:numId w:val="21"/>
      </w:numPr>
      <w:jc w:val="both"/>
    </w:pPr>
    <w:rPr>
      <w:rFonts w:ascii="Times New Roman" w:eastAsia="Times New Roman" w:hAnsi="Times New Roman" w:cs="Times New Roman"/>
      <w:lang w:val="en-GB"/>
    </w:rPr>
  </w:style>
  <w:style w:type="paragraph" w:customStyle="1" w:styleId="NALevel7">
    <w:name w:val="NA Level 7"/>
    <w:basedOn w:val="Normal"/>
    <w:next w:val="Normal"/>
    <w:rsid w:val="253E34DD"/>
    <w:pPr>
      <w:numPr>
        <w:ilvl w:val="6"/>
        <w:numId w:val="21"/>
      </w:numPr>
      <w:jc w:val="both"/>
    </w:pPr>
    <w:rPr>
      <w:rFonts w:ascii="Times New Roman" w:eastAsia="Times New Roman" w:hAnsi="Times New Roman" w:cs="Times New Roman"/>
      <w:lang w:val="en-GB"/>
    </w:rPr>
  </w:style>
  <w:style w:type="paragraph" w:customStyle="1" w:styleId="NALevel8">
    <w:name w:val="NA Level 8"/>
    <w:basedOn w:val="Normal"/>
    <w:next w:val="Normal"/>
    <w:rsid w:val="253E34DD"/>
    <w:pPr>
      <w:numPr>
        <w:ilvl w:val="7"/>
        <w:numId w:val="21"/>
      </w:numPr>
      <w:jc w:val="both"/>
    </w:pPr>
    <w:rPr>
      <w:rFonts w:ascii="Times New Roman" w:eastAsia="Times New Roman" w:hAnsi="Times New Roman" w:cs="Times New Roman"/>
      <w:lang w:val="en-GB"/>
    </w:rPr>
  </w:style>
  <w:style w:type="table" w:customStyle="1" w:styleId="GridTable4-Accent62">
    <w:name w:val="Grid Table 4 - Accent 62"/>
    <w:basedOn w:val="TableNormal"/>
    <w:next w:val="GridTable4-Accent6"/>
    <w:uiPriority w:val="49"/>
    <w:rsid w:val="00E26387"/>
    <w:rPr>
      <w:rFonts w:ascii="Calibri" w:eastAsia="Calibri" w:hAnsi="Calibri" w:cs="Arial"/>
      <w:kern w:val="2"/>
      <w:sz w:val="22"/>
      <w:szCs w:val="22"/>
      <w:lang w:val="en-IE"/>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21">
    <w:name w:val="Grid Table 4 - Accent 621"/>
    <w:basedOn w:val="TableNormal"/>
    <w:next w:val="GridTable4-Accent6"/>
    <w:uiPriority w:val="49"/>
    <w:rsid w:val="00E26387"/>
    <w:rPr>
      <w:rFonts w:ascii="Calibri" w:eastAsia="Calibri" w:hAnsi="Calibri" w:cs="Arial"/>
      <w:kern w:val="2"/>
      <w:sz w:val="22"/>
      <w:szCs w:val="22"/>
      <w:lang w:val="en-IE"/>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22">
    <w:name w:val="Grid Table 4 - Accent 622"/>
    <w:basedOn w:val="TableNormal"/>
    <w:next w:val="GridTable4-Accent6"/>
    <w:uiPriority w:val="49"/>
    <w:rsid w:val="00E26387"/>
    <w:rPr>
      <w:rFonts w:ascii="Calibri" w:eastAsia="Calibri" w:hAnsi="Calibri" w:cs="Arial"/>
      <w:kern w:val="2"/>
      <w:sz w:val="22"/>
      <w:szCs w:val="22"/>
      <w:lang w:val="en-IE"/>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23">
    <w:name w:val="Grid Table 4 - Accent 623"/>
    <w:basedOn w:val="TableNormal"/>
    <w:next w:val="GridTable4-Accent6"/>
    <w:uiPriority w:val="49"/>
    <w:rsid w:val="00E26387"/>
    <w:rPr>
      <w:rFonts w:ascii="Calibri" w:eastAsia="Calibri" w:hAnsi="Calibri" w:cs="Arial"/>
      <w:kern w:val="2"/>
      <w:sz w:val="22"/>
      <w:szCs w:val="22"/>
      <w:lang w:val="en-IE"/>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24">
    <w:name w:val="Grid Table 4 - Accent 624"/>
    <w:basedOn w:val="TableNormal"/>
    <w:next w:val="GridTable4-Accent6"/>
    <w:uiPriority w:val="49"/>
    <w:rsid w:val="00E26387"/>
    <w:rPr>
      <w:rFonts w:ascii="Calibri" w:eastAsia="Calibri" w:hAnsi="Calibri" w:cs="Arial"/>
      <w:kern w:val="2"/>
      <w:sz w:val="22"/>
      <w:szCs w:val="22"/>
      <w:lang w:val="en-IE"/>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25">
    <w:name w:val="Grid Table 4 - Accent 625"/>
    <w:basedOn w:val="TableNormal"/>
    <w:next w:val="GridTable4-Accent6"/>
    <w:uiPriority w:val="49"/>
    <w:rsid w:val="00E26387"/>
    <w:rPr>
      <w:rFonts w:ascii="Calibri" w:eastAsia="Calibri" w:hAnsi="Calibri" w:cs="Arial"/>
      <w:kern w:val="2"/>
      <w:sz w:val="22"/>
      <w:szCs w:val="22"/>
      <w:lang w:val="en-IE"/>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26">
    <w:name w:val="Grid Table 4 - Accent 626"/>
    <w:basedOn w:val="TableNormal"/>
    <w:next w:val="GridTable4-Accent6"/>
    <w:uiPriority w:val="49"/>
    <w:rsid w:val="00E26387"/>
    <w:rPr>
      <w:rFonts w:ascii="Calibri" w:eastAsia="Calibri" w:hAnsi="Calibri" w:cs="Arial"/>
      <w:kern w:val="2"/>
      <w:sz w:val="22"/>
      <w:szCs w:val="22"/>
      <w:lang w:val="en-IE"/>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27">
    <w:name w:val="Grid Table 4 - Accent 627"/>
    <w:basedOn w:val="TableNormal"/>
    <w:next w:val="GridTable4-Accent6"/>
    <w:uiPriority w:val="49"/>
    <w:rsid w:val="00E26387"/>
    <w:rPr>
      <w:rFonts w:ascii="Calibri" w:eastAsia="Calibri" w:hAnsi="Calibri" w:cs="Arial"/>
      <w:kern w:val="2"/>
      <w:sz w:val="22"/>
      <w:szCs w:val="22"/>
      <w:lang w:val="en-IE"/>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UnresolvedMention">
    <w:name w:val="Unresolved Mention"/>
    <w:basedOn w:val="DefaultParagraphFont"/>
    <w:uiPriority w:val="99"/>
    <w:unhideWhenUsed/>
    <w:rsid w:val="00E26387"/>
    <w:rPr>
      <w:color w:val="605E5C"/>
      <w:shd w:val="clear" w:color="auto" w:fill="E1DFDD"/>
    </w:rPr>
  </w:style>
  <w:style w:type="numbering" w:customStyle="1" w:styleId="CurrentList1">
    <w:name w:val="Current List1"/>
    <w:uiPriority w:val="99"/>
    <w:rsid w:val="00A85264"/>
    <w:pPr>
      <w:numPr>
        <w:numId w:val="37"/>
      </w:numPr>
    </w:pPr>
  </w:style>
  <w:style w:type="numbering" w:customStyle="1" w:styleId="CurrentList2">
    <w:name w:val="Current List2"/>
    <w:uiPriority w:val="99"/>
    <w:rsid w:val="001235D5"/>
    <w:pPr>
      <w:numPr>
        <w:numId w:val="15"/>
      </w:numPr>
    </w:pPr>
  </w:style>
  <w:style w:type="numbering" w:customStyle="1" w:styleId="CurrentList3">
    <w:name w:val="Current List3"/>
    <w:uiPriority w:val="99"/>
    <w:rsid w:val="00477416"/>
    <w:pPr>
      <w:numPr>
        <w:numId w:val="13"/>
      </w:numPr>
    </w:pPr>
  </w:style>
  <w:style w:type="numbering" w:customStyle="1" w:styleId="CurrentList4">
    <w:name w:val="Current List4"/>
    <w:uiPriority w:val="99"/>
    <w:rsid w:val="00A463C1"/>
    <w:pPr>
      <w:numPr>
        <w:numId w:val="31"/>
      </w:numPr>
    </w:pPr>
  </w:style>
  <w:style w:type="paragraph" w:styleId="TOCHeading">
    <w:name w:val="TOC Heading"/>
    <w:basedOn w:val="Heading1"/>
    <w:next w:val="Normal"/>
    <w:uiPriority w:val="39"/>
    <w:unhideWhenUsed/>
    <w:qFormat/>
    <w:rsid w:val="00B76D7F"/>
    <w:pPr>
      <w:keepNext/>
      <w:keepLines/>
      <w:spacing w:before="240" w:after="0" w:line="259" w:lineRule="auto"/>
      <w:outlineLvl w:val="9"/>
    </w:pPr>
    <w:rPr>
      <w:rFonts w:asciiTheme="majorHAnsi" w:eastAsiaTheme="majorEastAsia" w:hAnsiTheme="majorHAnsi" w:cstheme="majorBidi"/>
      <w:b w:val="0"/>
      <w:bCs w:val="0"/>
      <w:color w:val="2F5496" w:themeColor="accent1" w:themeShade="BF"/>
      <w:lang w:val="en-US"/>
    </w:rPr>
  </w:style>
  <w:style w:type="paragraph" w:styleId="TOC1">
    <w:name w:val="toc 1"/>
    <w:basedOn w:val="Normal"/>
    <w:next w:val="Normal"/>
    <w:autoRedefine/>
    <w:uiPriority w:val="39"/>
    <w:unhideWhenUsed/>
    <w:rsid w:val="00B76D7F"/>
    <w:pPr>
      <w:spacing w:after="100"/>
    </w:pPr>
  </w:style>
  <w:style w:type="paragraph" w:styleId="TOC2">
    <w:name w:val="toc 2"/>
    <w:basedOn w:val="Normal"/>
    <w:next w:val="Normal"/>
    <w:autoRedefine/>
    <w:uiPriority w:val="39"/>
    <w:unhideWhenUsed/>
    <w:rsid w:val="00B76D7F"/>
    <w:pPr>
      <w:spacing w:after="100"/>
      <w:ind w:left="240"/>
    </w:pPr>
  </w:style>
  <w:style w:type="character" w:customStyle="1" w:styleId="normaltextrun">
    <w:name w:val="normaltextrun"/>
    <w:basedOn w:val="DefaultParagraphFont"/>
    <w:uiPriority w:val="1"/>
    <w:rsid w:val="00CE0552"/>
    <w:rPr>
      <w:rFonts w:asciiTheme="minorHAnsi" w:eastAsiaTheme="minorEastAsia" w:hAnsiTheme="minorHAnsi" w:cstheme="minorBidi"/>
      <w:sz w:val="24"/>
      <w:szCs w:val="24"/>
    </w:rPr>
  </w:style>
  <w:style w:type="paragraph" w:customStyle="1" w:styleId="paragraph">
    <w:name w:val="paragraph"/>
    <w:basedOn w:val="Normal"/>
    <w:uiPriority w:val="1"/>
    <w:rsid w:val="00CE0552"/>
    <w:pPr>
      <w:spacing w:beforeAutospacing="1" w:afterAutospacing="1"/>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899B-7F01-4F2C-B39B-608EA10084E8}">
  <ds:schemaRefs>
    <ds:schemaRef ds:uri="http://schemas.microsoft.com/sharepoint/v3/contenttype/forms"/>
  </ds:schemaRefs>
</ds:datastoreItem>
</file>

<file path=customXml/itemProps2.xml><?xml version="1.0" encoding="utf-8"?>
<ds:datastoreItem xmlns:ds="http://schemas.openxmlformats.org/officeDocument/2006/customXml" ds:itemID="{D097DCFF-CB87-4559-897D-F5D577A51BEE}">
  <ds:schemaRefs>
    <ds:schemaRef ds:uri="http://schemas.microsoft.com/office/2006/metadata/properties"/>
    <ds:schemaRef ds:uri="http://schemas.microsoft.com/office/infopath/2007/PartnerControls"/>
    <ds:schemaRef ds:uri="8a012e82-550d-4d12-a61f-e7ed5673e194"/>
  </ds:schemaRefs>
</ds:datastoreItem>
</file>

<file path=customXml/itemProps3.xml><?xml version="1.0" encoding="utf-8"?>
<ds:datastoreItem xmlns:ds="http://schemas.openxmlformats.org/officeDocument/2006/customXml" ds:itemID="{519CF54B-7BD8-4AC2-84B5-FF8725931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6678</Words>
  <Characters>38071</Characters>
  <Application>Microsoft Office Word</Application>
  <DocSecurity>0</DocSecurity>
  <Lines>317</Lines>
  <Paragraphs>89</Paragraphs>
  <ScaleCrop>false</ScaleCrop>
  <Manager/>
  <Company/>
  <LinksUpToDate>false</LinksUpToDate>
  <CharactersWithSpaces>44660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Donnacha Phelan</dc:creator>
  <cp:keywords/>
  <dc:description/>
  <cp:lastModifiedBy>Paul Mulligan</cp:lastModifiedBy>
  <cp:revision>15</cp:revision>
  <cp:lastPrinted>2025-10-22T15:32:00Z</cp:lastPrinted>
  <dcterms:created xsi:type="dcterms:W3CDTF">2026-09-17T13:50:00Z</dcterms:created>
  <dcterms:modified xsi:type="dcterms:W3CDTF">2026-09-24T14:35:00Z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0x010100CEE61051635F5E42879805DBF0483594</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