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drawing>
          <wp:inline xmlns:a="http://schemas.openxmlformats.org/drawingml/2006/main" xmlns:pic="http://schemas.openxmlformats.org/drawingml/2006/picture">
            <wp:extent cx="1371600" cy="704335"/>
            <wp:docPr id="1" name="Picture 1"/>
            <wp:cNvGraphicFramePr>
              <a:graphicFrameLocks noChangeAspect="1"/>
            </wp:cNvGraphicFramePr>
            <a:graphic>
              <a:graphicData uri="http://schemas.openxmlformats.org/drawingml/2006/picture">
                <pic:pic>
                  <pic:nvPicPr>
                    <pic:cNvPr id="0" name="depaul_logo.png"/>
                    <pic:cNvPicPr/>
                  </pic:nvPicPr>
                  <pic:blipFill>
                    <a:blip r:embed="rId9"/>
                    <a:stretch>
                      <a:fillRect/>
                    </a:stretch>
                  </pic:blipFill>
                  <pic:spPr>
                    <a:xfrm>
                      <a:off x="0" y="0"/>
                      <a:ext cx="1371600" cy="704335"/>
                    </a:xfrm>
                    <a:prstGeom prst="rect"/>
                  </pic:spPr>
                </pic:pic>
              </a:graphicData>
            </a:graphic>
          </wp:inline>
        </w:drawing>
      </w:r>
    </w:p>
    <w:p>
      <w:pPr>
        <w:pStyle w:val="Title"/>
      </w:pPr>
      <w:r>
        <w:rPr>
          <w:b w:val="0"/>
        </w:rPr>
        <w:t>Call for tender for four residential pods</w:t>
      </w:r>
    </w:p>
    <w:p>
      <w:pPr>
        <w:pStyle w:val="Subtitle"/>
      </w:pPr>
      <w:r>
        <w:rPr>
          <w:b w:val="0"/>
        </w:rPr>
        <w:t>McGwire House Waterford</w:t>
      </w:r>
    </w:p>
    <w:p>
      <w:r>
        <w:rPr>
          <w:b w:val="0"/>
        </w:rPr>
        <w:t>Depaul Ireland invites tenders to design, supply and install four fully fitted one bedroom residential pods at McGwire House, Bath Street, Waterford, X91 CD93. We intend to buy the units outright.</w:t>
      </w:r>
    </w:p>
    <w:p>
      <w:r>
        <w:rPr>
          <w:b w:val="0"/>
        </w:rPr>
        <w:t>The pods will provide temporary homes for people experiencing homelessness and help them prepare for independent living. They will be used by successive service users and occupied throughout the year. They must be safe, durable, comfortable and easy to clean and maintain.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848"/>
      </w:tblGrid>
      <w:tr>
        <w:trPr>
          <w:cantSplit/>
          <w:tblHeader/>
        </w:trPr>
        <w:tc>
          <w:tcPr>
            <w:tcW w:type="dxa" w:w="2376"/>
            <w:vAlign w:val="center"/>
            <w:tcMar>
              <w:top w:w="75" w:type="dxa"/>
              <w:bottom w:w="75" w:type="dxa"/>
              <w:left w:w="95" w:type="dxa"/>
              <w:right w:w="95" w:type="dxa"/>
            </w:tcMar>
            <w:shd w:fill="DCE6EC"/>
          </w:tcPr>
          <w:p>
            <w:pPr>
              <w:spacing w:after="0" w:before="0" w:line="254" w:lineRule="auto"/>
            </w:pPr>
            <w:r>
              <w:rPr>
                <w:b/>
                <w:sz w:val="21"/>
              </w:rPr>
              <w:t>Key information</w:t>
            </w:r>
          </w:p>
        </w:tc>
        <w:tc>
          <w:tcPr>
            <w:tcW w:type="dxa" w:w="7848"/>
            <w:vAlign w:val="center"/>
            <w:tcMar>
              <w:top w:w="75" w:type="dxa"/>
              <w:bottom w:w="75" w:type="dxa"/>
              <w:left w:w="95" w:type="dxa"/>
              <w:right w:w="95" w:type="dxa"/>
            </w:tcMar>
            <w:shd w:fill="DCE6EC"/>
          </w:tcPr>
          <w:p>
            <w:pPr>
              <w:spacing w:after="0" w:before="0" w:line="254" w:lineRule="auto"/>
            </w:pPr>
            <w:r>
              <w:rPr>
                <w:b/>
                <w:sz w:val="21"/>
              </w:rPr>
              <w:t>Details</w:t>
            </w:r>
          </w:p>
        </w:tc>
      </w:tr>
      <w:tr>
        <w:trPr>
          <w:cantSplit/>
        </w:trPr>
        <w:tc>
          <w:tcPr>
            <w:tcW w:type="dxa" w:w="2376"/>
            <w:vAlign w:val="center"/>
            <w:tcMar>
              <w:top w:w="75" w:type="dxa"/>
              <w:bottom w:w="75" w:type="dxa"/>
              <w:left w:w="95" w:type="dxa"/>
              <w:right w:w="95" w:type="dxa"/>
            </w:tcMar>
            <w:shd w:fill="FFFFFF"/>
          </w:tcPr>
          <w:p>
            <w:pPr>
              <w:spacing w:after="0" w:before="0" w:line="254" w:lineRule="auto"/>
            </w:pPr>
            <w:r>
              <w:rPr>
                <w:b w:val="0"/>
                <w:sz w:val="21"/>
              </w:rPr>
              <w:t>Estimated budget</w:t>
            </w:r>
          </w:p>
        </w:tc>
        <w:tc>
          <w:tcPr>
            <w:tcW w:type="dxa" w:w="7848"/>
            <w:vAlign w:val="center"/>
            <w:tcMar>
              <w:top w:w="75" w:type="dxa"/>
              <w:bottom w:w="75" w:type="dxa"/>
              <w:left w:w="95" w:type="dxa"/>
              <w:right w:w="95" w:type="dxa"/>
            </w:tcMar>
            <w:shd w:fill="FFFFFF"/>
          </w:tcPr>
          <w:p>
            <w:pPr>
              <w:spacing w:after="0" w:before="0" w:line="254" w:lineRule="auto"/>
            </w:pPr>
            <w:r>
              <w:rPr>
                <w:b w:val="0"/>
                <w:sz w:val="21"/>
              </w:rPr>
              <w:t>Approximately €245,000 for all four units, including foundations and site works. Show prices excluding VAT, VAT and the total including VAT separately.</w:t>
            </w:r>
          </w:p>
        </w:tc>
      </w:tr>
      <w:tr>
        <w:trPr>
          <w:cantSplit/>
        </w:trPr>
        <w:tc>
          <w:tcPr>
            <w:tcW w:type="dxa" w:w="2376"/>
            <w:vAlign w:val="center"/>
            <w:tcMar>
              <w:top w:w="75" w:type="dxa"/>
              <w:bottom w:w="75" w:type="dxa"/>
              <w:left w:w="95" w:type="dxa"/>
              <w:right w:w="95" w:type="dxa"/>
            </w:tcMar>
            <w:shd w:fill="F6F8FA"/>
          </w:tcPr>
          <w:p>
            <w:pPr>
              <w:spacing w:after="0" w:before="0" w:line="254" w:lineRule="auto"/>
            </w:pPr>
            <w:r>
              <w:rPr>
                <w:b w:val="0"/>
                <w:sz w:val="21"/>
              </w:rPr>
              <w:t>Closing date and questions</w:t>
            </w:r>
          </w:p>
        </w:tc>
        <w:tc>
          <w:tcPr>
            <w:tcW w:type="dxa" w:w="7848"/>
            <w:vAlign w:val="center"/>
            <w:tcMar>
              <w:top w:w="75" w:type="dxa"/>
              <w:bottom w:w="75" w:type="dxa"/>
              <w:left w:w="95" w:type="dxa"/>
              <w:right w:w="95" w:type="dxa"/>
            </w:tcMar>
            <w:shd w:fill="F6F8FA"/>
          </w:tcPr>
          <w:p>
            <w:pPr>
              <w:spacing w:after="0" w:before="0" w:line="254" w:lineRule="auto"/>
            </w:pPr>
            <w:r>
              <w:rPr>
                <w:b w:val="0"/>
                <w:sz w:val="21"/>
              </w:rPr>
              <w:t>Use the dates and times shown in the eTenders notice. Submit tenders and questions through eTenders.</w:t>
            </w:r>
          </w:p>
        </w:tc>
      </w:tr>
      <w:tr>
        <w:trPr>
          <w:cantSplit/>
        </w:trPr>
        <w:tc>
          <w:tcPr>
            <w:tcW w:type="dxa" w:w="2376"/>
            <w:vAlign w:val="center"/>
            <w:tcMar>
              <w:top w:w="75" w:type="dxa"/>
              <w:bottom w:w="75" w:type="dxa"/>
              <w:left w:w="95" w:type="dxa"/>
              <w:right w:w="95" w:type="dxa"/>
            </w:tcMar>
            <w:shd w:fill="FFFFFF"/>
          </w:tcPr>
          <w:p>
            <w:pPr>
              <w:spacing w:after="0" w:before="0" w:line="254" w:lineRule="auto"/>
            </w:pPr>
            <w:r>
              <w:rPr>
                <w:b w:val="0"/>
                <w:sz w:val="21"/>
              </w:rPr>
              <w:t>Site visits</w:t>
            </w:r>
          </w:p>
        </w:tc>
        <w:tc>
          <w:tcPr>
            <w:tcW w:type="dxa" w:w="7848"/>
            <w:vAlign w:val="center"/>
            <w:tcMar>
              <w:top w:w="75" w:type="dxa"/>
              <w:bottom w:w="75" w:type="dxa"/>
              <w:left w:w="95" w:type="dxa"/>
              <w:right w:w="95" w:type="dxa"/>
            </w:tcMar>
            <w:shd w:fill="FFFFFF"/>
          </w:tcPr>
          <w:p>
            <w:pPr>
              <w:spacing w:after="0" w:before="0" w:line="254" w:lineRule="auto"/>
            </w:pPr>
            <w:r>
              <w:rPr>
                <w:b w:val="0"/>
                <w:sz w:val="21"/>
              </w:rPr>
              <w:t>Available by appointment. Request a visit through eTenders.</w:t>
            </w:r>
          </w:p>
        </w:tc>
      </w:tr>
      <w:tr>
        <w:trPr>
          <w:cantSplit/>
        </w:trPr>
        <w:tc>
          <w:tcPr>
            <w:tcW w:type="dxa" w:w="2376"/>
            <w:vAlign w:val="center"/>
            <w:tcMar>
              <w:top w:w="75" w:type="dxa"/>
              <w:bottom w:w="75" w:type="dxa"/>
              <w:left w:w="95" w:type="dxa"/>
              <w:right w:w="95" w:type="dxa"/>
            </w:tcMar>
            <w:shd w:fill="F6F8FA"/>
          </w:tcPr>
          <w:p>
            <w:pPr>
              <w:spacing w:after="0" w:before="0" w:line="254" w:lineRule="auto"/>
            </w:pPr>
            <w:r>
              <w:rPr>
                <w:b w:val="0"/>
                <w:sz w:val="21"/>
              </w:rPr>
              <w:t>Award criteria</w:t>
            </w:r>
          </w:p>
        </w:tc>
        <w:tc>
          <w:tcPr>
            <w:tcW w:type="dxa" w:w="7848"/>
            <w:vAlign w:val="center"/>
            <w:tcMar>
              <w:top w:w="75" w:type="dxa"/>
              <w:bottom w:w="75" w:type="dxa"/>
              <w:left w:w="95" w:type="dxa"/>
              <w:right w:w="95" w:type="dxa"/>
            </w:tcMar>
            <w:shd w:fill="F6F8FA"/>
          </w:tcPr>
          <w:p>
            <w:pPr>
              <w:spacing w:after="0" w:before="0" w:line="254" w:lineRule="auto"/>
            </w:pPr>
            <w:r>
              <w:rPr>
                <w:b w:val="0"/>
                <w:sz w:val="21"/>
              </w:rPr>
              <w:t>Quality 60% and price 40%.</w:t>
            </w:r>
          </w:p>
        </w:tc>
      </w:tr>
      <w:tr>
        <w:trPr>
          <w:cantSplit/>
        </w:trPr>
        <w:tc>
          <w:tcPr>
            <w:tcW w:type="dxa" w:w="2376"/>
            <w:vAlign w:val="center"/>
            <w:tcMar>
              <w:top w:w="75" w:type="dxa"/>
              <w:bottom w:w="75" w:type="dxa"/>
              <w:left w:w="95" w:type="dxa"/>
              <w:right w:w="95" w:type="dxa"/>
            </w:tcMar>
            <w:shd w:fill="FFFFFF"/>
          </w:tcPr>
          <w:p>
            <w:pPr>
              <w:spacing w:after="0" w:before="0" w:line="254" w:lineRule="auto"/>
            </w:pPr>
            <w:r>
              <w:rPr>
                <w:b w:val="0"/>
                <w:sz w:val="21"/>
              </w:rPr>
              <w:t>Completion</w:t>
            </w:r>
          </w:p>
        </w:tc>
        <w:tc>
          <w:tcPr>
            <w:tcW w:type="dxa" w:w="7848"/>
            <w:vAlign w:val="center"/>
            <w:tcMar>
              <w:top w:w="75" w:type="dxa"/>
              <w:bottom w:w="75" w:type="dxa"/>
              <w:left w:w="95" w:type="dxa"/>
              <w:right w:w="95" w:type="dxa"/>
            </w:tcMar>
            <w:shd w:fill="FFFFFF"/>
          </w:tcPr>
          <w:p>
            <w:pPr>
              <w:spacing w:after="0" w:before="0" w:line="254" w:lineRule="auto"/>
            </w:pPr>
            <w:r>
              <w:rPr>
                <w:b w:val="0"/>
                <w:sz w:val="21"/>
              </w:rPr>
              <w:t>State your proposed timescale for manufacture, delivery, installation and handover.</w:t>
            </w:r>
          </w:p>
        </w:tc>
      </w:tr>
    </w:tbl>
    <w:p>
      <w:pPr>
        <w:spacing w:after="80" w:line="20" w:lineRule="exact"/>
      </w:pPr>
      <w:r>
        <w:rPr>
          <w:b w:val="0"/>
          <w:sz w:val="2"/>
        </w:rPr>
      </w:r>
    </w:p>
    <w:p>
      <w:pPr>
        <w:pStyle w:val="Heading1"/>
      </w:pPr>
      <w:r>
        <w:t>1 The site and access</w:t>
      </w:r>
    </w:p>
    <w:p>
      <w:r>
        <w:rPr>
          <w:b w:val="0"/>
        </w:rPr>
        <w:t>Depaul confirms that access to the site and existing pods is available and that permissions are in place. As previously clarified, planning permission is not required for this project. The proposed units and installation must still meet all applicable building and safety requirements.</w:t>
      </w:r>
    </w:p>
    <w:p>
      <w:r>
        <w:rPr>
          <w:b w:val="0"/>
        </w:rPr>
        <w:t>The site is divided into four areas by block walls. A central passage gives access from an external gateway. The dimensions below are approximate and must be checked by the supplier.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7128"/>
      </w:tblGrid>
      <w:tr>
        <w:trPr>
          <w:cantSplit/>
          <w:tblHeader/>
        </w:trPr>
        <w:tc>
          <w:tcPr>
            <w:tcW w:type="dxa" w:w="3096"/>
            <w:vAlign w:val="center"/>
            <w:tcMar>
              <w:top w:w="75" w:type="dxa"/>
              <w:bottom w:w="75" w:type="dxa"/>
              <w:left w:w="95" w:type="dxa"/>
              <w:right w:w="95" w:type="dxa"/>
            </w:tcMar>
            <w:shd w:fill="DCE6EC"/>
          </w:tcPr>
          <w:p>
            <w:pPr>
              <w:spacing w:after="0" w:before="0" w:line="254" w:lineRule="auto"/>
            </w:pPr>
            <w:r>
              <w:rPr>
                <w:b/>
                <w:sz w:val="21"/>
              </w:rPr>
              <w:t>Area</w:t>
            </w:r>
          </w:p>
        </w:tc>
        <w:tc>
          <w:tcPr>
            <w:tcW w:type="dxa" w:w="7128"/>
            <w:vAlign w:val="center"/>
            <w:tcMar>
              <w:top w:w="75" w:type="dxa"/>
              <w:bottom w:w="75" w:type="dxa"/>
              <w:left w:w="95" w:type="dxa"/>
              <w:right w:w="95" w:type="dxa"/>
            </w:tcMar>
            <w:shd w:fill="DCE6EC"/>
          </w:tcPr>
          <w:p>
            <w:pPr>
              <w:spacing w:after="0" w:before="0" w:line="254" w:lineRule="auto"/>
            </w:pPr>
            <w:r>
              <w:rPr>
                <w:b/>
                <w:sz w:val="21"/>
              </w:rPr>
              <w:t>Approximate dimensions</w:t>
            </w:r>
          </w:p>
        </w:tc>
      </w:tr>
      <w:tr>
        <w:trPr>
          <w:cantSplit/>
        </w:trPr>
        <w:tc>
          <w:tcPr>
            <w:tcW w:type="dxa" w:w="3096"/>
            <w:vAlign w:val="center"/>
            <w:tcMar>
              <w:top w:w="75" w:type="dxa"/>
              <w:bottom w:w="75" w:type="dxa"/>
              <w:left w:w="95" w:type="dxa"/>
              <w:right w:w="95" w:type="dxa"/>
            </w:tcMar>
            <w:shd w:fill="FFFFFF"/>
          </w:tcPr>
          <w:p>
            <w:pPr>
              <w:spacing w:after="0" w:before="0" w:line="254" w:lineRule="auto"/>
            </w:pPr>
            <w:r>
              <w:rPr>
                <w:b w:val="0"/>
                <w:sz w:val="21"/>
              </w:rPr>
              <w:t>Whole external site</w:t>
            </w:r>
          </w:p>
        </w:tc>
        <w:tc>
          <w:tcPr>
            <w:tcW w:type="dxa" w:w="7128"/>
            <w:vAlign w:val="center"/>
            <w:tcMar>
              <w:top w:w="75" w:type="dxa"/>
              <w:bottom w:w="75" w:type="dxa"/>
              <w:left w:w="95" w:type="dxa"/>
              <w:right w:w="95" w:type="dxa"/>
            </w:tcMar>
            <w:shd w:fill="FFFFFF"/>
          </w:tcPr>
          <w:p>
            <w:pPr>
              <w:spacing w:after="0" w:before="0" w:line="254" w:lineRule="auto"/>
            </w:pPr>
            <w:r>
              <w:rPr>
                <w:b w:val="0"/>
                <w:sz w:val="21"/>
              </w:rPr>
              <w:t>23 m × 15 m</w:t>
            </w:r>
          </w:p>
        </w:tc>
      </w:tr>
      <w:tr>
        <w:trPr>
          <w:cantSplit/>
        </w:trPr>
        <w:tc>
          <w:tcPr>
            <w:tcW w:type="dxa" w:w="3096"/>
            <w:vAlign w:val="center"/>
            <w:tcMar>
              <w:top w:w="75" w:type="dxa"/>
              <w:bottom w:w="75" w:type="dxa"/>
              <w:left w:w="95" w:type="dxa"/>
              <w:right w:w="95" w:type="dxa"/>
            </w:tcMar>
            <w:shd w:fill="F6F8FA"/>
          </w:tcPr>
          <w:p>
            <w:pPr>
              <w:spacing w:after="0" w:before="0" w:line="254" w:lineRule="auto"/>
            </w:pPr>
            <w:r>
              <w:rPr>
                <w:b w:val="0"/>
                <w:sz w:val="21"/>
              </w:rPr>
              <w:t>Area 1</w:t>
            </w:r>
          </w:p>
        </w:tc>
        <w:tc>
          <w:tcPr>
            <w:tcW w:type="dxa" w:w="7128"/>
            <w:vAlign w:val="center"/>
            <w:tcMar>
              <w:top w:w="75" w:type="dxa"/>
              <w:bottom w:w="75" w:type="dxa"/>
              <w:left w:w="95" w:type="dxa"/>
              <w:right w:w="95" w:type="dxa"/>
            </w:tcMar>
            <w:shd w:fill="F6F8FA"/>
          </w:tcPr>
          <w:p>
            <w:pPr>
              <w:spacing w:after="0" w:before="0" w:line="254" w:lineRule="auto"/>
            </w:pPr>
            <w:r>
              <w:rPr>
                <w:b w:val="0"/>
                <w:sz w:val="21"/>
              </w:rPr>
              <w:t>10.3 m × 7.85 m</w:t>
            </w:r>
          </w:p>
        </w:tc>
      </w:tr>
      <w:tr>
        <w:trPr>
          <w:cantSplit/>
        </w:trPr>
        <w:tc>
          <w:tcPr>
            <w:tcW w:type="dxa" w:w="3096"/>
            <w:vAlign w:val="center"/>
            <w:tcMar>
              <w:top w:w="75" w:type="dxa"/>
              <w:bottom w:w="75" w:type="dxa"/>
              <w:left w:w="95" w:type="dxa"/>
              <w:right w:w="95" w:type="dxa"/>
            </w:tcMar>
            <w:shd w:fill="FFFFFF"/>
          </w:tcPr>
          <w:p>
            <w:pPr>
              <w:spacing w:after="0" w:before="0" w:line="254" w:lineRule="auto"/>
            </w:pPr>
            <w:r>
              <w:rPr>
                <w:b w:val="0"/>
                <w:sz w:val="21"/>
              </w:rPr>
              <w:t>Area 2</w:t>
            </w:r>
          </w:p>
        </w:tc>
        <w:tc>
          <w:tcPr>
            <w:tcW w:type="dxa" w:w="7128"/>
            <w:vAlign w:val="center"/>
            <w:tcMar>
              <w:top w:w="75" w:type="dxa"/>
              <w:bottom w:w="75" w:type="dxa"/>
              <w:left w:w="95" w:type="dxa"/>
              <w:right w:w="95" w:type="dxa"/>
            </w:tcMar>
            <w:shd w:fill="FFFFFF"/>
          </w:tcPr>
          <w:p>
            <w:pPr>
              <w:spacing w:after="0" w:before="0" w:line="254" w:lineRule="auto"/>
            </w:pPr>
            <w:r>
              <w:rPr>
                <w:b w:val="0"/>
                <w:sz w:val="21"/>
              </w:rPr>
              <w:t>12.65 m × 6.85 m</w:t>
            </w:r>
          </w:p>
        </w:tc>
      </w:tr>
      <w:tr>
        <w:trPr>
          <w:cantSplit/>
        </w:trPr>
        <w:tc>
          <w:tcPr>
            <w:tcW w:type="dxa" w:w="3096"/>
            <w:vAlign w:val="center"/>
            <w:tcMar>
              <w:top w:w="75" w:type="dxa"/>
              <w:bottom w:w="75" w:type="dxa"/>
              <w:left w:w="95" w:type="dxa"/>
              <w:right w:w="95" w:type="dxa"/>
            </w:tcMar>
            <w:shd w:fill="F6F8FA"/>
          </w:tcPr>
          <w:p>
            <w:pPr>
              <w:spacing w:after="0" w:before="0" w:line="254" w:lineRule="auto"/>
            </w:pPr>
            <w:r>
              <w:rPr>
                <w:b w:val="0"/>
                <w:sz w:val="21"/>
              </w:rPr>
              <w:t>Area 3</w:t>
            </w:r>
          </w:p>
        </w:tc>
        <w:tc>
          <w:tcPr>
            <w:tcW w:type="dxa" w:w="7128"/>
            <w:vAlign w:val="center"/>
            <w:tcMar>
              <w:top w:w="75" w:type="dxa"/>
              <w:bottom w:w="75" w:type="dxa"/>
              <w:left w:w="95" w:type="dxa"/>
              <w:right w:w="95" w:type="dxa"/>
            </w:tcMar>
            <w:shd w:fill="F6F8FA"/>
          </w:tcPr>
          <w:p>
            <w:pPr>
              <w:spacing w:after="0" w:before="0" w:line="254" w:lineRule="auto"/>
            </w:pPr>
            <w:r>
              <w:rPr>
                <w:b w:val="0"/>
                <w:sz w:val="21"/>
              </w:rPr>
              <w:t>9.75 m × 6.85 m</w:t>
            </w:r>
          </w:p>
        </w:tc>
      </w:tr>
      <w:tr>
        <w:trPr>
          <w:cantSplit/>
        </w:trPr>
        <w:tc>
          <w:tcPr>
            <w:tcW w:type="dxa" w:w="3096"/>
            <w:vAlign w:val="center"/>
            <w:tcMar>
              <w:top w:w="75" w:type="dxa"/>
              <w:bottom w:w="75" w:type="dxa"/>
              <w:left w:w="95" w:type="dxa"/>
              <w:right w:w="95" w:type="dxa"/>
            </w:tcMar>
            <w:shd w:fill="FFFFFF"/>
          </w:tcPr>
          <w:p>
            <w:pPr>
              <w:spacing w:after="0" w:before="0" w:line="254" w:lineRule="auto"/>
            </w:pPr>
            <w:r>
              <w:rPr>
                <w:b w:val="0"/>
                <w:sz w:val="21"/>
              </w:rPr>
              <w:t>Area 4</w:t>
            </w:r>
          </w:p>
        </w:tc>
        <w:tc>
          <w:tcPr>
            <w:tcW w:type="dxa" w:w="7128"/>
            <w:vAlign w:val="center"/>
            <w:tcMar>
              <w:top w:w="75" w:type="dxa"/>
              <w:bottom w:w="75" w:type="dxa"/>
              <w:left w:w="95" w:type="dxa"/>
              <w:right w:w="95" w:type="dxa"/>
            </w:tcMar>
            <w:shd w:fill="FFFFFF"/>
          </w:tcPr>
          <w:p>
            <w:pPr>
              <w:spacing w:after="0" w:before="0" w:line="254" w:lineRule="auto"/>
            </w:pPr>
            <w:r>
              <w:rPr>
                <w:b w:val="0"/>
                <w:sz w:val="21"/>
              </w:rPr>
              <w:t>11.35 m × 7.18 m</w:t>
            </w:r>
          </w:p>
        </w:tc>
      </w:tr>
    </w:tbl>
    <w:p>
      <w:pPr>
        <w:spacing w:after="80" w:line="20" w:lineRule="exact"/>
      </w:pPr>
      <w:r>
        <w:rPr>
          <w:b w:val="0"/>
          <w:sz w:val="2"/>
        </w:rPr>
      </w:r>
    </w:p>
    <w:p>
      <w:r>
        <w:rPr>
          <w:b w:val="0"/>
        </w:rPr>
        <w:t>No drawings or fixed layout are available. Suppliers should propose a suitable design and check the site, ground conditions, access and service connections. There is no prescribed 7 m × 4 m unit size. Each proposal must show its dimensions and usable floor space.</w:t>
      </w:r>
    </w:p>
    <w:p>
      <w:pPr>
        <w:pStyle w:val="Heading1"/>
        <w:pageBreakBefore/>
      </w:pPr>
      <w:r>
        <w:t>2 Building and installation requirements</w:t>
      </w:r>
    </w:p>
    <w:p>
      <w:r>
        <w:rPr>
          <w:b w:val="0"/>
        </w:rPr>
        <w:t>The price must cover four complete, fitted and installed units, including the works below. Complete the matching checklist in the Tender Response and Pricing document. Where an equivalent product is offered, explain how it meets the same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1584"/>
        <w:gridCol w:w="7848"/>
      </w:tblGrid>
      <w:tr>
        <w:trPr>
          <w:cantSplit/>
          <w:tblHeader/>
        </w:trPr>
        <w:tc>
          <w:tcPr>
            <w:tcW w:type="dxa" w:w="792"/>
            <w:vAlign w:val="center"/>
            <w:tcMar>
              <w:top w:w="75" w:type="dxa"/>
              <w:bottom w:w="75" w:type="dxa"/>
              <w:left w:w="95" w:type="dxa"/>
              <w:right w:w="95" w:type="dxa"/>
            </w:tcMar>
            <w:shd w:fill="DCE6EC"/>
          </w:tcPr>
          <w:p>
            <w:pPr>
              <w:spacing w:after="0" w:before="0" w:line="254" w:lineRule="auto"/>
              <w:jc w:val="center"/>
            </w:pPr>
            <w:r>
              <w:rPr>
                <w:b/>
                <w:sz w:val="20"/>
              </w:rPr>
              <w:t>Ref</w:t>
            </w:r>
          </w:p>
        </w:tc>
        <w:tc>
          <w:tcPr>
            <w:tcW w:type="dxa" w:w="1584"/>
            <w:vAlign w:val="center"/>
            <w:tcMar>
              <w:top w:w="75" w:type="dxa"/>
              <w:bottom w:w="75" w:type="dxa"/>
              <w:left w:w="95" w:type="dxa"/>
              <w:right w:w="95" w:type="dxa"/>
            </w:tcMar>
            <w:shd w:fill="DCE6EC"/>
          </w:tcPr>
          <w:p>
            <w:pPr>
              <w:spacing w:after="0" w:before="0" w:line="254" w:lineRule="auto"/>
            </w:pPr>
            <w:r>
              <w:rPr>
                <w:b/>
                <w:sz w:val="20"/>
              </w:rPr>
              <w:t>Item</w:t>
            </w:r>
          </w:p>
        </w:tc>
        <w:tc>
          <w:tcPr>
            <w:tcW w:type="dxa" w:w="7848"/>
            <w:vAlign w:val="center"/>
            <w:tcMar>
              <w:top w:w="75" w:type="dxa"/>
              <w:bottom w:w="75" w:type="dxa"/>
              <w:left w:w="95" w:type="dxa"/>
              <w:right w:w="95" w:type="dxa"/>
            </w:tcMar>
            <w:shd w:fill="DCE6EC"/>
          </w:tcPr>
          <w:p>
            <w:pPr>
              <w:spacing w:after="0" w:before="0" w:line="254" w:lineRule="auto"/>
            </w:pPr>
            <w:r>
              <w:rPr>
                <w:b/>
                <w:sz w:val="20"/>
              </w:rPr>
              <w:t>Requirement</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0"/>
              </w:rPr>
              <w:t>M1</w:t>
            </w:r>
          </w:p>
        </w:tc>
        <w:tc>
          <w:tcPr>
            <w:tcW w:type="dxa" w:w="1584"/>
            <w:vAlign w:val="center"/>
            <w:tcMar>
              <w:top w:w="75" w:type="dxa"/>
              <w:bottom w:w="75" w:type="dxa"/>
              <w:left w:w="95" w:type="dxa"/>
              <w:right w:w="95" w:type="dxa"/>
            </w:tcMar>
            <w:shd w:fill="FFFFFF"/>
          </w:tcPr>
          <w:p>
            <w:pPr>
              <w:spacing w:after="0" w:before="0" w:line="254" w:lineRule="auto"/>
            </w:pPr>
            <w:r>
              <w:rPr>
                <w:b w:val="0"/>
                <w:sz w:val="20"/>
              </w:rPr>
              <w:t>Units and layout</w:t>
            </w:r>
          </w:p>
        </w:tc>
        <w:tc>
          <w:tcPr>
            <w:tcW w:type="dxa" w:w="7848"/>
            <w:vAlign w:val="center"/>
            <w:tcMar>
              <w:top w:w="75" w:type="dxa"/>
              <w:bottom w:w="75" w:type="dxa"/>
              <w:left w:w="95" w:type="dxa"/>
              <w:right w:w="95" w:type="dxa"/>
            </w:tcMar>
            <w:shd w:fill="FFFFFF"/>
          </w:tcPr>
          <w:p>
            <w:pPr>
              <w:spacing w:after="0" w:before="0" w:line="254" w:lineRule="auto"/>
            </w:pPr>
            <w:r>
              <w:rPr>
                <w:b w:val="0"/>
                <w:sz w:val="20"/>
              </w:rPr>
              <w:t>Four one bedroom units for full time, year-round residential use. Each must have its own entrance, separate bedroom, kitchen and bathroom. Propose the layout and size of each unit and its position on the site. Separate units or a terrace arrangement may be proposed.</w:t>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0"/>
              </w:rPr>
              <w:t>M2</w:t>
            </w:r>
          </w:p>
        </w:tc>
        <w:tc>
          <w:tcPr>
            <w:tcW w:type="dxa" w:w="1584"/>
            <w:vAlign w:val="center"/>
            <w:tcMar>
              <w:top w:w="75" w:type="dxa"/>
              <w:bottom w:w="75" w:type="dxa"/>
              <w:left w:w="95" w:type="dxa"/>
              <w:right w:w="95" w:type="dxa"/>
            </w:tcMar>
            <w:shd w:fill="F6F8FA"/>
          </w:tcPr>
          <w:p>
            <w:pPr>
              <w:spacing w:after="0" w:before="0" w:line="254" w:lineRule="auto"/>
            </w:pPr>
            <w:r>
              <w:rPr>
                <w:b w:val="0"/>
                <w:sz w:val="20"/>
              </w:rPr>
              <w:t>Frame and foundations</w:t>
            </w:r>
          </w:p>
        </w:tc>
        <w:tc>
          <w:tcPr>
            <w:tcW w:type="dxa" w:w="7848"/>
            <w:vAlign w:val="center"/>
            <w:tcMar>
              <w:top w:w="75" w:type="dxa"/>
              <w:bottom w:w="75" w:type="dxa"/>
              <w:left w:w="95" w:type="dxa"/>
              <w:right w:w="95" w:type="dxa"/>
            </w:tcMar>
            <w:shd w:fill="F6F8FA"/>
          </w:tcPr>
          <w:p>
            <w:pPr>
              <w:spacing w:after="0" w:before="0" w:line="254" w:lineRule="auto"/>
            </w:pPr>
            <w:r>
              <w:rPr>
                <w:b w:val="0"/>
                <w:sz w:val="20"/>
              </w:rPr>
              <w:t>Timber or metal frames are accepted. Structural timber floors are permitted. Include concrete bases, pipework into the homes and insulated floors. The structure and foundations must suit the ground conditions and withstand Irish weather, including wind and storms.</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0"/>
              </w:rPr>
              <w:t>M3</w:t>
            </w:r>
          </w:p>
        </w:tc>
        <w:tc>
          <w:tcPr>
            <w:tcW w:type="dxa" w:w="1584"/>
            <w:vAlign w:val="center"/>
            <w:tcMar>
              <w:top w:w="75" w:type="dxa"/>
              <w:bottom w:w="75" w:type="dxa"/>
              <w:left w:w="95" w:type="dxa"/>
              <w:right w:w="95" w:type="dxa"/>
            </w:tcMar>
            <w:shd w:fill="FFFFFF"/>
          </w:tcPr>
          <w:p>
            <w:pPr>
              <w:spacing w:after="0" w:before="0" w:line="254" w:lineRule="auto"/>
            </w:pPr>
            <w:r>
              <w:rPr>
                <w:b w:val="0"/>
                <w:sz w:val="20"/>
              </w:rPr>
              <w:t>Insulation and walls</w:t>
            </w:r>
          </w:p>
        </w:tc>
        <w:tc>
          <w:tcPr>
            <w:tcW w:type="dxa" w:w="7848"/>
            <w:vAlign w:val="center"/>
            <w:tcMar>
              <w:top w:w="75" w:type="dxa"/>
              <w:bottom w:w="75" w:type="dxa"/>
              <w:left w:w="95" w:type="dxa"/>
              <w:right w:w="95" w:type="dxa"/>
            </w:tcMar>
            <w:shd w:fill="FFFFFF"/>
          </w:tcPr>
          <w:p>
            <w:pPr>
              <w:spacing w:after="0" w:before="0" w:line="254" w:lineRule="auto"/>
            </w:pPr>
            <w:r>
              <w:rPr>
                <w:b w:val="0"/>
                <w:sz w:val="20"/>
              </w:rPr>
              <w:t>Provide high performance roof and floor insulation, such as PIR or Kingspan, or equivalent, and enhanced wall insulation. Walls must be at least 70 mm thick. A cavity, double layer or dry lining is a suggested approach, rather than a fixed wall design. Explain the proposed thickness, insulation and protection against damp, condensation and mould.</w:t>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0"/>
              </w:rPr>
              <w:t>M4</w:t>
            </w:r>
          </w:p>
        </w:tc>
        <w:tc>
          <w:tcPr>
            <w:tcW w:type="dxa" w:w="1584"/>
            <w:vAlign w:val="center"/>
            <w:tcMar>
              <w:top w:w="75" w:type="dxa"/>
              <w:bottom w:w="75" w:type="dxa"/>
              <w:left w:w="95" w:type="dxa"/>
              <w:right w:w="95" w:type="dxa"/>
            </w:tcMar>
            <w:shd w:fill="F6F8FA"/>
          </w:tcPr>
          <w:p>
            <w:pPr>
              <w:spacing w:after="0" w:before="0" w:line="254" w:lineRule="auto"/>
            </w:pPr>
            <w:r>
              <w:rPr>
                <w:b w:val="0"/>
                <w:sz w:val="20"/>
              </w:rPr>
              <w:t>Doors and outside finishes</w:t>
            </w:r>
          </w:p>
        </w:tc>
        <w:tc>
          <w:tcPr>
            <w:tcW w:type="dxa" w:w="7848"/>
            <w:vAlign w:val="center"/>
            <w:tcMar>
              <w:top w:w="75" w:type="dxa"/>
              <w:bottom w:w="75" w:type="dxa"/>
              <w:left w:w="95" w:type="dxa"/>
              <w:right w:w="95" w:type="dxa"/>
            </w:tcMar>
            <w:shd w:fill="F6F8FA"/>
          </w:tcPr>
          <w:p>
            <w:pPr>
              <w:spacing w:after="0" w:before="0" w:line="254" w:lineRule="auto"/>
            </w:pPr>
            <w:r>
              <w:rPr>
                <w:b w:val="0"/>
                <w:sz w:val="20"/>
              </w:rPr>
              <w:t>Provide residential standard double glazed windows and external doors that meet energy requirements, internal walls and doors, composite external cladding, and PVC fascias, soffits and gutters.</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0"/>
              </w:rPr>
              <w:t>M5</w:t>
            </w:r>
          </w:p>
        </w:tc>
        <w:tc>
          <w:tcPr>
            <w:tcW w:type="dxa" w:w="1584"/>
            <w:vAlign w:val="center"/>
            <w:tcMar>
              <w:top w:w="75" w:type="dxa"/>
              <w:bottom w:w="75" w:type="dxa"/>
              <w:left w:w="95" w:type="dxa"/>
              <w:right w:w="95" w:type="dxa"/>
            </w:tcMar>
            <w:shd w:fill="FFFFFF"/>
          </w:tcPr>
          <w:p>
            <w:pPr>
              <w:spacing w:after="0" w:before="0" w:line="254" w:lineRule="auto"/>
            </w:pPr>
            <w:r>
              <w:rPr>
                <w:b w:val="0"/>
                <w:sz w:val="20"/>
              </w:rPr>
              <w:t>Building requirements</w:t>
            </w:r>
          </w:p>
        </w:tc>
        <w:tc>
          <w:tcPr>
            <w:tcW w:type="dxa" w:w="7848"/>
            <w:vAlign w:val="center"/>
            <w:tcMar>
              <w:top w:w="75" w:type="dxa"/>
              <w:bottom w:w="75" w:type="dxa"/>
              <w:left w:w="95" w:type="dxa"/>
              <w:right w:w="95" w:type="dxa"/>
            </w:tcMar>
            <w:shd w:fill="FFFFFF"/>
          </w:tcPr>
          <w:p>
            <w:pPr>
              <w:spacing w:after="0" w:before="0" w:line="254" w:lineRule="auto"/>
            </w:pPr>
            <w:r>
              <w:rPr>
                <w:b w:val="0"/>
                <w:sz w:val="20"/>
              </w:rPr>
              <w:t>The design and works must meet all applicable building regulations, including structure, fire safety, energy efficiency, ventilation and access. Explain how your design meets these requirements. Identify any building control notices or certificates needed for your proposal and who would provide them. Include testing and certification of your own works.</w:t>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0"/>
              </w:rPr>
              <w:t>M6</w:t>
            </w:r>
          </w:p>
        </w:tc>
        <w:tc>
          <w:tcPr>
            <w:tcW w:type="dxa" w:w="1584"/>
            <w:vAlign w:val="center"/>
            <w:tcMar>
              <w:top w:w="75" w:type="dxa"/>
              <w:bottom w:w="75" w:type="dxa"/>
              <w:left w:w="95" w:type="dxa"/>
              <w:right w:w="95" w:type="dxa"/>
            </w:tcMar>
            <w:shd w:fill="F6F8FA"/>
          </w:tcPr>
          <w:p>
            <w:pPr>
              <w:spacing w:after="0" w:before="0" w:line="254" w:lineRule="auto"/>
            </w:pPr>
            <w:r>
              <w:rPr>
                <w:b w:val="0"/>
                <w:sz w:val="20"/>
              </w:rPr>
              <w:t>Plumbing and connections</w:t>
            </w:r>
          </w:p>
        </w:tc>
        <w:tc>
          <w:tcPr>
            <w:tcW w:type="dxa" w:w="7848"/>
            <w:vAlign w:val="center"/>
            <w:tcMar>
              <w:top w:w="75" w:type="dxa"/>
              <w:bottom w:w="75" w:type="dxa"/>
              <w:left w:w="95" w:type="dxa"/>
              <w:right w:w="95" w:type="dxa"/>
            </w:tcMar>
            <w:shd w:fill="F6F8FA"/>
          </w:tcPr>
          <w:p>
            <w:pPr>
              <w:spacing w:after="0" w:before="0" w:line="254" w:lineRule="auto"/>
            </w:pPr>
            <w:r>
              <w:rPr>
                <w:b w:val="0"/>
                <w:sz w:val="20"/>
              </w:rPr>
              <w:t>Include first and second fix plumbing, additional pipework on site and pipe relocations needed for the new units. Explain the proposed water, drainage, heating and hot water arrangements and connections to existing services. Identify whether the existing gas connection will be used.</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0"/>
              </w:rPr>
              <w:t>M7</w:t>
            </w:r>
          </w:p>
        </w:tc>
        <w:tc>
          <w:tcPr>
            <w:tcW w:type="dxa" w:w="1584"/>
            <w:vAlign w:val="center"/>
            <w:tcMar>
              <w:top w:w="75" w:type="dxa"/>
              <w:bottom w:w="75" w:type="dxa"/>
              <w:left w:w="95" w:type="dxa"/>
              <w:right w:w="95" w:type="dxa"/>
            </w:tcMar>
            <w:shd w:fill="FFFFFF"/>
          </w:tcPr>
          <w:p>
            <w:pPr>
              <w:spacing w:after="0" w:before="0" w:line="254" w:lineRule="auto"/>
            </w:pPr>
            <w:r>
              <w:rPr>
                <w:b w:val="0"/>
                <w:sz w:val="20"/>
              </w:rPr>
              <w:t>Electrical works</w:t>
            </w:r>
          </w:p>
        </w:tc>
        <w:tc>
          <w:tcPr>
            <w:tcW w:type="dxa" w:w="7848"/>
            <w:vAlign w:val="center"/>
            <w:tcMar>
              <w:top w:w="75" w:type="dxa"/>
              <w:bottom w:w="75" w:type="dxa"/>
              <w:left w:w="95" w:type="dxa"/>
              <w:right w:w="95" w:type="dxa"/>
            </w:tcMar>
            <w:shd w:fill="FFFFFF"/>
          </w:tcPr>
          <w:p>
            <w:pPr>
              <w:spacing w:after="0" w:before="0" w:line="254" w:lineRule="auto"/>
            </w:pPr>
            <w:r>
              <w:rPr>
                <w:b w:val="0"/>
                <w:sz w:val="20"/>
              </w:rPr>
              <w:t>Include first and second fix electrical works, sockets, heaters, internal and external lights, an exit light above the door and emergency lighting inside each unit. Electrical and plumbing works must be completed and certified by suitably qualified people.</w:t>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0"/>
              </w:rPr>
              <w:t>M8</w:t>
            </w:r>
          </w:p>
        </w:tc>
        <w:tc>
          <w:tcPr>
            <w:tcW w:type="dxa" w:w="1584"/>
            <w:vAlign w:val="center"/>
            <w:tcMar>
              <w:top w:w="75" w:type="dxa"/>
              <w:bottom w:w="75" w:type="dxa"/>
              <w:left w:w="95" w:type="dxa"/>
              <w:right w:w="95" w:type="dxa"/>
            </w:tcMar>
            <w:shd w:fill="F6F8FA"/>
          </w:tcPr>
          <w:p>
            <w:pPr>
              <w:spacing w:after="0" w:before="0" w:line="254" w:lineRule="auto"/>
            </w:pPr>
            <w:r>
              <w:rPr>
                <w:b w:val="0"/>
                <w:sz w:val="20"/>
              </w:rPr>
              <w:t>Fire safety</w:t>
            </w:r>
          </w:p>
        </w:tc>
        <w:tc>
          <w:tcPr>
            <w:tcW w:type="dxa" w:w="7848"/>
            <w:vAlign w:val="center"/>
            <w:tcMar>
              <w:top w:w="75" w:type="dxa"/>
              <w:bottom w:w="75" w:type="dxa"/>
              <w:left w:w="95" w:type="dxa"/>
              <w:right w:w="95" w:type="dxa"/>
            </w:tcMar>
            <w:shd w:fill="F6F8FA"/>
          </w:tcPr>
          <w:p>
            <w:pPr>
              <w:spacing w:after="0" w:before="0" w:line="254" w:lineRule="auto"/>
            </w:pPr>
            <w:r>
              <w:rPr>
                <w:b w:val="0"/>
                <w:sz w:val="20"/>
              </w:rPr>
              <w:t>Provide fire retardant interior materials and explain the fire safety features of the proposed units. The fire alarm will be installed separately. Allow for coordination with that installer and identify the connection or preparation works included in your price.</w:t>
            </w:r>
          </w:p>
        </w:tc>
      </w:tr>
    </w:tbl>
    <w:p>
      <w:pPr>
        <w:spacing w:after="80" w:line="20" w:lineRule="exact"/>
      </w:pPr>
      <w:r>
        <w:rPr>
          <w:b w:val="0"/>
          <w:sz w:val="2"/>
        </w:rPr>
      </w:r>
    </w:p>
    <w:p>
      <w:r>
        <w:rPr>
          <w:b w:val="0"/>
        </w:rPr>
        <w:t>The existing pods have power, gas, fire alarm and water connections. These are expected to be transferred to the new units where suitable. No service drawings are available. Suppliers should check connection points during a site visit and explain the works allowed for in their price. Raise any issue that affects scope or price through eTenders before the question deadline.</w:t>
      </w:r>
    </w:p>
    <w:p>
      <w:pPr>
        <w:pStyle w:val="Heading1"/>
        <w:pageBreakBefore/>
      </w:pPr>
      <w:r>
        <w:t>3 Fit out warranties and support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1584"/>
        <w:gridCol w:w="7848"/>
      </w:tblGrid>
      <w:tr>
        <w:trPr>
          <w:cantSplit/>
          <w:tblHeader/>
        </w:trPr>
        <w:tc>
          <w:tcPr>
            <w:tcW w:type="dxa" w:w="792"/>
            <w:vAlign w:val="center"/>
            <w:tcMar>
              <w:top w:w="75" w:type="dxa"/>
              <w:bottom w:w="75" w:type="dxa"/>
              <w:left w:w="95" w:type="dxa"/>
              <w:right w:w="95" w:type="dxa"/>
            </w:tcMar>
            <w:shd w:fill="DCE6EC"/>
          </w:tcPr>
          <w:p>
            <w:pPr>
              <w:spacing w:after="0" w:before="0" w:line="254" w:lineRule="auto"/>
              <w:jc w:val="center"/>
            </w:pPr>
            <w:r>
              <w:rPr>
                <w:b/>
                <w:sz w:val="21"/>
              </w:rPr>
              <w:t>Ref</w:t>
            </w:r>
          </w:p>
        </w:tc>
        <w:tc>
          <w:tcPr>
            <w:tcW w:type="dxa" w:w="1584"/>
            <w:vAlign w:val="center"/>
            <w:tcMar>
              <w:top w:w="75" w:type="dxa"/>
              <w:bottom w:w="75" w:type="dxa"/>
              <w:left w:w="95" w:type="dxa"/>
              <w:right w:w="95" w:type="dxa"/>
            </w:tcMar>
            <w:shd w:fill="DCE6EC"/>
          </w:tcPr>
          <w:p>
            <w:pPr>
              <w:spacing w:after="0" w:before="0" w:line="254" w:lineRule="auto"/>
            </w:pPr>
            <w:r>
              <w:rPr>
                <w:b/>
                <w:sz w:val="21"/>
              </w:rPr>
              <w:t>Item</w:t>
            </w:r>
          </w:p>
        </w:tc>
        <w:tc>
          <w:tcPr>
            <w:tcW w:type="dxa" w:w="7848"/>
            <w:vAlign w:val="center"/>
            <w:tcMar>
              <w:top w:w="75" w:type="dxa"/>
              <w:bottom w:w="75" w:type="dxa"/>
              <w:left w:w="95" w:type="dxa"/>
              <w:right w:w="95" w:type="dxa"/>
            </w:tcMar>
            <w:shd w:fill="DCE6EC"/>
          </w:tcPr>
          <w:p>
            <w:pPr>
              <w:spacing w:after="0" w:before="0" w:line="254" w:lineRule="auto"/>
            </w:pPr>
            <w:r>
              <w:rPr>
                <w:b/>
                <w:sz w:val="21"/>
              </w:rPr>
              <w:t>Requirement</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M9</w:t>
            </w:r>
          </w:p>
        </w:tc>
        <w:tc>
          <w:tcPr>
            <w:tcW w:type="dxa" w:w="1584"/>
            <w:vAlign w:val="center"/>
            <w:tcMar>
              <w:top w:w="75" w:type="dxa"/>
              <w:bottom w:w="75" w:type="dxa"/>
              <w:left w:w="95" w:type="dxa"/>
              <w:right w:w="95" w:type="dxa"/>
            </w:tcMar>
            <w:shd w:fill="FFFFFF"/>
          </w:tcPr>
          <w:p>
            <w:pPr>
              <w:spacing w:after="0" w:before="0" w:line="254" w:lineRule="auto"/>
            </w:pPr>
            <w:r>
              <w:rPr>
                <w:b w:val="0"/>
                <w:sz w:val="21"/>
              </w:rPr>
              <w:t>Floors and wall finishes</w:t>
            </w:r>
          </w:p>
        </w:tc>
        <w:tc>
          <w:tcPr>
            <w:tcW w:type="dxa" w:w="7848"/>
            <w:vAlign w:val="center"/>
            <w:tcMar>
              <w:top w:w="75" w:type="dxa"/>
              <w:bottom w:w="75" w:type="dxa"/>
              <w:left w:w="95" w:type="dxa"/>
              <w:right w:w="95" w:type="dxa"/>
            </w:tcMar>
            <w:shd w:fill="FFFFFF"/>
          </w:tcPr>
          <w:p>
            <w:pPr>
              <w:spacing w:after="0" w:before="0" w:line="254" w:lineRule="auto"/>
            </w:pPr>
            <w:r>
              <w:rPr>
                <w:b w:val="0"/>
                <w:sz w:val="21"/>
              </w:rPr>
              <w:t>Provide ceramic floor tiles throughout each home and ceramic tiles to the bathroom shower cubicle walls. Finishes must be durable and easy to clean.</w:t>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M10</w:t>
            </w:r>
          </w:p>
        </w:tc>
        <w:tc>
          <w:tcPr>
            <w:tcW w:type="dxa" w:w="1584"/>
            <w:vAlign w:val="center"/>
            <w:tcMar>
              <w:top w:w="75" w:type="dxa"/>
              <w:bottom w:w="75" w:type="dxa"/>
              <w:left w:w="95" w:type="dxa"/>
              <w:right w:w="95" w:type="dxa"/>
            </w:tcMar>
            <w:shd w:fill="F6F8FA"/>
          </w:tcPr>
          <w:p>
            <w:pPr>
              <w:spacing w:after="0" w:before="0" w:line="254" w:lineRule="auto"/>
            </w:pPr>
            <w:r>
              <w:rPr>
                <w:b w:val="0"/>
                <w:sz w:val="21"/>
              </w:rPr>
              <w:t>Kitchen and appliances</w:t>
            </w:r>
          </w:p>
        </w:tc>
        <w:tc>
          <w:tcPr>
            <w:tcW w:type="dxa" w:w="7848"/>
            <w:vAlign w:val="center"/>
            <w:tcMar>
              <w:top w:w="75" w:type="dxa"/>
              <w:bottom w:w="75" w:type="dxa"/>
              <w:left w:w="95" w:type="dxa"/>
              <w:right w:w="95" w:type="dxa"/>
            </w:tcMar>
            <w:shd w:fill="F6F8FA"/>
          </w:tcPr>
          <w:p>
            <w:pPr>
              <w:spacing w:after="0" w:before="0" w:line="254" w:lineRule="auto"/>
            </w:pPr>
            <w:r>
              <w:rPr>
                <w:b w:val="0"/>
                <w:sz w:val="21"/>
              </w:rPr>
              <w:t>Each unit must have a fitted kitchen, one induction hob, fridge freezer, air fryer, microwave, kettle, toaster and washing machine. Include supply, fitting and connections.</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M11</w:t>
            </w:r>
          </w:p>
        </w:tc>
        <w:tc>
          <w:tcPr>
            <w:tcW w:type="dxa" w:w="1584"/>
            <w:vAlign w:val="center"/>
            <w:tcMar>
              <w:top w:w="75" w:type="dxa"/>
              <w:bottom w:w="75" w:type="dxa"/>
              <w:left w:w="95" w:type="dxa"/>
              <w:right w:w="95" w:type="dxa"/>
            </w:tcMar>
            <w:shd w:fill="FFFFFF"/>
          </w:tcPr>
          <w:p>
            <w:pPr>
              <w:spacing w:after="0" w:before="0" w:line="254" w:lineRule="auto"/>
            </w:pPr>
            <w:r>
              <w:rPr>
                <w:b w:val="0"/>
                <w:sz w:val="21"/>
              </w:rPr>
              <w:t>Bathroom and furniture</w:t>
            </w:r>
          </w:p>
        </w:tc>
        <w:tc>
          <w:tcPr>
            <w:tcW w:type="dxa" w:w="7848"/>
            <w:vAlign w:val="center"/>
            <w:tcMar>
              <w:top w:w="75" w:type="dxa"/>
              <w:bottom w:w="75" w:type="dxa"/>
              <w:left w:w="95" w:type="dxa"/>
              <w:right w:w="95" w:type="dxa"/>
            </w:tcMar>
            <w:shd w:fill="FFFFFF"/>
          </w:tcPr>
          <w:p>
            <w:pPr>
              <w:spacing w:after="0" w:before="0" w:line="254" w:lineRule="auto"/>
            </w:pPr>
            <w:r>
              <w:rPr>
                <w:b w:val="0"/>
                <w:sz w:val="21"/>
              </w:rPr>
              <w:t>Each unit must have a shower with tray and doors, vanity unit with hand basin and taps, and a back to wall toilet. Include a double bed, sofa or settee, kitchen breakfast bar with stools and bedroom furniture. List the furniture included.</w:t>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M12</w:t>
            </w:r>
          </w:p>
        </w:tc>
        <w:tc>
          <w:tcPr>
            <w:tcW w:type="dxa" w:w="1584"/>
            <w:vAlign w:val="center"/>
            <w:tcMar>
              <w:top w:w="75" w:type="dxa"/>
              <w:bottom w:w="75" w:type="dxa"/>
              <w:left w:w="95" w:type="dxa"/>
              <w:right w:w="95" w:type="dxa"/>
            </w:tcMar>
            <w:shd w:fill="F6F8FA"/>
          </w:tcPr>
          <w:p>
            <w:pPr>
              <w:spacing w:after="0" w:before="0" w:line="254" w:lineRule="auto"/>
            </w:pPr>
            <w:r>
              <w:rPr>
                <w:b w:val="0"/>
                <w:sz w:val="21"/>
              </w:rPr>
              <w:t>Delivery and handover</w:t>
            </w:r>
          </w:p>
        </w:tc>
        <w:tc>
          <w:tcPr>
            <w:tcW w:type="dxa" w:w="7848"/>
            <w:vAlign w:val="center"/>
            <w:tcMar>
              <w:top w:w="75" w:type="dxa"/>
              <w:bottom w:w="75" w:type="dxa"/>
              <w:left w:w="95" w:type="dxa"/>
              <w:right w:w="95" w:type="dxa"/>
            </w:tcMar>
            <w:shd w:fill="F6F8FA"/>
          </w:tcPr>
          <w:p>
            <w:pPr>
              <w:spacing w:after="0" w:before="0" w:line="254" w:lineRule="auto"/>
            </w:pPr>
            <w:r>
              <w:rPr>
                <w:b w:val="0"/>
                <w:sz w:val="21"/>
              </w:rPr>
              <w:t>Include transport to Waterford, lifting, installation, site works, testing and handover. Remove all waste from your works and leave the site clean. Provide operating manuals, maintenance guidance, warranty documents, relevant certificates and training for Depaul staff.</w:t>
            </w:r>
          </w:p>
        </w:tc>
      </w:tr>
    </w:tbl>
    <w:p>
      <w:pPr>
        <w:spacing w:after="80" w:line="20" w:lineRule="exact"/>
      </w:pPr>
      <w:r>
        <w:rPr>
          <w:b w:val="0"/>
          <w:sz w:val="2"/>
        </w:rPr>
      </w:r>
    </w:p>
    <w:p>
      <w:pPr>
        <w:pStyle w:val="Heading2"/>
      </w:pPr>
      <w:r>
        <w:t>Minimum warranties</w:t>
      </w:r>
    </w:p>
    <w:p>
      <w:r>
        <w:rPr>
          <w:b w:val="0"/>
        </w:rPr>
        <w:t>The following minimum cover must be included in the price and start from handover of the completed units. State who provides each warranty and give the terms, exclusions and any maintenance conditions.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1656"/>
        <w:gridCol w:w="6912"/>
      </w:tblGrid>
      <w:tr>
        <w:trPr>
          <w:cantSplit/>
          <w:tblHeader/>
        </w:trPr>
        <w:tc>
          <w:tcPr>
            <w:tcW w:type="dxa" w:w="1656"/>
            <w:vAlign w:val="center"/>
            <w:tcMar>
              <w:top w:w="75" w:type="dxa"/>
              <w:bottom w:w="75" w:type="dxa"/>
              <w:left w:w="95" w:type="dxa"/>
              <w:right w:w="95" w:type="dxa"/>
            </w:tcMar>
            <w:shd w:fill="DCE6EC"/>
          </w:tcPr>
          <w:p>
            <w:pPr>
              <w:spacing w:after="0" w:before="0" w:line="254" w:lineRule="auto"/>
            </w:pPr>
            <w:r>
              <w:rPr>
                <w:b/>
                <w:sz w:val="21"/>
              </w:rPr>
              <w:t>Item</w:t>
            </w:r>
          </w:p>
        </w:tc>
        <w:tc>
          <w:tcPr>
            <w:tcW w:type="dxa" w:w="1656"/>
            <w:vAlign w:val="center"/>
            <w:tcMar>
              <w:top w:w="75" w:type="dxa"/>
              <w:bottom w:w="75" w:type="dxa"/>
              <w:left w:w="95" w:type="dxa"/>
              <w:right w:w="95" w:type="dxa"/>
            </w:tcMar>
            <w:shd w:fill="DCE6EC"/>
          </w:tcPr>
          <w:p>
            <w:pPr>
              <w:spacing w:after="0" w:before="0" w:line="254" w:lineRule="auto"/>
            </w:pPr>
            <w:r>
              <w:rPr>
                <w:b/>
                <w:sz w:val="21"/>
              </w:rPr>
              <w:t>Minimum cover</w:t>
            </w:r>
          </w:p>
        </w:tc>
        <w:tc>
          <w:tcPr>
            <w:tcW w:type="dxa" w:w="6912"/>
            <w:vAlign w:val="center"/>
            <w:tcMar>
              <w:top w:w="75" w:type="dxa"/>
              <w:bottom w:w="75" w:type="dxa"/>
              <w:left w:w="95" w:type="dxa"/>
              <w:right w:w="95" w:type="dxa"/>
            </w:tcMar>
            <w:shd w:fill="DCE6EC"/>
          </w:tcPr>
          <w:p>
            <w:pPr>
              <w:spacing w:after="0" w:before="0" w:line="254" w:lineRule="auto"/>
            </w:pPr>
            <w:r>
              <w:rPr>
                <w:b/>
                <w:sz w:val="21"/>
              </w:rPr>
              <w:t>Details</w:t>
            </w:r>
          </w:p>
        </w:tc>
      </w:tr>
      <w:tr>
        <w:trPr>
          <w:cantSplit/>
        </w:trPr>
        <w:tc>
          <w:tcPr>
            <w:tcW w:type="dxa" w:w="1656"/>
            <w:vAlign w:val="center"/>
            <w:tcMar>
              <w:top w:w="75" w:type="dxa"/>
              <w:bottom w:w="75" w:type="dxa"/>
              <w:left w:w="95" w:type="dxa"/>
              <w:right w:w="95" w:type="dxa"/>
            </w:tcMar>
            <w:shd w:fill="FFFFFF"/>
          </w:tcPr>
          <w:p>
            <w:pPr>
              <w:spacing w:after="0" w:before="0" w:line="254" w:lineRule="auto"/>
            </w:pPr>
            <w:r>
              <w:rPr>
                <w:b w:val="0"/>
                <w:sz w:val="21"/>
              </w:rPr>
              <w:t>Structure</w:t>
            </w:r>
          </w:p>
        </w:tc>
        <w:tc>
          <w:tcPr>
            <w:tcW w:type="dxa" w:w="1656"/>
            <w:vAlign w:val="center"/>
            <w:tcMar>
              <w:top w:w="75" w:type="dxa"/>
              <w:bottom w:w="75" w:type="dxa"/>
              <w:left w:w="95" w:type="dxa"/>
              <w:right w:w="95" w:type="dxa"/>
            </w:tcMar>
            <w:shd w:fill="FFFFFF"/>
          </w:tcPr>
          <w:p>
            <w:pPr>
              <w:spacing w:after="0" w:before="0" w:line="254" w:lineRule="auto"/>
            </w:pPr>
            <w:r>
              <w:rPr>
                <w:b w:val="0"/>
                <w:sz w:val="21"/>
              </w:rPr>
              <w:t>10 years</w:t>
            </w:r>
          </w:p>
        </w:tc>
        <w:tc>
          <w:tcPr>
            <w:tcW w:type="dxa" w:w="6912"/>
            <w:vAlign w:val="center"/>
            <w:tcMar>
              <w:top w:w="75" w:type="dxa"/>
              <w:bottom w:w="75" w:type="dxa"/>
              <w:left w:w="95" w:type="dxa"/>
              <w:right w:w="95" w:type="dxa"/>
            </w:tcMar>
            <w:shd w:fill="FFFFFF"/>
          </w:tcPr>
          <w:p>
            <w:pPr>
              <w:spacing w:after="0" w:before="0" w:line="254" w:lineRule="auto"/>
            </w:pPr>
            <w:r>
              <w:rPr>
                <w:b w:val="0"/>
                <w:sz w:val="21"/>
              </w:rPr>
              <w:t>Cover the structural integrity of the frame supplied.</w:t>
            </w:r>
          </w:p>
        </w:tc>
      </w:tr>
      <w:tr>
        <w:trPr>
          <w:cantSplit/>
        </w:trPr>
        <w:tc>
          <w:tcPr>
            <w:tcW w:type="dxa" w:w="1656"/>
            <w:vAlign w:val="center"/>
            <w:tcMar>
              <w:top w:w="75" w:type="dxa"/>
              <w:bottom w:w="75" w:type="dxa"/>
              <w:left w:w="95" w:type="dxa"/>
              <w:right w:w="95" w:type="dxa"/>
            </w:tcMar>
            <w:shd w:fill="F6F8FA"/>
          </w:tcPr>
          <w:p>
            <w:pPr>
              <w:spacing w:after="0" w:before="0" w:line="254" w:lineRule="auto"/>
            </w:pPr>
            <w:r>
              <w:rPr>
                <w:b w:val="0"/>
                <w:sz w:val="21"/>
              </w:rPr>
              <w:t>Timber</w:t>
            </w:r>
          </w:p>
        </w:tc>
        <w:tc>
          <w:tcPr>
            <w:tcW w:type="dxa" w:w="1656"/>
            <w:vAlign w:val="center"/>
            <w:tcMar>
              <w:top w:w="75" w:type="dxa"/>
              <w:bottom w:w="75" w:type="dxa"/>
              <w:left w:w="95" w:type="dxa"/>
              <w:right w:w="95" w:type="dxa"/>
            </w:tcMar>
            <w:shd w:fill="F6F8FA"/>
          </w:tcPr>
          <w:p>
            <w:pPr>
              <w:spacing w:after="0" w:before="0" w:line="254" w:lineRule="auto"/>
            </w:pPr>
            <w:r>
              <w:rPr>
                <w:b w:val="0"/>
                <w:sz w:val="21"/>
              </w:rPr>
              <w:t>10 years</w:t>
            </w:r>
          </w:p>
        </w:tc>
        <w:tc>
          <w:tcPr>
            <w:tcW w:type="dxa" w:w="6912"/>
            <w:vAlign w:val="center"/>
            <w:tcMar>
              <w:top w:w="75" w:type="dxa"/>
              <w:bottom w:w="75" w:type="dxa"/>
              <w:left w:w="95" w:type="dxa"/>
              <w:right w:w="95" w:type="dxa"/>
            </w:tcMar>
            <w:shd w:fill="F6F8FA"/>
          </w:tcPr>
          <w:p>
            <w:pPr>
              <w:spacing w:after="0" w:before="0" w:line="254" w:lineRule="auto"/>
            </w:pPr>
            <w:r>
              <w:rPr>
                <w:b w:val="0"/>
                <w:sz w:val="21"/>
              </w:rPr>
              <w:t>Where timber is used, cover insect infestation, rot and fungal decay, including making good or replacement as needed.</w:t>
            </w:r>
          </w:p>
        </w:tc>
      </w:tr>
      <w:tr>
        <w:trPr>
          <w:cantSplit/>
        </w:trPr>
        <w:tc>
          <w:tcPr>
            <w:tcW w:type="dxa" w:w="1656"/>
            <w:vAlign w:val="center"/>
            <w:tcMar>
              <w:top w:w="75" w:type="dxa"/>
              <w:bottom w:w="75" w:type="dxa"/>
              <w:left w:w="95" w:type="dxa"/>
              <w:right w:w="95" w:type="dxa"/>
            </w:tcMar>
            <w:shd w:fill="FFFFFF"/>
          </w:tcPr>
          <w:p>
            <w:pPr>
              <w:spacing w:after="0" w:before="0" w:line="254" w:lineRule="auto"/>
            </w:pPr>
            <w:r>
              <w:rPr>
                <w:b w:val="0"/>
                <w:sz w:val="21"/>
              </w:rPr>
              <w:t>Windows</w:t>
            </w:r>
          </w:p>
        </w:tc>
        <w:tc>
          <w:tcPr>
            <w:tcW w:type="dxa" w:w="1656"/>
            <w:vAlign w:val="center"/>
            <w:tcMar>
              <w:top w:w="75" w:type="dxa"/>
              <w:bottom w:w="75" w:type="dxa"/>
              <w:left w:w="95" w:type="dxa"/>
              <w:right w:w="95" w:type="dxa"/>
            </w:tcMar>
            <w:shd w:fill="FFFFFF"/>
          </w:tcPr>
          <w:p>
            <w:pPr>
              <w:spacing w:after="0" w:before="0" w:line="254" w:lineRule="auto"/>
            </w:pPr>
            <w:r>
              <w:rPr>
                <w:b w:val="0"/>
                <w:sz w:val="21"/>
              </w:rPr>
              <w:t>10 years</w:t>
            </w:r>
          </w:p>
        </w:tc>
        <w:tc>
          <w:tcPr>
            <w:tcW w:type="dxa" w:w="6912"/>
            <w:vAlign w:val="center"/>
            <w:tcMar>
              <w:top w:w="75" w:type="dxa"/>
              <w:bottom w:w="75" w:type="dxa"/>
              <w:left w:w="95" w:type="dxa"/>
              <w:right w:w="95" w:type="dxa"/>
            </w:tcMar>
            <w:shd w:fill="FFFFFF"/>
          </w:tcPr>
          <w:p>
            <w:pPr>
              <w:spacing w:after="0" w:before="0" w:line="254" w:lineRule="auto"/>
            </w:pPr>
            <w:r>
              <w:rPr>
                <w:b w:val="0"/>
                <w:sz w:val="21"/>
              </w:rPr>
              <w:t>Explain the parts and work covered.</w:t>
            </w:r>
          </w:p>
        </w:tc>
      </w:tr>
      <w:tr>
        <w:trPr>
          <w:cantSplit/>
        </w:trPr>
        <w:tc>
          <w:tcPr>
            <w:tcW w:type="dxa" w:w="1656"/>
            <w:vAlign w:val="center"/>
            <w:tcMar>
              <w:top w:w="75" w:type="dxa"/>
              <w:bottom w:w="75" w:type="dxa"/>
              <w:left w:w="95" w:type="dxa"/>
              <w:right w:w="95" w:type="dxa"/>
            </w:tcMar>
            <w:shd w:fill="F6F8FA"/>
          </w:tcPr>
          <w:p>
            <w:pPr>
              <w:spacing w:after="0" w:before="0" w:line="254" w:lineRule="auto"/>
            </w:pPr>
            <w:r>
              <w:rPr>
                <w:b w:val="0"/>
                <w:sz w:val="21"/>
              </w:rPr>
              <w:t>Built in appliances</w:t>
            </w:r>
          </w:p>
        </w:tc>
        <w:tc>
          <w:tcPr>
            <w:tcW w:type="dxa" w:w="1656"/>
            <w:vAlign w:val="center"/>
            <w:tcMar>
              <w:top w:w="75" w:type="dxa"/>
              <w:bottom w:w="75" w:type="dxa"/>
              <w:left w:w="95" w:type="dxa"/>
              <w:right w:w="95" w:type="dxa"/>
            </w:tcMar>
            <w:shd w:fill="F6F8FA"/>
          </w:tcPr>
          <w:p>
            <w:pPr>
              <w:spacing w:after="0" w:before="0" w:line="254" w:lineRule="auto"/>
            </w:pPr>
            <w:r>
              <w:rPr>
                <w:b w:val="0"/>
                <w:sz w:val="21"/>
              </w:rPr>
              <w:t>3 years</w:t>
            </w:r>
          </w:p>
        </w:tc>
        <w:tc>
          <w:tcPr>
            <w:tcW w:type="dxa" w:w="6912"/>
            <w:vAlign w:val="center"/>
            <w:tcMar>
              <w:top w:w="75" w:type="dxa"/>
              <w:bottom w:w="75" w:type="dxa"/>
              <w:left w:w="95" w:type="dxa"/>
              <w:right w:w="95" w:type="dxa"/>
            </w:tcMar>
            <w:shd w:fill="F6F8FA"/>
          </w:tcPr>
          <w:p>
            <w:pPr>
              <w:spacing w:after="0" w:before="0" w:line="254" w:lineRule="auto"/>
            </w:pPr>
            <w:r>
              <w:rPr>
                <w:b w:val="0"/>
                <w:sz w:val="21"/>
              </w:rPr>
              <w:t>Identify the appliances covered and the claims process.</w:t>
            </w:r>
          </w:p>
        </w:tc>
      </w:tr>
    </w:tbl>
    <w:p>
      <w:pPr>
        <w:spacing w:after="80" w:line="20" w:lineRule="exact"/>
      </w:pPr>
      <w:r>
        <w:rPr>
          <w:b w:val="0"/>
          <w:sz w:val="2"/>
        </w:rPr>
      </w:r>
    </w:p>
    <w:p>
      <w:pPr>
        <w:pStyle w:val="Heading2"/>
      </w:pPr>
      <w:r>
        <w:t>Support after delivery</w:t>
      </w:r>
    </w:p>
    <w:p>
      <w:r>
        <w:rPr>
          <w:b w:val="0"/>
        </w:rPr>
        <w:t>Give a named support contact, opening hours and the process for reporting faults. State how quickly you will respond, attend the site and aim to fix urgent and routine issues. Explain the staff training, manuals and maintenance guidance included. Show any optional ongoing service charges separately.</w:t>
      </w:r>
    </w:p>
    <w:p>
      <w:pPr>
        <w:pStyle w:val="Heading2"/>
      </w:pPr>
      <w:r>
        <w:t>Programme and sustainability</w:t>
      </w:r>
    </w:p>
    <w:p>
      <w:r>
        <w:rPr>
          <w:b w:val="0"/>
        </w:rPr>
        <w:t>Provide a clear programme covering design, manufacture, delivery, installation and handover. Explain transport and lifting arrangements and how you will manage likely delays. Describe any environmental benefits of the materials, manufacturing methods or energy saving features, with evidence where available. Renewable energy options are welcome; make clear whether they are included or optional.</w:t>
      </w:r>
    </w:p>
    <w:p>
      <w:pPr>
        <w:pStyle w:val="Heading1"/>
        <w:pageBreakBefore/>
      </w:pPr>
      <w:r>
        <w:t>4 What to submit</w:t>
      </w:r>
    </w:p>
    <w:p>
      <w:r>
        <w:rPr>
          <w:b w:val="0"/>
        </w:rPr>
        <w:t>Complete the Tender Response and Pricing document and attach the supporting documents listed below. Keep answers relevant to this project and use the same section numbers. Previous bidders must submit a new response for this competition.</w:t>
      </w:r>
    </w:p>
    <w:p>
      <w:pPr>
        <w:pStyle w:val="Heading2"/>
      </w:pPr>
      <w:r>
        <w:t>Initial checks</w:t>
      </w:r>
    </w:p>
    <w:p>
      <w:r>
        <w:rPr>
          <w:b w:val="0"/>
        </w:rPr>
        <w:t>Depaul will first check the following on a pass or fail basis. Suppliers must meet the mandatory requirements before their quality and price can be scored.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8280"/>
      </w:tblGrid>
      <w:tr>
        <w:trPr>
          <w:cantSplit/>
          <w:tblHeader/>
        </w:trPr>
        <w:tc>
          <w:tcPr>
            <w:tcW w:type="dxa" w:w="1944"/>
            <w:vAlign w:val="center"/>
            <w:tcMar>
              <w:top w:w="75" w:type="dxa"/>
              <w:bottom w:w="75" w:type="dxa"/>
              <w:left w:w="95" w:type="dxa"/>
              <w:right w:w="95" w:type="dxa"/>
            </w:tcMar>
            <w:shd w:fill="DCE6EC"/>
          </w:tcPr>
          <w:p>
            <w:pPr>
              <w:spacing w:after="0" w:before="0" w:line="254" w:lineRule="auto"/>
            </w:pPr>
            <w:r>
              <w:rPr>
                <w:b/>
                <w:sz w:val="20"/>
              </w:rPr>
              <w:t>Item</w:t>
            </w:r>
          </w:p>
        </w:tc>
        <w:tc>
          <w:tcPr>
            <w:tcW w:type="dxa" w:w="8280"/>
            <w:vAlign w:val="center"/>
            <w:tcMar>
              <w:top w:w="75" w:type="dxa"/>
              <w:bottom w:w="75" w:type="dxa"/>
              <w:left w:w="95" w:type="dxa"/>
              <w:right w:w="95" w:type="dxa"/>
            </w:tcMar>
            <w:shd w:fill="DCE6EC"/>
          </w:tcPr>
          <w:p>
            <w:pPr>
              <w:spacing w:after="0" w:before="0" w:line="254" w:lineRule="auto"/>
            </w:pPr>
            <w:r>
              <w:rPr>
                <w:b/>
                <w:sz w:val="20"/>
              </w:rPr>
              <w:t>What to provide</w:t>
            </w:r>
          </w:p>
        </w:tc>
      </w:tr>
      <w:tr>
        <w:trPr>
          <w:cantSplit/>
        </w:trPr>
        <w:tc>
          <w:tcPr>
            <w:tcW w:type="dxa" w:w="1944"/>
            <w:vAlign w:val="center"/>
            <w:tcMar>
              <w:top w:w="75" w:type="dxa"/>
              <w:bottom w:w="75" w:type="dxa"/>
              <w:left w:w="95" w:type="dxa"/>
              <w:right w:w="95" w:type="dxa"/>
            </w:tcMar>
            <w:shd w:fill="FFFFFF"/>
          </w:tcPr>
          <w:p>
            <w:pPr>
              <w:spacing w:after="0" w:before="0" w:line="254" w:lineRule="auto"/>
            </w:pPr>
            <w:r>
              <w:rPr>
                <w:b w:val="0"/>
                <w:sz w:val="20"/>
              </w:rPr>
              <w:t>Exclusion declaration</w:t>
            </w:r>
          </w:p>
        </w:tc>
        <w:tc>
          <w:tcPr>
            <w:tcW w:type="dxa" w:w="8280"/>
            <w:vAlign w:val="center"/>
            <w:tcMar>
              <w:top w:w="75" w:type="dxa"/>
              <w:bottom w:w="75" w:type="dxa"/>
              <w:left w:w="95" w:type="dxa"/>
              <w:right w:w="95" w:type="dxa"/>
            </w:tcMar>
            <w:shd w:fill="FFFFFF"/>
          </w:tcPr>
          <w:p>
            <w:pPr>
              <w:spacing w:after="0" w:before="0" w:line="254" w:lineRule="auto"/>
            </w:pPr>
            <w:r>
              <w:rPr>
                <w:b w:val="0"/>
                <w:sz w:val="20"/>
              </w:rPr>
              <w:t>A signed declaration on company headed paper addressing the exclusion grounds in Regulation 57 of S.I. No. 284/2016 for the company, directors and proposed subcontractors. Disclose any relevant matter and any steps taken to address it.</w:t>
            </w:r>
          </w:p>
        </w:tc>
      </w:tr>
      <w:tr>
        <w:trPr>
          <w:cantSplit/>
        </w:trPr>
        <w:tc>
          <w:tcPr>
            <w:tcW w:type="dxa" w:w="1944"/>
            <w:vAlign w:val="center"/>
            <w:tcMar>
              <w:top w:w="75" w:type="dxa"/>
              <w:bottom w:w="75" w:type="dxa"/>
              <w:left w:w="95" w:type="dxa"/>
              <w:right w:w="95" w:type="dxa"/>
            </w:tcMar>
            <w:shd w:fill="F6F8FA"/>
          </w:tcPr>
          <w:p>
            <w:pPr>
              <w:spacing w:after="0" w:before="0" w:line="254" w:lineRule="auto"/>
            </w:pPr>
            <w:r>
              <w:rPr>
                <w:b w:val="0"/>
                <w:sz w:val="20"/>
              </w:rPr>
              <w:t>Tax clearance</w:t>
            </w:r>
          </w:p>
        </w:tc>
        <w:tc>
          <w:tcPr>
            <w:tcW w:type="dxa" w:w="8280"/>
            <w:vAlign w:val="center"/>
            <w:tcMar>
              <w:top w:w="75" w:type="dxa"/>
              <w:bottom w:w="75" w:type="dxa"/>
              <w:left w:w="95" w:type="dxa"/>
              <w:right w:w="95" w:type="dxa"/>
            </w:tcMar>
            <w:shd w:fill="F6F8FA"/>
          </w:tcPr>
          <w:p>
            <w:pPr>
              <w:spacing w:after="0" w:before="0" w:line="254" w:lineRule="auto"/>
            </w:pPr>
            <w:r>
              <w:rPr>
                <w:b w:val="0"/>
                <w:sz w:val="20"/>
              </w:rPr>
              <w:t>Current tax clearance details, including the Revenue reference and access number for verification, or equivalent evidence where applicable.</w:t>
            </w:r>
          </w:p>
        </w:tc>
      </w:tr>
      <w:tr>
        <w:trPr>
          <w:cantSplit/>
        </w:trPr>
        <w:tc>
          <w:tcPr>
            <w:tcW w:type="dxa" w:w="1944"/>
            <w:vAlign w:val="center"/>
            <w:tcMar>
              <w:top w:w="75" w:type="dxa"/>
              <w:bottom w:w="75" w:type="dxa"/>
              <w:left w:w="95" w:type="dxa"/>
              <w:right w:w="95" w:type="dxa"/>
            </w:tcMar>
            <w:shd w:fill="FFFFFF"/>
          </w:tcPr>
          <w:p>
            <w:pPr>
              <w:spacing w:after="0" w:before="0" w:line="254" w:lineRule="auto"/>
            </w:pPr>
            <w:r>
              <w:rPr>
                <w:b w:val="0"/>
                <w:sz w:val="20"/>
              </w:rPr>
              <w:t>Financial information</w:t>
            </w:r>
          </w:p>
        </w:tc>
        <w:tc>
          <w:tcPr>
            <w:tcW w:type="dxa" w:w="8280"/>
            <w:vAlign w:val="center"/>
            <w:tcMar>
              <w:top w:w="75" w:type="dxa"/>
              <w:bottom w:w="75" w:type="dxa"/>
              <w:left w:w="95" w:type="dxa"/>
              <w:right w:w="95" w:type="dxa"/>
            </w:tcMar>
            <w:shd w:fill="FFFFFF"/>
          </w:tcPr>
          <w:p>
            <w:pPr>
              <w:spacing w:after="0" w:before="0" w:line="254" w:lineRule="auto"/>
            </w:pPr>
            <w:r>
              <w:rPr>
                <w:b w:val="0"/>
                <w:sz w:val="20"/>
              </w:rPr>
              <w:t>Audited accounts for the last three financial years, where available. If unavailable, provide equivalent evidence of financial capacity and explain why.</w:t>
            </w:r>
          </w:p>
        </w:tc>
      </w:tr>
      <w:tr>
        <w:trPr>
          <w:cantSplit/>
        </w:trPr>
        <w:tc>
          <w:tcPr>
            <w:tcW w:type="dxa" w:w="1944"/>
            <w:vAlign w:val="center"/>
            <w:tcMar>
              <w:top w:w="75" w:type="dxa"/>
              <w:bottom w:w="75" w:type="dxa"/>
              <w:left w:w="95" w:type="dxa"/>
              <w:right w:w="95" w:type="dxa"/>
            </w:tcMar>
            <w:shd w:fill="F6F8FA"/>
          </w:tcPr>
          <w:p>
            <w:pPr>
              <w:spacing w:after="0" w:before="0" w:line="254" w:lineRule="auto"/>
            </w:pPr>
            <w:r>
              <w:rPr>
                <w:b w:val="0"/>
                <w:sz w:val="20"/>
              </w:rPr>
              <w:t>Insurance</w:t>
            </w:r>
          </w:p>
        </w:tc>
        <w:tc>
          <w:tcPr>
            <w:tcW w:type="dxa" w:w="8280"/>
            <w:vAlign w:val="center"/>
            <w:tcMar>
              <w:top w:w="75" w:type="dxa"/>
              <w:bottom w:w="75" w:type="dxa"/>
              <w:left w:w="95" w:type="dxa"/>
              <w:right w:w="95" w:type="dxa"/>
            </w:tcMar>
            <w:shd w:fill="F6F8FA"/>
          </w:tcPr>
          <w:p>
            <w:pPr>
              <w:spacing w:after="0" w:before="0" w:line="254" w:lineRule="auto"/>
            </w:pPr>
            <w:r>
              <w:rPr>
                <w:b w:val="0"/>
                <w:sz w:val="20"/>
              </w:rPr>
              <w:t>Evidence of insurance appropriate to the proposed works, with the types, limits and expiry dates, or a signed undertaking to obtain appropriate cover before award.</w:t>
            </w:r>
          </w:p>
        </w:tc>
      </w:tr>
      <w:tr>
        <w:trPr>
          <w:cantSplit/>
        </w:trPr>
        <w:tc>
          <w:tcPr>
            <w:tcW w:type="dxa" w:w="1944"/>
            <w:vAlign w:val="center"/>
            <w:tcMar>
              <w:top w:w="75" w:type="dxa"/>
              <w:bottom w:w="75" w:type="dxa"/>
              <w:left w:w="95" w:type="dxa"/>
              <w:right w:w="95" w:type="dxa"/>
            </w:tcMar>
            <w:shd w:fill="FFFFFF"/>
          </w:tcPr>
          <w:p>
            <w:pPr>
              <w:spacing w:after="0" w:before="0" w:line="254" w:lineRule="auto"/>
            </w:pPr>
            <w:r>
              <w:rPr>
                <w:b w:val="0"/>
                <w:sz w:val="20"/>
              </w:rPr>
              <w:t>Conflict of interest</w:t>
            </w:r>
          </w:p>
        </w:tc>
        <w:tc>
          <w:tcPr>
            <w:tcW w:type="dxa" w:w="8280"/>
            <w:vAlign w:val="center"/>
            <w:tcMar>
              <w:top w:w="75" w:type="dxa"/>
              <w:bottom w:w="75" w:type="dxa"/>
              <w:left w:w="95" w:type="dxa"/>
              <w:right w:w="95" w:type="dxa"/>
            </w:tcMar>
            <w:shd w:fill="FFFFFF"/>
          </w:tcPr>
          <w:p>
            <w:pPr>
              <w:spacing w:after="0" w:before="0" w:line="254" w:lineRule="auto"/>
            </w:pPr>
            <w:r>
              <w:rPr>
                <w:b w:val="0"/>
                <w:sz w:val="20"/>
              </w:rPr>
              <w:t>Complete and sign the declaration in the response document. This is mandatory; failure to submit it will result in disqualification.</w:t>
            </w:r>
          </w:p>
        </w:tc>
      </w:tr>
      <w:tr>
        <w:trPr>
          <w:cantSplit/>
        </w:trPr>
        <w:tc>
          <w:tcPr>
            <w:tcW w:type="dxa" w:w="1944"/>
            <w:vAlign w:val="center"/>
            <w:tcMar>
              <w:top w:w="75" w:type="dxa"/>
              <w:bottom w:w="75" w:type="dxa"/>
              <w:left w:w="95" w:type="dxa"/>
              <w:right w:w="95" w:type="dxa"/>
            </w:tcMar>
            <w:shd w:fill="F6F8FA"/>
          </w:tcPr>
          <w:p>
            <w:pPr>
              <w:spacing w:after="0" w:before="0" w:line="254" w:lineRule="auto"/>
            </w:pPr>
            <w:r>
              <w:rPr>
                <w:b w:val="0"/>
                <w:sz w:val="20"/>
              </w:rPr>
              <w:t>Relevant experience</w:t>
            </w:r>
          </w:p>
        </w:tc>
        <w:tc>
          <w:tcPr>
            <w:tcW w:type="dxa" w:w="8280"/>
            <w:vAlign w:val="center"/>
            <w:tcMar>
              <w:top w:w="75" w:type="dxa"/>
              <w:bottom w:w="75" w:type="dxa"/>
              <w:left w:w="95" w:type="dxa"/>
              <w:right w:w="95" w:type="dxa"/>
            </w:tcMar>
            <w:shd w:fill="F6F8FA"/>
          </w:tcPr>
          <w:p>
            <w:pPr>
              <w:spacing w:after="0" w:before="0" w:line="254" w:lineRule="auto"/>
            </w:pPr>
            <w:r>
              <w:rPr>
                <w:b w:val="0"/>
                <w:sz w:val="20"/>
              </w:rPr>
              <w:t>At least one similar project successfully completed in the 24 months before the closing date. It must involve the design, manufacture, delivery and installation of modular accommodation or comparable works. Give the scope, location, completion date and a client reference contact.</w:t>
            </w:r>
          </w:p>
        </w:tc>
      </w:tr>
      <w:tr>
        <w:trPr>
          <w:cantSplit/>
        </w:trPr>
        <w:tc>
          <w:tcPr>
            <w:tcW w:type="dxa" w:w="1944"/>
            <w:vAlign w:val="center"/>
            <w:tcMar>
              <w:top w:w="75" w:type="dxa"/>
              <w:bottom w:w="75" w:type="dxa"/>
              <w:left w:w="95" w:type="dxa"/>
              <w:right w:w="95" w:type="dxa"/>
            </w:tcMar>
            <w:shd w:fill="FFFFFF"/>
          </w:tcPr>
          <w:p>
            <w:pPr>
              <w:spacing w:after="0" w:before="0" w:line="254" w:lineRule="auto"/>
            </w:pPr>
            <w:r>
              <w:rPr>
                <w:b w:val="0"/>
                <w:sz w:val="20"/>
              </w:rPr>
              <w:t>Complete proposal</w:t>
            </w:r>
          </w:p>
        </w:tc>
        <w:tc>
          <w:tcPr>
            <w:tcW w:type="dxa" w:w="8280"/>
            <w:vAlign w:val="center"/>
            <w:tcMar>
              <w:top w:w="75" w:type="dxa"/>
              <w:bottom w:w="75" w:type="dxa"/>
              <w:left w:w="95" w:type="dxa"/>
              <w:right w:w="95" w:type="dxa"/>
            </w:tcMar>
            <w:shd w:fill="FFFFFF"/>
          </w:tcPr>
          <w:p>
            <w:pPr>
              <w:spacing w:after="0" w:before="0" w:line="254" w:lineRule="auto"/>
            </w:pPr>
            <w:r>
              <w:rPr>
                <w:b w:val="0"/>
                <w:sz w:val="20"/>
              </w:rPr>
              <w:t>A completed requirements checklist, the required minimum warranties, answers to T1 to T5, a complete price for all four units and the signed tender declaration.</w:t>
            </w:r>
          </w:p>
        </w:tc>
      </w:tr>
    </w:tbl>
    <w:p>
      <w:pPr>
        <w:spacing w:after="80" w:line="20" w:lineRule="exact"/>
      </w:pPr>
      <w:r>
        <w:rPr>
          <w:b w:val="0"/>
          <w:sz w:val="2"/>
        </w:rPr>
      </w:r>
    </w:p>
    <w:p>
      <w:pPr>
        <w:pStyle w:val="Heading2"/>
      </w:pPr>
      <w:r>
        <w:t>Pricing and submission rules</w:t>
      </w:r>
    </w:p>
    <w:p>
      <w:r>
        <w:rPr>
          <w:b w:val="0"/>
        </w:rPr>
        <w:t>Give one complete base proposal in euro. Include all work, materials, labour, delivery and other costs needed for the stated scope. State any assumptions or exclusions clearly. A material failure to meet a mandatory requirement may make the bid non-compliant. Optional extras must be shown separately and will not be included in the price score.</w:t>
      </w:r>
    </w:p>
    <w:p>
      <w:r>
        <w:rPr>
          <w:b w:val="0"/>
        </w:rPr>
        <w:t>For a consistent comparison, quote any removal or relocation of existing pods separately from the base price. This work is not automatically ordered. The separately installed fire alarm is also outside the base price, but include the coordination and preparation work described in M8.</w:t>
      </w:r>
    </w:p>
    <w:p>
      <w:r>
        <w:rPr>
          <w:b w:val="0"/>
        </w:rPr>
        <w:t>Keep prices fixed for at least six months from the issue date of this tender. Propose payments linked to clear stages of completed work. Submit by the deadline in eTenders. Depaul may seek permitted clarifications but suppliers should not rely on this to complete missing parts of their bid.</w:t>
      </w:r>
    </w:p>
    <w:p>
      <w:r>
        <w:rPr>
          <w:b w:val="0"/>
        </w:rPr>
        <w:t>Questions and changes will be shared through eTenders. Verbal comments during visits do not change the tender. Use the current notice and documents; old site visit dates do not apply. Depaul is not obliged to accept the lowest priced or any tender. Any award will be subject to a written contract.</w:t>
      </w:r>
    </w:p>
    <w:p>
      <w:pPr>
        <w:pStyle w:val="Heading1"/>
        <w:pageBreakBefore/>
      </w:pPr>
      <w:r>
        <w:t>5 How bids will be scored</w:t>
      </w:r>
    </w:p>
    <w:p>
      <w:r>
        <w:rPr>
          <w:b w:val="0"/>
        </w:rPr>
        <w:t>Bids that pass the initial checks will be scored out of 100. The quality questions below are the same as those in the response document. Score only the solution, features and support included in the base price.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2376"/>
        <w:gridCol w:w="792"/>
        <w:gridCol w:w="6480"/>
      </w:tblGrid>
      <w:tr>
        <w:trPr>
          <w:cantSplit/>
          <w:tblHeader/>
        </w:trPr>
        <w:tc>
          <w:tcPr>
            <w:tcW w:type="dxa" w:w="576"/>
            <w:vAlign w:val="center"/>
            <w:tcMar>
              <w:top w:w="75" w:type="dxa"/>
              <w:bottom w:w="75" w:type="dxa"/>
              <w:left w:w="95" w:type="dxa"/>
              <w:right w:w="95" w:type="dxa"/>
            </w:tcMar>
            <w:shd w:fill="DCE6EC"/>
          </w:tcPr>
          <w:p>
            <w:pPr>
              <w:spacing w:after="0" w:before="0" w:line="254" w:lineRule="auto"/>
              <w:jc w:val="center"/>
            </w:pPr>
            <w:r>
              <w:rPr>
                <w:b/>
                <w:sz w:val="21"/>
              </w:rPr>
              <w:t>Ref</w:t>
            </w:r>
          </w:p>
        </w:tc>
        <w:tc>
          <w:tcPr>
            <w:tcW w:type="dxa" w:w="2376"/>
            <w:vAlign w:val="center"/>
            <w:tcMar>
              <w:top w:w="75" w:type="dxa"/>
              <w:bottom w:w="75" w:type="dxa"/>
              <w:left w:w="95" w:type="dxa"/>
              <w:right w:w="95" w:type="dxa"/>
            </w:tcMar>
            <w:shd w:fill="DCE6EC"/>
          </w:tcPr>
          <w:p>
            <w:pPr>
              <w:spacing w:after="0" w:before="0" w:line="254" w:lineRule="auto"/>
            </w:pPr>
            <w:r>
              <w:rPr>
                <w:b/>
                <w:sz w:val="21"/>
              </w:rPr>
              <w:t>Quality criterion</w:t>
            </w:r>
          </w:p>
        </w:tc>
        <w:tc>
          <w:tcPr>
            <w:tcW w:type="dxa" w:w="792"/>
            <w:vAlign w:val="center"/>
            <w:tcMar>
              <w:top w:w="75" w:type="dxa"/>
              <w:bottom w:w="75" w:type="dxa"/>
              <w:left w:w="95" w:type="dxa"/>
              <w:right w:w="95" w:type="dxa"/>
            </w:tcMar>
            <w:shd w:fill="DCE6EC"/>
          </w:tcPr>
          <w:p>
            <w:pPr>
              <w:spacing w:after="0" w:before="0" w:line="254" w:lineRule="auto"/>
            </w:pPr>
            <w:r>
              <w:rPr>
                <w:b/>
                <w:sz w:val="21"/>
              </w:rPr>
              <w:t>Points</w:t>
            </w:r>
          </w:p>
        </w:tc>
        <w:tc>
          <w:tcPr>
            <w:tcW w:type="dxa" w:w="6480"/>
            <w:vAlign w:val="center"/>
            <w:tcMar>
              <w:top w:w="75" w:type="dxa"/>
              <w:bottom w:w="75" w:type="dxa"/>
              <w:left w:w="95" w:type="dxa"/>
              <w:right w:w="95" w:type="dxa"/>
            </w:tcMar>
            <w:shd w:fill="DCE6EC"/>
          </w:tcPr>
          <w:p>
            <w:pPr>
              <w:spacing w:after="0" w:before="0" w:line="254" w:lineRule="auto"/>
            </w:pPr>
            <w:r>
              <w:rPr>
                <w:b/>
                <w:sz w:val="21"/>
              </w:rPr>
              <w:t>What we will assess</w:t>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1"/>
              </w:rPr>
              <w:t>T1</w:t>
            </w:r>
          </w:p>
        </w:tc>
        <w:tc>
          <w:tcPr>
            <w:tcW w:type="dxa" w:w="2376"/>
            <w:vAlign w:val="center"/>
            <w:tcMar>
              <w:top w:w="75" w:type="dxa"/>
              <w:bottom w:w="75" w:type="dxa"/>
              <w:left w:w="95" w:type="dxa"/>
              <w:right w:w="95" w:type="dxa"/>
            </w:tcMar>
            <w:shd w:fill="FFFFFF"/>
          </w:tcPr>
          <w:p>
            <w:pPr>
              <w:spacing w:after="0" w:before="0" w:line="254" w:lineRule="auto"/>
            </w:pPr>
            <w:r>
              <w:rPr>
                <w:b w:val="0"/>
                <w:sz w:val="21"/>
              </w:rPr>
              <w:t>Technical solution and design</w:t>
            </w:r>
          </w:p>
        </w:tc>
        <w:tc>
          <w:tcPr>
            <w:tcW w:type="dxa" w:w="792"/>
            <w:vAlign w:val="center"/>
            <w:tcMar>
              <w:top w:w="75" w:type="dxa"/>
              <w:bottom w:w="75" w:type="dxa"/>
              <w:left w:w="95" w:type="dxa"/>
              <w:right w:w="95" w:type="dxa"/>
            </w:tcMar>
            <w:shd w:fill="FFFFFF"/>
          </w:tcPr>
          <w:p>
            <w:pPr>
              <w:spacing w:after="0" w:before="0" w:line="254" w:lineRule="auto"/>
            </w:pPr>
            <w:r>
              <w:rPr>
                <w:b w:val="0"/>
                <w:sz w:val="21"/>
              </w:rPr>
              <w:t>30</w:t>
            </w:r>
          </w:p>
        </w:tc>
        <w:tc>
          <w:tcPr>
            <w:tcW w:type="dxa" w:w="6480"/>
            <w:vAlign w:val="center"/>
            <w:tcMar>
              <w:top w:w="75" w:type="dxa"/>
              <w:bottom w:w="75" w:type="dxa"/>
              <w:left w:w="95" w:type="dxa"/>
              <w:right w:w="95" w:type="dxa"/>
            </w:tcMar>
            <w:shd w:fill="FFFFFF"/>
          </w:tcPr>
          <w:p>
            <w:pPr>
              <w:spacing w:after="0" w:before="0" w:line="254" w:lineRule="auto"/>
            </w:pPr>
            <w:r>
              <w:rPr>
                <w:b w:val="0"/>
                <w:sz w:val="21"/>
              </w:rPr>
              <w:t>Materials, insulation, wall construction, fire and damp resistance, build quality and useful design improvements.</w:t>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1"/>
              </w:rPr>
              <w:t>T2</w:t>
            </w:r>
          </w:p>
        </w:tc>
        <w:tc>
          <w:tcPr>
            <w:tcW w:type="dxa" w:w="2376"/>
            <w:vAlign w:val="center"/>
            <w:tcMar>
              <w:top w:w="75" w:type="dxa"/>
              <w:bottom w:w="75" w:type="dxa"/>
              <w:left w:w="95" w:type="dxa"/>
              <w:right w:w="95" w:type="dxa"/>
            </w:tcMar>
            <w:shd w:fill="F6F8FA"/>
          </w:tcPr>
          <w:p>
            <w:pPr>
              <w:spacing w:after="0" w:before="0" w:line="254" w:lineRule="auto"/>
            </w:pPr>
            <w:r>
              <w:rPr>
                <w:b w:val="0"/>
                <w:sz w:val="21"/>
              </w:rPr>
              <w:t>Support after delivery</w:t>
            </w:r>
          </w:p>
        </w:tc>
        <w:tc>
          <w:tcPr>
            <w:tcW w:type="dxa" w:w="792"/>
            <w:vAlign w:val="center"/>
            <w:tcMar>
              <w:top w:w="75" w:type="dxa"/>
              <w:bottom w:w="75" w:type="dxa"/>
              <w:left w:w="95" w:type="dxa"/>
              <w:right w:w="95" w:type="dxa"/>
            </w:tcMar>
            <w:shd w:fill="F6F8FA"/>
          </w:tcPr>
          <w:p>
            <w:pPr>
              <w:spacing w:after="0" w:before="0" w:line="254" w:lineRule="auto"/>
            </w:pPr>
            <w:r>
              <w:rPr>
                <w:b w:val="0"/>
                <w:sz w:val="21"/>
              </w:rPr>
              <w:t>10</w:t>
            </w:r>
          </w:p>
        </w:tc>
        <w:tc>
          <w:tcPr>
            <w:tcW w:type="dxa" w:w="6480"/>
            <w:vAlign w:val="center"/>
            <w:tcMar>
              <w:top w:w="75" w:type="dxa"/>
              <w:bottom w:w="75" w:type="dxa"/>
              <w:left w:w="95" w:type="dxa"/>
              <w:right w:w="95" w:type="dxa"/>
            </w:tcMar>
            <w:shd w:fill="F6F8FA"/>
          </w:tcPr>
          <w:p>
            <w:pPr>
              <w:spacing w:after="0" w:before="0" w:line="254" w:lineRule="auto"/>
            </w:pPr>
            <w:r>
              <w:rPr>
                <w:b w:val="0"/>
                <w:sz w:val="21"/>
              </w:rPr>
              <w:t>Clear support contacts, response times, maintenance arrangements, manuals and staff training.</w:t>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1"/>
              </w:rPr>
              <w:t>T3</w:t>
            </w:r>
          </w:p>
        </w:tc>
        <w:tc>
          <w:tcPr>
            <w:tcW w:type="dxa" w:w="2376"/>
            <w:vAlign w:val="center"/>
            <w:tcMar>
              <w:top w:w="75" w:type="dxa"/>
              <w:bottom w:w="75" w:type="dxa"/>
              <w:left w:w="95" w:type="dxa"/>
              <w:right w:w="95" w:type="dxa"/>
            </w:tcMar>
            <w:shd w:fill="FFFFFF"/>
          </w:tcPr>
          <w:p>
            <w:pPr>
              <w:spacing w:after="0" w:before="0" w:line="254" w:lineRule="auto"/>
            </w:pPr>
            <w:r>
              <w:rPr>
                <w:b w:val="0"/>
                <w:sz w:val="21"/>
              </w:rPr>
              <w:t>Warranties and guarantees</w:t>
            </w:r>
          </w:p>
        </w:tc>
        <w:tc>
          <w:tcPr>
            <w:tcW w:type="dxa" w:w="792"/>
            <w:vAlign w:val="center"/>
            <w:tcMar>
              <w:top w:w="75" w:type="dxa"/>
              <w:bottom w:w="75" w:type="dxa"/>
              <w:left w:w="95" w:type="dxa"/>
              <w:right w:w="95" w:type="dxa"/>
            </w:tcMar>
            <w:shd w:fill="FFFFFF"/>
          </w:tcPr>
          <w:p>
            <w:pPr>
              <w:spacing w:after="0" w:before="0" w:line="254" w:lineRule="auto"/>
            </w:pPr>
            <w:r>
              <w:rPr>
                <w:b w:val="0"/>
                <w:sz w:val="21"/>
              </w:rPr>
              <w:t>10</w:t>
            </w:r>
          </w:p>
        </w:tc>
        <w:tc>
          <w:tcPr>
            <w:tcW w:type="dxa" w:w="6480"/>
            <w:vAlign w:val="center"/>
            <w:tcMar>
              <w:top w:w="75" w:type="dxa"/>
              <w:bottom w:w="75" w:type="dxa"/>
              <w:left w:w="95" w:type="dxa"/>
              <w:right w:w="95" w:type="dxa"/>
            </w:tcMar>
            <w:shd w:fill="FFFFFF"/>
          </w:tcPr>
          <w:p>
            <w:pPr>
              <w:spacing w:after="0" w:before="0" w:line="254" w:lineRule="auto"/>
            </w:pPr>
            <w:r>
              <w:rPr>
                <w:b w:val="0"/>
                <w:sz w:val="21"/>
              </w:rPr>
              <w:t>Length and scope of cover, exclusions, claims process and response times.</w:t>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1"/>
              </w:rPr>
              <w:t>T4</w:t>
            </w:r>
          </w:p>
        </w:tc>
        <w:tc>
          <w:tcPr>
            <w:tcW w:type="dxa" w:w="2376"/>
            <w:vAlign w:val="center"/>
            <w:tcMar>
              <w:top w:w="75" w:type="dxa"/>
              <w:bottom w:w="75" w:type="dxa"/>
              <w:left w:w="95" w:type="dxa"/>
              <w:right w:w="95" w:type="dxa"/>
            </w:tcMar>
            <w:shd w:fill="F6F8FA"/>
          </w:tcPr>
          <w:p>
            <w:pPr>
              <w:spacing w:after="0" w:before="0" w:line="254" w:lineRule="auto"/>
            </w:pPr>
            <w:r>
              <w:rPr>
                <w:b w:val="0"/>
                <w:sz w:val="21"/>
              </w:rPr>
              <w:t>Environment and sustainability</w:t>
            </w:r>
          </w:p>
        </w:tc>
        <w:tc>
          <w:tcPr>
            <w:tcW w:type="dxa" w:w="792"/>
            <w:vAlign w:val="center"/>
            <w:tcMar>
              <w:top w:w="75" w:type="dxa"/>
              <w:bottom w:w="75" w:type="dxa"/>
              <w:left w:w="95" w:type="dxa"/>
              <w:right w:w="95" w:type="dxa"/>
            </w:tcMar>
            <w:shd w:fill="F6F8FA"/>
          </w:tcPr>
          <w:p>
            <w:pPr>
              <w:spacing w:after="0" w:before="0" w:line="254" w:lineRule="auto"/>
            </w:pPr>
            <w:r>
              <w:rPr>
                <w:b w:val="0"/>
                <w:sz w:val="21"/>
              </w:rPr>
              <w:t>5</w:t>
            </w:r>
          </w:p>
        </w:tc>
        <w:tc>
          <w:tcPr>
            <w:tcW w:type="dxa" w:w="6480"/>
            <w:vAlign w:val="center"/>
            <w:tcMar>
              <w:top w:w="75" w:type="dxa"/>
              <w:bottom w:w="75" w:type="dxa"/>
              <w:left w:w="95" w:type="dxa"/>
              <w:right w:w="95" w:type="dxa"/>
            </w:tcMar>
            <w:shd w:fill="F6F8FA"/>
          </w:tcPr>
          <w:p>
            <w:pPr>
              <w:spacing w:after="0" w:before="0" w:line="254" w:lineRule="auto"/>
            </w:pPr>
            <w:r>
              <w:rPr>
                <w:b w:val="0"/>
                <w:sz w:val="21"/>
              </w:rPr>
              <w:t>Materials, manufacturing methods, energy savings and evidence of reduced environmental impact.</w:t>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1"/>
              </w:rPr>
              <w:t>T5</w:t>
            </w:r>
          </w:p>
        </w:tc>
        <w:tc>
          <w:tcPr>
            <w:tcW w:type="dxa" w:w="2376"/>
            <w:vAlign w:val="center"/>
            <w:tcMar>
              <w:top w:w="75" w:type="dxa"/>
              <w:bottom w:w="75" w:type="dxa"/>
              <w:left w:w="95" w:type="dxa"/>
              <w:right w:w="95" w:type="dxa"/>
            </w:tcMar>
            <w:shd w:fill="FFFFFF"/>
          </w:tcPr>
          <w:p>
            <w:pPr>
              <w:spacing w:after="0" w:before="0" w:line="254" w:lineRule="auto"/>
            </w:pPr>
            <w:r>
              <w:rPr>
                <w:b w:val="0"/>
                <w:sz w:val="21"/>
              </w:rPr>
              <w:t>Manufacture and delivery plan</w:t>
            </w:r>
          </w:p>
        </w:tc>
        <w:tc>
          <w:tcPr>
            <w:tcW w:type="dxa" w:w="792"/>
            <w:vAlign w:val="center"/>
            <w:tcMar>
              <w:top w:w="75" w:type="dxa"/>
              <w:bottom w:w="75" w:type="dxa"/>
              <w:left w:w="95" w:type="dxa"/>
              <w:right w:w="95" w:type="dxa"/>
            </w:tcMar>
            <w:shd w:fill="FFFFFF"/>
          </w:tcPr>
          <w:p>
            <w:pPr>
              <w:spacing w:after="0" w:before="0" w:line="254" w:lineRule="auto"/>
            </w:pPr>
            <w:r>
              <w:rPr>
                <w:b w:val="0"/>
                <w:sz w:val="21"/>
              </w:rPr>
              <w:t>5</w:t>
            </w:r>
          </w:p>
        </w:tc>
        <w:tc>
          <w:tcPr>
            <w:tcW w:type="dxa" w:w="6480"/>
            <w:vAlign w:val="center"/>
            <w:tcMar>
              <w:top w:w="75" w:type="dxa"/>
              <w:bottom w:w="75" w:type="dxa"/>
              <w:left w:w="95" w:type="dxa"/>
              <w:right w:w="95" w:type="dxa"/>
            </w:tcMar>
            <w:shd w:fill="FFFFFF"/>
          </w:tcPr>
          <w:p>
            <w:pPr>
              <w:spacing w:after="0" w:before="0" w:line="254" w:lineRule="auto"/>
            </w:pPr>
            <w:r>
              <w:rPr>
                <w:b w:val="0"/>
                <w:sz w:val="21"/>
              </w:rPr>
              <w:t>A realistic programme, transport and installation arrangements, and how delays will be managed.</w:t>
            </w:r>
          </w:p>
        </w:tc>
      </w:tr>
    </w:tbl>
    <w:p>
      <w:pPr>
        <w:spacing w:after="80" w:line="20" w:lineRule="exact"/>
      </w:pPr>
      <w:r>
        <w:rPr>
          <w:b w:val="0"/>
          <w:sz w:val="2"/>
        </w:rPr>
      </w:r>
    </w:p>
    <w:p>
      <w:r>
        <w:rPr>
          <w:b w:val="0"/>
        </w:rPr>
        <w:t>Each quality criterion receives one score from 0 to 5. The points awarded are: score ÷ 5 × the points available for that criterion. For example, a score of 4 for T1 gives 4 ÷ 5 × 30 = 24 points.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9288"/>
      </w:tblGrid>
      <w:tr>
        <w:trPr>
          <w:cantSplit/>
          <w:tblHeader/>
        </w:trPr>
        <w:tc>
          <w:tcPr>
            <w:tcW w:type="dxa" w:w="936"/>
            <w:vAlign w:val="center"/>
            <w:tcMar>
              <w:top w:w="75" w:type="dxa"/>
              <w:bottom w:w="75" w:type="dxa"/>
              <w:left w:w="95" w:type="dxa"/>
              <w:right w:w="95" w:type="dxa"/>
            </w:tcMar>
            <w:shd w:fill="DCE6EC"/>
          </w:tcPr>
          <w:p>
            <w:pPr>
              <w:spacing w:after="0" w:before="0" w:line="254" w:lineRule="auto"/>
            </w:pPr>
            <w:r>
              <w:rPr>
                <w:b/>
                <w:sz w:val="21"/>
              </w:rPr>
              <w:t>Score</w:t>
            </w:r>
          </w:p>
        </w:tc>
        <w:tc>
          <w:tcPr>
            <w:tcW w:type="dxa" w:w="9288"/>
            <w:vAlign w:val="center"/>
            <w:tcMar>
              <w:top w:w="75" w:type="dxa"/>
              <w:bottom w:w="75" w:type="dxa"/>
              <w:left w:w="95" w:type="dxa"/>
              <w:right w:w="95" w:type="dxa"/>
            </w:tcMar>
            <w:shd w:fill="DCE6EC"/>
          </w:tcPr>
          <w:p>
            <w:pPr>
              <w:spacing w:after="0" w:before="0" w:line="254" w:lineRule="auto"/>
            </w:pPr>
            <w:r>
              <w:rPr>
                <w:b/>
                <w:sz w:val="21"/>
              </w:rPr>
              <w:t>Meaning</w:t>
            </w:r>
          </w:p>
        </w:tc>
      </w:tr>
      <w:tr>
        <w:trPr>
          <w:cantSplit/>
        </w:trPr>
        <w:tc>
          <w:tcPr>
            <w:tcW w:type="dxa" w:w="936"/>
            <w:vAlign w:val="center"/>
            <w:tcMar>
              <w:top w:w="75" w:type="dxa"/>
              <w:bottom w:w="75" w:type="dxa"/>
              <w:left w:w="95" w:type="dxa"/>
              <w:right w:w="95" w:type="dxa"/>
            </w:tcMar>
            <w:shd w:fill="FFFFFF"/>
          </w:tcPr>
          <w:p>
            <w:pPr>
              <w:spacing w:after="0" w:before="0" w:line="254" w:lineRule="auto"/>
            </w:pPr>
            <w:r>
              <w:rPr>
                <w:b w:val="0"/>
                <w:sz w:val="21"/>
              </w:rPr>
              <w:t>0</w:t>
            </w:r>
          </w:p>
        </w:tc>
        <w:tc>
          <w:tcPr>
            <w:tcW w:type="dxa" w:w="9288"/>
            <w:vAlign w:val="center"/>
            <w:tcMar>
              <w:top w:w="75" w:type="dxa"/>
              <w:bottom w:w="75" w:type="dxa"/>
              <w:left w:w="95" w:type="dxa"/>
              <w:right w:w="95" w:type="dxa"/>
            </w:tcMar>
            <w:shd w:fill="FFFFFF"/>
          </w:tcPr>
          <w:p>
            <w:pPr>
              <w:spacing w:after="0" w:before="0" w:line="254" w:lineRule="auto"/>
            </w:pPr>
            <w:r>
              <w:rPr>
                <w:b w:val="0"/>
                <w:sz w:val="21"/>
              </w:rPr>
              <w:t>No response or unacceptable response.</w:t>
            </w:r>
          </w:p>
        </w:tc>
      </w:tr>
      <w:tr>
        <w:trPr>
          <w:cantSplit/>
        </w:trPr>
        <w:tc>
          <w:tcPr>
            <w:tcW w:type="dxa" w:w="936"/>
            <w:vAlign w:val="center"/>
            <w:tcMar>
              <w:top w:w="75" w:type="dxa"/>
              <w:bottom w:w="75" w:type="dxa"/>
              <w:left w:w="95" w:type="dxa"/>
              <w:right w:w="95" w:type="dxa"/>
            </w:tcMar>
            <w:shd w:fill="F6F8FA"/>
          </w:tcPr>
          <w:p>
            <w:pPr>
              <w:spacing w:after="0" w:before="0" w:line="254" w:lineRule="auto"/>
            </w:pPr>
            <w:r>
              <w:rPr>
                <w:b w:val="0"/>
                <w:sz w:val="21"/>
              </w:rPr>
              <w:t>1</w:t>
            </w:r>
          </w:p>
        </w:tc>
        <w:tc>
          <w:tcPr>
            <w:tcW w:type="dxa" w:w="9288"/>
            <w:vAlign w:val="center"/>
            <w:tcMar>
              <w:top w:w="75" w:type="dxa"/>
              <w:bottom w:w="75" w:type="dxa"/>
              <w:left w:w="95" w:type="dxa"/>
              <w:right w:w="95" w:type="dxa"/>
            </w:tcMar>
            <w:shd w:fill="F6F8FA"/>
          </w:tcPr>
          <w:p>
            <w:pPr>
              <w:spacing w:after="0" w:before="0" w:line="254" w:lineRule="auto"/>
            </w:pPr>
            <w:r>
              <w:rPr>
                <w:b w:val="0"/>
                <w:sz w:val="21"/>
              </w:rPr>
              <w:t>Very poor response.</w:t>
            </w:r>
          </w:p>
        </w:tc>
      </w:tr>
      <w:tr>
        <w:trPr>
          <w:cantSplit/>
        </w:trPr>
        <w:tc>
          <w:tcPr>
            <w:tcW w:type="dxa" w:w="936"/>
            <w:vAlign w:val="center"/>
            <w:tcMar>
              <w:top w:w="75" w:type="dxa"/>
              <w:bottom w:w="75" w:type="dxa"/>
              <w:left w:w="95" w:type="dxa"/>
              <w:right w:w="95" w:type="dxa"/>
            </w:tcMar>
            <w:shd w:fill="FFFFFF"/>
          </w:tcPr>
          <w:p>
            <w:pPr>
              <w:spacing w:after="0" w:before="0" w:line="254" w:lineRule="auto"/>
            </w:pPr>
            <w:r>
              <w:rPr>
                <w:b w:val="0"/>
                <w:sz w:val="21"/>
              </w:rPr>
              <w:t>2</w:t>
            </w:r>
          </w:p>
        </w:tc>
        <w:tc>
          <w:tcPr>
            <w:tcW w:type="dxa" w:w="9288"/>
            <w:vAlign w:val="center"/>
            <w:tcMar>
              <w:top w:w="75" w:type="dxa"/>
              <w:bottom w:w="75" w:type="dxa"/>
              <w:left w:w="95" w:type="dxa"/>
              <w:right w:w="95" w:type="dxa"/>
            </w:tcMar>
            <w:shd w:fill="FFFFFF"/>
          </w:tcPr>
          <w:p>
            <w:pPr>
              <w:spacing w:after="0" w:before="0" w:line="254" w:lineRule="auto"/>
            </w:pPr>
            <w:r>
              <w:rPr>
                <w:b w:val="0"/>
                <w:sz w:val="21"/>
              </w:rPr>
              <w:t>Poor response with significant gaps.</w:t>
            </w:r>
          </w:p>
        </w:tc>
      </w:tr>
      <w:tr>
        <w:trPr>
          <w:cantSplit/>
        </w:trPr>
        <w:tc>
          <w:tcPr>
            <w:tcW w:type="dxa" w:w="936"/>
            <w:vAlign w:val="center"/>
            <w:tcMar>
              <w:top w:w="75" w:type="dxa"/>
              <w:bottom w:w="75" w:type="dxa"/>
              <w:left w:w="95" w:type="dxa"/>
              <w:right w:w="95" w:type="dxa"/>
            </w:tcMar>
            <w:shd w:fill="F6F8FA"/>
          </w:tcPr>
          <w:p>
            <w:pPr>
              <w:spacing w:after="0" w:before="0" w:line="254" w:lineRule="auto"/>
            </w:pPr>
            <w:r>
              <w:rPr>
                <w:b w:val="0"/>
                <w:sz w:val="21"/>
              </w:rPr>
              <w:t>3</w:t>
            </w:r>
          </w:p>
        </w:tc>
        <w:tc>
          <w:tcPr>
            <w:tcW w:type="dxa" w:w="9288"/>
            <w:vAlign w:val="center"/>
            <w:tcMar>
              <w:top w:w="75" w:type="dxa"/>
              <w:bottom w:w="75" w:type="dxa"/>
              <w:left w:w="95" w:type="dxa"/>
              <w:right w:w="95" w:type="dxa"/>
            </w:tcMar>
            <w:shd w:fill="F6F8FA"/>
          </w:tcPr>
          <w:p>
            <w:pPr>
              <w:spacing w:after="0" w:before="0" w:line="254" w:lineRule="auto"/>
            </w:pPr>
            <w:r>
              <w:rPr>
                <w:b w:val="0"/>
                <w:sz w:val="21"/>
              </w:rPr>
              <w:t>Meets the requirements.</w:t>
            </w:r>
          </w:p>
        </w:tc>
      </w:tr>
      <w:tr>
        <w:trPr>
          <w:cantSplit/>
        </w:trPr>
        <w:tc>
          <w:tcPr>
            <w:tcW w:type="dxa" w:w="936"/>
            <w:vAlign w:val="center"/>
            <w:tcMar>
              <w:top w:w="75" w:type="dxa"/>
              <w:bottom w:w="75" w:type="dxa"/>
              <w:left w:w="95" w:type="dxa"/>
              <w:right w:w="95" w:type="dxa"/>
            </w:tcMar>
            <w:shd w:fill="FFFFFF"/>
          </w:tcPr>
          <w:p>
            <w:pPr>
              <w:spacing w:after="0" w:before="0" w:line="254" w:lineRule="auto"/>
            </w:pPr>
            <w:r>
              <w:rPr>
                <w:b w:val="0"/>
                <w:sz w:val="21"/>
              </w:rPr>
              <w:t>4</w:t>
            </w:r>
          </w:p>
        </w:tc>
        <w:tc>
          <w:tcPr>
            <w:tcW w:type="dxa" w:w="9288"/>
            <w:vAlign w:val="center"/>
            <w:tcMar>
              <w:top w:w="75" w:type="dxa"/>
              <w:bottom w:w="75" w:type="dxa"/>
              <w:left w:w="95" w:type="dxa"/>
              <w:right w:w="95" w:type="dxa"/>
            </w:tcMar>
            <w:shd w:fill="FFFFFF"/>
          </w:tcPr>
          <w:p>
            <w:pPr>
              <w:spacing w:after="0" w:before="0" w:line="254" w:lineRule="auto"/>
            </w:pPr>
            <w:r>
              <w:rPr>
                <w:b w:val="0"/>
                <w:sz w:val="21"/>
              </w:rPr>
              <w:t>Very good response with clear added value.</w:t>
            </w:r>
          </w:p>
        </w:tc>
      </w:tr>
      <w:tr>
        <w:trPr>
          <w:cantSplit/>
        </w:trPr>
        <w:tc>
          <w:tcPr>
            <w:tcW w:type="dxa" w:w="936"/>
            <w:vAlign w:val="center"/>
            <w:tcMar>
              <w:top w:w="75" w:type="dxa"/>
              <w:bottom w:w="75" w:type="dxa"/>
              <w:left w:w="95" w:type="dxa"/>
              <w:right w:w="95" w:type="dxa"/>
            </w:tcMar>
            <w:shd w:fill="F6F8FA"/>
          </w:tcPr>
          <w:p>
            <w:pPr>
              <w:spacing w:after="0" w:before="0" w:line="254" w:lineRule="auto"/>
            </w:pPr>
            <w:r>
              <w:rPr>
                <w:b w:val="0"/>
                <w:sz w:val="21"/>
              </w:rPr>
              <w:t>5</w:t>
            </w:r>
          </w:p>
        </w:tc>
        <w:tc>
          <w:tcPr>
            <w:tcW w:type="dxa" w:w="9288"/>
            <w:vAlign w:val="center"/>
            <w:tcMar>
              <w:top w:w="75" w:type="dxa"/>
              <w:bottom w:w="75" w:type="dxa"/>
              <w:left w:w="95" w:type="dxa"/>
              <w:right w:w="95" w:type="dxa"/>
            </w:tcMar>
            <w:shd w:fill="F6F8FA"/>
          </w:tcPr>
          <w:p>
            <w:pPr>
              <w:spacing w:after="0" w:before="0" w:line="254" w:lineRule="auto"/>
            </w:pPr>
            <w:r>
              <w:rPr>
                <w:b w:val="0"/>
                <w:sz w:val="21"/>
              </w:rPr>
              <w:t>Excellent response that significantly exceeds the requirements.</w:t>
            </w:r>
          </w:p>
        </w:tc>
      </w:tr>
    </w:tbl>
    <w:p>
      <w:pPr>
        <w:spacing w:after="80" w:line="20" w:lineRule="exact"/>
      </w:pPr>
      <w:r>
        <w:rPr>
          <w:b w:val="0"/>
          <w:sz w:val="2"/>
        </w:rPr>
      </w:r>
    </w:p>
    <w:p>
      <w:r>
        <w:rPr>
          <w:b w:val="0"/>
        </w:rPr>
        <w:t>Higher marks require evidence of useful improvements included in the price. Each criterion is assessed as a whole, without separate weights for individual questions. No extra quality pass mark applies beyond the mandatory checks.</w:t>
      </w:r>
    </w:p>
    <w:p>
      <w:pPr>
        <w:pStyle w:val="Heading2"/>
      </w:pPr>
      <w:r>
        <w:t>Price score</w:t>
      </w:r>
    </w:p>
    <w:p>
      <w:r>
        <w:rPr>
          <w:b w:val="0"/>
        </w:rPr>
        <w:t>The lowest eligible base price excluding VAT receives 40 points. Other bids receive:</w:t>
      </w:r>
    </w:p>
    <w:p>
      <w:r>
        <w:rPr>
          <w:b/>
        </w:rPr>
        <w:t>Price points = lowest eligible price ÷ the supplier’s price × 40</w:t>
      </w:r>
    </w:p>
    <w:p>
      <w:r>
        <w:rPr>
          <w:b w:val="0"/>
        </w:rPr>
        <w:t>Use the full base price for all four installed units. Exclude VAT, optional extras and the separate price for removal or relocation of existing pods.</w:t>
      </w:r>
    </w:p>
    <w:p>
      <w:pPr>
        <w:pStyle w:val="Heading2"/>
      </w:pPr>
      <w:r>
        <w:t>Final score</w:t>
      </w:r>
    </w:p>
    <w:p>
      <w:r>
        <w:rPr>
          <w:b w:val="0"/>
        </w:rPr>
        <w:t>Add quality points out of 60 and price points out of 40. The highest total ranks first. If totals are equal, the higher quality total wins, then the higher T1 score. If a tie remains, Depaul will use a recorded draw witnessed by two staff members. Calculate using unrounded figures and show final results to two decimal places.</w:t>
      </w:r>
    </w:p>
    <w:sectPr w:rsidR="00FC693F" w:rsidRPr="0006063C" w:rsidSect="00034616">
      <w:footerReference w:type="default" r:id="rId10"/>
      <w:pgSz w:w="12240" w:h="15840"/>
      <w:pgMar w:top="936" w:right="1008" w:bottom="864" w:left="1008"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Depaul Ireland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2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9"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tender for four residential pods</dc:title>
  <dc:subject/>
  <dc:creator>Depaul Ireland</dc:creator>
  <cp:keywords/>
  <dc:description>generated by python-docx</dc:description>
  <cp:lastModifiedBy/>
  <cp:revision>1</cp:revision>
  <dcterms:created xsi:type="dcterms:W3CDTF">2013-12-23T23:15:00Z</dcterms:created>
  <dcterms:modified xsi:type="dcterms:W3CDTF">2013-12-23T23:15:00Z</dcterms:modified>
  <cp:category/>
</cp:coreProperties>
</file>