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000000"/>
        </w:rPr>
        <w:t>Tender Response and Price Schedule</w:t>
      </w:r>
    </w:p>
    <w:p>
      <w:r>
        <w:t>RLP4371-EQUIPMENT-2026 | CfT 9096723. Complete this response for each lot offered and attach the supporting evidence. Expand tables as needed. Blank response fields are for the tenderer. The issued RFT and published notice govern submission.</w:t>
      </w:r>
    </w:p>
    <w:p>
      <w:pPr>
        <w:pStyle w:val="Heading1"/>
      </w:pPr>
      <w:r>
        <w:rPr>
          <w:color w:val="000000"/>
        </w:rPr>
        <w:t>1 Supplier and offer details</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855"/>
        <w:gridCol w:w="5896"/>
      </w:tblGrid>
      <w:tr>
        <w:trPr>
          <w:tblHeader/>
          <w:cantSplit/>
        </w:trPr>
        <w:tc>
          <w:tcPr>
            <w:tcW w:type="dxa" w:w="3855"/>
            <w:vAlign w:val="center"/>
            <w:shd w:fill="DCE6F1"/>
            <w:tcMar>
              <w:top w:w="45" w:type="dxa"/>
              <w:bottom w:w="45" w:type="dxa"/>
              <w:left w:w="85" w:type="dxa"/>
              <w:right w:w="85" w:type="dxa"/>
            </w:tcMar>
          </w:tcPr>
          <w:p>
            <w:pPr>
              <w:spacing w:after="40" w:before="20" w:line="240" w:lineRule="auto"/>
            </w:pPr>
            <w:r>
              <w:rPr>
                <w:rFonts w:ascii="Calibri" w:hAnsi="Calibri"/>
                <w:b/>
                <w:color w:val="000000"/>
                <w:sz w:val="20"/>
              </w:rPr>
              <w:t>Field</w:t>
            </w:r>
          </w:p>
        </w:tc>
        <w:tc>
          <w:tcPr>
            <w:tcW w:type="dxa" w:w="5896"/>
            <w:vAlign w:val="center"/>
            <w:shd w:fill="DCE6F1"/>
            <w:tcMar>
              <w:top w:w="45" w:type="dxa"/>
              <w:bottom w:w="45" w:type="dxa"/>
              <w:left w:w="85" w:type="dxa"/>
              <w:right w:w="85" w:type="dxa"/>
            </w:tcMar>
          </w:tcPr>
          <w:p>
            <w:pPr>
              <w:spacing w:after="40" w:before="20" w:line="240" w:lineRule="auto"/>
            </w:pPr>
            <w:r>
              <w:rPr>
                <w:rFonts w:ascii="Calibri" w:hAnsi="Calibri"/>
                <w:b/>
                <w:color w:val="000000"/>
                <w:sz w:val="20"/>
              </w:rPr>
              <w:t>Tenderer response</w:t>
            </w:r>
          </w:p>
        </w:tc>
      </w:tr>
      <w:tr>
        <w:trPr>
          <w:cantSplit/>
        </w:trPr>
        <w:tc>
          <w:tcPr>
            <w:tcW w:type="dxa" w:w="3855"/>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Legal name and registration details</w:t>
            </w:r>
          </w:p>
        </w:tc>
        <w:tc>
          <w:tcPr>
            <w:tcW w:type="dxa" w:w="5896"/>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r>
          </w:p>
        </w:tc>
      </w:tr>
      <w:tr>
        <w:trPr>
          <w:cantSplit/>
        </w:trPr>
        <w:tc>
          <w:tcPr>
            <w:tcW w:type="dxa" w:w="3855"/>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Trading name and registered address</w:t>
            </w:r>
          </w:p>
        </w:tc>
        <w:tc>
          <w:tcPr>
            <w:tcW w:type="dxa" w:w="5896"/>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r>
          </w:p>
        </w:tc>
      </w:tr>
      <w:tr>
        <w:trPr>
          <w:cantSplit/>
        </w:trPr>
        <w:tc>
          <w:tcPr>
            <w:tcW w:type="dxa" w:w="3855"/>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Contact name email and telephone</w:t>
            </w:r>
          </w:p>
        </w:tc>
        <w:tc>
          <w:tcPr>
            <w:tcW w:type="dxa" w:w="5896"/>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r>
          </w:p>
        </w:tc>
      </w:tr>
      <w:tr>
        <w:trPr>
          <w:cantSplit/>
        </w:trPr>
        <w:tc>
          <w:tcPr>
            <w:tcW w:type="dxa" w:w="3855"/>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Lots offered</w:t>
            </w:r>
          </w:p>
        </w:tc>
        <w:tc>
          <w:tcPr>
            <w:tcW w:type="dxa" w:w="5896"/>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r>
          </w:p>
        </w:tc>
      </w:tr>
      <w:tr>
        <w:trPr>
          <w:cantSplit/>
        </w:trPr>
        <w:tc>
          <w:tcPr>
            <w:tcW w:type="dxa" w:w="3855"/>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Lead supplier and subcontractors with responsibilities</w:t>
            </w:r>
          </w:p>
        </w:tc>
        <w:tc>
          <w:tcPr>
            <w:tcW w:type="dxa" w:w="5896"/>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r>
          </w:p>
        </w:tc>
      </w:tr>
      <w:tr>
        <w:trPr>
          <w:cantSplit/>
        </w:trPr>
        <w:tc>
          <w:tcPr>
            <w:tcW w:type="dxa" w:w="3855"/>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VAT status number and proposed VAT treatment</w:t>
            </w:r>
          </w:p>
        </w:tc>
        <w:tc>
          <w:tcPr>
            <w:tcW w:type="dxa" w:w="5896"/>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r>
          </w:p>
        </w:tc>
      </w:tr>
      <w:tr>
        <w:trPr>
          <w:cantSplit/>
        </w:trPr>
        <w:tc>
          <w:tcPr>
            <w:tcW w:type="dxa" w:w="3855"/>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Two comparable projects or equivalent capacity evidence</w:t>
            </w:r>
          </w:p>
        </w:tc>
        <w:tc>
          <w:tcPr>
            <w:tcW w:type="dxa" w:w="5896"/>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r>
          </w:p>
        </w:tc>
      </w:tr>
      <w:tr>
        <w:trPr>
          <w:cantSplit/>
        </w:trPr>
        <w:tc>
          <w:tcPr>
            <w:tcW w:type="dxa" w:w="3855"/>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Ireland commissioning service and manufacturer support arrangements</w:t>
            </w:r>
          </w:p>
        </w:tc>
        <w:tc>
          <w:tcPr>
            <w:tcW w:type="dxa" w:w="5896"/>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r>
          </w:p>
        </w:tc>
      </w:tr>
      <w:tr>
        <w:trPr>
          <w:cantSplit/>
        </w:trPr>
        <w:tc>
          <w:tcPr>
            <w:tcW w:type="dxa" w:w="3855"/>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Conflicts of interest and involvement in preparing this competition</w:t>
            </w:r>
          </w:p>
        </w:tc>
        <w:tc>
          <w:tcPr>
            <w:tcW w:type="dxa" w:w="5896"/>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r>
          </w:p>
        </w:tc>
      </w:tr>
      <w:tr>
        <w:trPr>
          <w:cantSplit/>
        </w:trPr>
        <w:tc>
          <w:tcPr>
            <w:tcW w:type="dxa" w:w="3855"/>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Exclusion tax and social contribution declarations with evidence references</w:t>
            </w:r>
          </w:p>
        </w:tc>
        <w:tc>
          <w:tcPr>
            <w:tcW w:type="dxa" w:w="5896"/>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r>
          </w:p>
        </w:tc>
      </w:tr>
      <w:tr>
        <w:trPr>
          <w:cantSplit/>
        </w:trPr>
        <w:tc>
          <w:tcPr>
            <w:tcW w:type="dxa" w:w="3855"/>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Required ESPD and supporting evidence references</w:t>
            </w:r>
          </w:p>
        </w:tc>
        <w:tc>
          <w:tcPr>
            <w:tcW w:type="dxa" w:w="5896"/>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r>
          </w:p>
        </w:tc>
      </w:tr>
      <w:tr>
        <w:trPr>
          <w:cantSplit/>
        </w:trPr>
        <w:tc>
          <w:tcPr>
            <w:tcW w:type="dxa" w:w="3855"/>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Insurance cover limits and evidence references</w:t>
            </w:r>
          </w:p>
        </w:tc>
        <w:tc>
          <w:tcPr>
            <w:tcW w:type="dxa" w:w="5896"/>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r>
          </w:p>
        </w:tc>
      </w:tr>
      <w:tr>
        <w:trPr>
          <w:cantSplit/>
        </w:trPr>
        <w:tc>
          <w:tcPr>
            <w:tcW w:type="dxa" w:w="3855"/>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Confirmation of 120 day tender validity</w:t>
            </w:r>
          </w:p>
        </w:tc>
        <w:tc>
          <w:tcPr>
            <w:tcW w:type="dxa" w:w="5896"/>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r>
          </w:p>
        </w:tc>
      </w:tr>
      <w:tr>
        <w:trPr>
          <w:cantSplit/>
        </w:trPr>
        <w:tc>
          <w:tcPr>
            <w:tcW w:type="dxa" w:w="3855"/>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Acceptance of RFT payment terms and advance security arrangements</w:t>
            </w:r>
          </w:p>
        </w:tc>
        <w:tc>
          <w:tcPr>
            <w:tcW w:type="dxa" w:w="5896"/>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r>
          </w:p>
        </w:tc>
      </w:tr>
    </w:tbl>
    <w:p>
      <w:pPr>
        <w:pStyle w:val="Heading2"/>
        <w:spacing w:before="100"/>
      </w:pPr>
      <w:r>
        <w:rPr>
          <w:color w:val="000000"/>
        </w:rPr>
        <w:t>Submission checklist</w:t>
      </w:r>
    </w:p>
    <w:p>
      <w:r>
        <w:t>Attach the itemised prices, technical compliance evidence, demonstration-equipment declarations where applicable, delivery/installation programme, commissioning and training plan, warranty and service commitments, and a complete deviations list. Identify each attachment by a unique reference. An unoffered lot should be marked “Not offered”.</w:t>
      </w:r>
    </w:p>
    <w:p>
      <w:pPr>
        <w:pStyle w:val="Heading2"/>
      </w:pPr>
      <w:r>
        <w:rPr>
          <w:color w:val="000000"/>
        </w:rPr>
        <w:t>Price basis</w:t>
      </w:r>
    </w:p>
    <w:p>
      <w:r>
        <w:t>Use EUR excluding VAT and show VAT separately. Include every mandatory item, compatible accessory and service. Enter zero only where a cost is included elsewhere and identify that line. Explain every mandatory blank. Allocate shared costs so each lot has a complete standalone price; conditional cross-lot discounts are excluded. Identify mandatory recurring charges during implementation and the minimum warranty period in the evaluated price; show later recurring costs separately.</w:t>
      </w:r>
    </w:p>
    <w:p>
      <w:pPr>
        <w:pStyle w:val="Heading1"/>
        <w:pageBreakBefore/>
      </w:pPr>
      <w:r>
        <w:rPr>
          <w:color w:val="000000"/>
        </w:rPr>
        <w:t>2 Technical compliance and quality evidence</w:t>
      </w:r>
    </w:p>
    <w:p>
      <w:r>
        <w:t>For each line identify the manufacturer/model, offered performance, new or demonstration condition, compliance or deviation, and evidence page. Expand the response or attach an indexed compliance matrix addressing every paragraph of the relevant technical schedule, including common supply requirements.</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231"/>
        <w:gridCol w:w="4706"/>
        <w:gridCol w:w="1814"/>
      </w:tblGrid>
      <w:tr>
        <w:trPr>
          <w:tblHeader/>
          <w:cantSplit/>
        </w:trPr>
        <w:tc>
          <w:tcPr>
            <w:tcW w:type="dxa" w:w="3231"/>
            <w:vAlign w:val="center"/>
            <w:shd w:fill="DCE6F1"/>
            <w:tcMar>
              <w:top w:w="45" w:type="dxa"/>
              <w:bottom w:w="45" w:type="dxa"/>
              <w:left w:w="85" w:type="dxa"/>
              <w:right w:w="85" w:type="dxa"/>
            </w:tcMar>
          </w:tcPr>
          <w:p>
            <w:pPr>
              <w:spacing w:after="40" w:before="20" w:line="240" w:lineRule="auto"/>
            </w:pPr>
            <w:r>
              <w:rPr>
                <w:rFonts w:ascii="Calibri" w:hAnsi="Calibri"/>
                <w:b/>
                <w:color w:val="000000"/>
                <w:sz w:val="20"/>
              </w:rPr>
              <w:t>Requirement</w:t>
            </w:r>
          </w:p>
        </w:tc>
        <w:tc>
          <w:tcPr>
            <w:tcW w:type="dxa" w:w="4706"/>
            <w:vAlign w:val="center"/>
            <w:shd w:fill="DCE6F1"/>
            <w:tcMar>
              <w:top w:w="45" w:type="dxa"/>
              <w:bottom w:w="45" w:type="dxa"/>
              <w:left w:w="85" w:type="dxa"/>
              <w:right w:w="85" w:type="dxa"/>
            </w:tcMar>
          </w:tcPr>
          <w:p>
            <w:pPr>
              <w:spacing w:after="40" w:before="20" w:line="240" w:lineRule="auto"/>
            </w:pPr>
            <w:r>
              <w:rPr>
                <w:rFonts w:ascii="Calibri" w:hAnsi="Calibri"/>
                <w:b/>
                <w:color w:val="000000"/>
                <w:sz w:val="20"/>
              </w:rPr>
              <w:t>Offer compliance and condition</w:t>
            </w:r>
          </w:p>
        </w:tc>
        <w:tc>
          <w:tcPr>
            <w:tcW w:type="dxa" w:w="1814"/>
            <w:vAlign w:val="center"/>
            <w:shd w:fill="DCE6F1"/>
            <w:tcMar>
              <w:top w:w="45" w:type="dxa"/>
              <w:bottom w:w="45" w:type="dxa"/>
              <w:left w:w="85" w:type="dxa"/>
              <w:right w:w="85" w:type="dxa"/>
            </w:tcMar>
          </w:tcPr>
          <w:p>
            <w:pPr>
              <w:spacing w:after="40" w:before="20" w:line="240" w:lineRule="auto"/>
            </w:pPr>
            <w:r>
              <w:rPr>
                <w:rFonts w:ascii="Calibri" w:hAnsi="Calibri"/>
                <w:b/>
                <w:color w:val="000000"/>
                <w:sz w:val="20"/>
              </w:rPr>
              <w:t>Evidence reference</w:t>
            </w:r>
          </w:p>
        </w:tc>
      </w:tr>
      <w:tr>
        <w:trPr>
          <w:cantSplit/>
        </w:trPr>
        <w:tc>
          <w:tcPr>
            <w:tcW w:type="dxa" w:w="3231"/>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P01 Pasteurisation and ageing</w:t>
            </w:r>
          </w:p>
        </w:tc>
        <w:tc>
          <w:tcPr>
            <w:tcW w:type="dxa" w:w="4706"/>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r>
          </w:p>
        </w:tc>
        <w:tc>
          <w:tcPr>
            <w:tcW w:type="dxa" w:w="1814"/>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r>
          </w:p>
        </w:tc>
      </w:tr>
      <w:tr>
        <w:trPr>
          <w:cantSplit/>
        </w:trPr>
        <w:tc>
          <w:tcPr>
            <w:tcW w:type="dxa" w:w="3231"/>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P02 Batch freezing</w:t>
            </w:r>
          </w:p>
        </w:tc>
        <w:tc>
          <w:tcPr>
            <w:tcW w:type="dxa" w:w="4706"/>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r>
          </w:p>
        </w:tc>
        <w:tc>
          <w:tcPr>
            <w:tcW w:type="dxa" w:w="1814"/>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r>
          </w:p>
        </w:tc>
      </w:tr>
      <w:tr>
        <w:trPr>
          <w:cantSplit/>
        </w:trPr>
        <w:tc>
          <w:tcPr>
            <w:tcW w:type="dxa" w:w="3231"/>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P03 Cooking and cooling</w:t>
            </w:r>
          </w:p>
        </w:tc>
        <w:tc>
          <w:tcPr>
            <w:tcW w:type="dxa" w:w="4706"/>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r>
          </w:p>
        </w:tc>
        <w:tc>
          <w:tcPr>
            <w:tcW w:type="dxa" w:w="1814"/>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r>
          </w:p>
        </w:tc>
      </w:tr>
      <w:tr>
        <w:trPr>
          <w:cantSplit/>
        </w:trPr>
        <w:tc>
          <w:tcPr>
            <w:tcW w:type="dxa" w:w="3231"/>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P04 Sanitary transfer</w:t>
            </w:r>
          </w:p>
        </w:tc>
        <w:tc>
          <w:tcPr>
            <w:tcW w:type="dxa" w:w="4706"/>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r>
          </w:p>
        </w:tc>
        <w:tc>
          <w:tcPr>
            <w:tcW w:type="dxa" w:w="1814"/>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r>
          </w:p>
        </w:tc>
      </w:tr>
      <w:tr>
        <w:trPr>
          <w:cantSplit/>
        </w:trPr>
        <w:tc>
          <w:tcPr>
            <w:tcW w:type="dxa" w:w="3231"/>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P05 Filling and compressor</w:t>
            </w:r>
          </w:p>
        </w:tc>
        <w:tc>
          <w:tcPr>
            <w:tcW w:type="dxa" w:w="4706"/>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r>
          </w:p>
        </w:tc>
        <w:tc>
          <w:tcPr>
            <w:tcW w:type="dxa" w:w="1814"/>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r>
          </w:p>
        </w:tc>
      </w:tr>
      <w:tr>
        <w:trPr>
          <w:cantSplit/>
        </w:trPr>
        <w:tc>
          <w:tcPr>
            <w:tcW w:type="dxa" w:w="3231"/>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P06 Fruit processing 120 kg/h class; screens 0.5, 1, 2, 3 and 5 mm</w:t>
            </w:r>
          </w:p>
        </w:tc>
        <w:tc>
          <w:tcPr>
            <w:tcW w:type="dxa" w:w="4706"/>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r>
          </w:p>
        </w:tc>
        <w:tc>
          <w:tcPr>
            <w:tcW w:type="dxa" w:w="1814"/>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r>
          </w:p>
        </w:tc>
      </w:tr>
      <w:tr>
        <w:trPr>
          <w:cantSplit/>
        </w:trPr>
        <w:tc>
          <w:tcPr>
            <w:tcW w:type="dxa" w:w="3231"/>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P07 Blast freezing</w:t>
            </w:r>
          </w:p>
        </w:tc>
        <w:tc>
          <w:tcPr>
            <w:tcW w:type="dxa" w:w="4706"/>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r>
          </w:p>
        </w:tc>
        <w:tc>
          <w:tcPr>
            <w:tcW w:type="dxa" w:w="1814"/>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r>
          </w:p>
        </w:tc>
      </w:tr>
      <w:tr>
        <w:trPr>
          <w:cantSplit/>
        </w:trPr>
        <w:tc>
          <w:tcPr>
            <w:tcW w:type="dxa" w:w="3231"/>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G01 Cart configuration and quantities</w:t>
            </w:r>
          </w:p>
        </w:tc>
        <w:tc>
          <w:tcPr>
            <w:tcW w:type="dxa" w:w="4706"/>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r>
          </w:p>
        </w:tc>
        <w:tc>
          <w:tcPr>
            <w:tcW w:type="dxa" w:w="1814"/>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r>
          </w:p>
        </w:tc>
      </w:tr>
      <w:tr>
        <w:trPr>
          <w:cantSplit/>
        </w:trPr>
        <w:tc>
          <w:tcPr>
            <w:tcW w:type="dxa" w:w="3231"/>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G02 Dimensions and event setup</w:t>
            </w:r>
          </w:p>
        </w:tc>
        <w:tc>
          <w:tcPr>
            <w:tcW w:type="dxa" w:w="4706"/>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r>
          </w:p>
        </w:tc>
        <w:tc>
          <w:tcPr>
            <w:tcW w:type="dxa" w:w="1814"/>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r>
          </w:p>
        </w:tc>
      </w:tr>
      <w:tr>
        <w:trPr>
          <w:cantSplit/>
        </w:trPr>
        <w:tc>
          <w:tcPr>
            <w:tcW w:type="dxa" w:w="3231"/>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G03 Cart acceptance</w:t>
            </w:r>
          </w:p>
        </w:tc>
        <w:tc>
          <w:tcPr>
            <w:tcW w:type="dxa" w:w="4706"/>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r>
          </w:p>
        </w:tc>
        <w:tc>
          <w:tcPr>
            <w:tcW w:type="dxa" w:w="1814"/>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r>
          </w:p>
        </w:tc>
      </w:tr>
      <w:tr>
        <w:trPr>
          <w:cantSplit/>
        </w:trPr>
        <w:tc>
          <w:tcPr>
            <w:tcW w:type="dxa" w:w="3231"/>
            <w:vAlign w:val="center"/>
            <w:shd w:fill="FFFFFF"/>
            <w:tcMar>
              <w:top w:w="45" w:type="dxa"/>
              <w:bottom w:w="45" w:type="dxa"/>
              <w:left w:w="85" w:type="dxa"/>
              <w:right w:w="85" w:type="dxa"/>
            </w:tcMar>
          </w:tcPr>
          <w:p>
            <w:pPr>
              <w:spacing w:after="40" w:before="20" w:line="240" w:lineRule="auto"/>
            </w:pPr>
            <w:r>
              <w:t>C01 Stone melanger</w:t>
            </w:r>
          </w:p>
        </w:tc>
        <w:tc>
          <w:tcPr>
            <w:tcW w:type="dxa" w:w="4706"/>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r>
          </w:p>
        </w:tc>
        <w:tc>
          <w:tcPr>
            <w:tcW w:type="dxa" w:w="1814"/>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r>
          </w:p>
        </w:tc>
      </w:tr>
      <w:tr>
        <w:trPr>
          <w:cantSplit/>
        </w:trPr>
        <w:tc>
          <w:tcPr>
            <w:tcW w:type="dxa" w:w="3231"/>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C02 Tempering and vibrating table</w:t>
            </w:r>
          </w:p>
        </w:tc>
        <w:tc>
          <w:tcPr>
            <w:tcW w:type="dxa" w:w="4706"/>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r>
          </w:p>
        </w:tc>
        <w:tc>
          <w:tcPr>
            <w:tcW w:type="dxa" w:w="1814"/>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r>
          </w:p>
        </w:tc>
      </w:tr>
      <w:tr>
        <w:trPr>
          <w:cantSplit/>
        </w:trPr>
        <w:tc>
          <w:tcPr>
            <w:tcW w:type="dxa" w:w="3231"/>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C03 Chocolate melter</w:t>
            </w:r>
          </w:p>
        </w:tc>
        <w:tc>
          <w:tcPr>
            <w:tcW w:type="dxa" w:w="4706"/>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r>
          </w:p>
        </w:tc>
        <w:tc>
          <w:tcPr>
            <w:tcW w:type="dxa" w:w="1814"/>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r>
          </w:p>
        </w:tc>
      </w:tr>
      <w:tr>
        <w:trPr>
          <w:cantSplit/>
        </w:trPr>
        <w:tc>
          <w:tcPr>
            <w:tcW w:type="dxa" w:w="3231"/>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C04 Cocoa butter incubation</w:t>
            </w:r>
          </w:p>
        </w:tc>
        <w:tc>
          <w:tcPr>
            <w:tcW w:type="dxa" w:w="4706"/>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r>
          </w:p>
        </w:tc>
        <w:tc>
          <w:tcPr>
            <w:tcW w:type="dxa" w:w="1814"/>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r>
          </w:p>
        </w:tc>
      </w:tr>
      <w:tr>
        <w:trPr>
          <w:cantSplit/>
        </w:trPr>
        <w:tc>
          <w:tcPr>
            <w:tcW w:type="dxa" w:w="3231"/>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F01 Room design and capacity</w:t>
            </w:r>
          </w:p>
        </w:tc>
        <w:tc>
          <w:tcPr>
            <w:tcW w:type="dxa" w:w="4706"/>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r>
          </w:p>
        </w:tc>
        <w:tc>
          <w:tcPr>
            <w:tcW w:type="dxa" w:w="1814"/>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r>
          </w:p>
        </w:tc>
      </w:tr>
      <w:tr>
        <w:trPr>
          <w:cantSplit/>
        </w:trPr>
        <w:tc>
          <w:tcPr>
            <w:tcW w:type="dxa" w:w="3231"/>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F02 Refrigeration performance</w:t>
            </w:r>
          </w:p>
        </w:tc>
        <w:tc>
          <w:tcPr>
            <w:tcW w:type="dxa" w:w="4706"/>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r>
          </w:p>
        </w:tc>
        <w:tc>
          <w:tcPr>
            <w:tcW w:type="dxa" w:w="1814"/>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r>
          </w:p>
        </w:tc>
      </w:tr>
      <w:tr>
        <w:trPr>
          <w:cantSplit/>
        </w:trPr>
        <w:tc>
          <w:tcPr>
            <w:tcW w:type="dxa" w:w="3231"/>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F03 Construction hygiene and doors</w:t>
            </w:r>
          </w:p>
        </w:tc>
        <w:tc>
          <w:tcPr>
            <w:tcW w:type="dxa" w:w="4706"/>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r>
          </w:p>
        </w:tc>
        <w:tc>
          <w:tcPr>
            <w:tcW w:type="dxa" w:w="1814"/>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r>
          </w:p>
        </w:tc>
      </w:tr>
      <w:tr>
        <w:trPr>
          <w:cantSplit/>
        </w:trPr>
        <w:tc>
          <w:tcPr>
            <w:tcW w:type="dxa" w:w="3231"/>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F04 Services monitoring and acceptance</w:t>
            </w:r>
          </w:p>
        </w:tc>
        <w:tc>
          <w:tcPr>
            <w:tcW w:type="dxa" w:w="4706"/>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r>
          </w:p>
        </w:tc>
        <w:tc>
          <w:tcPr>
            <w:tcW w:type="dxa" w:w="1814"/>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r>
          </w:p>
        </w:tc>
      </w:tr>
      <w:tr>
        <w:trPr>
          <w:cantSplit/>
        </w:trPr>
        <w:tc>
          <w:tcPr>
            <w:tcW w:type="dxa" w:w="3231"/>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Common conformity installation warranty and service requirements</w:t>
            </w:r>
          </w:p>
        </w:tc>
        <w:tc>
          <w:tcPr>
            <w:tcW w:type="dxa" w:w="4706"/>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r>
          </w:p>
        </w:tc>
        <w:tc>
          <w:tcPr>
            <w:tcW w:type="dxa" w:w="1814"/>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r>
          </w:p>
        </w:tc>
      </w:tr>
    </w:tbl>
    <w:p>
      <w:pPr>
        <w:spacing w:before="100"/>
      </w:pPr>
      <w:r>
        <w:t>For Lot 1, show mix-charge volume, finished product volume after overrun and filler loading separately. For Lot 3, separate usable kilograms from vessel litres. For Lot 4, attach a dimensioned preliminary layout, capacity assumptions and heat-load calculation or calculation method with the required inputs.</w:t>
      </w:r>
    </w:p>
    <w:p>
      <w:pPr>
        <w:pStyle w:val="Heading1"/>
        <w:pageBreakBefore/>
      </w:pPr>
      <w:r>
        <w:rPr>
          <w:color w:val="000000"/>
        </w:rPr>
        <w:t>3 Equipment price schedule</w:t>
      </w:r>
    </w:p>
    <w:p>
      <w:r>
        <w:t>Complete only lots offered. Price a single configuration for each lot. List included accessories below the corresponding item; do not charge twice for the compressor or vibrating table. All prices in this table exclude VAT.</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5159"/>
        <w:gridCol w:w="1191"/>
        <w:gridCol w:w="1701"/>
        <w:gridCol w:w="1701"/>
      </w:tblGrid>
      <w:tr>
        <w:trPr>
          <w:tblHeader/>
          <w:cantSplit/>
        </w:trPr>
        <w:tc>
          <w:tcPr>
            <w:tcW w:type="dxa" w:w="5159"/>
            <w:vAlign w:val="center"/>
            <w:shd w:fill="DCE6F1"/>
            <w:tcMar>
              <w:top w:w="45" w:type="dxa"/>
              <w:bottom w:w="45" w:type="dxa"/>
              <w:left w:w="85" w:type="dxa"/>
              <w:right w:w="85" w:type="dxa"/>
            </w:tcMar>
          </w:tcPr>
          <w:p>
            <w:pPr>
              <w:spacing w:after="40" w:before="20" w:line="240" w:lineRule="auto"/>
            </w:pPr>
            <w:r>
              <w:rPr>
                <w:rFonts w:ascii="Calibri" w:hAnsi="Calibri"/>
                <w:b/>
                <w:color w:val="000000"/>
                <w:sz w:val="20"/>
              </w:rPr>
              <w:t>Lot and item</w:t>
            </w:r>
          </w:p>
        </w:tc>
        <w:tc>
          <w:tcPr>
            <w:tcW w:type="dxa" w:w="1191"/>
            <w:vAlign w:val="center"/>
            <w:shd w:fill="DCE6F1"/>
            <w:tcMar>
              <w:top w:w="45" w:type="dxa"/>
              <w:bottom w:w="45" w:type="dxa"/>
              <w:left w:w="85" w:type="dxa"/>
              <w:right w:w="85" w:type="dxa"/>
            </w:tcMar>
          </w:tcPr>
          <w:p>
            <w:pPr>
              <w:spacing w:after="40" w:before="20" w:line="240" w:lineRule="auto"/>
            </w:pPr>
            <w:r>
              <w:rPr>
                <w:rFonts w:ascii="Calibri" w:hAnsi="Calibri"/>
                <w:b/>
                <w:color w:val="000000"/>
                <w:sz w:val="20"/>
              </w:rPr>
              <w:t>Qty</w:t>
            </w:r>
          </w:p>
        </w:tc>
        <w:tc>
          <w:tcPr>
            <w:tcW w:type="dxa" w:w="1701"/>
            <w:vAlign w:val="center"/>
            <w:shd w:fill="DCE6F1"/>
            <w:tcMar>
              <w:top w:w="45" w:type="dxa"/>
              <w:bottom w:w="45" w:type="dxa"/>
              <w:left w:w="85" w:type="dxa"/>
              <w:right w:w="85" w:type="dxa"/>
            </w:tcMar>
          </w:tcPr>
          <w:p>
            <w:pPr>
              <w:spacing w:after="40" w:before="20" w:line="240" w:lineRule="auto"/>
            </w:pPr>
            <w:r>
              <w:rPr>
                <w:rFonts w:ascii="Calibri" w:hAnsi="Calibri"/>
                <w:b/>
                <w:color w:val="000000"/>
                <w:sz w:val="20"/>
              </w:rPr>
              <w:t>Unit net EUR</w:t>
            </w:r>
          </w:p>
        </w:tc>
        <w:tc>
          <w:tcPr>
            <w:tcW w:type="dxa" w:w="1701"/>
            <w:vAlign w:val="center"/>
            <w:shd w:fill="DCE6F1"/>
            <w:tcMar>
              <w:top w:w="45" w:type="dxa"/>
              <w:bottom w:w="45" w:type="dxa"/>
              <w:left w:w="85" w:type="dxa"/>
              <w:right w:w="85" w:type="dxa"/>
            </w:tcMar>
          </w:tcPr>
          <w:p>
            <w:pPr>
              <w:spacing w:after="40" w:before="20" w:line="240" w:lineRule="auto"/>
            </w:pPr>
            <w:r>
              <w:rPr>
                <w:rFonts w:ascii="Calibri" w:hAnsi="Calibri"/>
                <w:b/>
                <w:color w:val="000000"/>
                <w:sz w:val="20"/>
              </w:rPr>
              <w:t>Line net EUR</w:t>
            </w:r>
          </w:p>
        </w:tc>
      </w:tr>
      <w:tr>
        <w:trPr>
          <w:cantSplit/>
        </w:trPr>
        <w:tc>
          <w:tcPr>
            <w:tcW w:type="dxa" w:w="5159"/>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1 P01 Pasteurisation and ageing</w:t>
            </w:r>
          </w:p>
        </w:tc>
        <w:tc>
          <w:tcPr>
            <w:tcW w:type="dxa" w:w="1191"/>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1 system</w:t>
            </w:r>
          </w:p>
        </w:tc>
        <w:tc>
          <w:tcPr>
            <w:tcW w:type="dxa" w:w="1701"/>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r>
          </w:p>
        </w:tc>
        <w:tc>
          <w:tcPr>
            <w:tcW w:type="dxa" w:w="1701"/>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r>
          </w:p>
        </w:tc>
      </w:tr>
      <w:tr>
        <w:trPr>
          <w:cantSplit/>
        </w:trPr>
        <w:tc>
          <w:tcPr>
            <w:tcW w:type="dxa" w:w="5159"/>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1 P02 Batch freezer</w:t>
            </w:r>
          </w:p>
        </w:tc>
        <w:tc>
          <w:tcPr>
            <w:tcW w:type="dxa" w:w="1191"/>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1</w:t>
            </w:r>
          </w:p>
        </w:tc>
        <w:tc>
          <w:tcPr>
            <w:tcW w:type="dxa" w:w="1701"/>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r>
          </w:p>
        </w:tc>
        <w:tc>
          <w:tcPr>
            <w:tcW w:type="dxa" w:w="1701"/>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r>
          </w:p>
        </w:tc>
      </w:tr>
      <w:tr>
        <w:trPr>
          <w:cantSplit/>
        </w:trPr>
        <w:tc>
          <w:tcPr>
            <w:tcW w:type="dxa" w:w="5159"/>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1 P03 Cooking and cooling kettle</w:t>
            </w:r>
          </w:p>
        </w:tc>
        <w:tc>
          <w:tcPr>
            <w:tcW w:type="dxa" w:w="1191"/>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1</w:t>
            </w:r>
          </w:p>
        </w:tc>
        <w:tc>
          <w:tcPr>
            <w:tcW w:type="dxa" w:w="1701"/>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r>
          </w:p>
        </w:tc>
        <w:tc>
          <w:tcPr>
            <w:tcW w:type="dxa" w:w="1701"/>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r>
          </w:p>
        </w:tc>
      </w:tr>
      <w:tr>
        <w:trPr>
          <w:cantSplit/>
        </w:trPr>
        <w:tc>
          <w:tcPr>
            <w:tcW w:type="dxa" w:w="5159"/>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1 P04 Pump hoses and fittings</w:t>
            </w:r>
          </w:p>
        </w:tc>
        <w:tc>
          <w:tcPr>
            <w:tcW w:type="dxa" w:w="1191"/>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1 set</w:t>
            </w:r>
          </w:p>
        </w:tc>
        <w:tc>
          <w:tcPr>
            <w:tcW w:type="dxa" w:w="1701"/>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r>
          </w:p>
        </w:tc>
        <w:tc>
          <w:tcPr>
            <w:tcW w:type="dxa" w:w="1701"/>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r>
          </w:p>
        </w:tc>
      </w:tr>
      <w:tr>
        <w:trPr>
          <w:cantSplit/>
        </w:trPr>
        <w:tc>
          <w:tcPr>
            <w:tcW w:type="dxa" w:w="5159"/>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1 P05 Filling system 22 L class</w:t>
            </w:r>
          </w:p>
        </w:tc>
        <w:tc>
          <w:tcPr>
            <w:tcW w:type="dxa" w:w="1191"/>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1 set</w:t>
            </w:r>
          </w:p>
        </w:tc>
        <w:tc>
          <w:tcPr>
            <w:tcW w:type="dxa" w:w="1701"/>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r>
          </w:p>
        </w:tc>
        <w:tc>
          <w:tcPr>
            <w:tcW w:type="dxa" w:w="1701"/>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r>
          </w:p>
        </w:tc>
      </w:tr>
      <w:tr>
        <w:trPr>
          <w:cantSplit/>
        </w:trPr>
        <w:tc>
          <w:tcPr>
            <w:tcW w:type="dxa" w:w="5159"/>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1 P05a Required compressor if separately priced</w:t>
            </w:r>
          </w:p>
        </w:tc>
        <w:tc>
          <w:tcPr>
            <w:tcW w:type="dxa" w:w="1191"/>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1</w:t>
            </w:r>
          </w:p>
        </w:tc>
        <w:tc>
          <w:tcPr>
            <w:tcW w:type="dxa" w:w="1701"/>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r>
          </w:p>
        </w:tc>
        <w:tc>
          <w:tcPr>
            <w:tcW w:type="dxa" w:w="1701"/>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r>
          </w:p>
        </w:tc>
      </w:tr>
      <w:tr>
        <w:trPr>
          <w:cantSplit/>
        </w:trPr>
        <w:tc>
          <w:tcPr>
            <w:tcW w:type="dxa" w:w="5159"/>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1 P06 Fruit pulper 120 kg/h class; five screens 0.5, 1, 2, 3 and 5 mm</w:t>
            </w:r>
          </w:p>
        </w:tc>
        <w:tc>
          <w:tcPr>
            <w:tcW w:type="dxa" w:w="1191"/>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1</w:t>
            </w:r>
          </w:p>
        </w:tc>
        <w:tc>
          <w:tcPr>
            <w:tcW w:type="dxa" w:w="1701"/>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r>
          </w:p>
        </w:tc>
        <w:tc>
          <w:tcPr>
            <w:tcW w:type="dxa" w:w="1701"/>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r>
          </w:p>
        </w:tc>
      </w:tr>
      <w:tr>
        <w:trPr>
          <w:cantSplit/>
        </w:trPr>
        <w:tc>
          <w:tcPr>
            <w:tcW w:type="dxa" w:w="5159"/>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1 P07 Blast freezer and supports</w:t>
            </w:r>
          </w:p>
        </w:tc>
        <w:tc>
          <w:tcPr>
            <w:tcW w:type="dxa" w:w="1191"/>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1</w:t>
            </w:r>
          </w:p>
        </w:tc>
        <w:tc>
          <w:tcPr>
            <w:tcW w:type="dxa" w:w="1701"/>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r>
          </w:p>
        </w:tc>
        <w:tc>
          <w:tcPr>
            <w:tcW w:type="dxa" w:w="1701"/>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r>
          </w:p>
        </w:tc>
      </w:tr>
      <w:tr>
        <w:trPr>
          <w:cantSplit/>
        </w:trPr>
        <w:tc>
          <w:tcPr>
            <w:tcW w:type="dxa" w:w="5159"/>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2 G01 Complete cart including 12 pans and canopy</w:t>
            </w:r>
          </w:p>
        </w:tc>
        <w:tc>
          <w:tcPr>
            <w:tcW w:type="dxa" w:w="1191"/>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3</w:t>
            </w:r>
          </w:p>
        </w:tc>
        <w:tc>
          <w:tcPr>
            <w:tcW w:type="dxa" w:w="1701"/>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r>
          </w:p>
        </w:tc>
        <w:tc>
          <w:tcPr>
            <w:tcW w:type="dxa" w:w="1701"/>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r>
          </w:p>
        </w:tc>
      </w:tr>
      <w:tr>
        <w:trPr>
          <w:cantSplit/>
        </w:trPr>
        <w:tc>
          <w:tcPr>
            <w:tcW w:type="dxa" w:w="5159"/>
            <w:vAlign w:val="center"/>
            <w:shd w:fill="FFFFFF"/>
            <w:tcMar>
              <w:top w:w="45" w:type="dxa"/>
              <w:bottom w:w="45" w:type="dxa"/>
              <w:left w:w="85" w:type="dxa"/>
              <w:right w:w="85" w:type="dxa"/>
            </w:tcMar>
          </w:tcPr>
          <w:p>
            <w:pPr>
              <w:spacing w:after="40" w:before="20" w:line="240" w:lineRule="auto"/>
            </w:pPr>
            <w:r>
              <w:t>3 C01 Stone melanger 35 kg class</w:t>
            </w:r>
          </w:p>
        </w:tc>
        <w:tc>
          <w:tcPr>
            <w:tcW w:type="dxa" w:w="1191"/>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1</w:t>
            </w:r>
          </w:p>
        </w:tc>
        <w:tc>
          <w:tcPr>
            <w:tcW w:type="dxa" w:w="1701"/>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r>
          </w:p>
        </w:tc>
        <w:tc>
          <w:tcPr>
            <w:tcW w:type="dxa" w:w="1701"/>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r>
          </w:p>
        </w:tc>
      </w:tr>
      <w:tr>
        <w:trPr>
          <w:cantSplit/>
        </w:trPr>
        <w:tc>
          <w:tcPr>
            <w:tcW w:type="dxa" w:w="5159"/>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3 C02 Tempering machine with vibrating table</w:t>
            </w:r>
          </w:p>
        </w:tc>
        <w:tc>
          <w:tcPr>
            <w:tcW w:type="dxa" w:w="1191"/>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1 set</w:t>
            </w:r>
          </w:p>
        </w:tc>
        <w:tc>
          <w:tcPr>
            <w:tcW w:type="dxa" w:w="1701"/>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r>
          </w:p>
        </w:tc>
        <w:tc>
          <w:tcPr>
            <w:tcW w:type="dxa" w:w="1701"/>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r>
          </w:p>
        </w:tc>
      </w:tr>
      <w:tr>
        <w:trPr>
          <w:cantSplit/>
        </w:trPr>
        <w:tc>
          <w:tcPr>
            <w:tcW w:type="dxa" w:w="5159"/>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3 C03 Chocolate melter</w:t>
            </w:r>
          </w:p>
        </w:tc>
        <w:tc>
          <w:tcPr>
            <w:tcW w:type="dxa" w:w="1191"/>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1</w:t>
            </w:r>
          </w:p>
        </w:tc>
        <w:tc>
          <w:tcPr>
            <w:tcW w:type="dxa" w:w="1701"/>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r>
          </w:p>
        </w:tc>
        <w:tc>
          <w:tcPr>
            <w:tcW w:type="dxa" w:w="1701"/>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r>
          </w:p>
        </w:tc>
      </w:tr>
      <w:tr>
        <w:trPr>
          <w:cantSplit/>
        </w:trPr>
        <w:tc>
          <w:tcPr>
            <w:tcW w:type="dxa" w:w="5159"/>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3 C04 Cocoa butter incubation unit</w:t>
            </w:r>
          </w:p>
        </w:tc>
        <w:tc>
          <w:tcPr>
            <w:tcW w:type="dxa" w:w="1191"/>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1</w:t>
            </w:r>
          </w:p>
        </w:tc>
        <w:tc>
          <w:tcPr>
            <w:tcW w:type="dxa" w:w="1701"/>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r>
          </w:p>
        </w:tc>
        <w:tc>
          <w:tcPr>
            <w:tcW w:type="dxa" w:w="1701"/>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r>
          </w:p>
        </w:tc>
      </w:tr>
      <w:tr>
        <w:trPr>
          <w:cantSplit/>
        </w:trPr>
        <w:tc>
          <w:tcPr>
            <w:tcW w:type="dxa" w:w="5159"/>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4 A Room panels structure and design</w:t>
            </w:r>
          </w:p>
        </w:tc>
        <w:tc>
          <w:tcPr>
            <w:tcW w:type="dxa" w:w="1191"/>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1 set</w:t>
            </w:r>
          </w:p>
        </w:tc>
        <w:tc>
          <w:tcPr>
            <w:tcW w:type="dxa" w:w="1701"/>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r>
          </w:p>
        </w:tc>
        <w:tc>
          <w:tcPr>
            <w:tcW w:type="dxa" w:w="1701"/>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r>
          </w:p>
        </w:tc>
      </w:tr>
      <w:tr>
        <w:trPr>
          <w:cantSplit/>
        </w:trPr>
        <w:tc>
          <w:tcPr>
            <w:tcW w:type="dxa" w:w="5159"/>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4 B Complete refrigeration system</w:t>
            </w:r>
          </w:p>
        </w:tc>
        <w:tc>
          <w:tcPr>
            <w:tcW w:type="dxa" w:w="1191"/>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1 set</w:t>
            </w:r>
          </w:p>
        </w:tc>
        <w:tc>
          <w:tcPr>
            <w:tcW w:type="dxa" w:w="1701"/>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r>
          </w:p>
        </w:tc>
        <w:tc>
          <w:tcPr>
            <w:tcW w:type="dxa" w:w="1701"/>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r>
          </w:p>
        </w:tc>
      </w:tr>
      <w:tr>
        <w:trPr>
          <w:cantSplit/>
        </w:trPr>
        <w:tc>
          <w:tcPr>
            <w:tcW w:type="dxa" w:w="5159"/>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4 C Floor two doors and safety equipment</w:t>
            </w:r>
          </w:p>
        </w:tc>
        <w:tc>
          <w:tcPr>
            <w:tcW w:type="dxa" w:w="1191"/>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1 set</w:t>
            </w:r>
          </w:p>
        </w:tc>
        <w:tc>
          <w:tcPr>
            <w:tcW w:type="dxa" w:w="1701"/>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r>
          </w:p>
        </w:tc>
        <w:tc>
          <w:tcPr>
            <w:tcW w:type="dxa" w:w="1701"/>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r>
          </w:p>
        </w:tc>
      </w:tr>
      <w:tr>
        <w:trPr>
          <w:cantSplit/>
        </w:trPr>
        <w:tc>
          <w:tcPr>
            <w:tcW w:type="dxa" w:w="5159"/>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4 D Shelving sensors logging and alarms</w:t>
            </w:r>
          </w:p>
        </w:tc>
        <w:tc>
          <w:tcPr>
            <w:tcW w:type="dxa" w:w="1191"/>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1 set</w:t>
            </w:r>
          </w:p>
        </w:tc>
        <w:tc>
          <w:tcPr>
            <w:tcW w:type="dxa" w:w="1701"/>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r>
          </w:p>
        </w:tc>
        <w:tc>
          <w:tcPr>
            <w:tcW w:type="dxa" w:w="1701"/>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r>
          </w:p>
        </w:tc>
      </w:tr>
    </w:tbl>
    <w:p>
      <w:pPr>
        <w:spacing w:before="100"/>
      </w:pPr>
      <w:r>
        <w:t>Lot 4 rows A–D are pricing components, not substitutes for specification references F01–F04. Provide a breakdown demonstrating that all four functional requirements are covered. P05a is part of P05 and must be included either in P05 or explicitly as P05a.</w:t>
      </w:r>
    </w:p>
    <w:p>
      <w:pPr>
        <w:pStyle w:val="Heading2"/>
      </w:pPr>
      <w:r>
        <w:rPr>
          <w:color w:val="000000"/>
        </w:rPr>
        <w:t>Optional extras and later recurring costs</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819"/>
        <w:gridCol w:w="2098"/>
        <w:gridCol w:w="2835"/>
      </w:tblGrid>
      <w:tr>
        <w:trPr>
          <w:tblHeader/>
          <w:cantSplit/>
        </w:trPr>
        <w:tc>
          <w:tcPr>
            <w:tcW w:type="dxa" w:w="4819"/>
            <w:vAlign w:val="center"/>
            <w:shd w:fill="DCE6F1"/>
            <w:tcMar>
              <w:top w:w="45" w:type="dxa"/>
              <w:bottom w:w="45" w:type="dxa"/>
              <w:left w:w="85" w:type="dxa"/>
              <w:right w:w="85" w:type="dxa"/>
            </w:tcMar>
          </w:tcPr>
          <w:p>
            <w:pPr>
              <w:spacing w:after="40" w:before="20" w:line="240" w:lineRule="auto"/>
            </w:pPr>
            <w:r>
              <w:rPr>
                <w:rFonts w:ascii="Calibri" w:hAnsi="Calibri"/>
                <w:b/>
                <w:color w:val="000000"/>
                <w:sz w:val="20"/>
              </w:rPr>
              <w:t>Description and lot</w:t>
            </w:r>
          </w:p>
        </w:tc>
        <w:tc>
          <w:tcPr>
            <w:tcW w:type="dxa" w:w="2098"/>
            <w:vAlign w:val="center"/>
            <w:shd w:fill="DCE6F1"/>
            <w:tcMar>
              <w:top w:w="45" w:type="dxa"/>
              <w:bottom w:w="45" w:type="dxa"/>
              <w:left w:w="85" w:type="dxa"/>
              <w:right w:w="85" w:type="dxa"/>
            </w:tcMar>
          </w:tcPr>
          <w:p>
            <w:pPr>
              <w:spacing w:after="40" w:before="20" w:line="240" w:lineRule="auto"/>
            </w:pPr>
            <w:r>
              <w:rPr>
                <w:rFonts w:ascii="Calibri" w:hAnsi="Calibri"/>
                <w:b/>
                <w:color w:val="000000"/>
                <w:sz w:val="20"/>
              </w:rPr>
              <w:t>Mandatory or optional</w:t>
            </w:r>
          </w:p>
        </w:tc>
        <w:tc>
          <w:tcPr>
            <w:tcW w:type="dxa" w:w="2835"/>
            <w:vAlign w:val="center"/>
            <w:shd w:fill="DCE6F1"/>
            <w:tcMar>
              <w:top w:w="45" w:type="dxa"/>
              <w:bottom w:w="45" w:type="dxa"/>
              <w:left w:w="85" w:type="dxa"/>
              <w:right w:w="85" w:type="dxa"/>
            </w:tcMar>
          </w:tcPr>
          <w:p>
            <w:pPr>
              <w:spacing w:after="40" w:before="20" w:line="240" w:lineRule="auto"/>
            </w:pPr>
            <w:r>
              <w:rPr>
                <w:rFonts w:ascii="Calibri" w:hAnsi="Calibri"/>
                <w:b/>
                <w:color w:val="000000"/>
                <w:sz w:val="20"/>
              </w:rPr>
              <w:t>Net EUR and frequency</w:t>
            </w:r>
          </w:p>
        </w:tc>
      </w:tr>
      <w:tr>
        <w:trPr>
          <w:cantSplit/>
        </w:trPr>
        <w:tc>
          <w:tcPr>
            <w:tcW w:type="dxa" w:w="4819"/>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r>
          </w:p>
        </w:tc>
        <w:tc>
          <w:tcPr>
            <w:tcW w:type="dxa" w:w="2098"/>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r>
          </w:p>
        </w:tc>
        <w:tc>
          <w:tcPr>
            <w:tcW w:type="dxa" w:w="2835"/>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r>
          </w:p>
        </w:tc>
      </w:tr>
      <w:tr>
        <w:trPr>
          <w:cantSplit/>
        </w:trPr>
        <w:tc>
          <w:tcPr>
            <w:tcW w:type="dxa" w:w="4819"/>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r>
          </w:p>
        </w:tc>
        <w:tc>
          <w:tcPr>
            <w:tcW w:type="dxa" w:w="2098"/>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r>
          </w:p>
        </w:tc>
        <w:tc>
          <w:tcPr>
            <w:tcW w:type="dxa" w:w="2835"/>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r>
          </w:p>
        </w:tc>
      </w:tr>
      <w:tr>
        <w:trPr>
          <w:cantSplit/>
        </w:trPr>
        <w:tc>
          <w:tcPr>
            <w:tcW w:type="dxa" w:w="4819"/>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r>
          </w:p>
        </w:tc>
        <w:tc>
          <w:tcPr>
            <w:tcW w:type="dxa" w:w="2098"/>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r>
          </w:p>
        </w:tc>
        <w:tc>
          <w:tcPr>
            <w:tcW w:type="dxa" w:w="2835"/>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r>
          </w:p>
        </w:tc>
      </w:tr>
    </w:tbl>
    <w:p>
      <w:pPr>
        <w:spacing w:before="100"/>
      </w:pPr>
      <w:r>
        <w:t>State “None” if there are no optional or later recurring charges. Explain any software licence, connectivity, alarm subscription, service or consumable charge and its period. A function required by the specification is not an optional extra.</w:t>
      </w:r>
    </w:p>
    <w:p>
      <w:pPr>
        <w:pStyle w:val="Heading1"/>
        <w:pageBreakBefore/>
      </w:pPr>
      <w:r>
        <w:rPr>
          <w:color w:val="000000"/>
        </w:rPr>
        <w:t>4 Lot totals delivery and service</w:t>
      </w:r>
    </w:p>
    <w:p>
      <w:r>
        <w:t>Each column is a complete independent lot price. State “Not offered” where relevant. Attach additional VAT calculations if multiple rates or reverse-charge treatment apply.</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628"/>
        <w:gridCol w:w="1531"/>
        <w:gridCol w:w="1531"/>
        <w:gridCol w:w="1531"/>
        <w:gridCol w:w="1531"/>
      </w:tblGrid>
      <w:tr>
        <w:trPr>
          <w:tblHeader/>
          <w:cantSplit/>
        </w:trPr>
        <w:tc>
          <w:tcPr>
            <w:tcW w:type="dxa" w:w="3628"/>
            <w:vAlign w:val="center"/>
            <w:shd w:fill="DCE6F1"/>
            <w:tcMar>
              <w:top w:w="45" w:type="dxa"/>
              <w:bottom w:w="45" w:type="dxa"/>
              <w:left w:w="85" w:type="dxa"/>
              <w:right w:w="85" w:type="dxa"/>
            </w:tcMar>
          </w:tcPr>
          <w:p>
            <w:pPr>
              <w:spacing w:after="40" w:before="20" w:line="240" w:lineRule="auto"/>
            </w:pPr>
            <w:r>
              <w:rPr>
                <w:rFonts w:ascii="Calibri" w:hAnsi="Calibri"/>
                <w:b/>
                <w:color w:val="000000"/>
                <w:sz w:val="20"/>
              </w:rPr>
              <w:t>Cost component</w:t>
            </w:r>
          </w:p>
        </w:tc>
        <w:tc>
          <w:tcPr>
            <w:tcW w:type="dxa" w:w="1531"/>
            <w:vAlign w:val="center"/>
            <w:shd w:fill="DCE6F1"/>
            <w:tcMar>
              <w:top w:w="45" w:type="dxa"/>
              <w:bottom w:w="45" w:type="dxa"/>
              <w:left w:w="85" w:type="dxa"/>
              <w:right w:w="85" w:type="dxa"/>
            </w:tcMar>
          </w:tcPr>
          <w:p>
            <w:pPr>
              <w:spacing w:after="40" w:before="20" w:line="240" w:lineRule="auto"/>
            </w:pPr>
            <w:r>
              <w:rPr>
                <w:rFonts w:ascii="Calibri" w:hAnsi="Calibri"/>
                <w:b/>
                <w:color w:val="000000"/>
                <w:sz w:val="20"/>
              </w:rPr>
              <w:t>Lot 1 EUR</w:t>
            </w:r>
          </w:p>
        </w:tc>
        <w:tc>
          <w:tcPr>
            <w:tcW w:type="dxa" w:w="1531"/>
            <w:vAlign w:val="center"/>
            <w:shd w:fill="DCE6F1"/>
            <w:tcMar>
              <w:top w:w="45" w:type="dxa"/>
              <w:bottom w:w="45" w:type="dxa"/>
              <w:left w:w="85" w:type="dxa"/>
              <w:right w:w="85" w:type="dxa"/>
            </w:tcMar>
          </w:tcPr>
          <w:p>
            <w:pPr>
              <w:spacing w:after="40" w:before="20" w:line="240" w:lineRule="auto"/>
            </w:pPr>
            <w:r>
              <w:rPr>
                <w:rFonts w:ascii="Calibri" w:hAnsi="Calibri"/>
                <w:b/>
                <w:color w:val="000000"/>
                <w:sz w:val="20"/>
              </w:rPr>
              <w:t>Lot 2 EUR</w:t>
            </w:r>
          </w:p>
        </w:tc>
        <w:tc>
          <w:tcPr>
            <w:tcW w:type="dxa" w:w="1531"/>
            <w:vAlign w:val="center"/>
            <w:shd w:fill="DCE6F1"/>
            <w:tcMar>
              <w:top w:w="45" w:type="dxa"/>
              <w:bottom w:w="45" w:type="dxa"/>
              <w:left w:w="85" w:type="dxa"/>
              <w:right w:w="85" w:type="dxa"/>
            </w:tcMar>
          </w:tcPr>
          <w:p>
            <w:pPr>
              <w:spacing w:after="40" w:before="20" w:line="240" w:lineRule="auto"/>
            </w:pPr>
            <w:r>
              <w:rPr>
                <w:rFonts w:ascii="Calibri" w:hAnsi="Calibri"/>
                <w:b/>
                <w:color w:val="000000"/>
                <w:sz w:val="20"/>
              </w:rPr>
              <w:t>Lot 3 EUR</w:t>
            </w:r>
          </w:p>
        </w:tc>
        <w:tc>
          <w:tcPr>
            <w:tcW w:type="dxa" w:w="1531"/>
            <w:vAlign w:val="center"/>
            <w:shd w:fill="DCE6F1"/>
            <w:tcMar>
              <w:top w:w="45" w:type="dxa"/>
              <w:bottom w:w="45" w:type="dxa"/>
              <w:left w:w="85" w:type="dxa"/>
              <w:right w:w="85" w:type="dxa"/>
            </w:tcMar>
          </w:tcPr>
          <w:p>
            <w:pPr>
              <w:spacing w:after="40" w:before="20" w:line="240" w:lineRule="auto"/>
            </w:pPr>
            <w:r>
              <w:rPr>
                <w:rFonts w:ascii="Calibri" w:hAnsi="Calibri"/>
                <w:b/>
                <w:color w:val="000000"/>
                <w:sz w:val="20"/>
              </w:rPr>
              <w:t>Lot 4 EUR</w:t>
            </w:r>
          </w:p>
        </w:tc>
      </w:tr>
      <w:tr>
        <w:trPr>
          <w:cantSplit/>
        </w:trPr>
        <w:tc>
          <w:tcPr>
            <w:tcW w:type="dxa" w:w="3628"/>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Equipment subtotal</w:t>
            </w:r>
          </w:p>
        </w:tc>
        <w:tc>
          <w:tcPr>
            <w:tcW w:type="dxa" w:w="1531"/>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r>
          </w:p>
        </w:tc>
        <w:tc>
          <w:tcPr>
            <w:tcW w:type="dxa" w:w="1531"/>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r>
          </w:p>
        </w:tc>
        <w:tc>
          <w:tcPr>
            <w:tcW w:type="dxa" w:w="1531"/>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r>
          </w:p>
        </w:tc>
        <w:tc>
          <w:tcPr>
            <w:tcW w:type="dxa" w:w="1531"/>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r>
          </w:p>
        </w:tc>
      </w:tr>
      <w:tr>
        <w:trPr>
          <w:cantSplit/>
        </w:trPr>
        <w:tc>
          <w:tcPr>
            <w:tcW w:type="dxa" w:w="3628"/>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Freight unloading and positioning</w:t>
            </w:r>
          </w:p>
        </w:tc>
        <w:tc>
          <w:tcPr>
            <w:tcW w:type="dxa" w:w="1531"/>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r>
          </w:p>
        </w:tc>
        <w:tc>
          <w:tcPr>
            <w:tcW w:type="dxa" w:w="1531"/>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r>
          </w:p>
        </w:tc>
        <w:tc>
          <w:tcPr>
            <w:tcW w:type="dxa" w:w="1531"/>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r>
          </w:p>
        </w:tc>
        <w:tc>
          <w:tcPr>
            <w:tcW w:type="dxa" w:w="1531"/>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r>
          </w:p>
        </w:tc>
      </w:tr>
      <w:tr>
        <w:trPr>
          <w:cantSplit/>
        </w:trPr>
        <w:tc>
          <w:tcPr>
            <w:tcW w:type="dxa" w:w="3628"/>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Installation assembly and connections</w:t>
            </w:r>
          </w:p>
        </w:tc>
        <w:tc>
          <w:tcPr>
            <w:tcW w:type="dxa" w:w="1531"/>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r>
          </w:p>
        </w:tc>
        <w:tc>
          <w:tcPr>
            <w:tcW w:type="dxa" w:w="1531"/>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r>
          </w:p>
        </w:tc>
        <w:tc>
          <w:tcPr>
            <w:tcW w:type="dxa" w:w="1531"/>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r>
          </w:p>
        </w:tc>
        <w:tc>
          <w:tcPr>
            <w:tcW w:type="dxa" w:w="1531"/>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r>
          </w:p>
        </w:tc>
      </w:tr>
      <w:tr>
        <w:trPr>
          <w:cantSplit/>
        </w:trPr>
        <w:tc>
          <w:tcPr>
            <w:tcW w:type="dxa" w:w="3628"/>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Commissioning and training</w:t>
            </w:r>
          </w:p>
        </w:tc>
        <w:tc>
          <w:tcPr>
            <w:tcW w:type="dxa" w:w="1531"/>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r>
          </w:p>
        </w:tc>
        <w:tc>
          <w:tcPr>
            <w:tcW w:type="dxa" w:w="1531"/>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r>
          </w:p>
        </w:tc>
        <w:tc>
          <w:tcPr>
            <w:tcW w:type="dxa" w:w="1531"/>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r>
          </w:p>
        </w:tc>
        <w:tc>
          <w:tcPr>
            <w:tcW w:type="dxa" w:w="1531"/>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r>
          </w:p>
        </w:tc>
      </w:tr>
      <w:tr>
        <w:trPr>
          <w:cantSplit/>
        </w:trPr>
        <w:tc>
          <w:tcPr>
            <w:tcW w:type="dxa" w:w="3628"/>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Other mandatory charges with explanation</w:t>
            </w:r>
          </w:p>
        </w:tc>
        <w:tc>
          <w:tcPr>
            <w:tcW w:type="dxa" w:w="1531"/>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r>
          </w:p>
        </w:tc>
        <w:tc>
          <w:tcPr>
            <w:tcW w:type="dxa" w:w="1531"/>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r>
          </w:p>
        </w:tc>
        <w:tc>
          <w:tcPr>
            <w:tcW w:type="dxa" w:w="1531"/>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r>
          </w:p>
        </w:tc>
        <w:tc>
          <w:tcPr>
            <w:tcW w:type="dxa" w:w="1531"/>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r>
          </w:p>
        </w:tc>
      </w:tr>
      <w:tr>
        <w:trPr>
          <w:cantSplit/>
        </w:trPr>
        <w:tc>
          <w:tcPr>
            <w:tcW w:type="dxa" w:w="3628"/>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Total evaluated price excluding VAT</w:t>
            </w:r>
          </w:p>
        </w:tc>
        <w:tc>
          <w:tcPr>
            <w:tcW w:type="dxa" w:w="1531"/>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r>
          </w:p>
        </w:tc>
        <w:tc>
          <w:tcPr>
            <w:tcW w:type="dxa" w:w="1531"/>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r>
          </w:p>
        </w:tc>
        <w:tc>
          <w:tcPr>
            <w:tcW w:type="dxa" w:w="1531"/>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r>
          </w:p>
        </w:tc>
        <w:tc>
          <w:tcPr>
            <w:tcW w:type="dxa" w:w="1531"/>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r>
          </w:p>
        </w:tc>
      </w:tr>
      <w:tr>
        <w:trPr>
          <w:cantSplit/>
        </w:trPr>
        <w:tc>
          <w:tcPr>
            <w:tcW w:type="dxa" w:w="3628"/>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VAT rate and amount</w:t>
            </w:r>
          </w:p>
        </w:tc>
        <w:tc>
          <w:tcPr>
            <w:tcW w:type="dxa" w:w="1531"/>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r>
          </w:p>
        </w:tc>
        <w:tc>
          <w:tcPr>
            <w:tcW w:type="dxa" w:w="1531"/>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r>
          </w:p>
        </w:tc>
        <w:tc>
          <w:tcPr>
            <w:tcW w:type="dxa" w:w="1531"/>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r>
          </w:p>
        </w:tc>
        <w:tc>
          <w:tcPr>
            <w:tcW w:type="dxa" w:w="1531"/>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r>
          </w:p>
        </w:tc>
      </w:tr>
      <w:tr>
        <w:trPr>
          <w:cantSplit/>
        </w:trPr>
        <w:tc>
          <w:tcPr>
            <w:tcW w:type="dxa" w:w="3628"/>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Total including VAT</w:t>
            </w:r>
          </w:p>
        </w:tc>
        <w:tc>
          <w:tcPr>
            <w:tcW w:type="dxa" w:w="1531"/>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r>
          </w:p>
        </w:tc>
        <w:tc>
          <w:tcPr>
            <w:tcW w:type="dxa" w:w="1531"/>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r>
          </w:p>
        </w:tc>
        <w:tc>
          <w:tcPr>
            <w:tcW w:type="dxa" w:w="1531"/>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r>
          </w:p>
        </w:tc>
        <w:tc>
          <w:tcPr>
            <w:tcW w:type="dxa" w:w="1531"/>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r>
          </w:p>
        </w:tc>
      </w:tr>
    </w:tbl>
    <w:p>
      <w:pPr>
        <w:spacing w:before="100"/>
      </w:pPr>
      <w:r>
        <w:t>Complete the following commitments separately for each lot or clearly identify which lots each answer covers. The response is contractually binding if accepted; attach enough detail to support the quality scores.</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742"/>
        <w:gridCol w:w="6009"/>
      </w:tblGrid>
      <w:tr>
        <w:trPr>
          <w:tblHeader/>
          <w:cantSplit/>
        </w:trPr>
        <w:tc>
          <w:tcPr>
            <w:tcW w:type="dxa" w:w="3742"/>
            <w:vAlign w:val="center"/>
            <w:shd w:fill="DCE6F1"/>
            <w:tcMar>
              <w:top w:w="45" w:type="dxa"/>
              <w:bottom w:w="45" w:type="dxa"/>
              <w:left w:w="85" w:type="dxa"/>
              <w:right w:w="85" w:type="dxa"/>
            </w:tcMar>
          </w:tcPr>
          <w:p>
            <w:pPr>
              <w:spacing w:after="40" w:before="20" w:line="240" w:lineRule="auto"/>
            </w:pPr>
            <w:r>
              <w:rPr>
                <w:rFonts w:ascii="Calibri" w:hAnsi="Calibri"/>
                <w:b/>
                <w:color w:val="000000"/>
                <w:sz w:val="20"/>
              </w:rPr>
              <w:t>Requirement</w:t>
            </w:r>
          </w:p>
        </w:tc>
        <w:tc>
          <w:tcPr>
            <w:tcW w:type="dxa" w:w="6009"/>
            <w:vAlign w:val="center"/>
            <w:shd w:fill="DCE6F1"/>
            <w:tcMar>
              <w:top w:w="45" w:type="dxa"/>
              <w:bottom w:w="45" w:type="dxa"/>
              <w:left w:w="85" w:type="dxa"/>
              <w:right w:w="85" w:type="dxa"/>
            </w:tcMar>
          </w:tcPr>
          <w:p>
            <w:pPr>
              <w:spacing w:after="40" w:before="20" w:line="240" w:lineRule="auto"/>
            </w:pPr>
            <w:r>
              <w:rPr>
                <w:rFonts w:ascii="Calibri" w:hAnsi="Calibri"/>
                <w:b/>
                <w:color w:val="000000"/>
                <w:sz w:val="20"/>
              </w:rPr>
              <w:t>Binding commitment and evidence</w:t>
            </w:r>
          </w:p>
        </w:tc>
      </w:tr>
      <w:tr>
        <w:trPr>
          <w:cantSplit/>
        </w:trPr>
        <w:tc>
          <w:tcPr>
            <w:tcW w:type="dxa" w:w="3742"/>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Lead time and four month completion programme</w:t>
            </w:r>
          </w:p>
        </w:tc>
        <w:tc>
          <w:tcPr>
            <w:tcW w:type="dxa" w:w="6009"/>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r>
          </w:p>
        </w:tc>
      </w:tr>
      <w:tr>
        <w:trPr>
          <w:cantSplit/>
        </w:trPr>
        <w:tc>
          <w:tcPr>
            <w:tcW w:type="dxa" w:w="3742"/>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Site access dimensions weights and utility demand</w:t>
            </w:r>
          </w:p>
        </w:tc>
        <w:tc>
          <w:tcPr>
            <w:tcW w:type="dxa" w:w="6009"/>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r>
          </w:p>
        </w:tc>
      </w:tr>
      <w:tr>
        <w:trPr>
          <w:cantSplit/>
        </w:trPr>
        <w:tc>
          <w:tcPr>
            <w:tcW w:type="dxa" w:w="3742"/>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Equipment connections and upstream works by others</w:t>
            </w:r>
          </w:p>
        </w:tc>
        <w:tc>
          <w:tcPr>
            <w:tcW w:type="dxa" w:w="6009"/>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r>
          </w:p>
        </w:tc>
      </w:tr>
      <w:tr>
        <w:trPr>
          <w:cantSplit/>
        </w:trPr>
        <w:tc>
          <w:tcPr>
            <w:tcW w:type="dxa" w:w="3742"/>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Commissioning test plan and performance criteria</w:t>
            </w:r>
          </w:p>
        </w:tc>
        <w:tc>
          <w:tcPr>
            <w:tcW w:type="dxa" w:w="6009"/>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r>
          </w:p>
        </w:tc>
      </w:tr>
      <w:tr>
        <w:trPr>
          <w:cantSplit/>
        </w:trPr>
        <w:tc>
          <w:tcPr>
            <w:tcW w:type="dxa" w:w="3742"/>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Training duration content and handover</w:t>
            </w:r>
          </w:p>
        </w:tc>
        <w:tc>
          <w:tcPr>
            <w:tcW w:type="dxa" w:w="6009"/>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r>
          </w:p>
        </w:tc>
      </w:tr>
      <w:tr>
        <w:trPr>
          <w:cantSplit/>
        </w:trPr>
        <w:tc>
          <w:tcPr>
            <w:tcW w:type="dxa" w:w="3742"/>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Warranty length start date full cover and exclusions</w:t>
            </w:r>
          </w:p>
        </w:tc>
        <w:tc>
          <w:tcPr>
            <w:tcW w:type="dxa" w:w="6009"/>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r>
          </w:p>
        </w:tc>
      </w:tr>
      <w:tr>
        <w:trPr>
          <w:cantSplit/>
        </w:trPr>
        <w:tc>
          <w:tcPr>
            <w:tcW w:type="dxa" w:w="3742"/>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Service hours acknowledgement diagnosis and attendance</w:t>
            </w:r>
          </w:p>
        </w:tc>
        <w:tc>
          <w:tcPr>
            <w:tcW w:type="dxa" w:w="6009"/>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r>
          </w:p>
        </w:tc>
      </w:tr>
      <w:tr>
        <w:trPr>
          <w:cantSplit/>
        </w:trPr>
        <w:tc>
          <w:tcPr>
            <w:tcW w:type="dxa" w:w="3742"/>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Service provider Ireland attendance and escalation</w:t>
            </w:r>
          </w:p>
        </w:tc>
        <w:tc>
          <w:tcPr>
            <w:tcW w:type="dxa" w:w="6009"/>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r>
          </w:p>
        </w:tc>
      </w:tr>
      <w:tr>
        <w:trPr>
          <w:cantSplit/>
        </w:trPr>
        <w:tc>
          <w:tcPr>
            <w:tcW w:type="dxa" w:w="3742"/>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Spare parts support period availability and lead times</w:t>
            </w:r>
          </w:p>
        </w:tc>
        <w:tc>
          <w:tcPr>
            <w:tcW w:type="dxa" w:w="6009"/>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r>
          </w:p>
        </w:tc>
      </w:tr>
      <w:tr>
        <w:trPr>
          <w:cantSplit/>
        </w:trPr>
        <w:tc>
          <w:tcPr>
            <w:tcW w:type="dxa" w:w="3742"/>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Equipment condition and relevant declarations</w:t>
            </w:r>
          </w:p>
        </w:tc>
        <w:tc>
          <w:tcPr>
            <w:tcW w:type="dxa" w:w="6009"/>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r>
          </w:p>
        </w:tc>
      </w:tr>
      <w:tr>
        <w:trPr>
          <w:cantSplit/>
        </w:trPr>
        <w:tc>
          <w:tcPr>
            <w:tcW w:type="dxa" w:w="3742"/>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All deviations assumptions and contractual departures</w:t>
            </w:r>
          </w:p>
        </w:tc>
        <w:tc>
          <w:tcPr>
            <w:tcW w:type="dxa" w:w="6009"/>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r>
          </w:p>
        </w:tc>
      </w:tr>
    </w:tbl>
    <w:p>
      <w:pPr>
        <w:pStyle w:val="Heading1"/>
        <w:pageBreakBefore/>
        <w:spacing w:before="100"/>
      </w:pPr>
      <w:r>
        <w:rPr>
          <w:color w:val="000000"/>
        </w:rPr>
        <w:t>5 Demonstration equipment and declaration</w:t>
      </w:r>
    </w:p>
    <w:p>
      <w:r>
        <w:t>Complete and sign the following for each demonstration item. If every offered item is new, state “Not applicable — all items new”. A seller/manufacturer may supply a separate signed declaration with all required information. The tenderer remains responsible for its completeness.</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365"/>
        <w:gridCol w:w="5386"/>
      </w:tblGrid>
      <w:tr>
        <w:trPr>
          <w:tblHeader/>
          <w:cantSplit/>
        </w:trPr>
        <w:tc>
          <w:tcPr>
            <w:tcW w:type="dxa" w:w="4365"/>
            <w:vAlign w:val="center"/>
            <w:shd w:fill="DCE6F1"/>
            <w:tcMar>
              <w:top w:w="45" w:type="dxa"/>
              <w:bottom w:w="45" w:type="dxa"/>
              <w:left w:w="85" w:type="dxa"/>
              <w:right w:w="85" w:type="dxa"/>
            </w:tcMar>
          </w:tcPr>
          <w:p>
            <w:pPr>
              <w:spacing w:after="40" w:before="20" w:line="240" w:lineRule="auto"/>
            </w:pPr>
            <w:r>
              <w:rPr>
                <w:rFonts w:ascii="Calibri" w:hAnsi="Calibri"/>
                <w:b/>
                <w:color w:val="000000"/>
                <w:sz w:val="20"/>
              </w:rPr>
              <w:t>Item record</w:t>
            </w:r>
          </w:p>
        </w:tc>
        <w:tc>
          <w:tcPr>
            <w:tcW w:type="dxa" w:w="5386"/>
            <w:vAlign w:val="center"/>
            <w:shd w:fill="DCE6F1"/>
            <w:tcMar>
              <w:top w:w="45" w:type="dxa"/>
              <w:bottom w:w="45" w:type="dxa"/>
              <w:left w:w="85" w:type="dxa"/>
              <w:right w:w="85" w:type="dxa"/>
            </w:tcMar>
          </w:tcPr>
          <w:p>
            <w:pPr>
              <w:spacing w:after="40" w:before="20" w:line="240" w:lineRule="auto"/>
            </w:pPr>
            <w:r>
              <w:rPr>
                <w:rFonts w:ascii="Calibri" w:hAnsi="Calibri"/>
                <w:b/>
                <w:color w:val="000000"/>
                <w:sz w:val="20"/>
              </w:rPr>
              <w:t>Tenderer or seller response</w:t>
            </w:r>
          </w:p>
        </w:tc>
      </w:tr>
      <w:tr>
        <w:trPr>
          <w:cantSplit/>
        </w:trPr>
        <w:tc>
          <w:tcPr>
            <w:tcW w:type="dxa" w:w="4365"/>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Lot item manufacturer model and serial number</w:t>
            </w:r>
          </w:p>
        </w:tc>
        <w:tc>
          <w:tcPr>
            <w:tcW w:type="dxa" w:w="5386"/>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r>
          </w:p>
        </w:tc>
      </w:tr>
      <w:tr>
        <w:trPr>
          <w:cantSplit/>
        </w:trPr>
        <w:tc>
          <w:tcPr>
            <w:tcW w:type="dxa" w:w="4365"/>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Manufacture date first use and hours or cycles</w:t>
            </w:r>
          </w:p>
        </w:tc>
        <w:tc>
          <w:tcPr>
            <w:tcW w:type="dxa" w:w="5386"/>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r>
          </w:p>
        </w:tc>
      </w:tr>
      <w:tr>
        <w:trPr>
          <w:cantSplit/>
        </w:trPr>
        <w:tc>
          <w:tcPr>
            <w:tcW w:type="dxa" w:w="4365"/>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Origin ownership history and demonstration use</w:t>
            </w:r>
          </w:p>
        </w:tc>
        <w:tc>
          <w:tcPr>
            <w:tcW w:type="dxa" w:w="5386"/>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r>
          </w:p>
        </w:tc>
      </w:tr>
      <w:tr>
        <w:trPr>
          <w:cantSplit/>
        </w:trPr>
        <w:tc>
          <w:tcPr>
            <w:tcW w:type="dxa" w:w="4365"/>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Confirmation of no routine commercial production use</w:t>
            </w:r>
          </w:p>
        </w:tc>
        <w:tc>
          <w:tcPr>
            <w:tcW w:type="dxa" w:w="5386"/>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r>
          </w:p>
        </w:tc>
      </w:tr>
      <w:tr>
        <w:trPr>
          <w:cantSplit/>
        </w:trPr>
        <w:tc>
          <w:tcPr>
            <w:tcW w:type="dxa" w:w="4365"/>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Repairs service history defects and photographs</w:t>
            </w:r>
          </w:p>
        </w:tc>
        <w:tc>
          <w:tcPr>
            <w:tcW w:type="dxa" w:w="5386"/>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r>
          </w:p>
        </w:tc>
      </w:tr>
      <w:tr>
        <w:trPr>
          <w:cantSplit/>
        </w:trPr>
        <w:tc>
          <w:tcPr>
            <w:tcW w:type="dxa" w:w="4365"/>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Confirmation of no national or EU purchase funding in preceding seven years</w:t>
            </w:r>
          </w:p>
        </w:tc>
        <w:tc>
          <w:tcPr>
            <w:tcW w:type="dxa" w:w="5386"/>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r>
          </w:p>
        </w:tc>
      </w:tr>
      <w:tr>
        <w:trPr>
          <w:cantSplit/>
        </w:trPr>
        <w:tc>
          <w:tcPr>
            <w:tcW w:type="dxa" w:w="4365"/>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Offered net price and evidenced market value</w:t>
            </w:r>
          </w:p>
        </w:tc>
        <w:tc>
          <w:tcPr>
            <w:tcW w:type="dxa" w:w="5386"/>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r>
          </w:p>
        </w:tc>
      </w:tr>
      <w:tr>
        <w:trPr>
          <w:cantSplit/>
        </w:trPr>
        <w:tc>
          <w:tcPr>
            <w:tcW w:type="dxa" w:w="4365"/>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Comparable new equipment quote with like for like scope</w:t>
            </w:r>
          </w:p>
        </w:tc>
        <w:tc>
          <w:tcPr>
            <w:tcW w:type="dxa" w:w="5386"/>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r>
          </w:p>
        </w:tc>
      </w:tr>
      <w:tr>
        <w:trPr>
          <w:cantSplit/>
        </w:trPr>
        <w:tc>
          <w:tcPr>
            <w:tcW w:type="dxa" w:w="4365"/>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Compliance with specification and applicable standards</w:t>
            </w:r>
          </w:p>
        </w:tc>
        <w:tc>
          <w:tcPr>
            <w:tcW w:type="dxa" w:w="5386"/>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r>
          </w:p>
        </w:tc>
      </w:tr>
      <w:tr>
        <w:trPr>
          <w:cantSplit/>
        </w:trPr>
        <w:tc>
          <w:tcPr>
            <w:tcW w:type="dxa" w:w="4365"/>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Full warranty from acceptance including Ireland labour travel and parts</w:t>
            </w:r>
          </w:p>
        </w:tc>
        <w:tc>
          <w:tcPr>
            <w:tcW w:type="dxa" w:w="5386"/>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r>
          </w:p>
        </w:tc>
      </w:tr>
      <w:tr>
        <w:trPr>
          <w:cantSplit/>
        </w:trPr>
        <w:tc>
          <w:tcPr>
            <w:tcW w:type="dxa" w:w="4365"/>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t>Seller name position signature and declaration date</w:t>
            </w:r>
          </w:p>
        </w:tc>
        <w:tc>
          <w:tcPr>
            <w:tcW w:type="dxa" w:w="5386"/>
            <w:vAlign w:val="center"/>
            <w:shd w:fill="FFFFFF"/>
            <w:tcMar>
              <w:top w:w="45" w:type="dxa"/>
              <w:bottom w:w="45" w:type="dxa"/>
              <w:left w:w="85" w:type="dxa"/>
              <w:right w:w="85" w:type="dxa"/>
            </w:tcMar>
          </w:tcPr>
          <w:p>
            <w:pPr>
              <w:spacing w:after="40" w:before="20" w:line="240" w:lineRule="auto"/>
            </w:pPr>
            <w:r>
              <w:rPr>
                <w:rFonts w:ascii="Calibri" w:hAnsi="Calibri"/>
                <w:color w:val="000000"/>
                <w:sz w:val="20"/>
              </w:rPr>
            </w:r>
          </w:p>
        </w:tc>
      </w:tr>
    </w:tbl>
    <w:p>
      <w:pPr>
        <w:pStyle w:val="Heading2"/>
        <w:spacing w:before="100"/>
      </w:pPr>
      <w:r>
        <w:rPr>
          <w:color w:val="000000"/>
        </w:rPr>
        <w:t>Tenderer confirmation</w:t>
      </w:r>
    </w:p>
    <w:p>
      <w:r>
        <w:t>We confirm that the offer is complete and accurately describes the equipment, its condition and our ability to supply each lot offered. Our prices include the required scope except for clearly identified departures. We accept the RFT terms except for the departures expressly listed in our response and understand that a material departure may lead to rejection. We confirm that the tender was prepared independently and that relevant conflicts and exclusion matters have been disclosed.</w:t>
      </w:r>
    </w:p>
    <w:p>
      <w:r>
        <w:t>We understand that selection is conditional on the required funding and procurement steps and is not an instruction to order, manufacture, deliver or incur project costs. We will not substitute equipment or alter the accepted scope without the purchaser’s written authorisation. We authorise proportionate verification of the submitted evidence and acknowledge applicable funding audit and transparency requirements.</w:t>
      </w:r>
    </w:p>
    <w:p>
      <w:r>
        <w:t>Authorised name: ______________________________________________</w:t>
      </w:r>
    </w:p>
    <w:p>
      <w:r>
        <w:t>Position: ______________________________________________________</w:t>
      </w:r>
    </w:p>
    <w:p>
      <w:r>
        <w:t>Signature: ___________________________  Date: _____________________</w:t>
      </w:r>
    </w:p>
    <w:sectPr w:rsidR="00FC693F" w:rsidRPr="0006063C" w:rsidSect="00034616">
      <w:headerReference w:type="default" r:id="rId9"/>
      <w:footerReference w:type="default" r:id="rId10"/>
      <w:pgSz w:w="11906" w:h="16838"/>
      <w:pgMar w:top="964" w:right="1077" w:bottom="964" w:left="1077"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RLP4371-EQUIPMENT-2026 | Response | </w:t>
    </w:r>
    <w:fldSimple w:instr="PAGE"/>
    <w:r>
      <w:rPr>
        <w:sz w:val="16"/>
      </w:rPr>
      <w:t xml:space="preserve"> | Rev 18 Sep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45" w:lineRule="auto"/>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140" w:line="245" w:lineRule="auto"/>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5" w:lineRule="auto"/>
      <w:contextualSpacing/>
    </w:pPr>
    <w:rPr>
      <w:rFonts w:asciiTheme="majorHAnsi" w:eastAsiaTheme="majorEastAsia" w:hAnsiTheme="majorHAnsi" w:cstheme="majorBidi" w:ascii="Calibri" w:hAnsi="Calibri"/>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Alexander Kuzminov trading as Nice Ice Cream</dc:creator>
  <cp:keywords/>
  <dc:description/>
  <cp:lastModifiedBy>Nice Ice Cream</cp:lastModifiedBy>
  <cp:revision>2</cp:revision>
  <dcterms:created xsi:type="dcterms:W3CDTF">2013-12-23T23:15:00Z</dcterms:created>
  <dcterms:modified xsi:type="dcterms:W3CDTF">2013-12-23T23:15:00Z</dcterms:modified>
  <cp:category/>
</cp:coreProperties>
</file>