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000000"/>
        </w:rPr>
        <w:t>Gelato and sorbet production fruit and berry processing and blast freezing</w:t>
      </w:r>
    </w:p>
    <w:p>
      <w:pPr>
        <w:pStyle w:val="Subtitle"/>
      </w:pPr>
      <w:r>
        <w:t>Lot 1 technical specification | RLP4371-EQUIPMENT-2026 | CfT 9096723</w:t>
      </w:r>
    </w:p>
    <w:p>
      <w:r>
        <w:t>Alexander Kuzminov trading as Nice Ice Cream  |  NOBLE</w:t>
      </w:r>
    </w:p>
    <w:p>
      <w:r>
        <w:t>Supply a coordinated production group for NOBLE covering mix preparation, pasteurisation and ageing, batch freezing, hygienic transfer, filling, fruit and berry processing and rapid product hardening. The objective is repeatable product quality with less manual handling and a practical cleaning workflow.</w:t>
      </w:r>
    </w:p>
    <w:p>
      <w:r>
        <w:t>This technical schedule forms part of the Request for Tender. The issued main RFT governs the procurement procedure, lot structure, award criteria, submission dates and contract terms.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92"/>
        <w:gridCol w:w="7776"/>
        <w:gridCol w:w="1152"/>
      </w:tblGrid>
      <w:tr>
        <w:trPr>
          <w:cantSplit/>
          <w:tblHeader/>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DCE6F1"/>
          </w:tcPr>
          <w:p>
            <w:pPr>
              <w:spacing w:after="40" w:line="240" w:lineRule="auto" w:before="20"/>
            </w:pPr>
            <w:r>
              <w:rPr>
                <w:rFonts w:ascii="Calibri" w:hAnsi="Calibri"/>
                <w:b/>
                <w:color w:val="000000"/>
                <w:sz w:val="20"/>
              </w:rPr>
              <w:t>Item</w:t>
            </w:r>
          </w:p>
        </w:tc>
        <w:tc>
          <w:tcPr>
            <w:tcW w:type="dxa" w:w="777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DCE6F1"/>
          </w:tcPr>
          <w:p>
            <w:pPr>
              <w:spacing w:after="40" w:line="240" w:lineRule="auto" w:before="20"/>
            </w:pPr>
            <w:r>
              <w:rPr>
                <w:rFonts w:ascii="Calibri" w:hAnsi="Calibri"/>
                <w:b/>
                <w:color w:val="000000"/>
                <w:sz w:val="20"/>
              </w:rPr>
              <w:t>Equipment</w:t>
            </w:r>
          </w:p>
        </w:tc>
        <w:tc>
          <w:tcPr>
            <w:tcW w:type="dxa" w:w="115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DCE6F1"/>
          </w:tcPr>
          <w:p>
            <w:pPr>
              <w:spacing w:after="40" w:line="240" w:lineRule="auto" w:before="20"/>
            </w:pPr>
            <w:r>
              <w:rPr>
                <w:rFonts w:ascii="Calibri" w:hAnsi="Calibri"/>
                <w:b/>
                <w:color w:val="000000"/>
                <w:sz w:val="20"/>
              </w:rPr>
              <w:t>Quantity</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P01</w:t>
            </w:r>
          </w:p>
        </w:tc>
        <w:tc>
          <w:tcPr>
            <w:tcW w:type="dxa" w:w="777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Pasteurisation and ageing system</w:t>
            </w:r>
          </w:p>
        </w:tc>
        <w:tc>
          <w:tcPr>
            <w:tcW w:type="dxa" w:w="115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 system</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P02</w:t>
            </w:r>
          </w:p>
        </w:tc>
        <w:tc>
          <w:tcPr>
            <w:tcW w:type="dxa" w:w="777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Professional batch freezer</w:t>
            </w:r>
          </w:p>
        </w:tc>
        <w:tc>
          <w:tcPr>
            <w:tcW w:type="dxa" w:w="115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P03</w:t>
            </w:r>
          </w:p>
        </w:tc>
        <w:tc>
          <w:tcPr>
            <w:tcW w:type="dxa" w:w="777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Cooking and cooling preparation kettle</w:t>
            </w:r>
          </w:p>
        </w:tc>
        <w:tc>
          <w:tcPr>
            <w:tcW w:type="dxa" w:w="115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P04</w:t>
            </w:r>
          </w:p>
        </w:tc>
        <w:tc>
          <w:tcPr>
            <w:tcW w:type="dxa" w:w="777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Sanitary product transfer pump</w:t>
            </w:r>
          </w:p>
        </w:tc>
        <w:tc>
          <w:tcPr>
            <w:tcW w:type="dxa" w:w="115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 set</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P05</w:t>
            </w:r>
          </w:p>
        </w:tc>
        <w:tc>
          <w:tcPr>
            <w:tcW w:type="dxa" w:w="777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Semi automatic filling system</w:t>
            </w:r>
          </w:p>
        </w:tc>
        <w:tc>
          <w:tcPr>
            <w:tcW w:type="dxa" w:w="115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 set</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P06</w:t>
            </w:r>
          </w:p>
        </w:tc>
        <w:tc>
          <w:tcPr>
            <w:tcW w:type="dxa" w:w="777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Continuous feed fruit and berry pulper or sieve</w:t>
            </w:r>
          </w:p>
        </w:tc>
        <w:tc>
          <w:tcPr>
            <w:tcW w:type="dxa" w:w="115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w:t>
            </w:r>
          </w:p>
        </w:tc>
      </w:tr>
      <w:tr>
        <w:trPr>
          <w:cantSplit/>
        </w:trPr>
        <w:tc>
          <w:tcPr>
            <w:tcW w:type="dxa" w:w="79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P07</w:t>
            </w:r>
          </w:p>
        </w:tc>
        <w:tc>
          <w:tcPr>
            <w:tcW w:type="dxa" w:w="7776"/>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Compact blast freezer</w:t>
            </w:r>
          </w:p>
        </w:tc>
        <w:tc>
          <w:tcPr>
            <w:tcW w:type="dxa" w:w="1152"/>
            <w:vAlign w:val="center"/>
            <w:tcBorders>
              <w:top w:val="single" w:sz="4" w:color="D9D9D9"/>
              <w:left w:val="single" w:sz="4" w:color="D9D9D9"/>
              <w:bottom w:val="single" w:sz="4" w:color="D9D9D9"/>
              <w:right w:val="single" w:sz="4" w:color="D9D9D9"/>
            </w:tcBorders>
            <w:tcMar>
              <w:top w:w="45" w:type="dxa"/>
              <w:left w:w="85" w:type="dxa"/>
              <w:bottom w:w="45" w:type="dxa"/>
              <w:right w:w="85" w:type="dxa"/>
            </w:tcMar>
            <w:shd w:fill="FFFFFF"/>
          </w:tcPr>
          <w:p>
            <w:pPr>
              <w:spacing w:after="40" w:line="240" w:lineRule="auto" w:before="20"/>
            </w:pPr>
            <w:r>
              <w:rPr>
                <w:rFonts w:ascii="Calibri" w:hAnsi="Calibri"/>
                <w:b w:val="0"/>
                <w:color w:val="000000"/>
                <w:sz w:val="20"/>
              </w:rPr>
              <w:t>1</w:t>
            </w:r>
          </w:p>
        </w:tc>
      </w:tr>
    </w:tbl>
    <w:p>
      <w:pPr>
        <w:spacing w:after="0"/>
      </w:pPr>
    </w:p>
    <w:p>
      <w:pPr>
        <w:pStyle w:val="Heading2"/>
      </w:pPr>
      <w:r>
        <w:rPr>
          <w:color w:val="000000"/>
        </w:rPr>
        <w:t>How to read the requirements</w:t>
      </w:r>
    </w:p>
    <w:p>
      <w:r>
        <w:t>“Shall” identifies a required function or deliverable. Approximate capacities describe the intended production scale; tenderers shall state actual usable capacities and explain equivalent performance. Desirable features are not pass or fail conditions and may be evaluated only under the published award criteria.</w:t>
      </w:r>
    </w:p>
    <w:p>
      <w:r>
        <w:t>All requirements are manufacturer neutral. No specific brand, model, proprietary technology or country of manufacture is required. Demonstrate equivalent performance against the stated functions, capacity, hygiene, reliability and support requirements. Provide the manufacturer and exact model in the tender response so the offered equipment can be verified.</w:t>
      </w:r>
    </w:p>
    <w:p>
      <w:pPr>
        <w:pStyle w:val="Heading2"/>
      </w:pPr>
      <w:r>
        <w:rPr>
          <w:color w:val="000000"/>
        </w:rPr>
        <w:t>P01 Pasteurisation and ageing</w:t>
      </w:r>
    </w:p>
    <w:p>
      <w:r>
        <w:t>Provide approximately 300–350 L usable batch capacity with controlled heating, cooling and refrigerated maturation, agitation and programmable time and temperature cycles. Include process temperature display and time and temperature records suitable for the purchaser’s HACCP system. State minimum batch size, cycle times, cooling method, recording and export functions, cleaning arrangements and all necessary accessories.</w:t>
      </w:r>
    </w:p>
    <w:p>
      <w:pPr>
        <w:pStyle w:val="Heading2"/>
      </w:pPr>
      <w:r>
        <w:rPr>
          <w:color w:val="000000"/>
        </w:rPr>
        <w:t>P02 Batch freezing</w:t>
      </w:r>
    </w:p>
    <w:p>
      <w:r>
        <w:t>Provide a professional gelato and sorbet batch freezer with a nominal 6–22 L mix-charge range and repeatable consistency control. State input mix volume separately from finished product volume, minimum and maximum batch sizes, cycle time and hourly output at the stated recipe and overrun. Explain how its output is coordinated with filling and blast freezing.</w:t>
      </w:r>
    </w:p>
    <w:p>
      <w:pPr>
        <w:pStyle w:val="Heading1"/>
        <w:pageBreakBefore/>
      </w:pPr>
      <w:r>
        <w:rPr>
          <w:color w:val="000000"/>
        </w:rPr>
        <w:t>Production equipment requirements</w:t>
      </w:r>
    </w:p>
    <w:p>
      <w:pPr>
        <w:pStyle w:val="Heading2"/>
      </w:pPr>
      <w:r>
        <w:rPr>
          <w:color w:val="000000"/>
        </w:rPr>
        <w:t>P03 Cooking and cooling preparation</w:t>
      </w:r>
    </w:p>
    <w:p>
      <w:r>
        <w:t>Provide approximately 40 L working capacity with heating, active cooling and agitation for fruit preparations, sauces and premium gelato ingredients. Include adjustable temperature control and repeatable processing programmes. Declare operating temperature range, minimum batch, agitation controls, cooling time and arrangements for safe discharge and cleaning.</w:t>
      </w:r>
    </w:p>
    <w:p>
      <w:pPr>
        <w:pStyle w:val="Heading2"/>
      </w:pPr>
      <w:r>
        <w:rPr>
          <w:color w:val="000000"/>
        </w:rPr>
        <w:t>P04 Sanitary transfer</w:t>
      </w:r>
    </w:p>
    <w:p>
      <w:r>
        <w:t>Supply a food grade pump with adjustable flow suitable for the viscosity and temperatures of the proposed mixes. Include compatible sanitary hoses, fittings and connections for the offered production equipment. State flow under actual product conditions, operating limits, cleaning method and protection against inappropriate running conditions. The transfer arrangement shall reduce manual lifting and pouring of mix.</w:t>
      </w:r>
    </w:p>
    <w:p>
      <w:pPr>
        <w:pStyle w:val="Heading2"/>
      </w:pPr>
      <w:r>
        <w:rPr>
          <w:color w:val="000000"/>
        </w:rPr>
        <w:t>P05 Semi automatic filling</w:t>
      </w:r>
    </w:p>
    <w:p>
      <w:r>
        <w:t>Provide a semi-automatic filling system in the 22 L cylinder capacity class for controlled portion filling of gelato and sorbet into retail and catering containers. Include the reservoir, nozzle, lift, valves, controls and required compressor. State cylinder volume, usable product loading and compatible batch-freezer mix charge separately. Account for overrun: a 22 L filling cylinder does not automatically accept the finished output from 22 L of liquid mix. Demonstrate the full transfer/filling sequence, including staged loading where needed. State dose range, repeatability, throughput, product temperature and viscosity limits, air demand and cleaning procedure.</w:t>
      </w:r>
    </w:p>
    <w:p>
      <w:pPr>
        <w:pStyle w:val="Heading2"/>
      </w:pPr>
      <w:r>
        <w:rPr>
          <w:color w:val="000000"/>
        </w:rPr>
        <w:t>P06 Fruit and berry processing</w:t>
      </w:r>
    </w:p>
    <w:p>
      <w:r>
        <w:t>Provide a professional continuous feed pulper or automatic sieve in the approximately 120 kg/h throughput class, with continuous separation of seeds or pips, skins and fibres from suitable prepared fruit and berries. Include a complete set of five interchangeable screens with nominal aperture sizes of 0.5 mm, 1 mm, 2 mm, 3 mm and 5 mm, together with easily removable food contact parts. Include all five screens in the supply price, whether standard or additional accessories.</w:t>
      </w:r>
    </w:p>
    <w:p>
      <w:r>
        <w:t>State throughput by fruit, screen and preparation method, expected yield, cleaning access and any required pre-treatment, including removal of large stones. Single phase 230 V and three phase 400 V versions are acceptable, subject to declared installation requirements. Variable speed is desirable only; fixed speed equipment meeting the functional requirements is acceptable.</w:t>
      </w:r>
    </w:p>
    <w:p>
      <w:pPr>
        <w:pStyle w:val="Heading2"/>
      </w:pPr>
      <w:r>
        <w:rPr>
          <w:color w:val="000000"/>
        </w:rPr>
        <w:t>P07 Compact blast freezing</w:t>
      </w:r>
    </w:p>
    <w:p>
      <w:r>
        <w:t>Provide a compact cabinet blast freezer for rapid hardening of filled gelato and sorbet and freezing of prepared ingredients, in the approximately 50 kg per cycle rated capacity class. Include compatible shelf or tray supports, a product core probe and controlled freezing cycles. Demonstrate the ability to achieve a product core temperature of −18°C under the declared loading and cycle conditions.</w:t>
      </w:r>
    </w:p>
    <w:p>
      <w:r>
        <w:t>State separate chilling and freezing ratings, cycle duration, starting and finishing core temperatures, ambient test conditions and usable capacity with the offered retail and catering containers. Declare container dimensions, loading pattern, airflow clearances, refrigerant, electrical requirements, defrost and data recording. A general tray rating is not a guaranteed gelato-tub capacity. Provide a loading plan and identify any production bottleneck; larger capacity is acceptable where site fit, utilities and the specified process are demonstrated.</w:t>
      </w:r>
    </w:p>
    <w:p>
      <w:pPr>
        <w:pStyle w:val="Heading2"/>
      </w:pPr>
      <w:r>
        <w:rPr>
          <w:color w:val="000000"/>
        </w:rPr>
        <w:t>Integrated operation and acceptance</w:t>
      </w:r>
    </w:p>
    <w:p>
      <w:r>
        <w:t>Provide a process and capacity schedule showing transfer interfaces, container compatibility and bottlenecks. At commissioning demonstrate heating and cooling controls, recorded pasteurisation cycles, representative freezing and filling, fruit processing and a documented blast freezing test at the agreed load. Deliver operating records and training handover for the complete group.</w:t>
      </w:r>
    </w:p>
    <w:p>
      <w:pPr>
        <w:pStyle w:val="Heading1"/>
        <w:pageBreakBefore/>
      </w:pPr>
      <w:r>
        <w:rPr>
          <w:color w:val="000000"/>
        </w:rPr>
        <w:t>Supply and support requirements</w:t>
      </w:r>
    </w:p>
    <w:p>
      <w:pPr>
        <w:pStyle w:val="Heading2"/>
      </w:pPr>
      <w:r>
        <w:rPr>
          <w:color w:val="000000"/>
        </w:rPr>
        <w:t>Conformity and documentation</w:t>
      </w:r>
    </w:p>
    <w:p>
      <w:r>
        <w:t>Supply new equipment or manufacturer/dealer demonstration equipment meeting the condition and full-warranty requirements in section 4 of the RFT. Other used or refurbished equipment is not invited. Provide applicable CE marking and conformity declarations, English operating, cleaning and maintenance instructions, food-contact material evidence and details of guards, interlocks and electrical protection.</w:t>
      </w:r>
    </w:p>
    <w:p>
      <w:pPr>
        <w:pStyle w:val="Heading2"/>
      </w:pPr>
      <w:r>
        <w:rPr>
          <w:color w:val="000000"/>
        </w:rPr>
        <w:t>Delivery and commissioning</w:t>
      </w:r>
    </w:p>
    <w:p>
      <w:r>
        <w:t>Include delivery to the purchaser’s premises in Ireland, unloading, positioning, assembly, equipment-side installation and connections, commissioning and operator training. Identify upstream building services and other works by the purchaser separately, with dimensions, access clearances, transport and operating weights, utility loads and a clear connection boundary. Do not assume that site utilities have been verified. State a firm programme from written commencement.</w:t>
      </w:r>
    </w:p>
    <w:p>
      <w:pPr>
        <w:pStyle w:val="Heading2"/>
      </w:pPr>
      <w:r>
        <w:rPr>
          <w:color w:val="000000"/>
        </w:rPr>
        <w:t>Warranty and service</w:t>
      </w:r>
    </w:p>
    <w:p>
      <w:r>
        <w:t>Provide the full warranty required by the RFT and state any longer coverage offered. Identify the service provider and demonstrate on-site support capability in Ireland; no particular service-provider domicile is required. State binding acknowledgement, remote diagnosis and attendance times, service hours, exclusions, spare-parts availability, critical-part lead times and maintenance charges.</w:t>
      </w:r>
    </w:p>
    <w:p>
      <w:pPr>
        <w:pStyle w:val="Heading2"/>
      </w:pPr>
      <w:r>
        <w:rPr>
          <w:color w:val="000000"/>
        </w:rPr>
        <w:t>Tender response and pricing</w:t>
      </w:r>
    </w:p>
    <w:p>
      <w:r>
        <w:t>Respond against every item and requirement, identifying compliance, offered specification and supporting datasheet page. List deviations explicitly. Price each scheduled item in EUR excluding VAT; show quantities, included accessories, delivery, installation, commissioning and training, followed by the total excluding VAT, VAT and total including VAT. Identify options separately and avoid double counting included components. State price validity, payment terms, energy use and recurring maintenance or consumable costs.</w:t>
      </w:r>
    </w:p>
    <w:sectPr w:rsidR="00FC693F" w:rsidRPr="0006063C" w:rsidSect="00034616">
      <w:headerReference w:type="default" r:id="rId9"/>
      <w:footerReference w:type="default" r:id="rId10"/>
      <w:pgSz w:w="11906" w:h="16838"/>
      <w:pgMar w:top="964" w:right="1077" w:bottom="964" w:left="107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RLP4371-EQUIPMENT-2026 | Lot 1 | </w:t>
    </w:r>
    <w:fldSimple w:instr="PAGE"/>
    <w:r>
      <w:rPr>
        <w:sz w:val="16"/>
      </w:rPr>
      <w:t xml:space="preserve"> | Rev 18 Sep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line="245"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40" w:line="245"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5" w:lineRule="auto" w:before="200"/>
      <w:contextualSpacing/>
    </w:pPr>
    <w:rPr>
      <w:rFonts w:asciiTheme="majorHAnsi" w:eastAsiaTheme="majorEastAsia" w:hAnsiTheme="majorHAnsi" w:cstheme="majorBidi" w:ascii="Calibri" w:hAnsi="Calibri"/>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uovair.com/en/products/compact-line/c15-1/" TargetMode="External"/><Relationship Id="rId12" Type="http://schemas.openxmlformats.org/officeDocument/2006/relationships/hyperlink" Target="https://www.robot-coupe.com/rbc/asset/get?asset=27491&amp;download=1&amp;lang=en_AU&amp;market=28851&amp;product=183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Kuzminov trading as Nice Ice Cream</dc:creator>
  <cp:keywords/>
  <dc:description/>
  <cp:lastModifiedBy>Nice Ice Cream</cp:lastModifiedBy>
  <cp:revision>2</cp:revision>
  <dcterms:created xsi:type="dcterms:W3CDTF">2013-12-23T23:15:00Z</dcterms:created>
  <dcterms:modified xsi:type="dcterms:W3CDTF">2013-12-23T23:15:00Z</dcterms:modified>
  <cp:category/>
</cp:coreProperties>
</file>