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E09AE" w14:textId="77777777" w:rsidR="00FE544E" w:rsidRDefault="00517A69" w:rsidP="006C5CB1">
      <w:pPr>
        <w:spacing w:before="33"/>
        <w:jc w:val="both"/>
        <w:rPr>
          <w:b/>
          <w:bCs/>
          <w:color w:val="002060"/>
          <w:sz w:val="32"/>
          <w:szCs w:val="32"/>
        </w:rPr>
      </w:pPr>
      <w:r>
        <w:t xml:space="preserve"> </w:t>
      </w:r>
      <w:r w:rsidR="003C0FB1" w:rsidRPr="00980DE9">
        <w:rPr>
          <w:rFonts w:ascii="Calibri" w:hAnsi="Calibri"/>
          <w:b/>
          <w:bCs/>
          <w:color w:val="002060"/>
          <w:sz w:val="32"/>
          <w:szCs w:val="32"/>
        </w:rPr>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7E0D0FF2" w14:textId="1B8DA134" w:rsidR="006C5CB1" w:rsidRPr="0065071F" w:rsidRDefault="006C5CB1" w:rsidP="00FE544E">
              <w:pPr>
                <w:rPr>
                  <w:rFonts w:cs="Arial"/>
                  <w:lang w:eastAsia="en-IE"/>
                </w:rPr>
              </w:pPr>
              <w:r w:rsidRPr="004D121F">
                <w:rPr>
                  <w:rFonts w:cs="Arial"/>
                  <w:b/>
                  <w:color w:val="1F4E79" w:themeColor="accent1" w:themeShade="80"/>
                  <w:sz w:val="24"/>
                  <w:lang w:eastAsia="en-IE"/>
                </w:rPr>
                <w:t xml:space="preserve">Pricing Schedule per Lot 1 to Lot 5 - Property </w:t>
              </w:r>
              <w:r w:rsidRPr="004D121F">
                <w:rPr>
                  <w:rFonts w:cs="Arial"/>
                  <w:b/>
                  <w:color w:val="1F4E79" w:themeColor="accent1" w:themeShade="80"/>
                  <w:sz w:val="24"/>
                  <w:lang w:val="ga-IE" w:eastAsia="en-IE"/>
                </w:rPr>
                <w:t xml:space="preserve">Valuation Services </w:t>
              </w:r>
              <w:r w:rsidRPr="0065071F">
                <w:rPr>
                  <w:rFonts w:cs="Arial"/>
                  <w:b/>
                  <w:color w:val="FF0000"/>
                  <w:sz w:val="24"/>
                  <w:lang w:eastAsia="en-IE"/>
                </w:rPr>
                <w:t xml:space="preserve">[INCLUDE SEPARATE </w:t>
              </w:r>
              <w:r w:rsidR="000733E0" w:rsidRPr="0065071F">
                <w:rPr>
                  <w:rFonts w:cs="Arial"/>
                  <w:b/>
                  <w:color w:val="FF0000"/>
                  <w:sz w:val="24"/>
                  <w:lang w:eastAsia="en-IE"/>
                </w:rPr>
                <w:t>PRICING</w:t>
              </w:r>
              <w:r w:rsidRPr="0065071F">
                <w:rPr>
                  <w:rFonts w:cs="Arial"/>
                  <w:b/>
                  <w:color w:val="FF0000"/>
                  <w:sz w:val="24"/>
                  <w:lang w:eastAsia="en-IE"/>
                </w:rPr>
                <w:t xml:space="preserve"> SCHEDULES FOR EACH LOT TENDERED]</w:t>
              </w:r>
              <w:r w:rsidRPr="0065071F">
                <w:rPr>
                  <w:rFonts w:cs="Arial"/>
                  <w:b/>
                  <w:sz w:val="24"/>
                  <w:lang w:eastAsia="en-IE"/>
                </w:rPr>
                <w:tab/>
              </w:r>
              <w:r>
                <w:rPr>
                  <w:rFonts w:cs="Arial"/>
                  <w:b/>
                  <w:sz w:val="28"/>
                  <w:szCs w:val="28"/>
                  <w:lang w:eastAsia="en-IE"/>
                </w:rPr>
                <w:tab/>
              </w:r>
              <w:r>
                <w:rPr>
                  <w:rFonts w:cs="Arial"/>
                  <w:b/>
                  <w:sz w:val="28"/>
                  <w:szCs w:val="28"/>
                  <w:lang w:eastAsia="en-IE"/>
                </w:rPr>
                <w:tab/>
              </w:r>
              <w:r>
                <w:rPr>
                  <w:rFonts w:cs="Arial"/>
                  <w:b/>
                  <w:sz w:val="28"/>
                  <w:szCs w:val="28"/>
                  <w:lang w:eastAsia="en-IE"/>
                </w:rPr>
                <w:tab/>
              </w:r>
              <w:r>
                <w:rPr>
                  <w:rFonts w:cs="Arial"/>
                  <w:b/>
                  <w:sz w:val="28"/>
                  <w:szCs w:val="28"/>
                  <w:lang w:eastAsia="en-IE"/>
                </w:rPr>
                <w:tab/>
              </w:r>
            </w:p>
            <w:p w14:paraId="5629BA30" w14:textId="77777777" w:rsidR="006C5CB1" w:rsidRDefault="006C5CB1" w:rsidP="00401C84">
              <w:pPr>
                <w:numPr>
                  <w:ilvl w:val="0"/>
                  <w:numId w:val="33"/>
                </w:numPr>
                <w:spacing w:before="33" w:after="0"/>
                <w:ind w:left="426" w:hanging="426"/>
                <w:jc w:val="both"/>
                <w:outlineLvl w:val="0"/>
                <w:rPr>
                  <w:rFonts w:cs="Arial"/>
                  <w:lang w:eastAsia="en-IE"/>
                </w:rPr>
              </w:pPr>
              <w:r>
                <w:rPr>
                  <w:rFonts w:cs="Arial"/>
                  <w:lang w:eastAsia="en-IE"/>
                </w:rPr>
                <w:t xml:space="preserve">Enter fixed price lump sums (excluding VAT) for carrying out each category of valuation service and for each number of apartments (as appropriate) as </w:t>
              </w:r>
              <w:r>
                <w:rPr>
                  <w:rFonts w:cs="Arial"/>
                  <w:color w:val="000000"/>
                </w:rPr>
                <w:t xml:space="preserve">set out in the pricing schedule below. A value must be included in each box. Tender(s) will be assessed based on the grand total figure. For the avoidance of doubt, the price entered in each box for each type of valuation service and each number of apartments (as appropriate), will be the price which will be applied to that work if a contract is awarded. </w:t>
              </w:r>
            </w:p>
            <w:p w14:paraId="19D8A645" w14:textId="77777777" w:rsidR="006C5CB1" w:rsidRDefault="006C5CB1" w:rsidP="00401C84">
              <w:pPr>
                <w:numPr>
                  <w:ilvl w:val="0"/>
                  <w:numId w:val="33"/>
                </w:numPr>
                <w:spacing w:before="33" w:after="0"/>
                <w:ind w:left="426" w:hanging="426"/>
                <w:jc w:val="both"/>
                <w:outlineLvl w:val="0"/>
                <w:rPr>
                  <w:rFonts w:cs="Arial"/>
                  <w:lang w:eastAsia="en-IE"/>
                </w:rPr>
              </w:pPr>
              <w:r>
                <w:rPr>
                  <w:rFonts w:cs="Arial"/>
                  <w:lang w:val="ga-IE" w:eastAsia="en-IE"/>
                </w:rPr>
                <w:t xml:space="preserve">The services required are set out in </w:t>
              </w:r>
              <w:r>
                <w:rPr>
                  <w:rFonts w:cs="Arial"/>
                  <w:lang w:eastAsia="en-IE"/>
                </w:rPr>
                <w:t>Requirements and Specifications Above.</w:t>
              </w:r>
            </w:p>
            <w:p w14:paraId="276F6EF3" w14:textId="396ABDFC" w:rsidR="006C5CB1" w:rsidRDefault="006C5CB1" w:rsidP="00401C84">
              <w:pPr>
                <w:numPr>
                  <w:ilvl w:val="0"/>
                  <w:numId w:val="33"/>
                </w:numPr>
                <w:spacing w:before="33" w:after="0"/>
                <w:ind w:left="426" w:hanging="426"/>
                <w:jc w:val="both"/>
                <w:outlineLvl w:val="0"/>
                <w:rPr>
                  <w:rFonts w:cs="Arial"/>
                  <w:lang w:eastAsia="en-IE"/>
                </w:rPr>
              </w:pPr>
              <w:r>
                <w:t xml:space="preserve">Each tenderer must assume that each relevant apartment scheme is located withing the relevant </w:t>
              </w:r>
              <w:r w:rsidR="00DE7314">
                <w:t xml:space="preserve">5 </w:t>
              </w:r>
              <w:r>
                <w:t>NPF cit</w:t>
              </w:r>
              <w:r w:rsidR="00DE7314">
                <w:t>ies (</w:t>
              </w:r>
              <w:r w:rsidR="00A70C79">
                <w:t xml:space="preserve">see link to boundaries </w:t>
              </w:r>
              <w:hyperlink r:id="rId12" w:history="1">
                <w:r w:rsidR="00A70C79" w:rsidRPr="00CB3290">
                  <w:rPr>
                    <w:rStyle w:val="Hyperlink"/>
                  </w:rPr>
                  <w:t>here</w:t>
                </w:r>
              </w:hyperlink>
              <w:r w:rsidR="00A70C79">
                <w:t xml:space="preserve">) </w:t>
              </w:r>
              <w:r>
                <w:t xml:space="preserve"> to the Lot and, where relevant to the service, include all costs associated with traveling to and from the service providers premises and relevant apartment developments.  </w:t>
              </w:r>
            </w:p>
            <w:p w14:paraId="13925E52" w14:textId="124B4F11" w:rsidR="006C5CB1" w:rsidRDefault="006C5CB1" w:rsidP="00401C84">
              <w:pPr>
                <w:numPr>
                  <w:ilvl w:val="0"/>
                  <w:numId w:val="33"/>
                </w:numPr>
                <w:spacing w:before="33" w:after="0"/>
                <w:ind w:left="426" w:hanging="426"/>
                <w:jc w:val="both"/>
                <w:outlineLvl w:val="0"/>
                <w:rPr>
                  <w:rFonts w:cs="Arial"/>
                  <w:lang w:eastAsia="en-IE"/>
                </w:rPr>
              </w:pPr>
              <w:r>
                <w:t xml:space="preserve">The Total Combined Tender Sum below is made up of three Parts. The total price for Part 1 services </w:t>
              </w:r>
              <w:proofErr w:type="gramStart"/>
              <w:r>
                <w:t>are</w:t>
              </w:r>
              <w:proofErr w:type="gramEnd"/>
              <w:r>
                <w:t xml:space="preserve"> to be multiplied by 3 to provide a greater weighting for pricing of the categories of service included in Part 1 (Category A and C) as these services will be used more extensively than other categories of service. </w:t>
              </w:r>
            </w:p>
            <w:p w14:paraId="1D88BF4C" w14:textId="77777777" w:rsidR="00052FD1" w:rsidRPr="00052FD1" w:rsidRDefault="00052FD1" w:rsidP="00052FD1">
              <w:pPr>
                <w:spacing w:before="33" w:after="0"/>
                <w:ind w:left="426"/>
                <w:jc w:val="both"/>
                <w:outlineLvl w:val="0"/>
                <w:rPr>
                  <w:rFonts w:cs="Arial"/>
                  <w:lang w:eastAsia="en-IE"/>
                </w:rPr>
              </w:pPr>
            </w:p>
            <w:tbl>
              <w:tblPr>
                <w:tblW w:w="9240" w:type="dxa"/>
                <w:tblLook w:val="04A0" w:firstRow="1" w:lastRow="0" w:firstColumn="1" w:lastColumn="0" w:noHBand="0" w:noVBand="1"/>
              </w:tblPr>
              <w:tblGrid>
                <w:gridCol w:w="3084"/>
                <w:gridCol w:w="1978"/>
                <w:gridCol w:w="1978"/>
                <w:gridCol w:w="1978"/>
                <w:gridCol w:w="222"/>
              </w:tblGrid>
              <w:tr w:rsidR="006C5CB1" w14:paraId="3B971082" w14:textId="77777777">
                <w:trPr>
                  <w:gridAfter w:val="1"/>
                  <w:wAfter w:w="36" w:type="dxa"/>
                  <w:trHeight w:val="315"/>
                </w:trPr>
                <w:tc>
                  <w:tcPr>
                    <w:tcW w:w="9204" w:type="dxa"/>
                    <w:gridSpan w:val="4"/>
                    <w:tcBorders>
                      <w:top w:val="single" w:sz="8" w:space="0" w:color="auto"/>
                      <w:left w:val="single" w:sz="8" w:space="0" w:color="auto"/>
                      <w:bottom w:val="nil"/>
                      <w:right w:val="single" w:sz="8" w:space="0" w:color="000000"/>
                    </w:tcBorders>
                    <w:shd w:val="clear" w:color="auto" w:fill="00B0F0"/>
                    <w:vAlign w:val="center"/>
                    <w:hideMark/>
                  </w:tcPr>
                  <w:p w14:paraId="71393AF1" w14:textId="77777777" w:rsidR="006C5CB1" w:rsidRDefault="006C5CB1">
                    <w:pPr>
                      <w:spacing w:after="0" w:line="240" w:lineRule="auto"/>
                      <w:jc w:val="center"/>
                      <w:rPr>
                        <w:rFonts w:cs="Calibri"/>
                        <w:b/>
                        <w:bCs/>
                        <w:color w:val="FFFFFF"/>
                        <w:sz w:val="24"/>
                        <w:lang w:val="en-IE" w:eastAsia="en-IE"/>
                      </w:rPr>
                    </w:pPr>
                    <w:r>
                      <w:rPr>
                        <w:rFonts w:cs="Calibri"/>
                        <w:b/>
                        <w:bCs/>
                        <w:color w:val="FFFFFF"/>
                        <w:sz w:val="24"/>
                        <w:lang w:val="en-IE" w:eastAsia="en-IE"/>
                      </w:rPr>
                      <w:t>Pricing schedule</w:t>
                    </w:r>
                  </w:p>
                </w:tc>
              </w:tr>
              <w:tr w:rsidR="006C5CB1" w14:paraId="031CCBBF" w14:textId="77777777">
                <w:trPr>
                  <w:gridAfter w:val="1"/>
                  <w:wAfter w:w="36" w:type="dxa"/>
                  <w:trHeight w:val="630"/>
                </w:trPr>
                <w:tc>
                  <w:tcPr>
                    <w:tcW w:w="9204" w:type="dxa"/>
                    <w:gridSpan w:val="4"/>
                    <w:tcBorders>
                      <w:top w:val="nil"/>
                      <w:left w:val="single" w:sz="8" w:space="0" w:color="auto"/>
                      <w:bottom w:val="single" w:sz="8" w:space="0" w:color="auto"/>
                      <w:right w:val="single" w:sz="8" w:space="0" w:color="000000"/>
                    </w:tcBorders>
                    <w:shd w:val="clear" w:color="auto" w:fill="00B0F0"/>
                    <w:vAlign w:val="center"/>
                    <w:hideMark/>
                  </w:tcPr>
                  <w:p w14:paraId="2D6126DE" w14:textId="77777777" w:rsidR="006C5CB1" w:rsidRDefault="006C5CB1">
                    <w:pPr>
                      <w:spacing w:after="0" w:line="240" w:lineRule="auto"/>
                      <w:jc w:val="center"/>
                      <w:rPr>
                        <w:rFonts w:cs="Calibri"/>
                        <w:b/>
                        <w:bCs/>
                        <w:color w:val="FFFFFF"/>
                        <w:sz w:val="24"/>
                        <w:lang w:val="en-IE" w:eastAsia="en-IE"/>
                      </w:rPr>
                    </w:pPr>
                    <w:r>
                      <w:rPr>
                        <w:rFonts w:cs="Calibri"/>
                        <w:b/>
                        <w:bCs/>
                        <w:color w:val="FFFFFF"/>
                        <w:sz w:val="24"/>
                        <w:lang w:val="en-IE" w:eastAsia="en-IE"/>
                      </w:rPr>
                      <w:t>Please fill in separate Pricing Schedules for EACH LOT TENDERED</w:t>
                    </w:r>
                  </w:p>
                </w:tc>
              </w:tr>
              <w:tr w:rsidR="006C5CB1" w14:paraId="17C08675" w14:textId="77777777">
                <w:trPr>
                  <w:gridAfter w:val="1"/>
                  <w:wAfter w:w="36" w:type="dxa"/>
                  <w:trHeight w:val="735"/>
                </w:trPr>
                <w:tc>
                  <w:tcPr>
                    <w:tcW w:w="3165" w:type="dxa"/>
                    <w:tcBorders>
                      <w:top w:val="nil"/>
                      <w:left w:val="single" w:sz="8" w:space="0" w:color="auto"/>
                      <w:bottom w:val="single" w:sz="8" w:space="0" w:color="auto"/>
                      <w:right w:val="single" w:sz="8" w:space="0" w:color="auto"/>
                    </w:tcBorders>
                    <w:shd w:val="clear" w:color="auto" w:fill="00B0F0"/>
                    <w:vAlign w:val="center"/>
                    <w:hideMark/>
                  </w:tcPr>
                  <w:p w14:paraId="02C1219A"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4632C1CD"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A</w:t>
                    </w:r>
                  </w:p>
                </w:tc>
                <w:tc>
                  <w:tcPr>
                    <w:tcW w:w="2013" w:type="dxa"/>
                    <w:tcBorders>
                      <w:top w:val="nil"/>
                      <w:left w:val="nil"/>
                      <w:bottom w:val="single" w:sz="8" w:space="0" w:color="auto"/>
                      <w:right w:val="single" w:sz="8" w:space="0" w:color="auto"/>
                    </w:tcBorders>
                    <w:shd w:val="clear" w:color="auto" w:fill="00B0F0"/>
                    <w:vAlign w:val="center"/>
                    <w:hideMark/>
                  </w:tcPr>
                  <w:p w14:paraId="2441B06F"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B</w:t>
                    </w:r>
                  </w:p>
                </w:tc>
                <w:tc>
                  <w:tcPr>
                    <w:tcW w:w="2013" w:type="dxa"/>
                    <w:tcBorders>
                      <w:top w:val="nil"/>
                      <w:left w:val="nil"/>
                      <w:bottom w:val="single" w:sz="8" w:space="0" w:color="auto"/>
                      <w:right w:val="single" w:sz="8" w:space="0" w:color="auto"/>
                    </w:tcBorders>
                    <w:shd w:val="clear" w:color="auto" w:fill="00B0F0"/>
                    <w:vAlign w:val="center"/>
                    <w:hideMark/>
                  </w:tcPr>
                  <w:p w14:paraId="071A51CB"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C</w:t>
                    </w:r>
                  </w:p>
                </w:tc>
              </w:tr>
              <w:tr w:rsidR="006C5CB1" w14:paraId="42938221" w14:textId="77777777">
                <w:trPr>
                  <w:gridAfter w:val="1"/>
                  <w:wAfter w:w="36" w:type="dxa"/>
                  <w:trHeight w:val="450"/>
                </w:trPr>
                <w:tc>
                  <w:tcPr>
                    <w:tcW w:w="3165" w:type="dxa"/>
                    <w:vMerge w:val="restart"/>
                    <w:tcBorders>
                      <w:top w:val="nil"/>
                      <w:left w:val="single" w:sz="8" w:space="0" w:color="auto"/>
                      <w:bottom w:val="single" w:sz="8" w:space="0" w:color="000000"/>
                      <w:right w:val="single" w:sz="8" w:space="0" w:color="auto"/>
                    </w:tcBorders>
                    <w:vAlign w:val="center"/>
                    <w:hideMark/>
                  </w:tcPr>
                  <w:p w14:paraId="4FF2E256" w14:textId="77777777" w:rsidR="006C5CB1" w:rsidRDefault="006C5CB1">
                    <w:pPr>
                      <w:spacing w:after="0" w:line="240" w:lineRule="auto"/>
                      <w:rPr>
                        <w:rFonts w:cs="Calibri"/>
                        <w:b/>
                        <w:bCs/>
                        <w:color w:val="000000"/>
                        <w:lang w:val="en-IE" w:eastAsia="en-IE"/>
                      </w:rPr>
                    </w:pPr>
                    <w:r>
                      <w:rPr>
                        <w:rFonts w:cs="Calibri"/>
                        <w:b/>
                        <w:bCs/>
                        <w:color w:val="000000"/>
                        <w:szCs w:val="22"/>
                        <w:lang w:val="en-IE" w:eastAsia="en-IE"/>
                      </w:rPr>
                      <w:t>Category of Service</w:t>
                    </w:r>
                  </w:p>
                </w:tc>
                <w:tc>
                  <w:tcPr>
                    <w:tcW w:w="2013" w:type="dxa"/>
                    <w:vMerge w:val="restart"/>
                    <w:tcBorders>
                      <w:top w:val="nil"/>
                      <w:left w:val="single" w:sz="8" w:space="0" w:color="auto"/>
                      <w:bottom w:val="single" w:sz="8" w:space="0" w:color="000000"/>
                      <w:right w:val="single" w:sz="8" w:space="0" w:color="auto"/>
                    </w:tcBorders>
                    <w:vAlign w:val="center"/>
                    <w:hideMark/>
                  </w:tcPr>
                  <w:p w14:paraId="33E1E10C" w14:textId="2FE3AAA7" w:rsidR="006C5CB1" w:rsidRDefault="00A70C79">
                    <w:pPr>
                      <w:spacing w:after="0" w:line="240" w:lineRule="auto"/>
                      <w:jc w:val="center"/>
                      <w:rPr>
                        <w:rFonts w:cs="Calibri"/>
                        <w:b/>
                        <w:bCs/>
                        <w:color w:val="000000"/>
                        <w:lang w:val="en-IE" w:eastAsia="en-IE"/>
                      </w:rPr>
                    </w:pPr>
                    <w:r>
                      <w:rPr>
                        <w:rFonts w:cs="Calibri"/>
                        <w:b/>
                        <w:bCs/>
                        <w:color w:val="000000"/>
                        <w:szCs w:val="22"/>
                        <w:lang w:val="en-IE" w:eastAsia="en-IE"/>
                      </w:rPr>
                      <w:t>20</w:t>
                    </w:r>
                    <w:r w:rsidR="006C5CB1">
                      <w:rPr>
                        <w:rFonts w:cs="Calibri"/>
                        <w:b/>
                        <w:bCs/>
                        <w:color w:val="000000"/>
                        <w:szCs w:val="22"/>
                        <w:lang w:val="en-IE" w:eastAsia="en-IE"/>
                      </w:rPr>
                      <w:t xml:space="preserve"> - 70 apartments</w:t>
                    </w:r>
                  </w:p>
                </w:tc>
                <w:tc>
                  <w:tcPr>
                    <w:tcW w:w="2013" w:type="dxa"/>
                    <w:vMerge w:val="restart"/>
                    <w:tcBorders>
                      <w:top w:val="nil"/>
                      <w:left w:val="single" w:sz="8" w:space="0" w:color="auto"/>
                      <w:bottom w:val="single" w:sz="8" w:space="0" w:color="000000"/>
                      <w:right w:val="single" w:sz="8" w:space="0" w:color="auto"/>
                    </w:tcBorders>
                    <w:vAlign w:val="center"/>
                    <w:hideMark/>
                  </w:tcPr>
                  <w:p w14:paraId="7B836119"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71 - 120 apartments</w:t>
                    </w:r>
                  </w:p>
                </w:tc>
                <w:tc>
                  <w:tcPr>
                    <w:tcW w:w="2013" w:type="dxa"/>
                    <w:vMerge w:val="restart"/>
                    <w:tcBorders>
                      <w:top w:val="nil"/>
                      <w:left w:val="single" w:sz="8" w:space="0" w:color="auto"/>
                      <w:bottom w:val="single" w:sz="8" w:space="0" w:color="000000"/>
                      <w:right w:val="single" w:sz="8" w:space="0" w:color="auto"/>
                    </w:tcBorders>
                    <w:vAlign w:val="center"/>
                    <w:hideMark/>
                  </w:tcPr>
                  <w:p w14:paraId="7A30F0D1"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121 + apartments</w:t>
                    </w:r>
                  </w:p>
                </w:tc>
              </w:tr>
              <w:tr w:rsidR="006C5CB1" w14:paraId="3580D060" w14:textId="77777777">
                <w:trPr>
                  <w:trHeight w:val="315"/>
                </w:trPr>
                <w:tc>
                  <w:tcPr>
                    <w:tcW w:w="0" w:type="auto"/>
                    <w:vMerge/>
                    <w:tcBorders>
                      <w:top w:val="nil"/>
                      <w:left w:val="single" w:sz="8" w:space="0" w:color="auto"/>
                      <w:bottom w:val="single" w:sz="8" w:space="0" w:color="000000"/>
                      <w:right w:val="single" w:sz="8" w:space="0" w:color="auto"/>
                    </w:tcBorders>
                    <w:vAlign w:val="center"/>
                    <w:hideMark/>
                  </w:tcPr>
                  <w:p w14:paraId="2FF3FDBD" w14:textId="77777777" w:rsidR="006C5CB1" w:rsidRDefault="006C5CB1">
                    <w:pPr>
                      <w:spacing w:after="0" w:line="256" w:lineRule="auto"/>
                      <w:rPr>
                        <w:rFonts w:cs="Calibri"/>
                        <w:b/>
                        <w:bCs/>
                        <w:color w:val="000000"/>
                        <w:lang w:val="en-IE" w:eastAsia="en-IE"/>
                      </w:rPr>
                    </w:pPr>
                  </w:p>
                </w:tc>
                <w:tc>
                  <w:tcPr>
                    <w:tcW w:w="0" w:type="auto"/>
                    <w:vMerge/>
                    <w:tcBorders>
                      <w:top w:val="nil"/>
                      <w:left w:val="single" w:sz="8" w:space="0" w:color="auto"/>
                      <w:bottom w:val="single" w:sz="8" w:space="0" w:color="000000"/>
                      <w:right w:val="single" w:sz="8" w:space="0" w:color="auto"/>
                    </w:tcBorders>
                    <w:vAlign w:val="center"/>
                    <w:hideMark/>
                  </w:tcPr>
                  <w:p w14:paraId="3E59F5A8" w14:textId="77777777" w:rsidR="006C5CB1" w:rsidRDefault="006C5CB1">
                    <w:pPr>
                      <w:spacing w:after="0" w:line="256" w:lineRule="auto"/>
                      <w:rPr>
                        <w:rFonts w:cs="Calibri"/>
                        <w:b/>
                        <w:bCs/>
                        <w:color w:val="000000"/>
                        <w:lang w:val="en-IE" w:eastAsia="en-IE"/>
                      </w:rPr>
                    </w:pPr>
                  </w:p>
                </w:tc>
                <w:tc>
                  <w:tcPr>
                    <w:tcW w:w="0" w:type="auto"/>
                    <w:vMerge/>
                    <w:tcBorders>
                      <w:top w:val="nil"/>
                      <w:left w:val="single" w:sz="8" w:space="0" w:color="auto"/>
                      <w:bottom w:val="single" w:sz="8" w:space="0" w:color="000000"/>
                      <w:right w:val="single" w:sz="8" w:space="0" w:color="auto"/>
                    </w:tcBorders>
                    <w:vAlign w:val="center"/>
                    <w:hideMark/>
                  </w:tcPr>
                  <w:p w14:paraId="1C31F823" w14:textId="77777777" w:rsidR="006C5CB1" w:rsidRDefault="006C5CB1">
                    <w:pPr>
                      <w:spacing w:after="0" w:line="256" w:lineRule="auto"/>
                      <w:rPr>
                        <w:rFonts w:cs="Calibri"/>
                        <w:b/>
                        <w:bCs/>
                        <w:color w:val="000000"/>
                        <w:lang w:val="en-IE" w:eastAsia="en-IE"/>
                      </w:rPr>
                    </w:pPr>
                  </w:p>
                </w:tc>
                <w:tc>
                  <w:tcPr>
                    <w:tcW w:w="0" w:type="auto"/>
                    <w:vMerge/>
                    <w:tcBorders>
                      <w:top w:val="nil"/>
                      <w:left w:val="single" w:sz="8" w:space="0" w:color="auto"/>
                      <w:bottom w:val="single" w:sz="8" w:space="0" w:color="000000"/>
                      <w:right w:val="single" w:sz="8" w:space="0" w:color="auto"/>
                    </w:tcBorders>
                    <w:vAlign w:val="center"/>
                    <w:hideMark/>
                  </w:tcPr>
                  <w:p w14:paraId="440922D8" w14:textId="77777777" w:rsidR="006C5CB1" w:rsidRDefault="006C5CB1">
                    <w:pPr>
                      <w:spacing w:after="0" w:line="256" w:lineRule="auto"/>
                      <w:rPr>
                        <w:rFonts w:cs="Calibri"/>
                        <w:b/>
                        <w:bCs/>
                        <w:color w:val="000000"/>
                        <w:lang w:val="en-IE" w:eastAsia="en-IE"/>
                      </w:rPr>
                    </w:pPr>
                  </w:p>
                </w:tc>
                <w:tc>
                  <w:tcPr>
                    <w:tcW w:w="36" w:type="dxa"/>
                    <w:noWrap/>
                    <w:vAlign w:val="bottom"/>
                    <w:hideMark/>
                  </w:tcPr>
                  <w:p w14:paraId="2D8A80ED" w14:textId="77777777" w:rsidR="006C5CB1" w:rsidRDefault="006C5CB1"/>
                </w:tc>
              </w:tr>
              <w:tr w:rsidR="006C5CB1" w14:paraId="21BFD8BA" w14:textId="77777777">
                <w:trPr>
                  <w:trHeight w:val="915"/>
                </w:trPr>
                <w:tc>
                  <w:tcPr>
                    <w:tcW w:w="3165" w:type="dxa"/>
                    <w:tcBorders>
                      <w:top w:val="nil"/>
                      <w:left w:val="single" w:sz="8" w:space="0" w:color="auto"/>
                      <w:bottom w:val="single" w:sz="8" w:space="0" w:color="auto"/>
                      <w:right w:val="single" w:sz="8" w:space="0" w:color="auto"/>
                    </w:tcBorders>
                    <w:vAlign w:val="center"/>
                    <w:hideMark/>
                  </w:tcPr>
                  <w:p w14:paraId="29C6C945" w14:textId="77777777" w:rsidR="006C5CB1" w:rsidRDefault="006C5CB1">
                    <w:pPr>
                      <w:spacing w:after="0" w:line="240" w:lineRule="auto"/>
                      <w:rPr>
                        <w:rFonts w:cs="Calibri"/>
                        <w:color w:val="000000"/>
                        <w:lang w:val="en-IE" w:eastAsia="en-IE"/>
                      </w:rPr>
                    </w:pPr>
                    <w:r>
                      <w:rPr>
                        <w:rFonts w:cs="Calibri"/>
                        <w:color w:val="000000"/>
                        <w:szCs w:val="22"/>
                        <w:lang w:val="en-IE" w:eastAsia="en-IE"/>
                      </w:rPr>
                      <w:t>A: Full valuation based on drawings, all apartments in a relevant development</w:t>
                    </w:r>
                  </w:p>
                </w:tc>
                <w:tc>
                  <w:tcPr>
                    <w:tcW w:w="2013" w:type="dxa"/>
                    <w:tcBorders>
                      <w:top w:val="nil"/>
                      <w:left w:val="nil"/>
                      <w:bottom w:val="single" w:sz="8" w:space="0" w:color="auto"/>
                      <w:right w:val="single" w:sz="8" w:space="0" w:color="auto"/>
                    </w:tcBorders>
                    <w:vAlign w:val="center"/>
                    <w:hideMark/>
                  </w:tcPr>
                  <w:p w14:paraId="4A24201A"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single" w:sz="8" w:space="0" w:color="auto"/>
                    </w:tcBorders>
                    <w:vAlign w:val="center"/>
                    <w:hideMark/>
                  </w:tcPr>
                  <w:p w14:paraId="66F05C96"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single" w:sz="8" w:space="0" w:color="auto"/>
                    </w:tcBorders>
                    <w:vAlign w:val="center"/>
                    <w:hideMark/>
                  </w:tcPr>
                  <w:p w14:paraId="2E1CC9D9"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21785E21" w14:textId="77777777" w:rsidR="006C5CB1" w:rsidRDefault="006C5CB1">
                    <w:pPr>
                      <w:rPr>
                        <w:rFonts w:cs="Calibri"/>
                        <w:color w:val="000000"/>
                        <w:lang w:val="en-IE" w:eastAsia="en-IE"/>
                      </w:rPr>
                    </w:pPr>
                  </w:p>
                </w:tc>
              </w:tr>
              <w:tr w:rsidR="006C5CB1" w14:paraId="6F0A7234" w14:textId="77777777">
                <w:trPr>
                  <w:trHeight w:val="1215"/>
                </w:trPr>
                <w:tc>
                  <w:tcPr>
                    <w:tcW w:w="3165" w:type="dxa"/>
                    <w:tcBorders>
                      <w:top w:val="nil"/>
                      <w:left w:val="single" w:sz="8" w:space="0" w:color="auto"/>
                      <w:bottom w:val="single" w:sz="8" w:space="0" w:color="auto"/>
                      <w:right w:val="single" w:sz="8" w:space="0" w:color="auto"/>
                    </w:tcBorders>
                    <w:vAlign w:val="center"/>
                    <w:hideMark/>
                  </w:tcPr>
                  <w:p w14:paraId="57EA2F03" w14:textId="77777777" w:rsidR="006C5CB1" w:rsidRDefault="006C5CB1">
                    <w:pPr>
                      <w:spacing w:after="0" w:line="240" w:lineRule="auto"/>
                      <w:rPr>
                        <w:rFonts w:cs="Calibri"/>
                        <w:color w:val="000000"/>
                        <w:lang w:val="en-IE" w:eastAsia="en-IE"/>
                      </w:rPr>
                    </w:pPr>
                    <w:r>
                      <w:rPr>
                        <w:rFonts w:cs="Calibri"/>
                        <w:color w:val="000000"/>
                        <w:szCs w:val="22"/>
                        <w:lang w:val="en-IE" w:eastAsia="en-IE"/>
                      </w:rPr>
                      <w:t>C: Update previous full valuation based on drawings, all apartments in a relevant development</w:t>
                    </w:r>
                  </w:p>
                </w:tc>
                <w:tc>
                  <w:tcPr>
                    <w:tcW w:w="2013" w:type="dxa"/>
                    <w:tcBorders>
                      <w:top w:val="nil"/>
                      <w:left w:val="nil"/>
                      <w:bottom w:val="single" w:sz="8" w:space="0" w:color="auto"/>
                      <w:right w:val="single" w:sz="8" w:space="0" w:color="auto"/>
                    </w:tcBorders>
                    <w:vAlign w:val="center"/>
                    <w:hideMark/>
                  </w:tcPr>
                  <w:p w14:paraId="4E1A5EF4"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single" w:sz="8" w:space="0" w:color="auto"/>
                    </w:tcBorders>
                    <w:vAlign w:val="center"/>
                    <w:hideMark/>
                  </w:tcPr>
                  <w:p w14:paraId="64B9A0D0"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single" w:sz="8" w:space="0" w:color="auto"/>
                    </w:tcBorders>
                    <w:vAlign w:val="center"/>
                    <w:hideMark/>
                  </w:tcPr>
                  <w:p w14:paraId="405B342A"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05ECF89E" w14:textId="77777777" w:rsidR="006C5CB1" w:rsidRDefault="006C5CB1">
                    <w:pPr>
                      <w:rPr>
                        <w:rFonts w:cs="Calibri"/>
                        <w:color w:val="000000"/>
                        <w:lang w:val="en-IE" w:eastAsia="en-IE"/>
                      </w:rPr>
                    </w:pPr>
                  </w:p>
                </w:tc>
              </w:tr>
              <w:tr w:rsidR="006C5CB1" w14:paraId="2AE18792" w14:textId="77777777">
                <w:trPr>
                  <w:trHeight w:val="6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7ECC268E"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1 Category A and C (Total of all prices in Columns A+B+C)</w:t>
                    </w:r>
                  </w:p>
                </w:tc>
                <w:tc>
                  <w:tcPr>
                    <w:tcW w:w="2013" w:type="dxa"/>
                    <w:tcBorders>
                      <w:top w:val="nil"/>
                      <w:left w:val="nil"/>
                      <w:bottom w:val="single" w:sz="8" w:space="0" w:color="auto"/>
                      <w:right w:val="single" w:sz="8" w:space="0" w:color="auto"/>
                    </w:tcBorders>
                    <w:vAlign w:val="center"/>
                    <w:hideMark/>
                  </w:tcPr>
                  <w:p w14:paraId="78F0048D"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2AEB95E0" w14:textId="77777777" w:rsidR="006C5CB1" w:rsidRDefault="006C5CB1">
                    <w:pPr>
                      <w:rPr>
                        <w:rFonts w:cs="Calibri"/>
                        <w:color w:val="000000"/>
                        <w:lang w:val="en-IE" w:eastAsia="en-IE"/>
                      </w:rPr>
                    </w:pPr>
                  </w:p>
                </w:tc>
              </w:tr>
              <w:tr w:rsidR="006C5CB1" w14:paraId="7D0AAC40" w14:textId="77777777">
                <w:trPr>
                  <w:trHeight w:val="735"/>
                </w:trPr>
                <w:tc>
                  <w:tcPr>
                    <w:tcW w:w="3165" w:type="dxa"/>
                    <w:tcBorders>
                      <w:top w:val="nil"/>
                      <w:left w:val="single" w:sz="8" w:space="0" w:color="auto"/>
                      <w:bottom w:val="single" w:sz="8" w:space="0" w:color="auto"/>
                      <w:right w:val="nil"/>
                    </w:tcBorders>
                    <w:shd w:val="clear" w:color="auto" w:fill="00B0F0"/>
                    <w:vAlign w:val="center"/>
                    <w:hideMark/>
                  </w:tcPr>
                  <w:p w14:paraId="291AB3AC"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006B99D7"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3AF9841A"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D</w:t>
                    </w:r>
                  </w:p>
                </w:tc>
                <w:tc>
                  <w:tcPr>
                    <w:tcW w:w="2013" w:type="dxa"/>
                    <w:tcBorders>
                      <w:top w:val="nil"/>
                      <w:left w:val="nil"/>
                      <w:bottom w:val="single" w:sz="8" w:space="0" w:color="auto"/>
                      <w:right w:val="single" w:sz="8" w:space="0" w:color="auto"/>
                    </w:tcBorders>
                    <w:shd w:val="clear" w:color="auto" w:fill="00B0F0"/>
                    <w:vAlign w:val="center"/>
                    <w:hideMark/>
                  </w:tcPr>
                  <w:p w14:paraId="114DBFBA"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E</w:t>
                    </w:r>
                  </w:p>
                </w:tc>
                <w:tc>
                  <w:tcPr>
                    <w:tcW w:w="36" w:type="dxa"/>
                    <w:vAlign w:val="center"/>
                    <w:hideMark/>
                  </w:tcPr>
                  <w:p w14:paraId="6EC0FF2F" w14:textId="77777777" w:rsidR="006C5CB1" w:rsidRDefault="006C5CB1">
                    <w:pPr>
                      <w:rPr>
                        <w:rFonts w:cs="Calibri"/>
                        <w:b/>
                        <w:bCs/>
                        <w:color w:val="FFFFFF"/>
                        <w:lang w:val="en-IE" w:eastAsia="en-IE"/>
                      </w:rPr>
                    </w:pPr>
                  </w:p>
                </w:tc>
              </w:tr>
              <w:tr w:rsidR="006C5CB1" w14:paraId="39CB5061" w14:textId="77777777">
                <w:trPr>
                  <w:trHeight w:val="300"/>
                </w:trPr>
                <w:tc>
                  <w:tcPr>
                    <w:tcW w:w="3165" w:type="dxa"/>
                    <w:vMerge w:val="restart"/>
                    <w:tcBorders>
                      <w:top w:val="nil"/>
                      <w:left w:val="single" w:sz="8" w:space="0" w:color="auto"/>
                      <w:bottom w:val="single" w:sz="8" w:space="0" w:color="000000"/>
                      <w:right w:val="nil"/>
                    </w:tcBorders>
                    <w:vAlign w:val="center"/>
                    <w:hideMark/>
                  </w:tcPr>
                  <w:p w14:paraId="1D7F0EF6"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Category of Service</w:t>
                    </w:r>
                  </w:p>
                </w:tc>
                <w:tc>
                  <w:tcPr>
                    <w:tcW w:w="2013" w:type="dxa"/>
                    <w:vMerge w:val="restart"/>
                    <w:tcBorders>
                      <w:top w:val="nil"/>
                      <w:left w:val="nil"/>
                      <w:bottom w:val="single" w:sz="8" w:space="0" w:color="000000"/>
                      <w:right w:val="single" w:sz="8" w:space="0" w:color="auto"/>
                    </w:tcBorders>
                    <w:vAlign w:val="center"/>
                    <w:hideMark/>
                  </w:tcPr>
                  <w:p w14:paraId="2E6DA2A6"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 </w:t>
                    </w:r>
                  </w:p>
                </w:tc>
                <w:tc>
                  <w:tcPr>
                    <w:tcW w:w="2013" w:type="dxa"/>
                    <w:vMerge w:val="restart"/>
                    <w:tcBorders>
                      <w:top w:val="nil"/>
                      <w:left w:val="single" w:sz="8" w:space="0" w:color="auto"/>
                      <w:bottom w:val="single" w:sz="8" w:space="0" w:color="000000"/>
                      <w:right w:val="single" w:sz="8" w:space="0" w:color="auto"/>
                    </w:tcBorders>
                    <w:vAlign w:val="center"/>
                    <w:hideMark/>
                  </w:tcPr>
                  <w:p w14:paraId="3F058562"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10 apartments</w:t>
                    </w:r>
                  </w:p>
                </w:tc>
                <w:tc>
                  <w:tcPr>
                    <w:tcW w:w="2013" w:type="dxa"/>
                    <w:vMerge w:val="restart"/>
                    <w:tcBorders>
                      <w:top w:val="nil"/>
                      <w:left w:val="single" w:sz="8" w:space="0" w:color="auto"/>
                      <w:bottom w:val="single" w:sz="8" w:space="0" w:color="000000"/>
                      <w:right w:val="single" w:sz="8" w:space="0" w:color="auto"/>
                    </w:tcBorders>
                    <w:vAlign w:val="center"/>
                    <w:hideMark/>
                  </w:tcPr>
                  <w:p w14:paraId="51DADA97"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20 apartments</w:t>
                    </w:r>
                  </w:p>
                </w:tc>
                <w:tc>
                  <w:tcPr>
                    <w:tcW w:w="36" w:type="dxa"/>
                    <w:vAlign w:val="center"/>
                    <w:hideMark/>
                  </w:tcPr>
                  <w:p w14:paraId="5400B277" w14:textId="77777777" w:rsidR="006C5CB1" w:rsidRDefault="006C5CB1">
                    <w:pPr>
                      <w:rPr>
                        <w:rFonts w:cs="Calibri"/>
                        <w:b/>
                        <w:bCs/>
                        <w:color w:val="000000"/>
                        <w:lang w:val="en-IE" w:eastAsia="en-IE"/>
                      </w:rPr>
                    </w:pPr>
                  </w:p>
                </w:tc>
              </w:tr>
              <w:tr w:rsidR="006C5CB1" w14:paraId="6200493C" w14:textId="77777777">
                <w:trPr>
                  <w:trHeight w:val="315"/>
                </w:trPr>
                <w:tc>
                  <w:tcPr>
                    <w:tcW w:w="0" w:type="auto"/>
                    <w:vMerge/>
                    <w:tcBorders>
                      <w:top w:val="nil"/>
                      <w:left w:val="single" w:sz="8" w:space="0" w:color="auto"/>
                      <w:bottom w:val="single" w:sz="8" w:space="0" w:color="000000"/>
                      <w:right w:val="nil"/>
                    </w:tcBorders>
                    <w:vAlign w:val="center"/>
                    <w:hideMark/>
                  </w:tcPr>
                  <w:p w14:paraId="47D76836" w14:textId="77777777" w:rsidR="006C5CB1" w:rsidRDefault="006C5CB1">
                    <w:pPr>
                      <w:spacing w:after="0" w:line="256" w:lineRule="auto"/>
                      <w:rPr>
                        <w:rFonts w:cs="Calibri"/>
                        <w:b/>
                        <w:bCs/>
                        <w:color w:val="000000"/>
                        <w:lang w:val="en-IE" w:eastAsia="en-IE"/>
                      </w:rPr>
                    </w:pPr>
                  </w:p>
                </w:tc>
                <w:tc>
                  <w:tcPr>
                    <w:tcW w:w="0" w:type="auto"/>
                    <w:vMerge/>
                    <w:tcBorders>
                      <w:top w:val="nil"/>
                      <w:left w:val="nil"/>
                      <w:bottom w:val="single" w:sz="8" w:space="0" w:color="000000"/>
                      <w:right w:val="single" w:sz="8" w:space="0" w:color="auto"/>
                    </w:tcBorders>
                    <w:vAlign w:val="center"/>
                    <w:hideMark/>
                  </w:tcPr>
                  <w:p w14:paraId="2DC5CAB1" w14:textId="77777777" w:rsidR="006C5CB1" w:rsidRDefault="006C5CB1">
                    <w:pPr>
                      <w:spacing w:after="0" w:line="256" w:lineRule="auto"/>
                      <w:rPr>
                        <w:rFonts w:cs="Calibri"/>
                        <w:b/>
                        <w:bCs/>
                        <w:color w:val="000000"/>
                        <w:lang w:val="en-IE" w:eastAsia="en-IE"/>
                      </w:rPr>
                    </w:pPr>
                  </w:p>
                </w:tc>
                <w:tc>
                  <w:tcPr>
                    <w:tcW w:w="0" w:type="auto"/>
                    <w:vMerge/>
                    <w:tcBorders>
                      <w:top w:val="nil"/>
                      <w:left w:val="single" w:sz="8" w:space="0" w:color="auto"/>
                      <w:bottom w:val="single" w:sz="8" w:space="0" w:color="000000"/>
                      <w:right w:val="single" w:sz="8" w:space="0" w:color="auto"/>
                    </w:tcBorders>
                    <w:vAlign w:val="center"/>
                    <w:hideMark/>
                  </w:tcPr>
                  <w:p w14:paraId="17FDB16F" w14:textId="77777777" w:rsidR="006C5CB1" w:rsidRDefault="006C5CB1">
                    <w:pPr>
                      <w:spacing w:after="0" w:line="256" w:lineRule="auto"/>
                      <w:rPr>
                        <w:rFonts w:cs="Calibri"/>
                        <w:b/>
                        <w:bCs/>
                        <w:color w:val="000000"/>
                        <w:lang w:val="en-IE" w:eastAsia="en-IE"/>
                      </w:rPr>
                    </w:pPr>
                  </w:p>
                </w:tc>
                <w:tc>
                  <w:tcPr>
                    <w:tcW w:w="0" w:type="auto"/>
                    <w:vMerge/>
                    <w:tcBorders>
                      <w:top w:val="nil"/>
                      <w:left w:val="single" w:sz="8" w:space="0" w:color="auto"/>
                      <w:bottom w:val="single" w:sz="8" w:space="0" w:color="000000"/>
                      <w:right w:val="single" w:sz="8" w:space="0" w:color="auto"/>
                    </w:tcBorders>
                    <w:vAlign w:val="center"/>
                    <w:hideMark/>
                  </w:tcPr>
                  <w:p w14:paraId="7A8CAD96" w14:textId="77777777" w:rsidR="006C5CB1" w:rsidRDefault="006C5CB1">
                    <w:pPr>
                      <w:spacing w:after="0" w:line="256" w:lineRule="auto"/>
                      <w:rPr>
                        <w:rFonts w:cs="Calibri"/>
                        <w:b/>
                        <w:bCs/>
                        <w:color w:val="000000"/>
                        <w:lang w:val="en-IE" w:eastAsia="en-IE"/>
                      </w:rPr>
                    </w:pPr>
                  </w:p>
                </w:tc>
                <w:tc>
                  <w:tcPr>
                    <w:tcW w:w="36" w:type="dxa"/>
                    <w:noWrap/>
                    <w:vAlign w:val="bottom"/>
                    <w:hideMark/>
                  </w:tcPr>
                  <w:p w14:paraId="01EC5187" w14:textId="77777777" w:rsidR="006C5CB1" w:rsidRDefault="006C5CB1">
                    <w:pPr>
                      <w:spacing w:after="0" w:line="256" w:lineRule="auto"/>
                      <w:rPr>
                        <w:rFonts w:eastAsiaTheme="minorHAnsi"/>
                        <w:sz w:val="20"/>
                        <w:szCs w:val="20"/>
                        <w:lang w:val="en-IE" w:eastAsia="en-IE"/>
                      </w:rPr>
                    </w:pPr>
                  </w:p>
                </w:tc>
              </w:tr>
              <w:tr w:rsidR="006C5CB1" w14:paraId="4758C436" w14:textId="77777777" w:rsidTr="006C5CB1">
                <w:trPr>
                  <w:trHeight w:val="615"/>
                </w:trPr>
                <w:tc>
                  <w:tcPr>
                    <w:tcW w:w="5178" w:type="dxa"/>
                    <w:gridSpan w:val="2"/>
                    <w:tcBorders>
                      <w:top w:val="single" w:sz="8" w:space="0" w:color="auto"/>
                      <w:left w:val="single" w:sz="8" w:space="0" w:color="auto"/>
                      <w:bottom w:val="single" w:sz="8" w:space="0" w:color="auto"/>
                      <w:right w:val="single" w:sz="8" w:space="0" w:color="000000"/>
                    </w:tcBorders>
                    <w:vAlign w:val="center"/>
                    <w:hideMark/>
                  </w:tcPr>
                  <w:p w14:paraId="40066E8C" w14:textId="77777777" w:rsidR="006C5CB1" w:rsidRDefault="006C5CB1">
                    <w:pPr>
                      <w:spacing w:after="0" w:line="240" w:lineRule="auto"/>
                      <w:rPr>
                        <w:rFonts w:cs="Calibri"/>
                        <w:color w:val="000000"/>
                        <w:lang w:val="en-IE" w:eastAsia="en-IE"/>
                      </w:rPr>
                    </w:pPr>
                    <w:r>
                      <w:rPr>
                        <w:rFonts w:cs="Calibri"/>
                        <w:color w:val="000000"/>
                        <w:szCs w:val="22"/>
                        <w:lang w:val="en-IE" w:eastAsia="en-IE"/>
                      </w:rPr>
                      <w:t>B: Full valuation based on drawings, for specified apartments in a relevant development</w:t>
                    </w:r>
                  </w:p>
                </w:tc>
                <w:tc>
                  <w:tcPr>
                    <w:tcW w:w="2013" w:type="dxa"/>
                    <w:tcBorders>
                      <w:top w:val="nil"/>
                      <w:left w:val="nil"/>
                      <w:bottom w:val="single" w:sz="8" w:space="0" w:color="auto"/>
                      <w:right w:val="single" w:sz="8" w:space="0" w:color="auto"/>
                    </w:tcBorders>
                    <w:vAlign w:val="center"/>
                    <w:hideMark/>
                  </w:tcPr>
                  <w:p w14:paraId="51CBC2FB"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single" w:sz="8" w:space="0" w:color="auto"/>
                    </w:tcBorders>
                    <w:vAlign w:val="center"/>
                    <w:hideMark/>
                  </w:tcPr>
                  <w:p w14:paraId="1103F406"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5FB53FAD" w14:textId="77777777" w:rsidR="006C5CB1" w:rsidRDefault="006C5CB1">
                    <w:pPr>
                      <w:rPr>
                        <w:rFonts w:cs="Calibri"/>
                        <w:color w:val="000000"/>
                        <w:lang w:val="en-IE" w:eastAsia="en-IE"/>
                      </w:rPr>
                    </w:pPr>
                  </w:p>
                </w:tc>
              </w:tr>
              <w:tr w:rsidR="006C5CB1" w14:paraId="2A16D1D3" w14:textId="77777777" w:rsidTr="0065071F">
                <w:trPr>
                  <w:trHeight w:val="615"/>
                </w:trPr>
                <w:tc>
                  <w:tcPr>
                    <w:tcW w:w="5178" w:type="dxa"/>
                    <w:gridSpan w:val="2"/>
                    <w:tcBorders>
                      <w:top w:val="single" w:sz="8" w:space="0" w:color="auto"/>
                      <w:left w:val="single" w:sz="8" w:space="0" w:color="auto"/>
                      <w:bottom w:val="single" w:sz="8" w:space="0" w:color="auto"/>
                      <w:right w:val="single" w:sz="8" w:space="0" w:color="000000"/>
                    </w:tcBorders>
                    <w:vAlign w:val="center"/>
                    <w:hideMark/>
                  </w:tcPr>
                  <w:p w14:paraId="336C28D4" w14:textId="77777777" w:rsidR="006C5CB1" w:rsidRDefault="006C5CB1">
                    <w:pPr>
                      <w:spacing w:after="0" w:line="240" w:lineRule="auto"/>
                      <w:rPr>
                        <w:rFonts w:cs="Calibri"/>
                        <w:color w:val="000000"/>
                        <w:lang w:val="en-IE" w:eastAsia="en-IE"/>
                      </w:rPr>
                    </w:pPr>
                    <w:r>
                      <w:rPr>
                        <w:rFonts w:cs="Calibri"/>
                        <w:color w:val="000000"/>
                        <w:szCs w:val="22"/>
                        <w:lang w:val="en-IE" w:eastAsia="en-IE"/>
                      </w:rPr>
                      <w:lastRenderedPageBreak/>
                      <w:t>D: Update previous full valuation based on drawings, for specified apartments in a relevant development</w:t>
                    </w:r>
                  </w:p>
                </w:tc>
                <w:tc>
                  <w:tcPr>
                    <w:tcW w:w="2013" w:type="dxa"/>
                    <w:tcBorders>
                      <w:top w:val="single" w:sz="8" w:space="0" w:color="auto"/>
                      <w:left w:val="nil"/>
                      <w:bottom w:val="single" w:sz="8" w:space="0" w:color="auto"/>
                      <w:right w:val="single" w:sz="8" w:space="0" w:color="auto"/>
                    </w:tcBorders>
                    <w:vAlign w:val="center"/>
                    <w:hideMark/>
                  </w:tcPr>
                  <w:p w14:paraId="5767255B"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single" w:sz="8" w:space="0" w:color="auto"/>
                      <w:left w:val="nil"/>
                      <w:bottom w:val="single" w:sz="8" w:space="0" w:color="auto"/>
                      <w:right w:val="single" w:sz="8" w:space="0" w:color="auto"/>
                    </w:tcBorders>
                    <w:vAlign w:val="center"/>
                    <w:hideMark/>
                  </w:tcPr>
                  <w:p w14:paraId="2B10F3D2"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44667803" w14:textId="77777777" w:rsidR="006C5CB1" w:rsidRDefault="006C5CB1">
                    <w:pPr>
                      <w:rPr>
                        <w:rFonts w:cs="Calibri"/>
                        <w:color w:val="000000"/>
                        <w:lang w:val="en-IE" w:eastAsia="en-IE"/>
                      </w:rPr>
                    </w:pPr>
                  </w:p>
                </w:tc>
              </w:tr>
              <w:tr w:rsidR="006C5CB1" w14:paraId="0E940834" w14:textId="77777777" w:rsidTr="0065071F">
                <w:trPr>
                  <w:trHeight w:val="945"/>
                </w:trPr>
                <w:tc>
                  <w:tcPr>
                    <w:tcW w:w="5178" w:type="dxa"/>
                    <w:gridSpan w:val="2"/>
                    <w:tcBorders>
                      <w:top w:val="single" w:sz="8" w:space="0" w:color="auto"/>
                      <w:left w:val="single" w:sz="8" w:space="0" w:color="auto"/>
                      <w:bottom w:val="single" w:sz="4" w:space="0" w:color="auto"/>
                      <w:right w:val="single" w:sz="8" w:space="0" w:color="000000"/>
                    </w:tcBorders>
                    <w:vAlign w:val="center"/>
                    <w:hideMark/>
                  </w:tcPr>
                  <w:p w14:paraId="487C511C" w14:textId="77777777" w:rsidR="006C5CB1" w:rsidRDefault="006C5CB1">
                    <w:pPr>
                      <w:spacing w:after="0" w:line="240" w:lineRule="auto"/>
                      <w:rPr>
                        <w:rFonts w:cs="Calibri"/>
                        <w:color w:val="000000"/>
                        <w:lang w:val="en-IE" w:eastAsia="en-IE"/>
                      </w:rPr>
                    </w:pPr>
                    <w:r>
                      <w:rPr>
                        <w:rFonts w:cs="Calibri"/>
                        <w:color w:val="000000"/>
                        <w:szCs w:val="22"/>
                        <w:lang w:val="en-IE" w:eastAsia="en-IE"/>
                      </w:rPr>
                      <w:t>E: Full valuation based on inspection on completion (or close to completion) of specified apartments in a relevant development</w:t>
                    </w:r>
                  </w:p>
                </w:tc>
                <w:tc>
                  <w:tcPr>
                    <w:tcW w:w="2013" w:type="dxa"/>
                    <w:tcBorders>
                      <w:top w:val="single" w:sz="8" w:space="0" w:color="auto"/>
                      <w:left w:val="nil"/>
                      <w:bottom w:val="single" w:sz="4" w:space="0" w:color="auto"/>
                      <w:right w:val="single" w:sz="8" w:space="0" w:color="auto"/>
                    </w:tcBorders>
                    <w:vAlign w:val="center"/>
                    <w:hideMark/>
                  </w:tcPr>
                  <w:p w14:paraId="6440879F"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single" w:sz="8" w:space="0" w:color="auto"/>
                      <w:left w:val="nil"/>
                      <w:bottom w:val="single" w:sz="4" w:space="0" w:color="auto"/>
                      <w:right w:val="single" w:sz="8" w:space="0" w:color="auto"/>
                    </w:tcBorders>
                    <w:vAlign w:val="center"/>
                    <w:hideMark/>
                  </w:tcPr>
                  <w:p w14:paraId="1A9FC08C"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7DAA6FE8" w14:textId="77777777" w:rsidR="006C5CB1" w:rsidRDefault="006C5CB1">
                    <w:pPr>
                      <w:rPr>
                        <w:rFonts w:cs="Calibri"/>
                        <w:color w:val="000000"/>
                        <w:lang w:val="en-IE" w:eastAsia="en-IE"/>
                      </w:rPr>
                    </w:pPr>
                  </w:p>
                </w:tc>
              </w:tr>
              <w:tr w:rsidR="006C5CB1" w14:paraId="65204941" w14:textId="77777777" w:rsidTr="0065071F">
                <w:trPr>
                  <w:trHeight w:val="945"/>
                </w:trPr>
                <w:tc>
                  <w:tcPr>
                    <w:tcW w:w="5178" w:type="dxa"/>
                    <w:gridSpan w:val="2"/>
                    <w:tcBorders>
                      <w:top w:val="single" w:sz="4" w:space="0" w:color="auto"/>
                      <w:left w:val="single" w:sz="8" w:space="0" w:color="auto"/>
                      <w:bottom w:val="single" w:sz="8" w:space="0" w:color="auto"/>
                      <w:right w:val="single" w:sz="8" w:space="0" w:color="000000"/>
                    </w:tcBorders>
                    <w:vAlign w:val="center"/>
                    <w:hideMark/>
                  </w:tcPr>
                  <w:p w14:paraId="600B5C2D" w14:textId="77777777" w:rsidR="006C5CB1" w:rsidRDefault="006C5CB1">
                    <w:pPr>
                      <w:spacing w:after="0" w:line="240" w:lineRule="auto"/>
                      <w:rPr>
                        <w:rFonts w:cs="Calibri"/>
                        <w:color w:val="000000"/>
                        <w:lang w:val="en-IE" w:eastAsia="en-IE"/>
                      </w:rPr>
                    </w:pPr>
                    <w:r>
                      <w:rPr>
                        <w:rFonts w:cs="Calibri"/>
                        <w:color w:val="000000"/>
                        <w:szCs w:val="22"/>
                        <w:lang w:val="en-IE" w:eastAsia="en-IE"/>
                      </w:rPr>
                      <w:t>F: Update full valuation based on inspection on completion (or close to completion) of specified apartments in a relevant development</w:t>
                    </w:r>
                  </w:p>
                </w:tc>
                <w:tc>
                  <w:tcPr>
                    <w:tcW w:w="2013" w:type="dxa"/>
                    <w:tcBorders>
                      <w:top w:val="single" w:sz="4" w:space="0" w:color="auto"/>
                      <w:left w:val="nil"/>
                      <w:bottom w:val="single" w:sz="8" w:space="0" w:color="auto"/>
                      <w:right w:val="single" w:sz="8" w:space="0" w:color="auto"/>
                    </w:tcBorders>
                    <w:vAlign w:val="center"/>
                    <w:hideMark/>
                  </w:tcPr>
                  <w:p w14:paraId="2EDC0769"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single" w:sz="4" w:space="0" w:color="auto"/>
                      <w:left w:val="nil"/>
                      <w:bottom w:val="single" w:sz="8" w:space="0" w:color="auto"/>
                      <w:right w:val="single" w:sz="8" w:space="0" w:color="auto"/>
                    </w:tcBorders>
                    <w:vAlign w:val="center"/>
                    <w:hideMark/>
                  </w:tcPr>
                  <w:p w14:paraId="4A15118C"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254F0FDD" w14:textId="77777777" w:rsidR="006C5CB1" w:rsidRDefault="006C5CB1">
                    <w:pPr>
                      <w:rPr>
                        <w:rFonts w:cs="Calibri"/>
                        <w:color w:val="000000"/>
                        <w:lang w:val="en-IE" w:eastAsia="en-IE"/>
                      </w:rPr>
                    </w:pPr>
                  </w:p>
                </w:tc>
              </w:tr>
              <w:tr w:rsidR="006C5CB1" w14:paraId="7AE96109" w14:textId="77777777">
                <w:trPr>
                  <w:trHeight w:val="6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22A736C1"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2 Category B, D, E and F (Total of all prices in Columns D+E)</w:t>
                    </w:r>
                  </w:p>
                </w:tc>
                <w:tc>
                  <w:tcPr>
                    <w:tcW w:w="2013" w:type="dxa"/>
                    <w:tcBorders>
                      <w:top w:val="nil"/>
                      <w:left w:val="nil"/>
                      <w:bottom w:val="single" w:sz="8" w:space="0" w:color="auto"/>
                      <w:right w:val="single" w:sz="8" w:space="0" w:color="auto"/>
                    </w:tcBorders>
                    <w:vAlign w:val="center"/>
                    <w:hideMark/>
                  </w:tcPr>
                  <w:p w14:paraId="03EC526C"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1C22B794" w14:textId="77777777" w:rsidR="006C5CB1" w:rsidRDefault="006C5CB1">
                    <w:pPr>
                      <w:rPr>
                        <w:rFonts w:cs="Calibri"/>
                        <w:color w:val="000000"/>
                        <w:lang w:val="en-IE" w:eastAsia="en-IE"/>
                      </w:rPr>
                    </w:pPr>
                  </w:p>
                </w:tc>
              </w:tr>
              <w:tr w:rsidR="006C5CB1" w14:paraId="6E3722EC" w14:textId="77777777">
                <w:trPr>
                  <w:trHeight w:val="735"/>
                </w:trPr>
                <w:tc>
                  <w:tcPr>
                    <w:tcW w:w="3165" w:type="dxa"/>
                    <w:tcBorders>
                      <w:top w:val="nil"/>
                      <w:left w:val="single" w:sz="8" w:space="0" w:color="auto"/>
                      <w:bottom w:val="single" w:sz="8" w:space="0" w:color="auto"/>
                      <w:right w:val="nil"/>
                    </w:tcBorders>
                    <w:shd w:val="clear" w:color="auto" w:fill="00B0F0"/>
                    <w:vAlign w:val="center"/>
                    <w:hideMark/>
                  </w:tcPr>
                  <w:p w14:paraId="663C7FEB"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nil"/>
                    </w:tcBorders>
                    <w:shd w:val="clear" w:color="auto" w:fill="00B0F0"/>
                    <w:vAlign w:val="center"/>
                    <w:hideMark/>
                  </w:tcPr>
                  <w:p w14:paraId="3A0438B5"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4F004587"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58783AB6"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F</w:t>
                    </w:r>
                  </w:p>
                </w:tc>
                <w:tc>
                  <w:tcPr>
                    <w:tcW w:w="36" w:type="dxa"/>
                    <w:vAlign w:val="center"/>
                    <w:hideMark/>
                  </w:tcPr>
                  <w:p w14:paraId="17713CD3" w14:textId="77777777" w:rsidR="006C5CB1" w:rsidRDefault="006C5CB1">
                    <w:pPr>
                      <w:rPr>
                        <w:rFonts w:cs="Calibri"/>
                        <w:b/>
                        <w:bCs/>
                        <w:color w:val="FFFFFF"/>
                        <w:lang w:val="en-IE" w:eastAsia="en-IE"/>
                      </w:rPr>
                    </w:pPr>
                  </w:p>
                </w:tc>
              </w:tr>
              <w:tr w:rsidR="006C5CB1" w14:paraId="39D5DA09" w14:textId="77777777">
                <w:trPr>
                  <w:trHeight w:val="600"/>
                </w:trPr>
                <w:tc>
                  <w:tcPr>
                    <w:tcW w:w="7191" w:type="dxa"/>
                    <w:gridSpan w:val="3"/>
                    <w:tcBorders>
                      <w:top w:val="single" w:sz="8" w:space="0" w:color="auto"/>
                      <w:left w:val="single" w:sz="8" w:space="0" w:color="auto"/>
                      <w:bottom w:val="single" w:sz="8" w:space="0" w:color="auto"/>
                      <w:right w:val="nil"/>
                    </w:tcBorders>
                    <w:vAlign w:val="center"/>
                    <w:hideMark/>
                  </w:tcPr>
                  <w:p w14:paraId="5443A162" w14:textId="77777777" w:rsidR="006C5CB1" w:rsidRDefault="006C5CB1">
                    <w:pPr>
                      <w:spacing w:after="0" w:line="240" w:lineRule="auto"/>
                      <w:rPr>
                        <w:rFonts w:cs="Calibri"/>
                        <w:color w:val="000000"/>
                        <w:lang w:val="en-IE" w:eastAsia="en-IE"/>
                      </w:rPr>
                    </w:pPr>
                    <w:r>
                      <w:rPr>
                        <w:rFonts w:cs="Calibri"/>
                        <w:color w:val="000000"/>
                        <w:szCs w:val="22"/>
                        <w:lang w:val="en-IE" w:eastAsia="en-IE"/>
                      </w:rPr>
                      <w:t>G: Review valuation prepared by a third party for a relevant development and prepare a report for the Housing Agency</w:t>
                    </w:r>
                  </w:p>
                </w:tc>
                <w:tc>
                  <w:tcPr>
                    <w:tcW w:w="2013" w:type="dxa"/>
                    <w:tcBorders>
                      <w:top w:val="nil"/>
                      <w:left w:val="single" w:sz="8" w:space="0" w:color="auto"/>
                      <w:bottom w:val="single" w:sz="8" w:space="0" w:color="auto"/>
                      <w:right w:val="single" w:sz="8" w:space="0" w:color="auto"/>
                    </w:tcBorders>
                    <w:vAlign w:val="center"/>
                    <w:hideMark/>
                  </w:tcPr>
                  <w:p w14:paraId="41930AF0"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411766F7" w14:textId="77777777" w:rsidR="006C5CB1" w:rsidRDefault="006C5CB1">
                    <w:pPr>
                      <w:rPr>
                        <w:rFonts w:cs="Calibri"/>
                        <w:color w:val="000000"/>
                        <w:lang w:val="en-IE" w:eastAsia="en-IE"/>
                      </w:rPr>
                    </w:pPr>
                  </w:p>
                </w:tc>
              </w:tr>
              <w:tr w:rsidR="006C5CB1" w14:paraId="45FC82B3" w14:textId="77777777">
                <w:trPr>
                  <w:trHeight w:val="6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5C1A6FF9"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3 Category G (Total of price in Columns F)</w:t>
                    </w:r>
                  </w:p>
                </w:tc>
                <w:tc>
                  <w:tcPr>
                    <w:tcW w:w="2013" w:type="dxa"/>
                    <w:tcBorders>
                      <w:top w:val="nil"/>
                      <w:left w:val="nil"/>
                      <w:bottom w:val="single" w:sz="8" w:space="0" w:color="auto"/>
                      <w:right w:val="single" w:sz="8" w:space="0" w:color="auto"/>
                    </w:tcBorders>
                    <w:vAlign w:val="center"/>
                    <w:hideMark/>
                  </w:tcPr>
                  <w:p w14:paraId="7D468217"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36" w:type="dxa"/>
                    <w:vAlign w:val="center"/>
                    <w:hideMark/>
                  </w:tcPr>
                  <w:p w14:paraId="14F99602" w14:textId="77777777" w:rsidR="006C5CB1" w:rsidRDefault="006C5CB1">
                    <w:pPr>
                      <w:rPr>
                        <w:rFonts w:cs="Calibri"/>
                        <w:color w:val="000000"/>
                        <w:lang w:val="en-IE" w:eastAsia="en-IE"/>
                      </w:rPr>
                    </w:pPr>
                  </w:p>
                </w:tc>
              </w:tr>
              <w:tr w:rsidR="006C5CB1" w14:paraId="4057A106" w14:textId="77777777">
                <w:trPr>
                  <w:trHeight w:val="735"/>
                </w:trPr>
                <w:tc>
                  <w:tcPr>
                    <w:tcW w:w="3165" w:type="dxa"/>
                    <w:tcBorders>
                      <w:top w:val="nil"/>
                      <w:left w:val="single" w:sz="8" w:space="0" w:color="auto"/>
                      <w:bottom w:val="single" w:sz="8" w:space="0" w:color="auto"/>
                      <w:right w:val="nil"/>
                    </w:tcBorders>
                    <w:shd w:val="clear" w:color="auto" w:fill="00B0F0"/>
                    <w:vAlign w:val="center"/>
                    <w:hideMark/>
                  </w:tcPr>
                  <w:p w14:paraId="032EDACF"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nil"/>
                    </w:tcBorders>
                    <w:shd w:val="clear" w:color="auto" w:fill="00B0F0"/>
                    <w:vAlign w:val="center"/>
                    <w:hideMark/>
                  </w:tcPr>
                  <w:p w14:paraId="378CD925"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nil"/>
                    </w:tcBorders>
                    <w:shd w:val="clear" w:color="auto" w:fill="00B0F0"/>
                    <w:vAlign w:val="center"/>
                    <w:hideMark/>
                  </w:tcPr>
                  <w:p w14:paraId="31731EC9"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 </w:t>
                    </w:r>
                  </w:p>
                </w:tc>
                <w:tc>
                  <w:tcPr>
                    <w:tcW w:w="2013" w:type="dxa"/>
                    <w:tcBorders>
                      <w:top w:val="nil"/>
                      <w:left w:val="nil"/>
                      <w:bottom w:val="single" w:sz="8" w:space="0" w:color="auto"/>
                      <w:right w:val="single" w:sz="8" w:space="0" w:color="auto"/>
                    </w:tcBorders>
                    <w:shd w:val="clear" w:color="auto" w:fill="00B0F0"/>
                    <w:vAlign w:val="center"/>
                    <w:hideMark/>
                  </w:tcPr>
                  <w:p w14:paraId="2870D44C" w14:textId="77777777" w:rsidR="006C5CB1" w:rsidRDefault="006C5CB1">
                    <w:pPr>
                      <w:spacing w:after="0" w:line="240" w:lineRule="auto"/>
                      <w:jc w:val="center"/>
                      <w:rPr>
                        <w:rFonts w:cs="Calibri"/>
                        <w:b/>
                        <w:bCs/>
                        <w:color w:val="FFFFFF"/>
                        <w:lang w:val="en-IE" w:eastAsia="en-IE"/>
                      </w:rPr>
                    </w:pPr>
                    <w:r>
                      <w:rPr>
                        <w:rFonts w:cs="Calibri"/>
                        <w:b/>
                        <w:bCs/>
                        <w:color w:val="FFFFFF"/>
                        <w:szCs w:val="22"/>
                        <w:lang w:val="en-IE" w:eastAsia="en-IE"/>
                      </w:rPr>
                      <w:t>Column G</w:t>
                    </w:r>
                  </w:p>
                </w:tc>
                <w:tc>
                  <w:tcPr>
                    <w:tcW w:w="36" w:type="dxa"/>
                    <w:vAlign w:val="center"/>
                    <w:hideMark/>
                  </w:tcPr>
                  <w:p w14:paraId="0B8D21D5" w14:textId="77777777" w:rsidR="006C5CB1" w:rsidRDefault="006C5CB1">
                    <w:pPr>
                      <w:rPr>
                        <w:rFonts w:cs="Calibri"/>
                        <w:b/>
                        <w:bCs/>
                        <w:color w:val="FFFFFF"/>
                        <w:lang w:val="en-IE" w:eastAsia="en-IE"/>
                      </w:rPr>
                    </w:pPr>
                  </w:p>
                </w:tc>
              </w:tr>
              <w:tr w:rsidR="006C5CB1" w14:paraId="52FA9BB2" w14:textId="77777777">
                <w:trPr>
                  <w:trHeight w:val="600"/>
                </w:trPr>
                <w:tc>
                  <w:tcPr>
                    <w:tcW w:w="3165" w:type="dxa"/>
                    <w:tcBorders>
                      <w:top w:val="nil"/>
                      <w:left w:val="single" w:sz="8" w:space="0" w:color="auto"/>
                      <w:bottom w:val="single" w:sz="8" w:space="0" w:color="auto"/>
                      <w:right w:val="nil"/>
                    </w:tcBorders>
                    <w:vAlign w:val="center"/>
                    <w:hideMark/>
                  </w:tcPr>
                  <w:p w14:paraId="7CC9494E"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1</w:t>
                    </w:r>
                  </w:p>
                </w:tc>
                <w:tc>
                  <w:tcPr>
                    <w:tcW w:w="2013" w:type="dxa"/>
                    <w:tcBorders>
                      <w:top w:val="nil"/>
                      <w:left w:val="single" w:sz="8" w:space="0" w:color="auto"/>
                      <w:bottom w:val="single" w:sz="8" w:space="0" w:color="auto"/>
                      <w:right w:val="nil"/>
                    </w:tcBorders>
                    <w:vAlign w:val="center"/>
                    <w:hideMark/>
                  </w:tcPr>
                  <w:p w14:paraId="510E2547" w14:textId="77777777" w:rsidR="006C5CB1" w:rsidRDefault="006C5CB1">
                    <w:pPr>
                      <w:spacing w:after="0" w:line="240" w:lineRule="auto"/>
                      <w:rPr>
                        <w:rFonts w:cs="Calibri"/>
                        <w:color w:val="000000"/>
                        <w:lang w:val="en-IE" w:eastAsia="en-IE"/>
                      </w:rPr>
                    </w:pPr>
                    <w:r>
                      <w:rPr>
                        <w:rFonts w:cs="Calibri"/>
                        <w:color w:val="000000"/>
                        <w:szCs w:val="22"/>
                        <w:lang w:val="en-IE" w:eastAsia="en-IE"/>
                      </w:rPr>
                      <w:t>€</w:t>
                    </w:r>
                  </w:p>
                </w:tc>
                <w:tc>
                  <w:tcPr>
                    <w:tcW w:w="2013" w:type="dxa"/>
                    <w:tcBorders>
                      <w:top w:val="nil"/>
                      <w:left w:val="nil"/>
                      <w:bottom w:val="single" w:sz="8" w:space="0" w:color="auto"/>
                      <w:right w:val="nil"/>
                    </w:tcBorders>
                    <w:vAlign w:val="center"/>
                    <w:hideMark/>
                  </w:tcPr>
                  <w:p w14:paraId="26B8FD05" w14:textId="352D46B0" w:rsidR="006C5CB1" w:rsidRDefault="00631657">
                    <w:pPr>
                      <w:spacing w:after="0" w:line="240" w:lineRule="auto"/>
                      <w:jc w:val="center"/>
                      <w:rPr>
                        <w:rFonts w:cs="Calibri"/>
                        <w:b/>
                        <w:bCs/>
                        <w:sz w:val="28"/>
                        <w:szCs w:val="28"/>
                        <w:lang w:val="en-IE" w:eastAsia="en-IE"/>
                      </w:rPr>
                    </w:pPr>
                    <w:r>
                      <w:rPr>
                        <w:rFonts w:cs="Calibri"/>
                        <w:b/>
                        <w:bCs/>
                        <w:sz w:val="28"/>
                        <w:szCs w:val="28"/>
                        <w:lang w:val="en-IE" w:eastAsia="en-IE"/>
                      </w:rPr>
                      <w:t>x</w:t>
                    </w:r>
                    <w:r w:rsidR="006C5CB1">
                      <w:rPr>
                        <w:rFonts w:cs="Calibri"/>
                        <w:b/>
                        <w:bCs/>
                        <w:sz w:val="28"/>
                        <w:szCs w:val="28"/>
                        <w:lang w:val="en-IE" w:eastAsia="en-IE"/>
                      </w:rPr>
                      <w:t>3</w:t>
                    </w:r>
                  </w:p>
                </w:tc>
                <w:tc>
                  <w:tcPr>
                    <w:tcW w:w="2013" w:type="dxa"/>
                    <w:tcBorders>
                      <w:top w:val="nil"/>
                      <w:left w:val="single" w:sz="8" w:space="0" w:color="auto"/>
                      <w:bottom w:val="single" w:sz="8" w:space="0" w:color="auto"/>
                      <w:right w:val="single" w:sz="8" w:space="0" w:color="auto"/>
                    </w:tcBorders>
                    <w:vAlign w:val="center"/>
                    <w:hideMark/>
                  </w:tcPr>
                  <w:p w14:paraId="21CF75B2" w14:textId="77777777" w:rsidR="006C5CB1" w:rsidRDefault="006C5CB1">
                    <w:pPr>
                      <w:spacing w:after="0" w:line="240" w:lineRule="auto"/>
                      <w:rPr>
                        <w:rFonts w:cs="Calibri"/>
                        <w:color w:val="000000"/>
                        <w:lang w:val="en-IE" w:eastAsia="en-IE"/>
                      </w:rPr>
                    </w:pPr>
                    <w:r>
                      <w:rPr>
                        <w:rFonts w:cs="Calibri"/>
                        <w:color w:val="000000"/>
                        <w:szCs w:val="22"/>
                        <w:lang w:val="en-IE" w:eastAsia="en-IE"/>
                      </w:rPr>
                      <w:t> </w:t>
                    </w:r>
                  </w:p>
                </w:tc>
                <w:tc>
                  <w:tcPr>
                    <w:tcW w:w="36" w:type="dxa"/>
                    <w:vAlign w:val="center"/>
                    <w:hideMark/>
                  </w:tcPr>
                  <w:p w14:paraId="2EE2EF14" w14:textId="77777777" w:rsidR="006C5CB1" w:rsidRDefault="006C5CB1">
                    <w:pPr>
                      <w:rPr>
                        <w:rFonts w:cs="Calibri"/>
                        <w:color w:val="000000"/>
                        <w:lang w:val="en-IE" w:eastAsia="en-IE"/>
                      </w:rPr>
                    </w:pPr>
                  </w:p>
                </w:tc>
              </w:tr>
              <w:tr w:rsidR="006C5CB1" w14:paraId="27872FAD" w14:textId="77777777">
                <w:trPr>
                  <w:trHeight w:val="6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7333D5CD"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2</w:t>
                    </w:r>
                  </w:p>
                </w:tc>
                <w:tc>
                  <w:tcPr>
                    <w:tcW w:w="2013" w:type="dxa"/>
                    <w:tcBorders>
                      <w:top w:val="nil"/>
                      <w:left w:val="nil"/>
                      <w:bottom w:val="single" w:sz="8" w:space="0" w:color="auto"/>
                      <w:right w:val="single" w:sz="8" w:space="0" w:color="auto"/>
                    </w:tcBorders>
                    <w:vAlign w:val="center"/>
                    <w:hideMark/>
                  </w:tcPr>
                  <w:p w14:paraId="269E0705" w14:textId="77777777" w:rsidR="006C5CB1" w:rsidRDefault="006C5CB1">
                    <w:pPr>
                      <w:spacing w:after="0" w:line="240" w:lineRule="auto"/>
                      <w:rPr>
                        <w:rFonts w:cs="Calibri"/>
                        <w:color w:val="000000"/>
                        <w:lang w:val="en-IE" w:eastAsia="en-IE"/>
                      </w:rPr>
                    </w:pPr>
                    <w:r>
                      <w:rPr>
                        <w:rFonts w:cs="Calibri"/>
                        <w:color w:val="000000"/>
                        <w:szCs w:val="22"/>
                        <w:lang w:val="en-IE" w:eastAsia="en-IE"/>
                      </w:rPr>
                      <w:t> </w:t>
                    </w:r>
                  </w:p>
                </w:tc>
                <w:tc>
                  <w:tcPr>
                    <w:tcW w:w="36" w:type="dxa"/>
                    <w:vAlign w:val="center"/>
                    <w:hideMark/>
                  </w:tcPr>
                  <w:p w14:paraId="178013E0" w14:textId="77777777" w:rsidR="006C5CB1" w:rsidRDefault="006C5CB1">
                    <w:pPr>
                      <w:rPr>
                        <w:rFonts w:cs="Calibri"/>
                        <w:color w:val="000000"/>
                        <w:lang w:val="en-IE" w:eastAsia="en-IE"/>
                      </w:rPr>
                    </w:pPr>
                  </w:p>
                </w:tc>
              </w:tr>
              <w:tr w:rsidR="006C5CB1" w14:paraId="729EB97E" w14:textId="77777777">
                <w:trPr>
                  <w:trHeight w:val="6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083CB546"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Tender Price Part 3</w:t>
                    </w:r>
                  </w:p>
                </w:tc>
                <w:tc>
                  <w:tcPr>
                    <w:tcW w:w="2013" w:type="dxa"/>
                    <w:tcBorders>
                      <w:top w:val="nil"/>
                      <w:left w:val="nil"/>
                      <w:bottom w:val="single" w:sz="8" w:space="0" w:color="auto"/>
                      <w:right w:val="single" w:sz="8" w:space="0" w:color="auto"/>
                    </w:tcBorders>
                    <w:vAlign w:val="center"/>
                    <w:hideMark/>
                  </w:tcPr>
                  <w:p w14:paraId="1C030577" w14:textId="77777777" w:rsidR="006C5CB1" w:rsidRDefault="006C5CB1">
                    <w:pPr>
                      <w:spacing w:after="0" w:line="240" w:lineRule="auto"/>
                      <w:rPr>
                        <w:rFonts w:cs="Calibri"/>
                        <w:color w:val="000000"/>
                        <w:lang w:val="en-IE" w:eastAsia="en-IE"/>
                      </w:rPr>
                    </w:pPr>
                    <w:r>
                      <w:rPr>
                        <w:rFonts w:cs="Calibri"/>
                        <w:color w:val="000000"/>
                        <w:szCs w:val="22"/>
                        <w:lang w:val="en-IE" w:eastAsia="en-IE"/>
                      </w:rPr>
                      <w:t> </w:t>
                    </w:r>
                  </w:p>
                </w:tc>
                <w:tc>
                  <w:tcPr>
                    <w:tcW w:w="36" w:type="dxa"/>
                    <w:vAlign w:val="center"/>
                    <w:hideMark/>
                  </w:tcPr>
                  <w:p w14:paraId="3AF56133" w14:textId="77777777" w:rsidR="006C5CB1" w:rsidRDefault="006C5CB1">
                    <w:pPr>
                      <w:rPr>
                        <w:rFonts w:cs="Calibri"/>
                        <w:color w:val="000000"/>
                        <w:lang w:val="en-IE" w:eastAsia="en-IE"/>
                      </w:rPr>
                    </w:pPr>
                  </w:p>
                </w:tc>
              </w:tr>
              <w:tr w:rsidR="006C5CB1" w14:paraId="449F7A1B" w14:textId="77777777">
                <w:trPr>
                  <w:trHeight w:val="900"/>
                </w:trPr>
                <w:tc>
                  <w:tcPr>
                    <w:tcW w:w="7191" w:type="dxa"/>
                    <w:gridSpan w:val="3"/>
                    <w:tcBorders>
                      <w:top w:val="single" w:sz="8" w:space="0" w:color="auto"/>
                      <w:left w:val="single" w:sz="8" w:space="0" w:color="auto"/>
                      <w:bottom w:val="single" w:sz="8" w:space="0" w:color="auto"/>
                      <w:right w:val="single" w:sz="8" w:space="0" w:color="000000"/>
                    </w:tcBorders>
                    <w:vAlign w:val="center"/>
                    <w:hideMark/>
                  </w:tcPr>
                  <w:p w14:paraId="4E3EFA0E" w14:textId="77777777" w:rsidR="006C5CB1" w:rsidRDefault="006C5CB1">
                    <w:pPr>
                      <w:spacing w:after="0" w:line="240" w:lineRule="auto"/>
                      <w:jc w:val="center"/>
                      <w:rPr>
                        <w:rFonts w:cs="Calibri"/>
                        <w:b/>
                        <w:bCs/>
                        <w:color w:val="000000"/>
                        <w:lang w:val="en-IE" w:eastAsia="en-IE"/>
                      </w:rPr>
                    </w:pPr>
                    <w:r>
                      <w:rPr>
                        <w:rFonts w:cs="Calibri"/>
                        <w:b/>
                        <w:bCs/>
                        <w:color w:val="000000"/>
                        <w:szCs w:val="22"/>
                        <w:lang w:val="en-IE" w:eastAsia="en-IE"/>
                      </w:rPr>
                      <w:t>Total Combined Tender Sum Excluding VAT</w:t>
                    </w:r>
                  </w:p>
                </w:tc>
                <w:tc>
                  <w:tcPr>
                    <w:tcW w:w="2013" w:type="dxa"/>
                    <w:tcBorders>
                      <w:top w:val="nil"/>
                      <w:left w:val="nil"/>
                      <w:bottom w:val="single" w:sz="8" w:space="0" w:color="auto"/>
                      <w:right w:val="single" w:sz="8" w:space="0" w:color="auto"/>
                    </w:tcBorders>
                    <w:shd w:val="clear" w:color="auto" w:fill="B4C6E7"/>
                    <w:vAlign w:val="center"/>
                    <w:hideMark/>
                  </w:tcPr>
                  <w:p w14:paraId="610BB87C" w14:textId="77777777" w:rsidR="006C5CB1" w:rsidRDefault="006C5CB1">
                    <w:pPr>
                      <w:spacing w:after="0" w:line="240" w:lineRule="auto"/>
                      <w:rPr>
                        <w:rFonts w:cs="Calibri"/>
                        <w:b/>
                        <w:bCs/>
                        <w:color w:val="000000"/>
                        <w:lang w:val="en-IE" w:eastAsia="en-IE"/>
                      </w:rPr>
                    </w:pPr>
                    <w:r>
                      <w:rPr>
                        <w:rFonts w:cs="Calibri"/>
                        <w:b/>
                        <w:bCs/>
                        <w:color w:val="000000"/>
                        <w:szCs w:val="22"/>
                        <w:lang w:val="en-IE" w:eastAsia="en-IE"/>
                      </w:rPr>
                      <w:t>€</w:t>
                    </w:r>
                  </w:p>
                </w:tc>
                <w:tc>
                  <w:tcPr>
                    <w:tcW w:w="36" w:type="dxa"/>
                    <w:vAlign w:val="center"/>
                    <w:hideMark/>
                  </w:tcPr>
                  <w:p w14:paraId="19B15F3E" w14:textId="77777777" w:rsidR="006C5CB1" w:rsidRDefault="006C5CB1">
                    <w:pPr>
                      <w:rPr>
                        <w:rFonts w:cs="Calibri"/>
                        <w:b/>
                        <w:bCs/>
                        <w:color w:val="000000"/>
                        <w:lang w:val="en-IE" w:eastAsia="en-IE"/>
                      </w:rPr>
                    </w:pPr>
                  </w:p>
                </w:tc>
              </w:tr>
            </w:tbl>
            <w:p w14:paraId="351C3A92" w14:textId="77777777" w:rsidR="006C5CB1" w:rsidRDefault="006C5CB1" w:rsidP="006C5CB1">
              <w:pPr>
                <w:spacing w:before="33"/>
                <w:jc w:val="both"/>
                <w:outlineLvl w:val="0"/>
                <w:rPr>
                  <w:rFonts w:cs="Arial"/>
                  <w:lang w:eastAsia="en-IE"/>
                </w:rPr>
              </w:pPr>
            </w:p>
            <w:p w14:paraId="16FFC7F0" w14:textId="77777777" w:rsidR="006C5CB1" w:rsidRPr="005270E7" w:rsidRDefault="006C5CB1" w:rsidP="006C5CB1">
              <w:pPr>
                <w:rPr>
                  <w:b/>
                  <w:bCs/>
                  <w:color w:val="EE0000"/>
                </w:rPr>
              </w:pPr>
              <w:r w:rsidRPr="005270E7">
                <w:rPr>
                  <w:b/>
                  <w:bCs/>
                  <w:color w:val="EE0000"/>
                </w:rPr>
                <w:t>*(Excluding VAT taken @23%)</w:t>
              </w:r>
            </w:p>
            <w:p w14:paraId="3CFF4575" w14:textId="6DA5EDF1" w:rsidR="003C0FB1" w:rsidRPr="00310EDC" w:rsidRDefault="001376DB" w:rsidP="00CC7906"/>
          </w:sdtContent>
        </w:sdt>
      </w:sdtContent>
    </w:sdt>
    <w:p w14:paraId="4BD1F9EC" w14:textId="77777777" w:rsidR="003C0FB1" w:rsidRDefault="003C0FB1" w:rsidP="00FE544E"/>
    <w:sectPr w:rsidR="003C0FB1" w:rsidSect="00980DE9">
      <w:footerReference w:type="default" r:id="rId1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9DD3B" w14:textId="77777777" w:rsidR="001376DB" w:rsidRDefault="001376DB" w:rsidP="003C0FB1">
      <w:r>
        <w:separator/>
      </w:r>
    </w:p>
  </w:endnote>
  <w:endnote w:type="continuationSeparator" w:id="0">
    <w:p w14:paraId="055336D5" w14:textId="77777777" w:rsidR="001376DB" w:rsidRDefault="001376DB" w:rsidP="003C0FB1">
      <w:r>
        <w:continuationSeparator/>
      </w:r>
    </w:p>
  </w:endnote>
  <w:endnote w:type="continuationNotice" w:id="1">
    <w:p w14:paraId="013E2CE8" w14:textId="77777777" w:rsidR="001376DB" w:rsidRDefault="001376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7A60A8D2" w:rsidR="00746EFF" w:rsidRPr="00DE06E5" w:rsidRDefault="00746EFF" w:rsidP="00F934BA">
        <w:pPr>
          <w:pStyle w:val="Footer"/>
          <w:jc w:val="center"/>
        </w:pPr>
        <w:r w:rsidRPr="00DE06E5">
          <w:fldChar w:fldCharType="begin"/>
        </w:r>
        <w:r w:rsidRPr="00DE06E5">
          <w:instrText xml:space="preserve"> PAGE   \* MERGEFORMAT </w:instrText>
        </w:r>
        <w:r w:rsidRPr="00DE06E5">
          <w:fldChar w:fldCharType="separate"/>
        </w:r>
        <w:r w:rsidR="00C03D32" w:rsidRPr="00C03D32">
          <w:rPr>
            <w:rFonts w:ascii="Times New Roman" w:hAnsi="Times New Roman"/>
            <w:noProof/>
          </w:rPr>
          <w:t>72</w:t>
        </w:r>
        <w:r w:rsidRPr="00DE06E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F5FCF" w14:textId="77777777" w:rsidR="001376DB" w:rsidRDefault="001376DB" w:rsidP="003C0FB1">
      <w:r>
        <w:separator/>
      </w:r>
    </w:p>
  </w:footnote>
  <w:footnote w:type="continuationSeparator" w:id="0">
    <w:p w14:paraId="2889EC3A" w14:textId="77777777" w:rsidR="001376DB" w:rsidRDefault="001376DB" w:rsidP="003C0FB1">
      <w:r>
        <w:continuationSeparator/>
      </w:r>
    </w:p>
  </w:footnote>
  <w:footnote w:type="continuationNotice" w:id="1">
    <w:p w14:paraId="5F86B001" w14:textId="77777777" w:rsidR="001376DB" w:rsidRDefault="001376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A72265"/>
    <w:multiLevelType w:val="hybridMultilevel"/>
    <w:tmpl w:val="7676F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0B421235"/>
    <w:multiLevelType w:val="hybridMultilevel"/>
    <w:tmpl w:val="7DC45816"/>
    <w:lvl w:ilvl="0" w:tplc="18090001">
      <w:start w:val="1"/>
      <w:numFmt w:val="bullet"/>
      <w:lvlText w:val=""/>
      <w:lvlJc w:val="left"/>
      <w:pPr>
        <w:ind w:left="7022" w:hanging="360"/>
      </w:pPr>
      <w:rPr>
        <w:rFonts w:ascii="Symbol" w:hAnsi="Symbol" w:hint="default"/>
      </w:rPr>
    </w:lvl>
    <w:lvl w:ilvl="1" w:tplc="18090003" w:tentative="1">
      <w:start w:val="1"/>
      <w:numFmt w:val="bullet"/>
      <w:lvlText w:val="o"/>
      <w:lvlJc w:val="left"/>
      <w:pPr>
        <w:ind w:left="7742" w:hanging="360"/>
      </w:pPr>
      <w:rPr>
        <w:rFonts w:ascii="Courier New" w:hAnsi="Courier New" w:cs="Courier New" w:hint="default"/>
      </w:rPr>
    </w:lvl>
    <w:lvl w:ilvl="2" w:tplc="18090005" w:tentative="1">
      <w:start w:val="1"/>
      <w:numFmt w:val="bullet"/>
      <w:lvlText w:val=""/>
      <w:lvlJc w:val="left"/>
      <w:pPr>
        <w:ind w:left="8462" w:hanging="360"/>
      </w:pPr>
      <w:rPr>
        <w:rFonts w:ascii="Wingdings" w:hAnsi="Wingdings" w:hint="default"/>
      </w:rPr>
    </w:lvl>
    <w:lvl w:ilvl="3" w:tplc="18090001" w:tentative="1">
      <w:start w:val="1"/>
      <w:numFmt w:val="bullet"/>
      <w:lvlText w:val=""/>
      <w:lvlJc w:val="left"/>
      <w:pPr>
        <w:ind w:left="9182" w:hanging="360"/>
      </w:pPr>
      <w:rPr>
        <w:rFonts w:ascii="Symbol" w:hAnsi="Symbol" w:hint="default"/>
      </w:rPr>
    </w:lvl>
    <w:lvl w:ilvl="4" w:tplc="18090003" w:tentative="1">
      <w:start w:val="1"/>
      <w:numFmt w:val="bullet"/>
      <w:lvlText w:val="o"/>
      <w:lvlJc w:val="left"/>
      <w:pPr>
        <w:ind w:left="9902" w:hanging="360"/>
      </w:pPr>
      <w:rPr>
        <w:rFonts w:ascii="Courier New" w:hAnsi="Courier New" w:cs="Courier New" w:hint="default"/>
      </w:rPr>
    </w:lvl>
    <w:lvl w:ilvl="5" w:tplc="18090005" w:tentative="1">
      <w:start w:val="1"/>
      <w:numFmt w:val="bullet"/>
      <w:lvlText w:val=""/>
      <w:lvlJc w:val="left"/>
      <w:pPr>
        <w:ind w:left="10622" w:hanging="360"/>
      </w:pPr>
      <w:rPr>
        <w:rFonts w:ascii="Wingdings" w:hAnsi="Wingdings" w:hint="default"/>
      </w:rPr>
    </w:lvl>
    <w:lvl w:ilvl="6" w:tplc="18090001" w:tentative="1">
      <w:start w:val="1"/>
      <w:numFmt w:val="bullet"/>
      <w:lvlText w:val=""/>
      <w:lvlJc w:val="left"/>
      <w:pPr>
        <w:ind w:left="11342" w:hanging="360"/>
      </w:pPr>
      <w:rPr>
        <w:rFonts w:ascii="Symbol" w:hAnsi="Symbol" w:hint="default"/>
      </w:rPr>
    </w:lvl>
    <w:lvl w:ilvl="7" w:tplc="18090003" w:tentative="1">
      <w:start w:val="1"/>
      <w:numFmt w:val="bullet"/>
      <w:lvlText w:val="o"/>
      <w:lvlJc w:val="left"/>
      <w:pPr>
        <w:ind w:left="12062" w:hanging="360"/>
      </w:pPr>
      <w:rPr>
        <w:rFonts w:ascii="Courier New" w:hAnsi="Courier New" w:cs="Courier New" w:hint="default"/>
      </w:rPr>
    </w:lvl>
    <w:lvl w:ilvl="8" w:tplc="18090005" w:tentative="1">
      <w:start w:val="1"/>
      <w:numFmt w:val="bullet"/>
      <w:lvlText w:val=""/>
      <w:lvlJc w:val="left"/>
      <w:pPr>
        <w:ind w:left="12782" w:hanging="360"/>
      </w:pPr>
      <w:rPr>
        <w:rFonts w:ascii="Wingdings" w:hAnsi="Wingdings" w:hint="default"/>
      </w:rPr>
    </w:lvl>
  </w:abstractNum>
  <w:abstractNum w:abstractNumId="7" w15:restartNumberingAfterBreak="0">
    <w:nsid w:val="0BD52A64"/>
    <w:multiLevelType w:val="hybridMultilevel"/>
    <w:tmpl w:val="9E50D13C"/>
    <w:lvl w:ilvl="0" w:tplc="4E4661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261204"/>
    <w:multiLevelType w:val="hybridMultilevel"/>
    <w:tmpl w:val="8CB6CA3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0315A48"/>
    <w:multiLevelType w:val="hybridMultilevel"/>
    <w:tmpl w:val="A7AAD6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2904B6D"/>
    <w:multiLevelType w:val="hybridMultilevel"/>
    <w:tmpl w:val="9F82C430"/>
    <w:lvl w:ilvl="0" w:tplc="18090001">
      <w:start w:val="1"/>
      <w:numFmt w:val="bullet"/>
      <w:lvlText w:val=""/>
      <w:lvlJc w:val="left"/>
      <w:pPr>
        <w:ind w:left="1800" w:hanging="360"/>
      </w:pPr>
      <w:rPr>
        <w:rFonts w:ascii="Symbol" w:hAnsi="Symbol" w:hint="default"/>
      </w:r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73B5BCE"/>
    <w:multiLevelType w:val="hybridMultilevel"/>
    <w:tmpl w:val="558AF2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5A5243"/>
    <w:multiLevelType w:val="hybridMultilevel"/>
    <w:tmpl w:val="EC006F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A0B4758"/>
    <w:multiLevelType w:val="multilevel"/>
    <w:tmpl w:val="B658EF18"/>
    <w:lvl w:ilvl="0">
      <w:start w:val="1"/>
      <w:numFmt w:val="decimal"/>
      <w:lvlText w:val="%1"/>
      <w:lvlJc w:val="left"/>
      <w:pPr>
        <w:ind w:left="360" w:hanging="360"/>
      </w:pPr>
      <w:rPr>
        <w:rFonts w:hint="default"/>
        <w:b w:val="0"/>
      </w:rPr>
    </w:lvl>
    <w:lvl w:ilvl="1">
      <w:start w:val="1"/>
      <w:numFmt w:val="decimal"/>
      <w:lvlText w:val="%1.%2"/>
      <w:lvlJc w:val="left"/>
      <w:pPr>
        <w:ind w:left="851" w:hanging="567"/>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AF009D"/>
    <w:multiLevelType w:val="hybridMultilevel"/>
    <w:tmpl w:val="6346048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62B4E6D"/>
    <w:multiLevelType w:val="multilevel"/>
    <w:tmpl w:val="84841B78"/>
    <w:numStyleLink w:val="PLAGREEMENT"/>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6807D7E"/>
    <w:multiLevelType w:val="multilevel"/>
    <w:tmpl w:val="B4B40A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8" w15:restartNumberingAfterBreak="0">
    <w:nsid w:val="45075713"/>
    <w:multiLevelType w:val="hybridMultilevel"/>
    <w:tmpl w:val="9A8C5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9677AE"/>
    <w:multiLevelType w:val="hybridMultilevel"/>
    <w:tmpl w:val="387C429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7149F5"/>
    <w:multiLevelType w:val="hybridMultilevel"/>
    <w:tmpl w:val="C06A13CA"/>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C9541C6"/>
    <w:multiLevelType w:val="hybridMultilevel"/>
    <w:tmpl w:val="358CC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1B49D5"/>
    <w:multiLevelType w:val="hybridMultilevel"/>
    <w:tmpl w:val="3FEEEA10"/>
    <w:lvl w:ilvl="0" w:tplc="1CC05266">
      <w:start w:val="1"/>
      <w:numFmt w:val="upperLetter"/>
      <w:lvlText w:val="%1."/>
      <w:lvlJc w:val="left"/>
      <w:pPr>
        <w:ind w:left="907" w:hanging="547"/>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1795BC8"/>
    <w:multiLevelType w:val="hybridMultilevel"/>
    <w:tmpl w:val="C0340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F034D7"/>
    <w:multiLevelType w:val="hybridMultilevel"/>
    <w:tmpl w:val="F1E8E9EE"/>
    <w:lvl w:ilvl="0" w:tplc="D1A4110A">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9" w15:restartNumberingAfterBreak="0">
    <w:nsid w:val="5C8C2596"/>
    <w:multiLevelType w:val="hybridMultilevel"/>
    <w:tmpl w:val="6778C8F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A1848"/>
    <w:multiLevelType w:val="hybridMultilevel"/>
    <w:tmpl w:val="92287C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7974746"/>
    <w:multiLevelType w:val="hybridMultilevel"/>
    <w:tmpl w:val="FFE2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1C15981"/>
    <w:multiLevelType w:val="multilevel"/>
    <w:tmpl w:val="DB46A902"/>
    <w:numStyleLink w:val="Schedule1"/>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D9D567F"/>
    <w:multiLevelType w:val="hybridMultilevel"/>
    <w:tmpl w:val="352C275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79590862">
    <w:abstractNumId w:val="37"/>
  </w:num>
  <w:num w:numId="2" w16cid:durableId="375660538">
    <w:abstractNumId w:val="49"/>
  </w:num>
  <w:num w:numId="3" w16cid:durableId="1048146463">
    <w:abstractNumId w:val="40"/>
  </w:num>
  <w:num w:numId="4" w16cid:durableId="55475276">
    <w:abstractNumId w:val="11"/>
  </w:num>
  <w:num w:numId="5" w16cid:durableId="1310671745">
    <w:abstractNumId w:val="48"/>
  </w:num>
  <w:num w:numId="6" w16cid:durableId="1753887423">
    <w:abstractNumId w:val="19"/>
  </w:num>
  <w:num w:numId="7" w16cid:durableId="624652923">
    <w:abstractNumId w:val="3"/>
  </w:num>
  <w:num w:numId="8" w16cid:durableId="663240959">
    <w:abstractNumId w:val="4"/>
  </w:num>
  <w:num w:numId="9" w16cid:durableId="129791073">
    <w:abstractNumId w:val="14"/>
  </w:num>
  <w:num w:numId="10" w16cid:durableId="1972590856">
    <w:abstractNumId w:val="47"/>
  </w:num>
  <w:num w:numId="11" w16cid:durableId="2050107645">
    <w:abstractNumId w:val="20"/>
  </w:num>
  <w:num w:numId="12" w16cid:durableId="559364019">
    <w:abstractNumId w:val="32"/>
  </w:num>
  <w:num w:numId="13" w16cid:durableId="1051614668">
    <w:abstractNumId w:val="34"/>
  </w:num>
  <w:num w:numId="14" w16cid:durableId="665792018">
    <w:abstractNumId w:val="27"/>
  </w:num>
  <w:num w:numId="15" w16cid:durableId="341323984">
    <w:abstractNumId w:val="45"/>
  </w:num>
  <w:num w:numId="16" w16cid:durableId="1150826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5"/>
  </w:num>
  <w:num w:numId="19" w16cid:durableId="539443060">
    <w:abstractNumId w:val="42"/>
  </w:num>
  <w:num w:numId="20" w16cid:durableId="1602833087">
    <w:abstractNumId w:val="30"/>
  </w:num>
  <w:num w:numId="21" w16cid:durableId="715004722">
    <w:abstractNumId w:val="25"/>
  </w:num>
  <w:num w:numId="22" w16cid:durableId="1715040825">
    <w:abstractNumId w:val="44"/>
  </w:num>
  <w:num w:numId="23" w16cid:durableId="1159272996">
    <w:abstractNumId w:val="2"/>
  </w:num>
  <w:num w:numId="24" w16cid:durableId="758913468">
    <w:abstractNumId w:val="43"/>
  </w:num>
  <w:num w:numId="25" w16cid:durableId="1224560263">
    <w:abstractNumId w:val="33"/>
  </w:num>
  <w:num w:numId="26" w16cid:durableId="1639451106">
    <w:abstractNumId w:val="36"/>
  </w:num>
  <w:num w:numId="27" w16cid:durableId="1404525037">
    <w:abstractNumId w:val="18"/>
  </w:num>
  <w:num w:numId="28" w16cid:durableId="1134710839">
    <w:abstractNumId w:val="9"/>
  </w:num>
  <w:num w:numId="29" w16cid:durableId="709573989">
    <w:abstractNumId w:val="8"/>
  </w:num>
  <w:num w:numId="30" w16cid:durableId="382213501">
    <w:abstractNumId w:val="1"/>
  </w:num>
  <w:num w:numId="31" w16cid:durableId="17036252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89379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3343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952355">
    <w:abstractNumId w:val="28"/>
  </w:num>
  <w:num w:numId="35" w16cid:durableId="827673426">
    <w:abstractNumId w:val="26"/>
  </w:num>
  <w:num w:numId="36" w16cid:durableId="680621210">
    <w:abstractNumId w:val="41"/>
  </w:num>
  <w:num w:numId="37" w16cid:durableId="14356585">
    <w:abstractNumId w:val="16"/>
  </w:num>
  <w:num w:numId="38" w16cid:durableId="1979609618">
    <w:abstractNumId w:val="17"/>
  </w:num>
  <w:num w:numId="39" w16cid:durableId="503398989">
    <w:abstractNumId w:val="29"/>
  </w:num>
  <w:num w:numId="40" w16cid:durableId="900823195">
    <w:abstractNumId w:val="50"/>
  </w:num>
  <w:num w:numId="41" w16cid:durableId="1008679930">
    <w:abstractNumId w:val="12"/>
  </w:num>
  <w:num w:numId="42" w16cid:durableId="1334265012">
    <w:abstractNumId w:val="6"/>
  </w:num>
  <w:num w:numId="43" w16cid:durableId="814184930">
    <w:abstractNumId w:val="7"/>
  </w:num>
  <w:num w:numId="44" w16cid:durableId="186716421">
    <w:abstractNumId w:val="35"/>
  </w:num>
  <w:num w:numId="45" w16cid:durableId="44253987">
    <w:abstractNumId w:val="38"/>
  </w:num>
  <w:num w:numId="46" w16cid:durableId="1168978690">
    <w:abstractNumId w:val="5"/>
  </w:num>
  <w:num w:numId="47" w16cid:durableId="2114861704">
    <w:abstractNumId w:val="21"/>
  </w:num>
  <w:num w:numId="48" w16cid:durableId="907805581">
    <w:abstractNumId w:val="46"/>
  </w:num>
  <w:num w:numId="49" w16cid:durableId="100697879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2F"/>
    <w:rsid w:val="00001AD1"/>
    <w:rsid w:val="000038AA"/>
    <w:rsid w:val="0000669B"/>
    <w:rsid w:val="000073CB"/>
    <w:rsid w:val="00007EF6"/>
    <w:rsid w:val="00010BD7"/>
    <w:rsid w:val="0001388F"/>
    <w:rsid w:val="0001432D"/>
    <w:rsid w:val="000225C5"/>
    <w:rsid w:val="00024812"/>
    <w:rsid w:val="00025C93"/>
    <w:rsid w:val="00026085"/>
    <w:rsid w:val="0002628F"/>
    <w:rsid w:val="00030015"/>
    <w:rsid w:val="0003041E"/>
    <w:rsid w:val="00030FB2"/>
    <w:rsid w:val="000336A4"/>
    <w:rsid w:val="0004052E"/>
    <w:rsid w:val="00044978"/>
    <w:rsid w:val="000467EF"/>
    <w:rsid w:val="00052FD1"/>
    <w:rsid w:val="00054E6D"/>
    <w:rsid w:val="00056B48"/>
    <w:rsid w:val="00061527"/>
    <w:rsid w:val="0006379F"/>
    <w:rsid w:val="00065976"/>
    <w:rsid w:val="00065AEE"/>
    <w:rsid w:val="000733E0"/>
    <w:rsid w:val="0007418A"/>
    <w:rsid w:val="00074610"/>
    <w:rsid w:val="0008750B"/>
    <w:rsid w:val="000928CF"/>
    <w:rsid w:val="000A6B10"/>
    <w:rsid w:val="000B4D46"/>
    <w:rsid w:val="000B50F4"/>
    <w:rsid w:val="000C0E06"/>
    <w:rsid w:val="000C0E11"/>
    <w:rsid w:val="000C65B7"/>
    <w:rsid w:val="000D10E2"/>
    <w:rsid w:val="000D2BEC"/>
    <w:rsid w:val="000E02A4"/>
    <w:rsid w:val="000E0C11"/>
    <w:rsid w:val="000E283A"/>
    <w:rsid w:val="000E2CF8"/>
    <w:rsid w:val="000E4872"/>
    <w:rsid w:val="000F0378"/>
    <w:rsid w:val="000F1EC4"/>
    <w:rsid w:val="000F4D74"/>
    <w:rsid w:val="000F751F"/>
    <w:rsid w:val="00100057"/>
    <w:rsid w:val="0010088F"/>
    <w:rsid w:val="00101A30"/>
    <w:rsid w:val="00101AC8"/>
    <w:rsid w:val="00102515"/>
    <w:rsid w:val="00105FF4"/>
    <w:rsid w:val="00114317"/>
    <w:rsid w:val="001145DB"/>
    <w:rsid w:val="001269E4"/>
    <w:rsid w:val="00126CFB"/>
    <w:rsid w:val="0013030C"/>
    <w:rsid w:val="00130442"/>
    <w:rsid w:val="00131C6C"/>
    <w:rsid w:val="00135B62"/>
    <w:rsid w:val="001365B8"/>
    <w:rsid w:val="001376DB"/>
    <w:rsid w:val="00143860"/>
    <w:rsid w:val="00146F34"/>
    <w:rsid w:val="001473BE"/>
    <w:rsid w:val="00147DAB"/>
    <w:rsid w:val="001524AB"/>
    <w:rsid w:val="001639F8"/>
    <w:rsid w:val="00164CF1"/>
    <w:rsid w:val="001651D7"/>
    <w:rsid w:val="00172058"/>
    <w:rsid w:val="001727A6"/>
    <w:rsid w:val="00173329"/>
    <w:rsid w:val="001750A8"/>
    <w:rsid w:val="00175C84"/>
    <w:rsid w:val="001762E7"/>
    <w:rsid w:val="00181AF1"/>
    <w:rsid w:val="00182479"/>
    <w:rsid w:val="00182ADF"/>
    <w:rsid w:val="0018606D"/>
    <w:rsid w:val="00192D79"/>
    <w:rsid w:val="001940D9"/>
    <w:rsid w:val="00195C88"/>
    <w:rsid w:val="001A565F"/>
    <w:rsid w:val="001B1AF6"/>
    <w:rsid w:val="001B4392"/>
    <w:rsid w:val="001B4851"/>
    <w:rsid w:val="001B5C7C"/>
    <w:rsid w:val="001B602E"/>
    <w:rsid w:val="001C3A95"/>
    <w:rsid w:val="001C3D44"/>
    <w:rsid w:val="001C4A1F"/>
    <w:rsid w:val="001C7281"/>
    <w:rsid w:val="001D1C4C"/>
    <w:rsid w:val="001E59E6"/>
    <w:rsid w:val="001E606B"/>
    <w:rsid w:val="001F6360"/>
    <w:rsid w:val="001F68D2"/>
    <w:rsid w:val="001F7FC2"/>
    <w:rsid w:val="00200E7D"/>
    <w:rsid w:val="002039DE"/>
    <w:rsid w:val="00205A5F"/>
    <w:rsid w:val="00206CC8"/>
    <w:rsid w:val="00230907"/>
    <w:rsid w:val="00232F0C"/>
    <w:rsid w:val="00233D79"/>
    <w:rsid w:val="00234C8E"/>
    <w:rsid w:val="0023618E"/>
    <w:rsid w:val="002369B2"/>
    <w:rsid w:val="002418DA"/>
    <w:rsid w:val="00241925"/>
    <w:rsid w:val="00243CFE"/>
    <w:rsid w:val="00245488"/>
    <w:rsid w:val="00246362"/>
    <w:rsid w:val="00246740"/>
    <w:rsid w:val="00246E29"/>
    <w:rsid w:val="00251B4B"/>
    <w:rsid w:val="00254986"/>
    <w:rsid w:val="002575D6"/>
    <w:rsid w:val="002628DF"/>
    <w:rsid w:val="00272107"/>
    <w:rsid w:val="0028250A"/>
    <w:rsid w:val="002868E9"/>
    <w:rsid w:val="00291850"/>
    <w:rsid w:val="00292437"/>
    <w:rsid w:val="00293D00"/>
    <w:rsid w:val="00296C52"/>
    <w:rsid w:val="002A0DAA"/>
    <w:rsid w:val="002A1879"/>
    <w:rsid w:val="002A6FBB"/>
    <w:rsid w:val="002B02B3"/>
    <w:rsid w:val="002B1397"/>
    <w:rsid w:val="002B2535"/>
    <w:rsid w:val="002B60D2"/>
    <w:rsid w:val="002B6C41"/>
    <w:rsid w:val="002C08E8"/>
    <w:rsid w:val="002C0A6D"/>
    <w:rsid w:val="002C1471"/>
    <w:rsid w:val="002C70EC"/>
    <w:rsid w:val="002C7140"/>
    <w:rsid w:val="002C72C0"/>
    <w:rsid w:val="002D062E"/>
    <w:rsid w:val="002D15B2"/>
    <w:rsid w:val="002D7C91"/>
    <w:rsid w:val="002E273D"/>
    <w:rsid w:val="002E52C2"/>
    <w:rsid w:val="002E5B2C"/>
    <w:rsid w:val="002E5BAF"/>
    <w:rsid w:val="002F0288"/>
    <w:rsid w:val="00303711"/>
    <w:rsid w:val="0030399F"/>
    <w:rsid w:val="00304B17"/>
    <w:rsid w:val="003073E6"/>
    <w:rsid w:val="0031024C"/>
    <w:rsid w:val="00310EDC"/>
    <w:rsid w:val="00311BCB"/>
    <w:rsid w:val="0031675B"/>
    <w:rsid w:val="00317198"/>
    <w:rsid w:val="00320B5C"/>
    <w:rsid w:val="00321AC6"/>
    <w:rsid w:val="00322338"/>
    <w:rsid w:val="00325955"/>
    <w:rsid w:val="00325A07"/>
    <w:rsid w:val="00325B4F"/>
    <w:rsid w:val="003270FE"/>
    <w:rsid w:val="00334BBB"/>
    <w:rsid w:val="0034204D"/>
    <w:rsid w:val="00344DC2"/>
    <w:rsid w:val="00347E6B"/>
    <w:rsid w:val="00350DBC"/>
    <w:rsid w:val="003518BB"/>
    <w:rsid w:val="003535F4"/>
    <w:rsid w:val="00361123"/>
    <w:rsid w:val="00361FFF"/>
    <w:rsid w:val="003670C3"/>
    <w:rsid w:val="003700B0"/>
    <w:rsid w:val="003713CC"/>
    <w:rsid w:val="00371FB6"/>
    <w:rsid w:val="0037365C"/>
    <w:rsid w:val="00377945"/>
    <w:rsid w:val="00380D80"/>
    <w:rsid w:val="00383C79"/>
    <w:rsid w:val="0038503C"/>
    <w:rsid w:val="00385780"/>
    <w:rsid w:val="0038799C"/>
    <w:rsid w:val="003906BF"/>
    <w:rsid w:val="00394603"/>
    <w:rsid w:val="00396F32"/>
    <w:rsid w:val="003A24DB"/>
    <w:rsid w:val="003A6C63"/>
    <w:rsid w:val="003A796B"/>
    <w:rsid w:val="003B6064"/>
    <w:rsid w:val="003B6087"/>
    <w:rsid w:val="003C0FB1"/>
    <w:rsid w:val="003C19E4"/>
    <w:rsid w:val="003C2DA6"/>
    <w:rsid w:val="003D18BB"/>
    <w:rsid w:val="003D35B0"/>
    <w:rsid w:val="003D603C"/>
    <w:rsid w:val="003D740E"/>
    <w:rsid w:val="003E08C5"/>
    <w:rsid w:val="003E124C"/>
    <w:rsid w:val="003E7CC4"/>
    <w:rsid w:val="003F3CA9"/>
    <w:rsid w:val="003F3EE7"/>
    <w:rsid w:val="003F61E2"/>
    <w:rsid w:val="003F6AC6"/>
    <w:rsid w:val="003F6E93"/>
    <w:rsid w:val="00401C84"/>
    <w:rsid w:val="0040496E"/>
    <w:rsid w:val="00410191"/>
    <w:rsid w:val="004101AD"/>
    <w:rsid w:val="00414901"/>
    <w:rsid w:val="004205A3"/>
    <w:rsid w:val="0042314F"/>
    <w:rsid w:val="00424670"/>
    <w:rsid w:val="00430EA8"/>
    <w:rsid w:val="00442AE8"/>
    <w:rsid w:val="00443976"/>
    <w:rsid w:val="00444730"/>
    <w:rsid w:val="00444CB4"/>
    <w:rsid w:val="004565D9"/>
    <w:rsid w:val="0046000A"/>
    <w:rsid w:val="00460A85"/>
    <w:rsid w:val="00460FB3"/>
    <w:rsid w:val="00461E62"/>
    <w:rsid w:val="00473C44"/>
    <w:rsid w:val="00474043"/>
    <w:rsid w:val="00477DA1"/>
    <w:rsid w:val="00483B81"/>
    <w:rsid w:val="00486FF6"/>
    <w:rsid w:val="004939B5"/>
    <w:rsid w:val="00496644"/>
    <w:rsid w:val="00496C17"/>
    <w:rsid w:val="004A0961"/>
    <w:rsid w:val="004A0D0A"/>
    <w:rsid w:val="004A15F8"/>
    <w:rsid w:val="004A2506"/>
    <w:rsid w:val="004A7D33"/>
    <w:rsid w:val="004B1420"/>
    <w:rsid w:val="004B2AF8"/>
    <w:rsid w:val="004B4771"/>
    <w:rsid w:val="004B576C"/>
    <w:rsid w:val="004B65A0"/>
    <w:rsid w:val="004B75E7"/>
    <w:rsid w:val="004C2543"/>
    <w:rsid w:val="004C7F6E"/>
    <w:rsid w:val="004D121F"/>
    <w:rsid w:val="004D3248"/>
    <w:rsid w:val="004E00BE"/>
    <w:rsid w:val="004E0C9B"/>
    <w:rsid w:val="004E1D91"/>
    <w:rsid w:val="004E3857"/>
    <w:rsid w:val="004E3F5A"/>
    <w:rsid w:val="004F3DDB"/>
    <w:rsid w:val="004F442F"/>
    <w:rsid w:val="00503F93"/>
    <w:rsid w:val="00514DFD"/>
    <w:rsid w:val="005163A5"/>
    <w:rsid w:val="0051673A"/>
    <w:rsid w:val="00517A69"/>
    <w:rsid w:val="00522DF9"/>
    <w:rsid w:val="005239E4"/>
    <w:rsid w:val="00526CCC"/>
    <w:rsid w:val="005270E7"/>
    <w:rsid w:val="00533081"/>
    <w:rsid w:val="00533484"/>
    <w:rsid w:val="00534A1C"/>
    <w:rsid w:val="00535ADF"/>
    <w:rsid w:val="00541969"/>
    <w:rsid w:val="00542982"/>
    <w:rsid w:val="0054610F"/>
    <w:rsid w:val="00550821"/>
    <w:rsid w:val="005509DC"/>
    <w:rsid w:val="00550B2B"/>
    <w:rsid w:val="00557EE1"/>
    <w:rsid w:val="00561E8B"/>
    <w:rsid w:val="005635BE"/>
    <w:rsid w:val="005637A5"/>
    <w:rsid w:val="00564550"/>
    <w:rsid w:val="00564F8A"/>
    <w:rsid w:val="00580AF7"/>
    <w:rsid w:val="00581EE9"/>
    <w:rsid w:val="00582F50"/>
    <w:rsid w:val="0058336E"/>
    <w:rsid w:val="00591AAD"/>
    <w:rsid w:val="005A41B0"/>
    <w:rsid w:val="005A564A"/>
    <w:rsid w:val="005A6109"/>
    <w:rsid w:val="005A7137"/>
    <w:rsid w:val="005A7DE6"/>
    <w:rsid w:val="005B2A6D"/>
    <w:rsid w:val="005C1535"/>
    <w:rsid w:val="005C3497"/>
    <w:rsid w:val="005C4F68"/>
    <w:rsid w:val="005D3589"/>
    <w:rsid w:val="005D60C5"/>
    <w:rsid w:val="005E0BFB"/>
    <w:rsid w:val="005E3864"/>
    <w:rsid w:val="005F2191"/>
    <w:rsid w:val="005F67F0"/>
    <w:rsid w:val="005F7E00"/>
    <w:rsid w:val="006003B2"/>
    <w:rsid w:val="00601E78"/>
    <w:rsid w:val="00603BFE"/>
    <w:rsid w:val="00606084"/>
    <w:rsid w:val="0061100A"/>
    <w:rsid w:val="0061113A"/>
    <w:rsid w:val="0062622A"/>
    <w:rsid w:val="006266F5"/>
    <w:rsid w:val="006275E7"/>
    <w:rsid w:val="00631657"/>
    <w:rsid w:val="00632834"/>
    <w:rsid w:val="00636C05"/>
    <w:rsid w:val="00646B48"/>
    <w:rsid w:val="0065071F"/>
    <w:rsid w:val="00650D24"/>
    <w:rsid w:val="006535A0"/>
    <w:rsid w:val="00654AB0"/>
    <w:rsid w:val="006565BD"/>
    <w:rsid w:val="00662F78"/>
    <w:rsid w:val="00663B2A"/>
    <w:rsid w:val="00670897"/>
    <w:rsid w:val="00671010"/>
    <w:rsid w:val="00671FEA"/>
    <w:rsid w:val="006730A4"/>
    <w:rsid w:val="006761DC"/>
    <w:rsid w:val="00676C47"/>
    <w:rsid w:val="00677CF0"/>
    <w:rsid w:val="00683DC9"/>
    <w:rsid w:val="00684357"/>
    <w:rsid w:val="00684BEB"/>
    <w:rsid w:val="00690FF3"/>
    <w:rsid w:val="006955D1"/>
    <w:rsid w:val="006A1D74"/>
    <w:rsid w:val="006A284B"/>
    <w:rsid w:val="006A2BD5"/>
    <w:rsid w:val="006A4073"/>
    <w:rsid w:val="006A7016"/>
    <w:rsid w:val="006B2CC2"/>
    <w:rsid w:val="006C24EC"/>
    <w:rsid w:val="006C3366"/>
    <w:rsid w:val="006C41B6"/>
    <w:rsid w:val="006C581F"/>
    <w:rsid w:val="006C5CB1"/>
    <w:rsid w:val="006C6715"/>
    <w:rsid w:val="006C71B4"/>
    <w:rsid w:val="006E42E7"/>
    <w:rsid w:val="006E5963"/>
    <w:rsid w:val="00702C39"/>
    <w:rsid w:val="00704CFC"/>
    <w:rsid w:val="007122A2"/>
    <w:rsid w:val="007141AC"/>
    <w:rsid w:val="00727BBF"/>
    <w:rsid w:val="00736373"/>
    <w:rsid w:val="0073644F"/>
    <w:rsid w:val="007365D4"/>
    <w:rsid w:val="007368CF"/>
    <w:rsid w:val="00744AF8"/>
    <w:rsid w:val="00745D55"/>
    <w:rsid w:val="00746EFF"/>
    <w:rsid w:val="00751F70"/>
    <w:rsid w:val="0075662B"/>
    <w:rsid w:val="007568FC"/>
    <w:rsid w:val="00756CA9"/>
    <w:rsid w:val="00757561"/>
    <w:rsid w:val="007647AC"/>
    <w:rsid w:val="00765E99"/>
    <w:rsid w:val="00767B3E"/>
    <w:rsid w:val="007704DA"/>
    <w:rsid w:val="007712DD"/>
    <w:rsid w:val="0077137B"/>
    <w:rsid w:val="007746D2"/>
    <w:rsid w:val="0078037E"/>
    <w:rsid w:val="007831B0"/>
    <w:rsid w:val="0078561E"/>
    <w:rsid w:val="00785B01"/>
    <w:rsid w:val="007868A3"/>
    <w:rsid w:val="00786A52"/>
    <w:rsid w:val="007879CD"/>
    <w:rsid w:val="0079033E"/>
    <w:rsid w:val="007A3C19"/>
    <w:rsid w:val="007A49FA"/>
    <w:rsid w:val="007B120C"/>
    <w:rsid w:val="007B2C0C"/>
    <w:rsid w:val="007B5DB7"/>
    <w:rsid w:val="007B7D0E"/>
    <w:rsid w:val="007C0C77"/>
    <w:rsid w:val="007C5D7B"/>
    <w:rsid w:val="007C5E41"/>
    <w:rsid w:val="007C793D"/>
    <w:rsid w:val="007D2570"/>
    <w:rsid w:val="007D7F68"/>
    <w:rsid w:val="007E0325"/>
    <w:rsid w:val="007E093F"/>
    <w:rsid w:val="007E1882"/>
    <w:rsid w:val="007E5B65"/>
    <w:rsid w:val="007E76FD"/>
    <w:rsid w:val="007E7F2F"/>
    <w:rsid w:val="007F13F0"/>
    <w:rsid w:val="007F3458"/>
    <w:rsid w:val="007F518A"/>
    <w:rsid w:val="00800C20"/>
    <w:rsid w:val="008020C6"/>
    <w:rsid w:val="00803D16"/>
    <w:rsid w:val="0080489A"/>
    <w:rsid w:val="008070BF"/>
    <w:rsid w:val="008078F1"/>
    <w:rsid w:val="00810B05"/>
    <w:rsid w:val="00812050"/>
    <w:rsid w:val="00812C13"/>
    <w:rsid w:val="0081621E"/>
    <w:rsid w:val="0081730C"/>
    <w:rsid w:val="00817439"/>
    <w:rsid w:val="0082552F"/>
    <w:rsid w:val="00827025"/>
    <w:rsid w:val="0083112F"/>
    <w:rsid w:val="0083191A"/>
    <w:rsid w:val="00832844"/>
    <w:rsid w:val="008347C3"/>
    <w:rsid w:val="00837A39"/>
    <w:rsid w:val="00840BEF"/>
    <w:rsid w:val="0084142B"/>
    <w:rsid w:val="0084726C"/>
    <w:rsid w:val="00854C0D"/>
    <w:rsid w:val="0085526A"/>
    <w:rsid w:val="0086010F"/>
    <w:rsid w:val="00861561"/>
    <w:rsid w:val="00863340"/>
    <w:rsid w:val="00864680"/>
    <w:rsid w:val="00867EDE"/>
    <w:rsid w:val="00875F94"/>
    <w:rsid w:val="00883830"/>
    <w:rsid w:val="00883EE9"/>
    <w:rsid w:val="00884E50"/>
    <w:rsid w:val="0088594E"/>
    <w:rsid w:val="00891A74"/>
    <w:rsid w:val="008951E2"/>
    <w:rsid w:val="00897BE0"/>
    <w:rsid w:val="008A1C6D"/>
    <w:rsid w:val="008B6879"/>
    <w:rsid w:val="008B6A2B"/>
    <w:rsid w:val="008B7B06"/>
    <w:rsid w:val="008C07AC"/>
    <w:rsid w:val="008C3D6A"/>
    <w:rsid w:val="008C69A3"/>
    <w:rsid w:val="008C6F03"/>
    <w:rsid w:val="008D0046"/>
    <w:rsid w:val="008D6F9F"/>
    <w:rsid w:val="008D767A"/>
    <w:rsid w:val="008D7DF8"/>
    <w:rsid w:val="008E235A"/>
    <w:rsid w:val="008E412D"/>
    <w:rsid w:val="008E4166"/>
    <w:rsid w:val="008F00EE"/>
    <w:rsid w:val="008F5874"/>
    <w:rsid w:val="008F5C19"/>
    <w:rsid w:val="008F637D"/>
    <w:rsid w:val="00904FCA"/>
    <w:rsid w:val="009071BF"/>
    <w:rsid w:val="009144D4"/>
    <w:rsid w:val="009147DA"/>
    <w:rsid w:val="00916113"/>
    <w:rsid w:val="00921E8E"/>
    <w:rsid w:val="0092299A"/>
    <w:rsid w:val="00926F67"/>
    <w:rsid w:val="00927A61"/>
    <w:rsid w:val="00931121"/>
    <w:rsid w:val="00933BA1"/>
    <w:rsid w:val="009340FB"/>
    <w:rsid w:val="00934BC4"/>
    <w:rsid w:val="00936741"/>
    <w:rsid w:val="00943544"/>
    <w:rsid w:val="00951854"/>
    <w:rsid w:val="009528C8"/>
    <w:rsid w:val="0095374A"/>
    <w:rsid w:val="0095433E"/>
    <w:rsid w:val="00956CFE"/>
    <w:rsid w:val="009608C5"/>
    <w:rsid w:val="009670C9"/>
    <w:rsid w:val="00970887"/>
    <w:rsid w:val="00977CC4"/>
    <w:rsid w:val="00980DE9"/>
    <w:rsid w:val="0098334F"/>
    <w:rsid w:val="009840F9"/>
    <w:rsid w:val="00992378"/>
    <w:rsid w:val="00994B92"/>
    <w:rsid w:val="0099533F"/>
    <w:rsid w:val="00995B3D"/>
    <w:rsid w:val="00997226"/>
    <w:rsid w:val="0099795A"/>
    <w:rsid w:val="009A0BAB"/>
    <w:rsid w:val="009A34FC"/>
    <w:rsid w:val="009A5C67"/>
    <w:rsid w:val="009B0CFE"/>
    <w:rsid w:val="009B0FB8"/>
    <w:rsid w:val="009B0FE7"/>
    <w:rsid w:val="009B1FA7"/>
    <w:rsid w:val="009B2455"/>
    <w:rsid w:val="009B6F44"/>
    <w:rsid w:val="009C05E9"/>
    <w:rsid w:val="009C268C"/>
    <w:rsid w:val="009C6248"/>
    <w:rsid w:val="009C6CBD"/>
    <w:rsid w:val="009D0889"/>
    <w:rsid w:val="009D4DDE"/>
    <w:rsid w:val="009D6264"/>
    <w:rsid w:val="009E61F0"/>
    <w:rsid w:val="009E6B8D"/>
    <w:rsid w:val="009F0436"/>
    <w:rsid w:val="009F7045"/>
    <w:rsid w:val="00A034E8"/>
    <w:rsid w:val="00A05CF9"/>
    <w:rsid w:val="00A0779A"/>
    <w:rsid w:val="00A21116"/>
    <w:rsid w:val="00A248A8"/>
    <w:rsid w:val="00A25C3C"/>
    <w:rsid w:val="00A31012"/>
    <w:rsid w:val="00A32DB2"/>
    <w:rsid w:val="00A434CD"/>
    <w:rsid w:val="00A44F29"/>
    <w:rsid w:val="00A453EC"/>
    <w:rsid w:val="00A5213F"/>
    <w:rsid w:val="00A609A3"/>
    <w:rsid w:val="00A60A1D"/>
    <w:rsid w:val="00A61DD6"/>
    <w:rsid w:val="00A6430B"/>
    <w:rsid w:val="00A70C79"/>
    <w:rsid w:val="00A72590"/>
    <w:rsid w:val="00A7281F"/>
    <w:rsid w:val="00A72F38"/>
    <w:rsid w:val="00A73360"/>
    <w:rsid w:val="00A74C67"/>
    <w:rsid w:val="00A774C1"/>
    <w:rsid w:val="00A8258F"/>
    <w:rsid w:val="00A82605"/>
    <w:rsid w:val="00A82D38"/>
    <w:rsid w:val="00A94278"/>
    <w:rsid w:val="00AA027F"/>
    <w:rsid w:val="00AA4F36"/>
    <w:rsid w:val="00AA5111"/>
    <w:rsid w:val="00AA6762"/>
    <w:rsid w:val="00AA6837"/>
    <w:rsid w:val="00AB0674"/>
    <w:rsid w:val="00AB2C33"/>
    <w:rsid w:val="00AB3391"/>
    <w:rsid w:val="00AB3ADA"/>
    <w:rsid w:val="00AB4451"/>
    <w:rsid w:val="00AB5697"/>
    <w:rsid w:val="00AC2400"/>
    <w:rsid w:val="00AC3902"/>
    <w:rsid w:val="00AC44B0"/>
    <w:rsid w:val="00AC4D66"/>
    <w:rsid w:val="00AC66DD"/>
    <w:rsid w:val="00AD24AF"/>
    <w:rsid w:val="00AD44D1"/>
    <w:rsid w:val="00AE4750"/>
    <w:rsid w:val="00AE7704"/>
    <w:rsid w:val="00B12CE7"/>
    <w:rsid w:val="00B1490E"/>
    <w:rsid w:val="00B17632"/>
    <w:rsid w:val="00B228CE"/>
    <w:rsid w:val="00B32569"/>
    <w:rsid w:val="00B35085"/>
    <w:rsid w:val="00B402FB"/>
    <w:rsid w:val="00B4095B"/>
    <w:rsid w:val="00B421F3"/>
    <w:rsid w:val="00B4462C"/>
    <w:rsid w:val="00B46F8C"/>
    <w:rsid w:val="00B52DEB"/>
    <w:rsid w:val="00B6057A"/>
    <w:rsid w:val="00B615CB"/>
    <w:rsid w:val="00B61934"/>
    <w:rsid w:val="00B61AEE"/>
    <w:rsid w:val="00B61DAD"/>
    <w:rsid w:val="00B625AA"/>
    <w:rsid w:val="00B6436C"/>
    <w:rsid w:val="00B66734"/>
    <w:rsid w:val="00B66FE4"/>
    <w:rsid w:val="00B70A54"/>
    <w:rsid w:val="00B73317"/>
    <w:rsid w:val="00B75C34"/>
    <w:rsid w:val="00B809C4"/>
    <w:rsid w:val="00B80CA8"/>
    <w:rsid w:val="00B816BB"/>
    <w:rsid w:val="00B83703"/>
    <w:rsid w:val="00B83C81"/>
    <w:rsid w:val="00B91CE0"/>
    <w:rsid w:val="00B9631A"/>
    <w:rsid w:val="00B9639C"/>
    <w:rsid w:val="00BA27BA"/>
    <w:rsid w:val="00BA3A5E"/>
    <w:rsid w:val="00BA3C02"/>
    <w:rsid w:val="00BA6CAF"/>
    <w:rsid w:val="00BB24E7"/>
    <w:rsid w:val="00BB2F64"/>
    <w:rsid w:val="00BB5E9D"/>
    <w:rsid w:val="00BC59E2"/>
    <w:rsid w:val="00BC7B82"/>
    <w:rsid w:val="00BD2B8D"/>
    <w:rsid w:val="00BD2C8C"/>
    <w:rsid w:val="00BE0C6B"/>
    <w:rsid w:val="00BE0E1C"/>
    <w:rsid w:val="00BE1299"/>
    <w:rsid w:val="00BE4EBF"/>
    <w:rsid w:val="00BE69B1"/>
    <w:rsid w:val="00BE708D"/>
    <w:rsid w:val="00BF4019"/>
    <w:rsid w:val="00BF58FC"/>
    <w:rsid w:val="00C02A23"/>
    <w:rsid w:val="00C03D32"/>
    <w:rsid w:val="00C05F45"/>
    <w:rsid w:val="00C11244"/>
    <w:rsid w:val="00C143FE"/>
    <w:rsid w:val="00C22B2F"/>
    <w:rsid w:val="00C25940"/>
    <w:rsid w:val="00C3103B"/>
    <w:rsid w:val="00C32309"/>
    <w:rsid w:val="00C357F1"/>
    <w:rsid w:val="00C42E06"/>
    <w:rsid w:val="00C43A43"/>
    <w:rsid w:val="00C43DF2"/>
    <w:rsid w:val="00C4598F"/>
    <w:rsid w:val="00C53368"/>
    <w:rsid w:val="00C54E55"/>
    <w:rsid w:val="00C57446"/>
    <w:rsid w:val="00C57AE5"/>
    <w:rsid w:val="00C63FA1"/>
    <w:rsid w:val="00C652FF"/>
    <w:rsid w:val="00C7189F"/>
    <w:rsid w:val="00C770E6"/>
    <w:rsid w:val="00C839FD"/>
    <w:rsid w:val="00C851C8"/>
    <w:rsid w:val="00C91043"/>
    <w:rsid w:val="00C93669"/>
    <w:rsid w:val="00C968F4"/>
    <w:rsid w:val="00C96A1D"/>
    <w:rsid w:val="00CA3AF8"/>
    <w:rsid w:val="00CB3290"/>
    <w:rsid w:val="00CC0607"/>
    <w:rsid w:val="00CC1FA2"/>
    <w:rsid w:val="00CC568F"/>
    <w:rsid w:val="00CC7603"/>
    <w:rsid w:val="00CC7906"/>
    <w:rsid w:val="00CD63C7"/>
    <w:rsid w:val="00CE52AE"/>
    <w:rsid w:val="00CE5320"/>
    <w:rsid w:val="00CE7EE0"/>
    <w:rsid w:val="00D01186"/>
    <w:rsid w:val="00D103CA"/>
    <w:rsid w:val="00D116BB"/>
    <w:rsid w:val="00D161C1"/>
    <w:rsid w:val="00D17C44"/>
    <w:rsid w:val="00D22D4B"/>
    <w:rsid w:val="00D244FD"/>
    <w:rsid w:val="00D3357C"/>
    <w:rsid w:val="00D3359A"/>
    <w:rsid w:val="00D34075"/>
    <w:rsid w:val="00D34419"/>
    <w:rsid w:val="00D3541F"/>
    <w:rsid w:val="00D35AA7"/>
    <w:rsid w:val="00D42F7C"/>
    <w:rsid w:val="00D46942"/>
    <w:rsid w:val="00D521A7"/>
    <w:rsid w:val="00D534A2"/>
    <w:rsid w:val="00D57C8E"/>
    <w:rsid w:val="00D61AC9"/>
    <w:rsid w:val="00D6205F"/>
    <w:rsid w:val="00D622B0"/>
    <w:rsid w:val="00D64590"/>
    <w:rsid w:val="00D66A0D"/>
    <w:rsid w:val="00D675EE"/>
    <w:rsid w:val="00D74111"/>
    <w:rsid w:val="00D7420C"/>
    <w:rsid w:val="00D777D9"/>
    <w:rsid w:val="00D814BD"/>
    <w:rsid w:val="00D820BD"/>
    <w:rsid w:val="00D8265B"/>
    <w:rsid w:val="00D94152"/>
    <w:rsid w:val="00D97FE5"/>
    <w:rsid w:val="00DA508A"/>
    <w:rsid w:val="00DA6804"/>
    <w:rsid w:val="00DA6BBE"/>
    <w:rsid w:val="00DB1533"/>
    <w:rsid w:val="00DB3219"/>
    <w:rsid w:val="00DB5E7D"/>
    <w:rsid w:val="00DB6F9F"/>
    <w:rsid w:val="00DC28E8"/>
    <w:rsid w:val="00DC2DA8"/>
    <w:rsid w:val="00DC3B2B"/>
    <w:rsid w:val="00DC587A"/>
    <w:rsid w:val="00DD2839"/>
    <w:rsid w:val="00DD33D8"/>
    <w:rsid w:val="00DD5720"/>
    <w:rsid w:val="00DD59EC"/>
    <w:rsid w:val="00DE7314"/>
    <w:rsid w:val="00DF26D3"/>
    <w:rsid w:val="00DF6BAF"/>
    <w:rsid w:val="00DF7459"/>
    <w:rsid w:val="00E03583"/>
    <w:rsid w:val="00E07542"/>
    <w:rsid w:val="00E174D4"/>
    <w:rsid w:val="00E17D55"/>
    <w:rsid w:val="00E2248C"/>
    <w:rsid w:val="00E2253A"/>
    <w:rsid w:val="00E26209"/>
    <w:rsid w:val="00E2701F"/>
    <w:rsid w:val="00E357FC"/>
    <w:rsid w:val="00E36C71"/>
    <w:rsid w:val="00E42FF2"/>
    <w:rsid w:val="00E45A89"/>
    <w:rsid w:val="00E47365"/>
    <w:rsid w:val="00E50BA5"/>
    <w:rsid w:val="00E551F2"/>
    <w:rsid w:val="00E63AC5"/>
    <w:rsid w:val="00E80B01"/>
    <w:rsid w:val="00E91780"/>
    <w:rsid w:val="00E92FAE"/>
    <w:rsid w:val="00E93694"/>
    <w:rsid w:val="00E95531"/>
    <w:rsid w:val="00E95999"/>
    <w:rsid w:val="00E9668B"/>
    <w:rsid w:val="00E97A42"/>
    <w:rsid w:val="00EA1632"/>
    <w:rsid w:val="00EA39AD"/>
    <w:rsid w:val="00EB0402"/>
    <w:rsid w:val="00EB1547"/>
    <w:rsid w:val="00EB444F"/>
    <w:rsid w:val="00EB5352"/>
    <w:rsid w:val="00EC3227"/>
    <w:rsid w:val="00EC7568"/>
    <w:rsid w:val="00ED04C5"/>
    <w:rsid w:val="00ED08A1"/>
    <w:rsid w:val="00ED1993"/>
    <w:rsid w:val="00ED2E47"/>
    <w:rsid w:val="00EE08AA"/>
    <w:rsid w:val="00EE4B93"/>
    <w:rsid w:val="00EE50A6"/>
    <w:rsid w:val="00EE6995"/>
    <w:rsid w:val="00EF62CC"/>
    <w:rsid w:val="00EF6E88"/>
    <w:rsid w:val="00F02015"/>
    <w:rsid w:val="00F11345"/>
    <w:rsid w:val="00F1307F"/>
    <w:rsid w:val="00F15849"/>
    <w:rsid w:val="00F2403C"/>
    <w:rsid w:val="00F26C29"/>
    <w:rsid w:val="00F26D66"/>
    <w:rsid w:val="00F2720C"/>
    <w:rsid w:val="00F36615"/>
    <w:rsid w:val="00F36FED"/>
    <w:rsid w:val="00F4081A"/>
    <w:rsid w:val="00F431D7"/>
    <w:rsid w:val="00F47232"/>
    <w:rsid w:val="00F545B9"/>
    <w:rsid w:val="00F54F8B"/>
    <w:rsid w:val="00F67C78"/>
    <w:rsid w:val="00F87D6E"/>
    <w:rsid w:val="00F91BE9"/>
    <w:rsid w:val="00F91CEB"/>
    <w:rsid w:val="00F92B67"/>
    <w:rsid w:val="00F934BA"/>
    <w:rsid w:val="00F94FD7"/>
    <w:rsid w:val="00F9788B"/>
    <w:rsid w:val="00F979CD"/>
    <w:rsid w:val="00FA3F7F"/>
    <w:rsid w:val="00FA48B3"/>
    <w:rsid w:val="00FA4962"/>
    <w:rsid w:val="00FA4A41"/>
    <w:rsid w:val="00FB080A"/>
    <w:rsid w:val="00FB3B5E"/>
    <w:rsid w:val="00FB4614"/>
    <w:rsid w:val="00FB4707"/>
    <w:rsid w:val="00FB6F86"/>
    <w:rsid w:val="00FB7237"/>
    <w:rsid w:val="00FC4084"/>
    <w:rsid w:val="00FC79A9"/>
    <w:rsid w:val="00FD1B49"/>
    <w:rsid w:val="00FD38B8"/>
    <w:rsid w:val="00FD4916"/>
    <w:rsid w:val="00FD4B7B"/>
    <w:rsid w:val="00FE3BD9"/>
    <w:rsid w:val="00FE544E"/>
    <w:rsid w:val="00FE649B"/>
    <w:rsid w:val="00FE7384"/>
    <w:rsid w:val="00FF0AB5"/>
    <w:rsid w:val="00FF4BED"/>
    <w:rsid w:val="00FF5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5B4BC2B5-9A30-4A31-9FC9-4F07369E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F64"/>
  </w:style>
  <w:style w:type="paragraph" w:styleId="Heading1">
    <w:name w:val="heading 1"/>
    <w:basedOn w:val="Normal"/>
    <w:next w:val="Normal"/>
    <w:link w:val="Heading1Char"/>
    <w:uiPriority w:val="9"/>
    <w:qFormat/>
    <w:rsid w:val="00BB2F64"/>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BB2F64"/>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unhideWhenUsed/>
    <w:qFormat/>
    <w:rsid w:val="00BB2F6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B2F64"/>
    <w:pPr>
      <w:keepNext/>
      <w:keepLines/>
      <w:spacing w:before="80" w:after="0"/>
      <w:outlineLvl w:val="3"/>
    </w:pPr>
    <w:rPr>
      <w:rFonts w:asciiTheme="majorHAnsi" w:eastAsiaTheme="majorEastAsia" w:hAnsiTheme="majorHAnsi" w:cstheme="majorBidi"/>
      <w:sz w:val="24"/>
      <w:szCs w:val="24"/>
    </w:rPr>
  </w:style>
  <w:style w:type="paragraph" w:styleId="Heading5">
    <w:name w:val="heading 5"/>
    <w:aliases w:val="Block Label"/>
    <w:basedOn w:val="Normal"/>
    <w:next w:val="Normal"/>
    <w:link w:val="Heading5Char"/>
    <w:uiPriority w:val="9"/>
    <w:unhideWhenUsed/>
    <w:qFormat/>
    <w:rsid w:val="00BB2F6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unhideWhenUsed/>
    <w:qFormat/>
    <w:rsid w:val="00BB2F6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B2F6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B2F6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B2F6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F64"/>
    <w:rPr>
      <w:rFonts w:asciiTheme="majorHAnsi" w:eastAsiaTheme="majorEastAsia" w:hAnsiTheme="majorHAnsi" w:cstheme="majorBidi"/>
      <w:color w:val="2E74B5" w:themeColor="accent1" w:themeShade="BF"/>
      <w:sz w:val="36"/>
      <w:szCs w:val="36"/>
    </w:rPr>
  </w:style>
  <w:style w:type="character" w:customStyle="1" w:styleId="Heading2Char">
    <w:name w:val="Heading 2 Char"/>
    <w:basedOn w:val="DefaultParagraphFont"/>
    <w:link w:val="Heading2"/>
    <w:uiPriority w:val="9"/>
    <w:rsid w:val="00BB2F64"/>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rsid w:val="00BB2F64"/>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B2F64"/>
    <w:rPr>
      <w:rFonts w:asciiTheme="majorHAnsi" w:eastAsiaTheme="majorEastAsia" w:hAnsiTheme="majorHAnsi" w:cstheme="majorBidi"/>
      <w:sz w:val="24"/>
      <w:szCs w:val="24"/>
    </w:rPr>
  </w:style>
  <w:style w:type="character" w:customStyle="1" w:styleId="Heading5Char">
    <w:name w:val="Heading 5 Char"/>
    <w:aliases w:val="Block Label Char1"/>
    <w:basedOn w:val="DefaultParagraphFont"/>
    <w:link w:val="Heading5"/>
    <w:uiPriority w:val="9"/>
    <w:rsid w:val="00BB2F6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rsid w:val="00BB2F6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B2F6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B2F6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B2F64"/>
    <w:rPr>
      <w:rFonts w:asciiTheme="majorHAnsi" w:eastAsiaTheme="majorEastAsia" w:hAnsiTheme="majorHAnsi" w:cstheme="majorBidi"/>
      <w:i/>
      <w:iCs/>
      <w:smallCaps/>
      <w:color w:val="595959" w:themeColor="text1" w:themeTint="A6"/>
    </w:rPr>
  </w:style>
  <w:style w:type="paragraph" w:customStyle="1" w:styleId="IMS">
    <w:name w:val="IMS"/>
    <w:basedOn w:val="ListParagraph"/>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iPriority w:val="1"/>
    <w:unhideWhenUsed/>
    <w:rsid w:val="003C0FB1"/>
    <w:pPr>
      <w:suppressAutoHyphens/>
      <w:spacing w:after="240"/>
      <w:jc w:val="both"/>
    </w:pPr>
  </w:style>
  <w:style w:type="character" w:customStyle="1" w:styleId="BodyTextChar">
    <w:name w:val="Body Text Char"/>
    <w:basedOn w:val="DefaultParagraphFont"/>
    <w:link w:val="BodyText"/>
    <w:uiPriority w:val="1"/>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eastAsiaTheme="minorHAns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next w:val="Normal"/>
    <w:link w:val="TitleChar"/>
    <w:uiPriority w:val="10"/>
    <w:qFormat/>
    <w:rsid w:val="00BB2F64"/>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BB2F64"/>
    <w:rPr>
      <w:rFonts w:asciiTheme="majorHAnsi" w:eastAsiaTheme="majorEastAsia" w:hAnsiTheme="majorHAnsi" w:cstheme="majorBidi"/>
      <w:color w:val="2E74B5" w:themeColor="accent1" w:themeShade="BF"/>
      <w:spacing w:val="-7"/>
      <w:sz w:val="80"/>
      <w:szCs w:val="80"/>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uiPriority w:val="1"/>
    <w:qFormat/>
    <w:rsid w:val="00BB2F64"/>
    <w:pPr>
      <w:spacing w:after="0" w:line="240" w:lineRule="auto"/>
    </w:p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509DC"/>
    <w:rPr>
      <w:color w:val="605E5C"/>
      <w:shd w:val="clear" w:color="auto" w:fill="E1DFDD"/>
    </w:rPr>
  </w:style>
  <w:style w:type="character" w:customStyle="1" w:styleId="ListParagraphChar">
    <w:name w:val="List Paragraph Char"/>
    <w:link w:val="ListParagraph"/>
    <w:uiPriority w:val="34"/>
    <w:locked/>
    <w:rsid w:val="00F47232"/>
  </w:style>
  <w:style w:type="paragraph" w:customStyle="1" w:styleId="PLSchedule">
    <w:name w:val="PL Schedule"/>
    <w:basedOn w:val="Normal"/>
    <w:next w:val="PLScheduleNumbering1"/>
    <w:rsid w:val="007868A3"/>
    <w:pPr>
      <w:numPr>
        <w:numId w:val="48"/>
      </w:numPr>
      <w:spacing w:after="360" w:line="240" w:lineRule="auto"/>
      <w:jc w:val="center"/>
      <w:outlineLvl w:val="0"/>
    </w:pPr>
    <w:rPr>
      <w:rFonts w:ascii="Franklin Gothic Book" w:eastAsiaTheme="minorHAnsi" w:hAnsi="Franklin Gothic Book"/>
      <w:b/>
      <w:caps/>
      <w:lang w:val="en-IE" w:eastAsia="en-GB"/>
    </w:rPr>
  </w:style>
  <w:style w:type="paragraph" w:customStyle="1" w:styleId="PLScheduleNumbering1">
    <w:name w:val="PL Schedule Numbering 1"/>
    <w:next w:val="PLScheduleNumbering2"/>
    <w:rsid w:val="007868A3"/>
    <w:pPr>
      <w:numPr>
        <w:ilvl w:val="1"/>
        <w:numId w:val="48"/>
      </w:numPr>
      <w:spacing w:after="360" w:line="240" w:lineRule="auto"/>
      <w:jc w:val="center"/>
      <w:outlineLvl w:val="1"/>
    </w:pPr>
    <w:rPr>
      <w:rFonts w:ascii="Franklin Gothic Book" w:eastAsia="Times New Roman" w:hAnsi="Franklin Gothic Book" w:cs="Times New Roman"/>
      <w:szCs w:val="24"/>
      <w:lang w:val="en-GB" w:eastAsia="en-GB"/>
    </w:rPr>
  </w:style>
  <w:style w:type="paragraph" w:customStyle="1" w:styleId="PLScheduleNumbering2">
    <w:name w:val="PL Schedule Numbering 2"/>
    <w:next w:val="PLScheduleNumbering3"/>
    <w:rsid w:val="007868A3"/>
    <w:pPr>
      <w:numPr>
        <w:ilvl w:val="2"/>
        <w:numId w:val="48"/>
      </w:numPr>
      <w:spacing w:after="360" w:line="240" w:lineRule="auto"/>
      <w:jc w:val="center"/>
      <w:outlineLvl w:val="0"/>
    </w:pPr>
    <w:rPr>
      <w:rFonts w:ascii="Franklin Gothic Book" w:eastAsia="Times New Roman" w:hAnsi="Franklin Gothic Book" w:cs="Times New Roman"/>
      <w:b/>
      <w:caps/>
      <w:szCs w:val="24"/>
      <w:lang w:val="en-GB" w:eastAsia="en-GB"/>
    </w:rPr>
  </w:style>
  <w:style w:type="paragraph" w:customStyle="1" w:styleId="PLScheduleNumbering3">
    <w:name w:val="PL Schedule Numbering 3"/>
    <w:basedOn w:val="PLScheduleNumbering2"/>
    <w:next w:val="PLScheduleNumbering4"/>
    <w:rsid w:val="007868A3"/>
    <w:pPr>
      <w:numPr>
        <w:ilvl w:val="3"/>
      </w:numPr>
      <w:outlineLvl w:val="1"/>
    </w:pPr>
    <w:rPr>
      <w:b w:val="0"/>
      <w:caps w:val="0"/>
    </w:rPr>
  </w:style>
  <w:style w:type="paragraph" w:customStyle="1" w:styleId="PLScheduleNumbering4">
    <w:name w:val="PL Schedule Numbering 4"/>
    <w:rsid w:val="007868A3"/>
    <w:pPr>
      <w:numPr>
        <w:ilvl w:val="4"/>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5">
    <w:name w:val="PL Schedule Numbering 5"/>
    <w:rsid w:val="007868A3"/>
    <w:pPr>
      <w:numPr>
        <w:ilvl w:val="5"/>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6">
    <w:name w:val="PL Schedule Numbering 6"/>
    <w:basedOn w:val="Normal"/>
    <w:rsid w:val="007868A3"/>
    <w:pPr>
      <w:numPr>
        <w:ilvl w:val="6"/>
        <w:numId w:val="48"/>
      </w:numPr>
      <w:spacing w:after="240" w:line="240" w:lineRule="auto"/>
      <w:jc w:val="both"/>
    </w:pPr>
    <w:rPr>
      <w:rFonts w:ascii="Franklin Gothic Book" w:eastAsiaTheme="minorHAnsi" w:hAnsi="Franklin Gothic Book"/>
      <w:szCs w:val="22"/>
      <w:lang w:val="en-IE"/>
    </w:rPr>
  </w:style>
  <w:style w:type="numbering" w:customStyle="1" w:styleId="PLAGREEMENT">
    <w:name w:val="PL AGREEMENT"/>
    <w:uiPriority w:val="99"/>
    <w:rsid w:val="007868A3"/>
    <w:pPr>
      <w:numPr>
        <w:numId w:val="47"/>
      </w:numPr>
    </w:pPr>
  </w:style>
  <w:style w:type="paragraph" w:customStyle="1" w:styleId="PLBetween">
    <w:name w:val="PL Between"/>
    <w:basedOn w:val="Normal"/>
    <w:next w:val="PLBetweenNum"/>
    <w:rsid w:val="007868A3"/>
    <w:pPr>
      <w:numPr>
        <w:numId w:val="49"/>
      </w:numPr>
      <w:spacing w:after="0" w:line="480" w:lineRule="auto"/>
    </w:pPr>
    <w:rPr>
      <w:rFonts w:ascii="Franklin Gothic Book" w:eastAsiaTheme="minorHAnsi" w:hAnsi="Franklin Gothic Book"/>
      <w:szCs w:val="22"/>
      <w:lang w:val="en-IE"/>
    </w:rPr>
  </w:style>
  <w:style w:type="paragraph" w:customStyle="1" w:styleId="PLBetweenNum">
    <w:name w:val="PL Between Num"/>
    <w:basedOn w:val="Normal"/>
    <w:link w:val="PLBetweenNumChar"/>
    <w:rsid w:val="007868A3"/>
    <w:pPr>
      <w:numPr>
        <w:ilvl w:val="1"/>
        <w:numId w:val="49"/>
      </w:numPr>
      <w:spacing w:after="240" w:line="240" w:lineRule="auto"/>
      <w:jc w:val="both"/>
    </w:pPr>
    <w:rPr>
      <w:rFonts w:ascii="Franklin Gothic Book" w:eastAsiaTheme="minorHAnsi" w:hAnsi="Franklin Gothic Book"/>
      <w:szCs w:val="22"/>
      <w:lang w:val="en-IE"/>
    </w:rPr>
  </w:style>
  <w:style w:type="paragraph" w:customStyle="1" w:styleId="PLRecitals">
    <w:name w:val="PL Recitals"/>
    <w:basedOn w:val="Normal"/>
    <w:next w:val="PLRecitalsNum"/>
    <w:rsid w:val="007868A3"/>
    <w:pPr>
      <w:numPr>
        <w:ilvl w:val="2"/>
        <w:numId w:val="49"/>
      </w:numPr>
      <w:spacing w:after="0" w:line="480" w:lineRule="auto"/>
      <w:jc w:val="both"/>
    </w:pPr>
    <w:rPr>
      <w:rFonts w:ascii="Franklin Gothic Book" w:eastAsiaTheme="minorHAnsi" w:hAnsi="Franklin Gothic Book"/>
      <w:szCs w:val="22"/>
      <w:lang w:val="en-IE"/>
    </w:rPr>
  </w:style>
  <w:style w:type="character" w:customStyle="1" w:styleId="PLBetweenNumChar">
    <w:name w:val="PL Between Num Char"/>
    <w:basedOn w:val="DefaultParagraphFont"/>
    <w:link w:val="PLBetweenNum"/>
    <w:rsid w:val="007868A3"/>
    <w:rPr>
      <w:rFonts w:ascii="Franklin Gothic Book" w:hAnsi="Franklin Gothic Book" w:cs="Times New Roman"/>
      <w:lang w:val="en-IE"/>
    </w:rPr>
  </w:style>
  <w:style w:type="paragraph" w:customStyle="1" w:styleId="PLRecitalsNum">
    <w:name w:val="PL Recitals Num"/>
    <w:basedOn w:val="Normal"/>
    <w:rsid w:val="007868A3"/>
    <w:pPr>
      <w:numPr>
        <w:ilvl w:val="3"/>
        <w:numId w:val="49"/>
      </w:numPr>
      <w:spacing w:after="240" w:line="240" w:lineRule="auto"/>
      <w:jc w:val="both"/>
    </w:pPr>
    <w:rPr>
      <w:rFonts w:ascii="Franklin Gothic Book" w:eastAsiaTheme="minorHAnsi" w:hAnsi="Franklin Gothic Book"/>
      <w:szCs w:val="22"/>
      <w:lang w:val="en-IE"/>
    </w:rPr>
  </w:style>
  <w:style w:type="numbering" w:customStyle="1" w:styleId="Schedule1">
    <w:name w:val="Schedule1"/>
    <w:next w:val="NoList"/>
    <w:uiPriority w:val="99"/>
    <w:rsid w:val="007868A3"/>
    <w:pPr>
      <w:numPr>
        <w:numId w:val="46"/>
      </w:numPr>
    </w:pPr>
  </w:style>
  <w:style w:type="character" w:styleId="Mention">
    <w:name w:val="Mention"/>
    <w:basedOn w:val="DefaultParagraphFont"/>
    <w:uiPriority w:val="99"/>
    <w:unhideWhenUsed/>
    <w:rsid w:val="00517A69"/>
    <w:rPr>
      <w:color w:val="2B579A"/>
      <w:shd w:val="clear" w:color="auto" w:fill="E1DFDD"/>
    </w:rPr>
  </w:style>
  <w:style w:type="paragraph" w:styleId="Caption">
    <w:name w:val="caption"/>
    <w:basedOn w:val="Normal"/>
    <w:next w:val="Normal"/>
    <w:uiPriority w:val="35"/>
    <w:semiHidden/>
    <w:unhideWhenUsed/>
    <w:qFormat/>
    <w:rsid w:val="00BB2F64"/>
    <w:pPr>
      <w:spacing w:line="240" w:lineRule="auto"/>
    </w:pPr>
    <w:rPr>
      <w:b/>
      <w:bCs/>
      <w:color w:val="404040" w:themeColor="text1" w:themeTint="BF"/>
      <w:sz w:val="20"/>
      <w:szCs w:val="20"/>
    </w:rPr>
  </w:style>
  <w:style w:type="paragraph" w:styleId="Subtitle">
    <w:name w:val="Subtitle"/>
    <w:basedOn w:val="Normal"/>
    <w:next w:val="Normal"/>
    <w:link w:val="SubtitleChar"/>
    <w:uiPriority w:val="11"/>
    <w:qFormat/>
    <w:rsid w:val="00BB2F6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B2F64"/>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BB2F64"/>
    <w:rPr>
      <w:b/>
      <w:bCs/>
    </w:rPr>
  </w:style>
  <w:style w:type="character" w:styleId="Emphasis">
    <w:name w:val="Emphasis"/>
    <w:basedOn w:val="DefaultParagraphFont"/>
    <w:uiPriority w:val="20"/>
    <w:qFormat/>
    <w:rsid w:val="00BB2F64"/>
    <w:rPr>
      <w:i/>
      <w:iCs/>
    </w:rPr>
  </w:style>
  <w:style w:type="paragraph" w:styleId="Quote">
    <w:name w:val="Quote"/>
    <w:basedOn w:val="Normal"/>
    <w:next w:val="Normal"/>
    <w:link w:val="QuoteChar"/>
    <w:uiPriority w:val="29"/>
    <w:qFormat/>
    <w:rsid w:val="00BB2F6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B2F64"/>
    <w:rPr>
      <w:i/>
      <w:iCs/>
    </w:rPr>
  </w:style>
  <w:style w:type="paragraph" w:styleId="IntenseQuote">
    <w:name w:val="Intense Quote"/>
    <w:basedOn w:val="Normal"/>
    <w:next w:val="Normal"/>
    <w:link w:val="IntenseQuoteChar"/>
    <w:uiPriority w:val="30"/>
    <w:qFormat/>
    <w:rsid w:val="00BB2F64"/>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BB2F6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BB2F64"/>
    <w:rPr>
      <w:i/>
      <w:iCs/>
      <w:color w:val="595959" w:themeColor="text1" w:themeTint="A6"/>
    </w:rPr>
  </w:style>
  <w:style w:type="character" w:styleId="IntenseEmphasis">
    <w:name w:val="Intense Emphasis"/>
    <w:basedOn w:val="DefaultParagraphFont"/>
    <w:uiPriority w:val="21"/>
    <w:qFormat/>
    <w:rsid w:val="00BB2F64"/>
    <w:rPr>
      <w:b/>
      <w:bCs/>
      <w:i/>
      <w:iCs/>
    </w:rPr>
  </w:style>
  <w:style w:type="character" w:styleId="SubtleReference">
    <w:name w:val="Subtle Reference"/>
    <w:basedOn w:val="DefaultParagraphFont"/>
    <w:uiPriority w:val="31"/>
    <w:qFormat/>
    <w:rsid w:val="00BB2F64"/>
    <w:rPr>
      <w:smallCaps/>
      <w:color w:val="404040" w:themeColor="text1" w:themeTint="BF"/>
    </w:rPr>
  </w:style>
  <w:style w:type="character" w:styleId="IntenseReference">
    <w:name w:val="Intense Reference"/>
    <w:basedOn w:val="DefaultParagraphFont"/>
    <w:uiPriority w:val="32"/>
    <w:qFormat/>
    <w:rsid w:val="00BB2F64"/>
    <w:rPr>
      <w:b/>
      <w:bCs/>
      <w:smallCaps/>
      <w:u w:val="single"/>
    </w:rPr>
  </w:style>
  <w:style w:type="character" w:styleId="BookTitle">
    <w:name w:val="Book Title"/>
    <w:basedOn w:val="DefaultParagraphFont"/>
    <w:uiPriority w:val="33"/>
    <w:qFormat/>
    <w:rsid w:val="00BB2F64"/>
    <w:rPr>
      <w:b/>
      <w:bCs/>
      <w:smallCaps/>
    </w:rPr>
  </w:style>
  <w:style w:type="paragraph" w:styleId="TOCHeading">
    <w:name w:val="TOC Heading"/>
    <w:basedOn w:val="Heading1"/>
    <w:next w:val="Normal"/>
    <w:uiPriority w:val="39"/>
    <w:semiHidden/>
    <w:unhideWhenUsed/>
    <w:qFormat/>
    <w:rsid w:val="00BB2F6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housinggovie.maps.arcgis.com/apps/instant/basic/index.html?appid=b17d8cd4ca524a7b91965c36c4bfc42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33B3"/>
    <w:rsid w:val="000D2BEC"/>
    <w:rsid w:val="000E50F2"/>
    <w:rsid w:val="000F16A3"/>
    <w:rsid w:val="00105FF4"/>
    <w:rsid w:val="00120EEE"/>
    <w:rsid w:val="0017502A"/>
    <w:rsid w:val="001B1AF6"/>
    <w:rsid w:val="001F5168"/>
    <w:rsid w:val="00202000"/>
    <w:rsid w:val="0021568F"/>
    <w:rsid w:val="002411F6"/>
    <w:rsid w:val="00243E81"/>
    <w:rsid w:val="002954EC"/>
    <w:rsid w:val="002B4D30"/>
    <w:rsid w:val="002E5B2C"/>
    <w:rsid w:val="00342601"/>
    <w:rsid w:val="003548AB"/>
    <w:rsid w:val="00375976"/>
    <w:rsid w:val="003C47B8"/>
    <w:rsid w:val="003D0F6C"/>
    <w:rsid w:val="003F7A40"/>
    <w:rsid w:val="00416790"/>
    <w:rsid w:val="00423548"/>
    <w:rsid w:val="004368B4"/>
    <w:rsid w:val="00461DA6"/>
    <w:rsid w:val="004631ED"/>
    <w:rsid w:val="0048189C"/>
    <w:rsid w:val="004A2506"/>
    <w:rsid w:val="004B75E7"/>
    <w:rsid w:val="004D3DF9"/>
    <w:rsid w:val="004F1B26"/>
    <w:rsid w:val="004F2074"/>
    <w:rsid w:val="005005BD"/>
    <w:rsid w:val="00520CC8"/>
    <w:rsid w:val="00533081"/>
    <w:rsid w:val="00535ADF"/>
    <w:rsid w:val="00550BBC"/>
    <w:rsid w:val="00561E8B"/>
    <w:rsid w:val="00593781"/>
    <w:rsid w:val="005F0348"/>
    <w:rsid w:val="00653685"/>
    <w:rsid w:val="0066620F"/>
    <w:rsid w:val="006A4073"/>
    <w:rsid w:val="006B1429"/>
    <w:rsid w:val="006D37AD"/>
    <w:rsid w:val="00701951"/>
    <w:rsid w:val="007365D4"/>
    <w:rsid w:val="00745EF6"/>
    <w:rsid w:val="00752271"/>
    <w:rsid w:val="00763B34"/>
    <w:rsid w:val="00790A85"/>
    <w:rsid w:val="007F3105"/>
    <w:rsid w:val="00831B7E"/>
    <w:rsid w:val="00855BFE"/>
    <w:rsid w:val="0085602E"/>
    <w:rsid w:val="00897BE0"/>
    <w:rsid w:val="008B7B06"/>
    <w:rsid w:val="008D74E1"/>
    <w:rsid w:val="008F5C19"/>
    <w:rsid w:val="009021E5"/>
    <w:rsid w:val="009041FA"/>
    <w:rsid w:val="00906787"/>
    <w:rsid w:val="00975DA6"/>
    <w:rsid w:val="009B3FDC"/>
    <w:rsid w:val="009C35BF"/>
    <w:rsid w:val="009D7763"/>
    <w:rsid w:val="009F5929"/>
    <w:rsid w:val="00A02C29"/>
    <w:rsid w:val="00A248A8"/>
    <w:rsid w:val="00A33272"/>
    <w:rsid w:val="00A37992"/>
    <w:rsid w:val="00A62CC7"/>
    <w:rsid w:val="00A70F35"/>
    <w:rsid w:val="00A90020"/>
    <w:rsid w:val="00A93494"/>
    <w:rsid w:val="00A96FA1"/>
    <w:rsid w:val="00AA15E9"/>
    <w:rsid w:val="00AB4676"/>
    <w:rsid w:val="00AF19D6"/>
    <w:rsid w:val="00BE0E1C"/>
    <w:rsid w:val="00BE3BFD"/>
    <w:rsid w:val="00C0248A"/>
    <w:rsid w:val="00C22A3B"/>
    <w:rsid w:val="00C43F9A"/>
    <w:rsid w:val="00C501DC"/>
    <w:rsid w:val="00C54E55"/>
    <w:rsid w:val="00C61719"/>
    <w:rsid w:val="00C7052B"/>
    <w:rsid w:val="00CC6B57"/>
    <w:rsid w:val="00CD3698"/>
    <w:rsid w:val="00D3147F"/>
    <w:rsid w:val="00DA7052"/>
    <w:rsid w:val="00E0041B"/>
    <w:rsid w:val="00E47365"/>
    <w:rsid w:val="00E74482"/>
    <w:rsid w:val="00E8465B"/>
    <w:rsid w:val="00E84A40"/>
    <w:rsid w:val="00F02015"/>
    <w:rsid w:val="00F179AA"/>
    <w:rsid w:val="00F26D66"/>
    <w:rsid w:val="00F42675"/>
    <w:rsid w:val="00F44154"/>
    <w:rsid w:val="00F92F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3494"/>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Valuation Services for Lots 1-5, for assessing and valuing new build apartments constructed pursuant to the Croí Cónaithe (Cities) Scheme</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ed2c01-478b-4696-98a4-3919e9ae68e3">
      <Terms xmlns="http://schemas.microsoft.com/office/infopath/2007/PartnerControls"/>
    </lcf76f155ced4ddcb4097134ff3c332f>
    <SortOrder xmlns="aeed2c01-478b-4696-98a4-3919e9ae68e3" xsi:nil="true"/>
    <TaxCatchAll xmlns="ea02f6ca-f808-402e-81e9-d076f36024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F61E904D1FD1C44965321C153CDA02B" ma:contentTypeVersion="17" ma:contentTypeDescription="Create a new document." ma:contentTypeScope="" ma:versionID="12167f9552da05f870c695428687b362">
  <xsd:schema xmlns:xsd="http://www.w3.org/2001/XMLSchema" xmlns:xs="http://www.w3.org/2001/XMLSchema" xmlns:p="http://schemas.microsoft.com/office/2006/metadata/properties" xmlns:ns2="aeed2c01-478b-4696-98a4-3919e9ae68e3" xmlns:ns3="ea02f6ca-f808-402e-81e9-d076f36024a5" targetNamespace="http://schemas.microsoft.com/office/2006/metadata/properties" ma:root="true" ma:fieldsID="f96e9b11a5bc6c1e622dc7f9f45e34b4" ns2:_="" ns3:_="">
    <xsd:import namespace="aeed2c01-478b-4696-98a4-3919e9ae68e3"/>
    <xsd:import namespace="ea02f6ca-f808-402e-81e9-d076f36024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d2c01-478b-4696-98a4-3919e9ae6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ortOrder" ma:index="23" nillable="true" ma:displayName="Sort Order" ma:decimals="0" ma:format="Dropdown" ma:indexed="true" ma:internalName="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02f6ca-f808-402e-81e9-d076f36024a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695d3ea-dde8-4ba4-8124-753dda30e2e3}" ma:internalName="TaxCatchAll" ma:showField="CatchAllData" ma:web="ea02f6ca-f808-402e-81e9-d076f36024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aeed2c01-478b-4696-98a4-3919e9ae68e3"/>
    <ds:schemaRef ds:uri="ea02f6ca-f808-402e-81e9-d076f36024a5"/>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5.xml><?xml version="1.0" encoding="utf-8"?>
<ds:datastoreItem xmlns:ds="http://schemas.openxmlformats.org/officeDocument/2006/customXml" ds:itemID="{23E32106-116C-4D88-81CB-2EEC7FB0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d2c01-478b-4696-98a4-3919e9ae68e3"/>
    <ds:schemaRef ds:uri="ea02f6ca-f808-402e-81e9-d076f3602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395</cp:revision>
  <dcterms:created xsi:type="dcterms:W3CDTF">2024-06-25T04:29:00Z</dcterms:created>
  <dcterms:modified xsi:type="dcterms:W3CDTF">2026-09-15T08:23:00Z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0x010100AF61E904D1FD1C44965321C153CDA02B</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