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rPr>
          <w:color w:val="000000"/>
        </w:rPr>
        <w:t>Modular freezer storage room at minus 25 degrees Celsius</w:t>
      </w:r>
    </w:p>
    <w:p>
      <w:pPr>
        <w:pStyle w:val="Subtitle"/>
        <w:pageBreakBefore w:val="0"/>
      </w:pPr>
      <w:r>
        <w:t>Lot 4 technical specification | RLP4371-EQUIPMENT-2026 | CfT 9096723</w:t>
      </w:r>
    </w:p>
    <w:p>
      <w:pPr>
        <w:pageBreakBefore w:val="0"/>
      </w:pPr>
      <w:r>
        <w:t>Alexander Kuzminov trading as Nice Ice Cream  |  NOBLE</w:t>
      </w:r>
    </w:p>
    <w:p>
      <w:pPr>
        <w:pageBreakBefore w:val="0"/>
      </w:pPr>
      <w:r>
        <w:t>Provide a demountable modular freezer room for finished gelato and sorbet that has already been blast frozen. The normal storage setpoint is −25°C, with adjustable operation at −22°C. Demonstrate stable storage performance at the design heat load, state control tolerances and transient recovery after door openings and defrost, and protect product temperatures. This room is not the blast freezer.</w:t>
      </w:r>
    </w:p>
    <w:p>
      <w:pPr>
        <w:pStyle w:val="Heading1"/>
        <w:pageBreakBefore w:val="0"/>
      </w:pPr>
      <w:r>
        <w:rPr>
          <w:color w:val="000000"/>
        </w:rPr>
        <w:t>Required scope</w:t>
      </w:r>
    </w:p>
    <w:p>
      <w:pPr>
        <w:pStyle w:val="Heading2"/>
        <w:pageBreakBefore w:val="0"/>
      </w:pPr>
      <w:r>
        <w:rPr>
          <w:color w:val="000000"/>
        </w:rPr>
        <w:t>F01 Design and capacity</w:t>
      </w:r>
    </w:p>
    <w:p>
      <w:pPr>
        <w:pageBreakBefore w:val="0"/>
      </w:pPr>
      <w:r>
        <w:t>Design for three EUR-pallet storage positions as a minimum, with a fourth position desirable, manual pallet-truck access and side shelving. Planning envelope: approximately 12–14 m² internal floor area, 30–35 m³ internal volume and 2.43–2.50 m internal height. These are planning guides, not independent rigid limits. Provide a dimensioned layout demonstrating pallet manoeuvring, clear aisles, both door approaches and usable shelving approximately 470–500 mm deep. Confirm actual site dimensions and access before manufacture. State floor and shelving loads, demounting/reassembly method and components needing replacement after relocation.</w:t>
      </w:r>
    </w:p>
    <w:p>
      <w:pPr>
        <w:pStyle w:val="Heading2"/>
        <w:pageBreakBefore w:val="0"/>
      </w:pPr>
      <w:r>
        <w:rPr>
          <w:color w:val="000000"/>
        </w:rPr>
        <w:t>F02 Refrigeration performance</w:t>
      </w:r>
    </w:p>
    <w:p>
      <w:pPr>
        <w:pageBreakBefore w:val="0"/>
      </w:pPr>
      <w:r>
        <w:t>Provide one complete refrigeration system, either packaged/monoblock or split/remote. Provision for a second system in future is desirable and does not form a second purchase. Calculate heat load for a −25°C room setpoint, the offered insulation, two doors, humidity/infiltration, pallet loading, already frozen incoming product, lighting, defrost and stated ambient conditions. R290 is preferred, subject to a safe compliant design; an equivalent compliant refrigerant solution is acceptable. State cooling capacity with room, evaporating and ambient/condensing conditions, input power, current, starting demand, supply, defrost and ambient limits. Confirm weather protection and heat rejection where any unit is outdoors.</w:t>
      </w:r>
    </w:p>
    <w:p>
      <w:pPr>
        <w:pStyle w:val="Heading2"/>
        <w:pageBreakBefore/>
      </w:pPr>
      <w:r>
        <w:rPr>
          <w:color w:val="000000"/>
        </w:rPr>
        <w:t>F03 Construction and hygiene</w:t>
      </w:r>
    </w:p>
    <w:p>
      <w:pPr>
        <w:pageBreakBefore w:val="0"/>
      </w:pPr>
      <w:r>
        <w:t>Provide approximately 140 mm insulated panels or equivalent thermal performance, with a sealed vapour barrier and washable food-safe finishes. Include an insulated reinforced floor for fully loaded EUR pallets moved by manual pallet truck; declare static, dynamic and point-load ratings and the assumed gross pallet mass. Provide an anti-slip durable finish; stainless steel is desirable. Include two opposite manual sliding low-temperature doors, clear opening approximately 1200–1300 × 2100 mm, heated frames, seals, safe closing arrangements, internal emergency release, door switches, door-open alarms, a heated pressure-equalisation valve, strip curtains and impact protection. Demonstrate safe level access or suitable ramps.</w:t>
      </w:r>
    </w:p>
    <w:p>
      <w:pPr>
        <w:pStyle w:val="Heading2"/>
        <w:pageBreakBefore w:val="0"/>
      </w:pPr>
      <w:r>
        <w:rPr>
          <w:color w:val="000000"/>
        </w:rPr>
        <w:t>F04 Services and acceptance</w:t>
      </w:r>
    </w:p>
    <w:p>
      <w:pPr>
        <w:pageBreakBefore w:val="0"/>
      </w:pPr>
      <w:r>
        <w:t>Declare electrical supply, drainage, condenser ventilation, clearances, delivery route, lifting method, base condition and upstream works needed. Include room-air sensing, a product or buffered probe, continuous logging, high-temperature, door-open, system-fault and power-failure alarms, and remote notification. State the power/network dependencies, backup arrangements and recurring charges for alarms and remote functions. At acceptance record pull-down, stable operation with representative frozen loads, door-opening/defrost recovery and each alarm test. Do not treat initial pull-down as the complete acceptance test. An internal dehumidifier is not required; provide a coordinated infiltration, condensation and ice-control design.</w:t>
      </w:r>
    </w:p>
    <w:p>
      <w:pPr>
        <w:pStyle w:val="Heading1"/>
        <w:pageBreakBefore w:val="0"/>
      </w:pPr>
      <w:r>
        <w:rPr>
          <w:color w:val="000000"/>
        </w:rPr>
        <w:t>Supply, compliance and pricing</w:t>
      </w:r>
    </w:p>
    <w:p>
      <w:pPr>
        <w:pStyle w:val="Heading2"/>
        <w:pageBreakBefore w:val="0"/>
      </w:pPr>
      <w:r>
        <w:rPr>
          <w:color w:val="000000"/>
        </w:rPr>
        <w:t>Conformity and documentation</w:t>
      </w:r>
    </w:p>
    <w:p>
      <w:pPr>
        <w:pageBreakBefore w:val="0"/>
      </w:pPr>
      <w:r>
        <w:t>Supply new equipment or manufacturer/dealer demonstration equipment meeting the condition and full-warranty requirements in section 4 of the RFT. Other used or refurbished equipment is not invited. Provide applicable CE marking and conformity declarations, English operating, cleaning and maintenance instructions, food-contact material evidence and details of guards, interlocks and electrical protection.</w:t>
      </w:r>
    </w:p>
    <w:p>
      <w:pPr>
        <w:pStyle w:val="Heading2"/>
        <w:pageBreakBefore w:val="0"/>
      </w:pPr>
      <w:r>
        <w:rPr>
          <w:color w:val="000000"/>
        </w:rPr>
        <w:t>Delivery and commissioning</w:t>
      </w:r>
    </w:p>
    <w:p>
      <w:pPr>
        <w:pageBreakBefore w:val="0"/>
      </w:pPr>
      <w:r>
        <w:t>Include delivery to the purchaser’s premises in Ireland, unloading, positioning, assembly, equipment-side installation and connections, commissioning and operator training. Identify upstream building services and other works by the purchaser separately, with dimensions, access clearances, transport and operating weights, utility loads and a clear connection boundary. Do not assume that site utilities have been verified. State a firm programme from written commencement.</w:t>
      </w:r>
    </w:p>
    <w:p>
      <w:pPr>
        <w:pStyle w:val="Heading2"/>
        <w:pageBreakBefore w:val="0"/>
      </w:pPr>
      <w:r>
        <w:rPr>
          <w:color w:val="000000"/>
        </w:rPr>
        <w:t>Warranty and service</w:t>
      </w:r>
    </w:p>
    <w:p>
      <w:pPr>
        <w:pageBreakBefore w:val="0"/>
      </w:pPr>
      <w:r>
        <w:t>Provide the full warranty required by the RFT and state any longer coverage offered. Identify the service provider and demonstrate on-site support capability in Ireland; no particular service-provider domicile is required. State binding acknowledgement, remote diagnosis and attendance times, service hours, exclusions, spare-parts availability, critical-part lead times and maintenance charges.</w:t>
      </w:r>
    </w:p>
    <w:p>
      <w:pPr>
        <w:pStyle w:val="Heading2"/>
        <w:pageBreakBefore w:val="0"/>
      </w:pPr>
      <w:r>
        <w:rPr>
          <w:color w:val="000000"/>
        </w:rPr>
        <w:t>Tender response</w:t>
      </w:r>
    </w:p>
    <w:p>
      <w:pPr>
        <w:pageBreakBefore w:val="0"/>
      </w:pPr>
      <w:r>
        <w:t>Price the complete installed system in EUR excluding VAT. Separate equipment, delivery, installation, commissioning, training, options and recurring costs. State lead time and price validity.</w:t>
      </w:r>
    </w:p>
    <w:p>
      <w:r>
        <w:t>All requirements are manufacturer neutral. No specific brand, model, proprietary technology or country of manufacture is required. Demonstrate equivalent performance against the stated functions, capacity, hygiene, reliability and support requirements. Provide the manufacturer and exact model in the tender response so the offered equipment can be verified.</w:t>
      </w:r>
    </w:p>
    <w:sectPr w:rsidR="00FC693F" w:rsidRPr="0006063C" w:rsidSect="00034616">
      <w:headerReference w:type="default" r:id="rId9"/>
      <w:footerReference w:type="default" r:id="rId10"/>
      <w:pgSz w:w="11906" w:h="16838"/>
      <w:pgMar w:top="964" w:right="1077" w:bottom="964"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RLP4371-EQUIPMENT-2026 | Lot 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45"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line="245"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5" w:lineRule="auto"/>
      <w:contextualSpacing/>
    </w:pPr>
    <w:rPr>
      <w:rFonts w:asciiTheme="majorHAnsi" w:eastAsiaTheme="majorEastAsia" w:hAnsiTheme="majorHAnsi" w:cstheme="majorBidi" w:ascii="Calibri" w:hAnsi="Calibri"/>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Kuzminov trading as Nice Ice Cream</dc:creator>
  <cp:keywords/>
  <dc:description/>
  <cp:lastModifiedBy>Nice Ice Cream</cp:lastModifiedBy>
  <cp:revision>1</cp:revision>
  <dcterms:created xsi:type="dcterms:W3CDTF">2013-12-23T23:15:00Z</dcterms:created>
  <dcterms:modified xsi:type="dcterms:W3CDTF">2013-12-23T23:15:00Z</dcterms:modified>
  <cp:category/>
</cp:coreProperties>
</file>