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Request for Tender for Gelato Production and Refrigeration Equipment</w:t>
      </w:r>
    </w:p>
    <w:p>
      <w:r>
        <w:t>Alexander Kuzminov trading as Nice Ice Cream, operating under the NOBLE brand, invites tenders for the supply, delivery, installation and commissioning of equipment for the expansion and modernisation of its artisan gelato and sorbet production facility. This RFT and its schedules define the required scope, submission rules, evaluation and supply conditions.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38"/>
        <w:gridCol w:w="7313"/>
      </w:tblGrid>
      <w:tr>
        <w:trPr>
          <w:tblHeader/>
          <w:cantSplit/>
        </w:trPr>
        <w:tc>
          <w:tcPr>
            <w:tcW w:type="dxa" w:w="2438"/>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Competition detail</w:t>
            </w:r>
          </w:p>
        </w:tc>
        <w:tc>
          <w:tcPr>
            <w:tcW w:type="dxa" w:w="7313"/>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Requirement</w:t>
            </w:r>
          </w:p>
        </w:tc>
      </w:tr>
      <w:tr>
        <w:trPr>
          <w:cantSplit/>
        </w:trPr>
        <w:tc>
          <w:tcPr>
            <w:tcW w:type="dxa" w:w="243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Purchaser and contact</w:t>
            </w:r>
          </w:p>
        </w:tc>
        <w:tc>
          <w:tcPr>
            <w:tcW w:type="dxa" w:w="7313"/>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Alexander Kuzminov trading as Nice Ice Cream; hello@thenoble.ie. Competition questions must be sent through eTenders.</w:t>
            </w:r>
          </w:p>
        </w:tc>
      </w:tr>
      <w:tr>
        <w:trPr>
          <w:cantSplit/>
        </w:trPr>
        <w:tc>
          <w:tcPr>
            <w:tcW w:type="dxa" w:w="243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References</w:t>
            </w:r>
          </w:p>
        </w:tc>
        <w:tc>
          <w:tcPr>
            <w:tcW w:type="dxa" w:w="7313"/>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eTenders CfT 9096723; RLP4371-EQUIPMENT-2026; LEADER project RLP 4371</w:t>
            </w:r>
          </w:p>
        </w:tc>
      </w:tr>
      <w:tr>
        <w:trPr>
          <w:cantSplit/>
        </w:trPr>
        <w:tc>
          <w:tcPr>
            <w:tcW w:type="dxa" w:w="243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Delivery location</w:t>
            </w:r>
          </w:p>
        </w:tc>
        <w:tc>
          <w:tcPr>
            <w:tcW w:type="dxa" w:w="7313"/>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Unit 3, An Chistin Food Hub, Demesne, Castlerea, Co. Roscommon, F45 R6F5, Ireland</w:t>
            </w:r>
          </w:p>
        </w:tc>
      </w:tr>
      <w:tr>
        <w:trPr>
          <w:cantSplit/>
        </w:trPr>
        <w:tc>
          <w:tcPr>
            <w:tcW w:type="dxa" w:w="243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Procurement procedure</w:t>
            </w:r>
          </w:p>
        </w:tc>
        <w:tc>
          <w:tcPr>
            <w:tcW w:type="dxa" w:w="7313"/>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As stated in the published contract notice for this competition.</w:t>
            </w:r>
          </w:p>
        </w:tc>
      </w:tr>
      <w:tr>
        <w:trPr>
          <w:cantSplit/>
        </w:trPr>
        <w:tc>
          <w:tcPr>
            <w:tcW w:type="dxa" w:w="243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Tender deadline</w:t>
            </w:r>
          </w:p>
        </w:tc>
        <w:tc>
          <w:tcPr>
            <w:tcW w:type="dxa" w:w="7313"/>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The date and time published in the eTenders contract notice/workspace, including any published extension. Irish local time (Europe/Dublin) applies.</w:t>
            </w:r>
          </w:p>
        </w:tc>
      </w:tr>
      <w:tr>
        <w:trPr>
          <w:cantSplit/>
        </w:trPr>
        <w:tc>
          <w:tcPr>
            <w:tcW w:type="dxa" w:w="243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Clarification deadline</w:t>
            </w:r>
          </w:p>
        </w:tc>
        <w:tc>
          <w:tcPr>
            <w:tcW w:type="dxa" w:w="7313"/>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The date and time published for questions in the same eTenders competition. No separate deadline is created by this document.</w:t>
            </w:r>
          </w:p>
        </w:tc>
      </w:tr>
      <w:tr>
        <w:trPr>
          <w:cantSplit/>
        </w:trPr>
        <w:tc>
          <w:tcPr>
            <w:tcW w:type="dxa" w:w="243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Submission</w:t>
            </w:r>
          </w:p>
        </w:tc>
        <w:tc>
          <w:tcPr>
            <w:tcW w:type="dxa" w:w="7313"/>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Submit electronically using the eTenders tender-submission facility. English; prices in EUR.</w:t>
            </w:r>
          </w:p>
        </w:tc>
      </w:tr>
      <w:tr>
        <w:trPr>
          <w:cantSplit/>
        </w:trPr>
        <w:tc>
          <w:tcPr>
            <w:tcW w:type="dxa" w:w="243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Tender validity</w:t>
            </w:r>
          </w:p>
        </w:tc>
        <w:tc>
          <w:tcPr>
            <w:tcW w:type="dxa" w:w="7313"/>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120 days from the tender-submission deadline.</w:t>
            </w:r>
          </w:p>
        </w:tc>
      </w:tr>
      <w:tr>
        <w:trPr>
          <w:cantSplit/>
        </w:trPr>
        <w:tc>
          <w:tcPr>
            <w:tcW w:type="dxa" w:w="243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Delivery period</w:t>
            </w:r>
          </w:p>
        </w:tc>
        <w:tc>
          <w:tcPr>
            <w:tcW w:type="dxa" w:w="7313"/>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Complete delivery, installation, commissioning and acceptance within four months of written commencement. Warranty and support obligations continue afterwards.</w:t>
            </w:r>
          </w:p>
        </w:tc>
      </w:tr>
    </w:tbl>
    <w:p>
      <w:pPr>
        <w:pStyle w:val="Heading1"/>
      </w:pPr>
      <w:r>
        <w:rPr>
          <w:color w:val="000000"/>
        </w:rPr>
        <w:t>1 Lots and scope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850"/>
        <w:gridCol w:w="8901"/>
      </w:tblGrid>
      <w:tr>
        <w:trPr>
          <w:tblHeader/>
          <w:cantSplit/>
        </w:trPr>
        <w:tc>
          <w:tcPr>
            <w:tcW w:type="dxa" w:w="850"/>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Lot</w:t>
            </w:r>
          </w:p>
        </w:tc>
        <w:tc>
          <w:tcPr>
            <w:tcW w:type="dxa" w:w="8901"/>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Technical schedule</w:t>
            </w:r>
          </w:p>
        </w:tc>
      </w:tr>
      <w:tr>
        <w:trPr>
          <w:cantSplit/>
        </w:trPr>
        <w:tc>
          <w:tcPr>
            <w:tcW w:type="dxa" w:w="850"/>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w:t>
            </w:r>
          </w:p>
        </w:tc>
        <w:tc>
          <w:tcPr>
            <w:tcW w:type="dxa" w:w="89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Gelato production, fruit and berry processing and blast freezing</w:t>
            </w:r>
          </w:p>
        </w:tc>
      </w:tr>
      <w:tr>
        <w:trPr>
          <w:cantSplit/>
        </w:trPr>
        <w:tc>
          <w:tcPr>
            <w:tcW w:type="dxa" w:w="850"/>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2</w:t>
            </w:r>
          </w:p>
        </w:tc>
        <w:tc>
          <w:tcPr>
            <w:tcW w:type="dxa" w:w="89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Three professional refrigerated gelato service carts</w:t>
            </w:r>
          </w:p>
        </w:tc>
      </w:tr>
      <w:tr>
        <w:trPr>
          <w:cantSplit/>
        </w:trPr>
        <w:tc>
          <w:tcPr>
            <w:tcW w:type="dxa" w:w="850"/>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3</w:t>
            </w:r>
          </w:p>
        </w:tc>
        <w:tc>
          <w:tcPr>
            <w:tcW w:type="dxa" w:w="89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Chocolate and premium ingredient processing equipment for gelato production</w:t>
            </w:r>
          </w:p>
        </w:tc>
      </w:tr>
      <w:tr>
        <w:trPr>
          <w:cantSplit/>
        </w:trPr>
        <w:tc>
          <w:tcPr>
            <w:tcW w:type="dxa" w:w="850"/>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4</w:t>
            </w:r>
          </w:p>
        </w:tc>
        <w:tc>
          <w:tcPr>
            <w:tcW w:type="dxa" w:w="89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Modular walk-in freezer room with a normal storage setpoint of −25°C</w:t>
            </w:r>
          </w:p>
        </w:tc>
      </w:tr>
    </w:tbl>
    <w:p>
      <w:r>
        <w:t>Schedules 01–04 describe the four lots. Schedule 05 is the Tender Response and Price Schedule. Water treatment, a combi oven, a separate chilled room, tents and portable power stations are excluded. Funding has not been represented as already awarded.</w:t>
      </w:r>
    </w:p>
    <w:p>
      <w:pPr>
        <w:pStyle w:val="Heading1"/>
        <w:pageBreakBefore/>
      </w:pPr>
      <w:r>
        <w:rPr>
          <w:color w:val="000000"/>
        </w:rPr>
        <w:t>2 Tender instructions and eligibility</w:t>
      </w:r>
    </w:p>
    <w:p>
      <w:pPr>
        <w:pStyle w:val="Heading2"/>
      </w:pPr>
      <w:r>
        <w:rPr>
          <w:color w:val="000000"/>
        </w:rPr>
        <w:t>Bids and documents</w:t>
      </w:r>
    </w:p>
    <w:p>
      <w:r>
        <w:t>Tenderers may bid for one, several or all four lots. Each lot requires one complete, independently priced offer and will be evaluated separately. One supplier may be awarded all four lots if it is successful for each and demonstrates capacity for the combined award. No combined-lot award or conditional cross-lot discount will be evaluated. Equivalent technical solutions meeting the requirements are permitted; alternative or multiple tenders for the same lot are not invited.</w:t>
      </w:r>
    </w:p>
    <w:p>
      <w:r>
        <w:t>Complete Schedule 05 for every lot offered and attach the technical evidence requested by Schedules 01–04. Identify the exact manufacturer, model and condition of every item. Include datasheets, compliance and deviations, capacity and utility data, commissioning tests, training, service commitments and an itemised complete price. Tenderers may expand the response tables without changing their meaning. Unoffered lots do not affect the evaluation of offered lots.</w:t>
      </w:r>
    </w:p>
    <w:p>
      <w:pPr>
        <w:pStyle w:val="Heading2"/>
      </w:pPr>
      <w:r>
        <w:rPr>
          <w:color w:val="000000"/>
        </w:rPr>
        <w:t>Communications and clarification</w:t>
      </w:r>
    </w:p>
    <w:p>
      <w:r>
        <w:t>Use the eTenders messaging facility for all competition questions, including requests for site information or a visit, before the published clarification deadline. Material information and any amendments will be issued to participating tenderers on an equal basis. No private discussion changes the requirements. An extension applies only when formally published. Report document conflicts or ambiguities before the question deadline; do not price an undisclosed assumption.</w:t>
      </w:r>
    </w:p>
    <w:p>
      <w:r>
        <w:t>The published notice controls deadlines and the advertised procedure. Published amendments take precedence over earlier wording. The RFT controls competition and commercial terms, the lot schedules control detailed technical requirements, and Schedule 05 supplies the response format. No document may be read to introduce an unpublished award criterion. Submit early enough to complete upload and receipt checks. Late submissions cannot be relied upon for acceptance.</w:t>
      </w:r>
    </w:p>
    <w:p>
      <w:pPr>
        <w:pStyle w:val="Heading2"/>
      </w:pPr>
      <w:r>
        <w:rPr>
          <w:color w:val="000000"/>
        </w:rPr>
        <w:t>Supplier capacity and declarations</w:t>
      </w:r>
    </w:p>
    <w:p>
      <w:r>
        <w:t>Identify the legal supplier, lead contractor and subcontractors. Provide two relevant comparable projects or equivalent evidence of technical capacity, including for a new business; identify commissioning and service arrangements in Ireland and access to manufacturer support. Capacity evidence is assessed on a pass/fail basis proportionately to the lot and is not scored again as past experience.</w:t>
      </w:r>
    </w:p>
    <w:p>
      <w:r>
        <w:t>Declare relevant exclusion grounds, tax/social contribution compliance, insolvency, convictions, conflicts of interest and any involvement in preparing this competition. Supply any ESPD required by the published notice and supporting evidence requested consistently under the applicable procedure. Before contracting, provide current tax-clearance evidence or an applicable equivalent, and the insurance evidence in section 5. A material failure of mandatory requirements may lead to rejection, subject to any clarification permitted by the applicable rules.</w:t>
      </w:r>
    </w:p>
    <w:p>
      <w:pPr>
        <w:pStyle w:val="Heading2"/>
      </w:pPr>
      <w:r>
        <w:rPr>
          <w:color w:val="000000"/>
        </w:rPr>
        <w:t>Funding and confidentiality</w:t>
      </w:r>
    </w:p>
    <w:p>
      <w:r>
        <w:t>This procurement supports a proposed LEADER application. A notification of the preferred tender is not an instruction to supply. A purchase contract and commencement depend on funding approval, applicable grant permissions and the purchaser’s written authorisation. The purchaser may cancel for a documented reason in accordance with applicable rules. Tenderers bear their tender costs. Identify specific confidential material and reasons; information may be shared with funders, evaluators and auditors or disclosed where required, including publication of contractor information under funding transparency requirements.</w:t>
      </w:r>
    </w:p>
    <w:p>
      <w:pPr>
        <w:pStyle w:val="Heading1"/>
        <w:pageBreakBefore/>
      </w:pPr>
      <w:r>
        <w:rPr>
          <w:color w:val="000000"/>
        </w:rPr>
        <w:t>3 Evaluation and award</w:t>
      </w:r>
    </w:p>
    <w:p>
      <w:r>
        <w:t>Check timely submission, supplier eligibility, mandatory technical compliance, complete pricing and acceptance of the required conditions first. Evaluate compliant offers separately for each lot using the criteria below. A superior feature does not cure a failure of a mandatory requirement. New and eligible demonstration equipment are assessed under the same criteria; condition alone does not carry a separate preference.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907"/>
        <w:gridCol w:w="6463"/>
      </w:tblGrid>
      <w:tr>
        <w:trPr>
          <w:tblHeader/>
          <w:cantSplit/>
        </w:trPr>
        <w:tc>
          <w:tcPr>
            <w:tcW w:type="dxa" w:w="2381"/>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Criterion</w:t>
            </w:r>
          </w:p>
        </w:tc>
        <w:tc>
          <w:tcPr>
            <w:tcW w:type="dxa" w:w="907"/>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Weight</w:t>
            </w:r>
          </w:p>
        </w:tc>
        <w:tc>
          <w:tcPr>
            <w:tcW w:type="dxa" w:w="6463"/>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Evidence assessed</w:t>
            </w:r>
          </w:p>
        </w:tc>
      </w:tr>
      <w:tr>
        <w:trPr>
          <w:cantSplit/>
        </w:trPr>
        <w:tc>
          <w:tcPr>
            <w:tcW w:type="dxa" w:w="238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Total evaluated price</w:t>
            </w:r>
          </w:p>
        </w:tc>
        <w:tc>
          <w:tcPr>
            <w:tcW w:type="dxa" w:w="907"/>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40%</w:t>
            </w:r>
          </w:p>
        </w:tc>
        <w:tc>
          <w:tcPr>
            <w:tcW w:type="dxa" w:w="6463"/>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Complete mandatory lot cost, including equipment, accessories, freight, unloading, installation within scope, commissioning, training and any compulsory charges during the four-month implementation and minimum warranty period.</w:t>
            </w:r>
          </w:p>
        </w:tc>
      </w:tr>
      <w:tr>
        <w:trPr>
          <w:cantSplit/>
        </w:trPr>
        <w:tc>
          <w:tcPr>
            <w:tcW w:type="dxa" w:w="238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Technical performance and suitability</w:t>
            </w:r>
          </w:p>
        </w:tc>
        <w:tc>
          <w:tcPr>
            <w:tcW w:type="dxa" w:w="907"/>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30%</w:t>
            </w:r>
          </w:p>
        </w:tc>
        <w:tc>
          <w:tcPr>
            <w:tcW w:type="dxa" w:w="6463"/>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Usable capacity, process integration, temperature/process controls, hygiene and cleaning, safe operation, practical layout and substantiated performance against the lot requirements.</w:t>
            </w:r>
          </w:p>
        </w:tc>
      </w:tr>
      <w:tr>
        <w:trPr>
          <w:cantSplit/>
        </w:trPr>
        <w:tc>
          <w:tcPr>
            <w:tcW w:type="dxa" w:w="238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Warranty and after-sales service</w:t>
            </w:r>
          </w:p>
        </w:tc>
        <w:tc>
          <w:tcPr>
            <w:tcW w:type="dxa" w:w="907"/>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20%</w:t>
            </w:r>
          </w:p>
        </w:tc>
        <w:tc>
          <w:tcPr>
            <w:tcW w:type="dxa" w:w="6463"/>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Warranty coverage and duration, enforceable service response, Ireland attendance capability, spare-parts supply and maintenance arrangements.</w:t>
            </w:r>
          </w:p>
        </w:tc>
      </w:tr>
      <w:tr>
        <w:trPr>
          <w:cantSplit/>
        </w:trPr>
        <w:tc>
          <w:tcPr>
            <w:tcW w:type="dxa" w:w="238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Delivery installation and training</w:t>
            </w:r>
          </w:p>
        </w:tc>
        <w:tc>
          <w:tcPr>
            <w:tcW w:type="dxa" w:w="907"/>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10%</w:t>
            </w:r>
          </w:p>
        </w:tc>
        <w:tc>
          <w:tcPr>
            <w:tcW w:type="dxa" w:w="6463"/>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Credible delivery and commissioning programme, site interfaces, responsibility allocation, test plan and operator training.</w:t>
            </w:r>
          </w:p>
        </w:tc>
      </w:tr>
    </w:tbl>
    <w:p>
      <w:pPr>
        <w:pStyle w:val="Heading2"/>
      </w:pPr>
      <w:r>
        <w:rPr>
          <w:color w:val="000000"/>
        </w:rPr>
        <w:t>Price score</w:t>
      </w:r>
    </w:p>
    <w:p>
      <w:r>
        <w:t>Price score = (lowest evaluated compliant price for that lot / the tenderer’s evaluated price for that lot) × 40. Evaluate in EUR excluding VAT; VAT must be shown separately. Include all unavoidable costs in the required scope. Exclude genuinely optional extras, cross-lot discounts and recurring charges after the defined evaluated period. No missing mandatory price is assumed to be zero. Clarify errors and potentially abnormally low prices in accordance with the applicable rules, without permitting a materially revised bid.</w:t>
      </w:r>
    </w:p>
    <w:p>
      <w:pPr>
        <w:pStyle w:val="Heading2"/>
      </w:pPr>
      <w:r>
        <w:rPr>
          <w:color w:val="000000"/>
        </w:rPr>
        <w:t>Quality scores and minimum standard</w:t>
      </w:r>
    </w:p>
    <w:p>
      <w:r>
        <w:t>Score each quality criterion on the 0–5 scale below, then multiply by that criterion’s weight divided by 5. A tender must score at least 3 in each quality criterion to remain eligible for award. Document the reasons and supporting evidence. Listed aspects explain each criterion and are not separately weighted subcriteria.</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64"/>
        <w:gridCol w:w="8787"/>
      </w:tblGrid>
      <w:tr>
        <w:trPr>
          <w:tblHeader/>
          <w:cantSplit/>
        </w:trPr>
        <w:tc>
          <w:tcPr>
            <w:tcW w:type="dxa" w:w="964"/>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Score</w:t>
            </w:r>
          </w:p>
        </w:tc>
        <w:tc>
          <w:tcPr>
            <w:tcW w:type="dxa" w:w="8787"/>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Meaning</w:t>
            </w:r>
          </w:p>
        </w:tc>
      </w:tr>
      <w:tr>
        <w:trPr>
          <w:cantSplit/>
        </w:trPr>
        <w:tc>
          <w:tcPr>
            <w:tcW w:type="dxa" w:w="96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0</w:t>
            </w:r>
          </w:p>
        </w:tc>
        <w:tc>
          <w:tcPr>
            <w:tcW w:type="dxa" w:w="8787"/>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No relevant response or evidence.</w:t>
            </w:r>
          </w:p>
        </w:tc>
      </w:tr>
      <w:tr>
        <w:trPr>
          <w:cantSplit/>
        </w:trPr>
        <w:tc>
          <w:tcPr>
            <w:tcW w:type="dxa" w:w="96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w:t>
            </w:r>
          </w:p>
        </w:tc>
        <w:tc>
          <w:tcPr>
            <w:tcW w:type="dxa" w:w="8787"/>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Major gaps and substantial delivery risk.</w:t>
            </w:r>
          </w:p>
        </w:tc>
      </w:tr>
      <w:tr>
        <w:trPr>
          <w:cantSplit/>
        </w:trPr>
        <w:tc>
          <w:tcPr>
            <w:tcW w:type="dxa" w:w="96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2</w:t>
            </w:r>
          </w:p>
        </w:tc>
        <w:tc>
          <w:tcPr>
            <w:tcW w:type="dxa" w:w="8787"/>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Partial response with material weaknesses.</w:t>
            </w:r>
          </w:p>
        </w:tc>
      </w:tr>
      <w:tr>
        <w:trPr>
          <w:cantSplit/>
        </w:trPr>
        <w:tc>
          <w:tcPr>
            <w:tcW w:type="dxa" w:w="96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3</w:t>
            </w:r>
          </w:p>
        </w:tc>
        <w:tc>
          <w:tcPr>
            <w:tcW w:type="dxa" w:w="8787"/>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Adequate and credible response meeting requirements.</w:t>
            </w:r>
          </w:p>
        </w:tc>
      </w:tr>
      <w:tr>
        <w:trPr>
          <w:cantSplit/>
        </w:trPr>
        <w:tc>
          <w:tcPr>
            <w:tcW w:type="dxa" w:w="96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4</w:t>
            </w:r>
          </w:p>
        </w:tc>
        <w:tc>
          <w:tcPr>
            <w:tcW w:type="dxa" w:w="8787"/>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Strong response with well-supported benefits relevant to the criterion.</w:t>
            </w:r>
          </w:p>
        </w:tc>
      </w:tr>
      <w:tr>
        <w:trPr>
          <w:cantSplit/>
        </w:trPr>
        <w:tc>
          <w:tcPr>
            <w:tcW w:type="dxa" w:w="96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5</w:t>
            </w:r>
          </w:p>
        </w:tc>
        <w:tc>
          <w:tcPr>
            <w:tcW w:type="dxa" w:w="8787"/>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Comprehensive and substantiated response with exceptional benefits relevant to the criterion.</w:t>
            </w:r>
          </w:p>
        </w:tc>
      </w:tr>
    </w:tbl>
    <w:p>
      <w:pPr>
        <w:pStyle w:val="Heading2"/>
      </w:pPr>
      <w:r>
        <w:rPr>
          <w:color w:val="000000"/>
        </w:rPr>
        <w:t>Ranking and notification</w:t>
      </w:r>
    </w:p>
    <w:p>
      <w:r>
        <w:t>Add weighted scores to a maximum of 100, using unrounded values for ranking and two decimal places for reporting. The highest eligible score wins the lot. Resolve an exact tie by higher technical score, then higher service score, then lower evaluated price; if still tied, use a witnessed, recorded random draw. Verify capacity for combined awards. Retain signed evaluation records and issue outcome notifications to successful and unsuccessful tenderers. Observe applicable notification, review and standstill obligations before entering a contract.</w:t>
      </w:r>
    </w:p>
    <w:p>
      <w:pPr>
        <w:pStyle w:val="Heading1"/>
        <w:pageBreakBefore/>
      </w:pPr>
      <w:r>
        <w:rPr>
          <w:color w:val="000000"/>
        </w:rPr>
        <w:t>4 Equipment condition and technical obligations</w:t>
      </w:r>
    </w:p>
    <w:p>
      <w:pPr>
        <w:pStyle w:val="Heading2"/>
      </w:pPr>
      <w:r>
        <w:rPr>
          <w:color w:val="000000"/>
        </w:rPr>
        <w:t>New and demonstration equipment</w:t>
      </w:r>
    </w:p>
    <w:p>
      <w:r>
        <w:t>New equipment and manufacturer/dealer demonstration equipment with a full warranty are permitted. Other used, refurbished or auction equipment is not invited. Each tenderer shall select one offered configuration per lot, identifying the condition of each item. A new comparator price supplied to evidence value for money is not a second tender or an alternative offer.</w:t>
      </w:r>
    </w:p>
    <w:p>
      <w:r>
        <w:t>For every demonstration item provide the manufacturer, model, serial number, year of manufacture, first use, operating hours/cycles or an explanation if these are not recorded, ownership/origin history, demonstration use, repairs, service history, photographs and a condition report. Disclose every defect. Confirm that the equipment has not been used for routine commercial production and that its conformity and safety documentation cover the supplied configuration.</w:t>
      </w:r>
    </w:p>
    <w:p>
      <w:r>
        <w:t>For funding eligibility, provide a signed seller declaration of origin and that the item was not purchased using national or EU funds during the previous seven years. Provide evidence that the offered price does not exceed market value and is below the cost of comparable new equipment, including a like-for-like new-equipment quotation. The equipment must meet the full project specification and applicable standards. Funding eligibility remains subject to the funder’s assessment; the purchaser does not warrant approval of a particular item.</w:t>
      </w:r>
    </w:p>
    <w:p>
      <w:pPr>
        <w:pStyle w:val="Heading2"/>
      </w:pPr>
      <w:r>
        <w:rPr>
          <w:color w:val="000000"/>
        </w:rPr>
        <w:t>Full warranty and support</w:t>
      </w:r>
    </w:p>
    <w:p>
      <w:r>
        <w:t>Every item, including demonstration equipment, requires a full warranty of at least 12 months from documented acceptance, covering parts, labour, necessary travel and call-out costs for covered faults in Ireland. A remaining balance of an earlier demonstration warranty does not satisfy this minimum. The supplier remains responsible for delivery of warranty service; attach manufacturer/dealer confirmation and list exclusions. Normal wear items may be excluded only where identified; an exclusion must not remove cover for a defective component at acceptance.</w:t>
      </w:r>
    </w:p>
    <w:p>
      <w:r>
        <w:t>Minimum service commitments are acknowledgement within one business day, remote diagnosis within two business days and, where necessary, on-site attendance within five business days of fault notification. Business days are Monday to Friday excluding Irish public holidays; service hours are 09:00–17:00 Irish local time. State escalation and out-of-hours arrangements. Provide a supported plan for spare parts and maintenance for at least seven years from acceptance, including an evidenced equivalent support solution if original parts become unavailable. State any longer or better commitments offered.</w:t>
      </w:r>
    </w:p>
    <w:p>
      <w:pPr>
        <w:pStyle w:val="Heading2"/>
      </w:pPr>
      <w:r>
        <w:rPr>
          <w:color w:val="000000"/>
        </w:rPr>
        <w:t>Installation and integrated performance</w:t>
      </w:r>
    </w:p>
    <w:p>
      <w:r>
        <w:t>Supply all compatible accessories needed for the mandatory functions. Include freight, unloading, positioning, assembly, equipment-side connections, commissioning and training. Identify upstream utility or building works to be provided by the purchaser, with capacities and connection boundaries, before award. The purchaser has not certified available utility capacity. Verify the relevant site information before manufacture and flag discrepancies promptly. Site verification cannot be used to reopen the price for requirements already disclosed in the tender.</w:t>
      </w:r>
    </w:p>
    <w:p>
      <w:r>
        <w:t>Supply applicable conformity declarations, food-contact evidence and English operating, cleaning, safety and maintenance information. Provide safe guarding, interlocks and electrical protection, and use suitably qualified installers. Do not substitute a model, demonstration unit or subcontractor materially affecting the offer without written approval consistent with the competition and funding rules.</w:t>
      </w:r>
    </w:p>
    <w:p>
      <w:pPr>
        <w:pStyle w:val="Heading1"/>
        <w:pageBreakBefore/>
      </w:pPr>
      <w:r>
        <w:rPr>
          <w:color w:val="000000"/>
        </w:rPr>
        <w:t>5 Price payment insurance and contract formation</w:t>
      </w:r>
    </w:p>
    <w:p>
      <w:pPr>
        <w:pStyle w:val="Heading2"/>
      </w:pPr>
      <w:r>
        <w:rPr>
          <w:color w:val="000000"/>
        </w:rPr>
        <w:t>Price and purchase authority</w:t>
      </w:r>
    </w:p>
    <w:p>
      <w:r>
        <w:t>The accepted lot price is fixed in EUR excluding separately stated VAT and includes every mandatory supply and service, delivery to the stated Irish address and any supplier import/customs costs. Disclose tax treatment and any purchaser tax accounting obligations separately. No equipment order, deposit or manufacturing instruction is authorised by tender publication, evaluation or selection alone.</w:t>
      </w:r>
    </w:p>
    <w:p>
      <w:r>
        <w:t>A contract is formed only by a written purchase agreement or purchase order accepted by both parties after the necessary funding permission and applicable standstill. These RFT conditions, published clarifications, lot specification, accepted response and itemised price form the agreement. The purchase instrument may record the selected equipment and agreed programme but must not materially change the competed terms. Supplier standard conditions do not override this pack unless an expressly identified departure was accepted consistently with the procurement rules.</w:t>
      </w:r>
    </w:p>
    <w:p>
      <w:pPr>
        <w:pStyle w:val="Heading2"/>
      </w:pPr>
      <w:r>
        <w:rPr>
          <w:color w:val="000000"/>
        </w:rPr>
        <w:t>Payment terms</w:t>
      </w:r>
    </w:p>
    <w:p>
      <w:r>
        <w:t>The standard payment basis is 30% following contract execution and written commencement, 60% following complete delivery, and 10% following documented acceptance and receipt of all handover documents. Any advance must be secured by an on-demand bank guarantee or equivalent purchaser-approved protection for the outstanding advance, valid until the corresponding goods are delivered and title has passed. If compliant advance security is not provided, the 30% is deferred until delivery; it is not an unsecured deposit entitlement.</w:t>
      </w:r>
    </w:p>
    <w:p>
      <w:r>
        <w:t>Pay undisputed, valid invoices within 30 calendar days after both receipt and achievement of the relevant milestone. The delivery payment requires the agreed equipment, packing list, serial numbers, delivery records and evidence of title free from third-party claims. The purchaser may withhold only genuinely disputed sums with reasons and shall pay the undisputed balance. Statutory payment rights are unaffected. Funding delay after contract formation does not excuse payment of a properly due invoice.</w:t>
      </w:r>
    </w:p>
    <w:p>
      <w:pPr>
        <w:pStyle w:val="Heading2"/>
      </w:pPr>
      <w:r>
        <w:rPr>
          <w:color w:val="000000"/>
        </w:rPr>
        <w:t>Insurance and responsibility</w:t>
      </w:r>
    </w:p>
    <w:p>
      <w:r>
        <w:t>Maintain public and product liability insurance of at least EUR 2 million for each category, on terms covering the supplied equipment and work in Ireland. Where employees undertake on-site work, maintain employers’ liability insurance of at least EUR 13 million, or a legally valid equivalent arrangement accepted before award. A lead supplier may evidence relevant cover through the entity performing the activity, while remaining contractually responsible. Provide certificates, scope, limits, territorial cover and expiry before commencement and renew them while the relevant obligation continues.</w:t>
      </w:r>
    </w:p>
    <w:p>
      <w:r>
        <w:t>The supplier is responsible for its personnel and subcontractors, safe unloading and installation, protection of the premises, and damage caused by its breach or negligence. Title passes on payment for identifiable goods or delivery, whichever is earlier, free of encumbrances. Risk of loss or damage remains with the supplier until acceptance, except to the extent caused by the purchaser. Insure goods appropriately while at supplier risk.</w:t>
      </w:r>
    </w:p>
    <w:p>
      <w:pPr>
        <w:pStyle w:val="Heading2"/>
      </w:pPr>
      <w:r>
        <w:rPr>
          <w:color w:val="000000"/>
        </w:rPr>
        <w:t>Changes and options</w:t>
      </w:r>
    </w:p>
    <w:p>
      <w:r>
        <w:t>Optional extras must be priced separately and are not authorised by award of the base lot. No oral instruction changes the scope, price or completion date. A change requires a written description, reason, cost/time impact and agreement permitted by the procurement and funding rules. General price escalation is not included. Material changes may require a new competition.</w:t>
      </w:r>
    </w:p>
    <w:p>
      <w:pPr>
        <w:pStyle w:val="Heading1"/>
        <w:pageBreakBefore/>
      </w:pPr>
      <w:r>
        <w:rPr>
          <w:color w:val="000000"/>
        </w:rPr>
        <w:t>6 Acceptance remedies and completion</w:t>
      </w:r>
    </w:p>
    <w:p>
      <w:pPr>
        <w:pStyle w:val="Heading2"/>
      </w:pPr>
      <w:r>
        <w:rPr>
          <w:color w:val="000000"/>
        </w:rPr>
        <w:t>Commissioning and acceptance</w:t>
      </w:r>
    </w:p>
    <w:p>
      <w:r>
        <w:t>Agree a written test plan before delivery, based on the tendered commitments and lot specification. Record test conditions, representative products/loads, measurements, pass criteria, defects and corrective actions. The purchaser will make the agreed site and test materials available. Delivery, signature of a delivery note, partial payment or a limited commissioning trial does not by itself constitute final acceptance.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850"/>
        <w:gridCol w:w="8901"/>
      </w:tblGrid>
      <w:tr>
        <w:trPr>
          <w:tblHeader/>
          <w:cantSplit/>
        </w:trPr>
        <w:tc>
          <w:tcPr>
            <w:tcW w:type="dxa" w:w="850"/>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Lot</w:t>
            </w:r>
          </w:p>
        </w:tc>
        <w:tc>
          <w:tcPr>
            <w:tcW w:type="dxa" w:w="8901"/>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Required acceptance evidence</w:t>
            </w:r>
          </w:p>
        </w:tc>
      </w:tr>
      <w:tr>
        <w:trPr>
          <w:cantSplit/>
        </w:trPr>
        <w:tc>
          <w:tcPr>
            <w:tcW w:type="dxa" w:w="850"/>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w:t>
            </w:r>
          </w:p>
        </w:tc>
        <w:tc>
          <w:tcPr>
            <w:tcW w:type="dxa" w:w="89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Individual functions and integrated production, transfer and filling; recorded pasteurisation and cooling cycles; representative fruit processing; documented blast-freezing core-temperature performance at the agreed load.</w:t>
            </w:r>
          </w:p>
        </w:tc>
      </w:tr>
      <w:tr>
        <w:trPr>
          <w:cantSplit/>
        </w:trPr>
        <w:tc>
          <w:tcPr>
            <w:tcW w:type="dxa" w:w="850"/>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2</w:t>
            </w:r>
          </w:p>
        </w:tc>
        <w:tc>
          <w:tcPr>
            <w:tcW w:type="dxa" w:w="89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Three complete carts, all 36 pans and accessories; stable positioning, controls, refrigeration and defrost; manufacturer climate-rating evidence and recorded site temperatures.</w:t>
            </w:r>
          </w:p>
        </w:tc>
      </w:tr>
      <w:tr>
        <w:trPr>
          <w:cantSplit/>
        </w:trPr>
        <w:tc>
          <w:tcPr>
            <w:tcW w:type="dxa" w:w="850"/>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3</w:t>
            </w:r>
          </w:p>
        </w:tc>
        <w:tc>
          <w:tcPr>
            <w:tcW w:type="dxa" w:w="89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Refining and temperature management, automatic tempering and included vibrating table, independent melting and cocoa-butter seed preparation; cleaning and recipe-changeover training.</w:t>
            </w:r>
          </w:p>
        </w:tc>
      </w:tr>
      <w:tr>
        <w:trPr>
          <w:cantSplit/>
        </w:trPr>
        <w:tc>
          <w:tcPr>
            <w:tcW w:type="dxa" w:w="850"/>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4</w:t>
            </w:r>
          </w:p>
        </w:tc>
        <w:tc>
          <w:tcPr>
            <w:tcW w:type="dxa" w:w="89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Approved layout and heat-load calculation; floor/door safety; pull-down, stable storage and recovery performance; sensor, logging and alarm tests; remote-notification and power-failure arrangements.</w:t>
            </w:r>
          </w:p>
        </w:tc>
      </w:tr>
    </w:tbl>
    <w:p>
      <w:r>
        <w:t>Acceptance requires completion of the required tests, correction of material defects and handover of manuals, declarations, warranty certificates, service contacts, maintenance plans, serial-number register and training records. Record minor outstanding items and a completion date without reducing statutory or warranty rights. The supplier shall remedy non-conforming equipment and repeat failed tests at its cost within a reasonable period agreed in writing.</w:t>
      </w:r>
    </w:p>
    <w:p>
      <w:pPr>
        <w:pStyle w:val="Heading2"/>
      </w:pPr>
      <w:r>
        <w:rPr>
          <w:color w:val="000000"/>
        </w:rPr>
        <w:t>Delay and breach</w:t>
      </w:r>
    </w:p>
    <w:p>
      <w:r>
        <w:t>Notify any likely delay promptly with its cause, impact and recovery plan. An extension requires written agreement supported by the facts and consistent with applicable rules. No automatic extension arises from ordinary supplier stock, manufacturing or subcontractor problems. If material breach remains unremedied 20 business days after a written notice specifying the breach and required remedy, the affected party may terminate the affected contract by written notice, subject to any mandatory legal restriction.</w:t>
      </w:r>
    </w:p>
    <w:p>
      <w:r>
        <w:t>For rejected goods or supplier default, refund payments relating to undelivered or finally rejected supplies and remove rejected equipment safely at supplier cost. The purchaser may obtain replacement performance and recover reasonable, evidenced direct loss caused by the breach, subject to the liability provisions. No automatic daily penalty is imposed. Termination does not remove accrued payment, confidentiality, audit or defect obligations.</w:t>
      </w:r>
    </w:p>
    <w:p>
      <w:pPr>
        <w:pStyle w:val="Heading2"/>
      </w:pPr>
      <w:r>
        <w:rPr>
          <w:color w:val="000000"/>
        </w:rPr>
        <w:t>Liability and disputes</w:t>
      </w:r>
    </w:p>
    <w:p>
      <w:r>
        <w:t>Each party’s aggregate liability for ordinary breach is limited to 100% of the affected lot contract value. This limit does not apply to fraud, wilful misconduct, death or personal injury caused by negligence, amounts properly due, repayment of advances for undelivered goods, or liability that cannot lawfully be limited. Neither party is liable for indirect or consequential loss, subject to those exceptions. Insurance requirements do not themselves increase the agreed liability cap.</w:t>
      </w:r>
    </w:p>
    <w:p>
      <w:r>
        <w:t>Give written notice of a dispute and first seek resolution between authorised representatives within 15 business days. The parties may agree mediation without preventing either party from seeking urgent relief or exercising mandatory rights. Irish law governs the contract and the courts of Ireland have jurisdiction, subject to mandatory procurement remedies. Keep records needed for project, payment and funding audits and cooperate with reasonable funder verification requests.</w:t>
      </w:r>
    </w:p>
    <w:sectPr w:rsidR="00FC693F" w:rsidRPr="0006063C" w:rsidSect="00034616">
      <w:headerReference w:type="default" r:id="rId9"/>
      <w:footerReference w:type="default" r:id="rId10"/>
      <w:pgSz w:w="11906" w:h="16838"/>
      <w:pgMar w:top="964" w:right="1077" w:bottom="964" w:left="107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RLP4371-EQUIPMENT-2026 | RFT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45"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40" w:line="245"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5" w:lineRule="auto"/>
      <w:contextualSpacing/>
    </w:pPr>
    <w:rPr>
      <w:rFonts w:asciiTheme="majorHAnsi" w:eastAsiaTheme="majorEastAsia" w:hAnsiTheme="majorHAnsi" w:cstheme="majorBidi" w:ascii="Calibri" w:hAnsi="Calibr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Kuzminov trading as Nice Ice Cream</dc:creator>
  <cp:keywords/>
  <dc:description/>
  <cp:lastModifiedBy>Nice Ice Cream</cp:lastModifiedBy>
  <cp:revision>1</cp:revision>
  <dcterms:created xsi:type="dcterms:W3CDTF">2013-12-23T23:15:00Z</dcterms:created>
  <dcterms:modified xsi:type="dcterms:W3CDTF">2013-12-23T23:15:00Z</dcterms:modified>
  <cp:category/>
</cp:coreProperties>
</file>