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03C2" w14:textId="77777777" w:rsidR="004B3D21" w:rsidRDefault="004B3D21" w:rsidP="004B3D21">
      <w:pPr>
        <w:keepNext/>
        <w:pageBreakBefore/>
        <w:pBdr>
          <w:bottom w:val="single" w:sz="18" w:space="1" w:color="333399"/>
        </w:pBdr>
        <w:tabs>
          <w:tab w:val="left" w:pos="397"/>
          <w:tab w:val="left" w:pos="907"/>
          <w:tab w:val="left" w:pos="1134"/>
        </w:tabs>
        <w:spacing w:before="320" w:line="276" w:lineRule="auto"/>
        <w:outlineLvl w:val="0"/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</w:pPr>
      <w:r w:rsidRPr="004B3D21">
        <w:rPr>
          <w:rFonts w:ascii="Calibri" w:eastAsia="Times New Roman" w:hAnsi="Calibri" w:cs="Times New Roman"/>
          <w:b/>
          <w:bCs/>
          <w:color w:val="333399"/>
          <w:kern w:val="0"/>
          <w:sz w:val="32"/>
          <w:szCs w:val="32"/>
          <w:lang w:val="en-US"/>
          <w14:ligatures w14:val="none"/>
        </w:rPr>
        <w:t>Appendix 1: Requirements and Specification</w:t>
      </w:r>
    </w:p>
    <w:p w14:paraId="1B95A779" w14:textId="77777777" w:rsidR="004B3D21" w:rsidRPr="004B3D21" w:rsidRDefault="004B3D21" w:rsidP="004B3D21">
      <w:pPr>
        <w:rPr>
          <w:rFonts w:ascii="Calibri" w:eastAsia="Times New Roman" w:hAnsi="Calibri" w:cs="Times New Roman"/>
          <w:b/>
          <w:sz w:val="20"/>
          <w:szCs w:val="20"/>
          <w:lang w:val="en-GB"/>
        </w:rPr>
      </w:pPr>
      <w:r w:rsidRPr="004B3D21">
        <w:rPr>
          <w:rFonts w:ascii="Calibri" w:eastAsia="Times New Roman" w:hAnsi="Calibri" w:cs="Times New Roman"/>
          <w:b/>
          <w:sz w:val="20"/>
          <w:szCs w:val="20"/>
          <w:lang w:val="en-GB"/>
        </w:rPr>
        <w:t>Tenderers must address each of the issues and requirements in this part of the RFT and submit a detailed description in each case which demonstrates how these issues and requirements will be dealt with / met and their approach to the proposed delivery of the Services.  A mere affirmative statement by the Tenderer that it can/will do so or a reiteration of the tender requirements is NOT sufficient in this regard.</w:t>
      </w:r>
    </w:p>
    <w:tbl>
      <w:tblPr>
        <w:tblStyle w:val="TableGrid"/>
        <w:tblpPr w:leftFromText="180" w:rightFromText="180" w:vertAnchor="text" w:horzAnchor="margin" w:tblpY="542"/>
        <w:tblW w:w="5025" w:type="pct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2617"/>
        <w:gridCol w:w="2209"/>
        <w:gridCol w:w="1263"/>
      </w:tblGrid>
      <w:tr w:rsidR="004B3D21" w:rsidRPr="004B3D21" w14:paraId="6977C918" w14:textId="77777777" w:rsidTr="00F85AFF">
        <w:trPr>
          <w:cantSplit/>
          <w:trHeight w:val="1557"/>
          <w:tblHeader/>
        </w:trPr>
        <w:tc>
          <w:tcPr>
            <w:tcW w:w="623" w:type="pct"/>
            <w:noWrap/>
            <w:hideMark/>
          </w:tcPr>
          <w:p w14:paraId="72F3D629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ID</w:t>
            </w:r>
          </w:p>
        </w:tc>
        <w:tc>
          <w:tcPr>
            <w:tcW w:w="1017" w:type="pct"/>
            <w:hideMark/>
          </w:tcPr>
          <w:p w14:paraId="0F6BE1A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Category</w:t>
            </w:r>
          </w:p>
        </w:tc>
        <w:tc>
          <w:tcPr>
            <w:tcW w:w="1444" w:type="pct"/>
            <w:hideMark/>
          </w:tcPr>
          <w:p w14:paraId="38BD6A36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Mandatory requirement</w:t>
            </w:r>
          </w:p>
        </w:tc>
        <w:tc>
          <w:tcPr>
            <w:tcW w:w="1219" w:type="pct"/>
            <w:hideMark/>
          </w:tcPr>
          <w:p w14:paraId="55A0749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Evidence required</w:t>
            </w:r>
          </w:p>
        </w:tc>
        <w:tc>
          <w:tcPr>
            <w:tcW w:w="697" w:type="pct"/>
          </w:tcPr>
          <w:p w14:paraId="07A53F3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 xml:space="preserve">Tenderer evidence or link to relevant examples </w:t>
            </w:r>
          </w:p>
        </w:tc>
      </w:tr>
      <w:tr w:rsidR="004B3D21" w:rsidRPr="004B3D21" w14:paraId="657C8FF9" w14:textId="77777777" w:rsidTr="00F85AFF">
        <w:trPr>
          <w:cantSplit/>
          <w:trHeight w:val="2519"/>
        </w:trPr>
        <w:tc>
          <w:tcPr>
            <w:tcW w:w="623" w:type="pct"/>
            <w:noWrap/>
            <w:hideMark/>
          </w:tcPr>
          <w:p w14:paraId="336A97EE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MR01</w:t>
            </w:r>
          </w:p>
        </w:tc>
        <w:tc>
          <w:tcPr>
            <w:tcW w:w="1017" w:type="pct"/>
            <w:hideMark/>
          </w:tcPr>
          <w:p w14:paraId="1B5342C1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Multi-site management and access</w:t>
            </w:r>
          </w:p>
        </w:tc>
        <w:tc>
          <w:tcPr>
            <w:tcW w:w="1444" w:type="pct"/>
            <w:hideMark/>
          </w:tcPr>
          <w:p w14:paraId="6434AFE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The Service must support multiple sites/domains within a single instance, with new sites addable without re-procurement or additional per-site charges.</w:t>
            </w:r>
          </w:p>
        </w:tc>
        <w:tc>
          <w:tcPr>
            <w:tcW w:w="1219" w:type="pct"/>
            <w:hideMark/>
          </w:tcPr>
          <w:p w14:paraId="544DA0F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Documentation describing multi-domain/property or similar structure, explicitly stating that configuration is clearly separated by site and domain, with no shared configuration required.</w:t>
            </w:r>
          </w:p>
        </w:tc>
        <w:tc>
          <w:tcPr>
            <w:tcW w:w="697" w:type="pct"/>
          </w:tcPr>
          <w:p w14:paraId="4125E2D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7E980113" w14:textId="77777777" w:rsidTr="00F85AFF">
        <w:trPr>
          <w:cantSplit/>
          <w:trHeight w:val="1366"/>
        </w:trPr>
        <w:tc>
          <w:tcPr>
            <w:tcW w:w="623" w:type="pct"/>
            <w:noWrap/>
          </w:tcPr>
          <w:p w14:paraId="76AC27EF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MR02</w:t>
            </w:r>
          </w:p>
        </w:tc>
        <w:tc>
          <w:tcPr>
            <w:tcW w:w="1017" w:type="pct"/>
          </w:tcPr>
          <w:p w14:paraId="4584EBEB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Multi-site management and access</w:t>
            </w:r>
          </w:p>
        </w:tc>
        <w:tc>
          <w:tcPr>
            <w:tcW w:w="1444" w:type="pct"/>
          </w:tcPr>
          <w:p w14:paraId="175B6606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Sites included in a shared instance must be functionally isolated from one another, with no shared state or cross-configuration risk.</w:t>
            </w:r>
          </w:p>
        </w:tc>
        <w:tc>
          <w:tcPr>
            <w:tcW w:w="1219" w:type="pct"/>
          </w:tcPr>
          <w:p w14:paraId="2865AAE1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Documented evidence of how site-level isolation is achieved.</w:t>
            </w:r>
          </w:p>
        </w:tc>
        <w:tc>
          <w:tcPr>
            <w:tcW w:w="697" w:type="pct"/>
          </w:tcPr>
          <w:p w14:paraId="5F59442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5B1265C1" w14:textId="77777777" w:rsidTr="00B55E19">
        <w:trPr>
          <w:cantSplit/>
          <w:trHeight w:val="870"/>
        </w:trPr>
        <w:tc>
          <w:tcPr>
            <w:tcW w:w="623" w:type="pct"/>
            <w:noWrap/>
          </w:tcPr>
          <w:p w14:paraId="286E3A9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MR03</w:t>
            </w:r>
          </w:p>
        </w:tc>
        <w:tc>
          <w:tcPr>
            <w:tcW w:w="1017" w:type="pct"/>
            <w:hideMark/>
          </w:tcPr>
          <w:p w14:paraId="27CAF3CC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Multi-site management and access</w:t>
            </w:r>
          </w:p>
        </w:tc>
        <w:tc>
          <w:tcPr>
            <w:tcW w:w="1444" w:type="pct"/>
            <w:hideMark/>
          </w:tcPr>
          <w:p w14:paraId="2FF7A863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Role-based access must support at minimum global admins for all sites, site-level admin and read-only, and site-level admins must be able to create, edit, test and publish the site’s consent configuration independently.</w:t>
            </w:r>
          </w:p>
        </w:tc>
        <w:tc>
          <w:tcPr>
            <w:tcW w:w="1219" w:type="pct"/>
            <w:hideMark/>
          </w:tcPr>
          <w:p w14:paraId="4B03982F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User/team-management documentation naming specific roles and stating whether a role can be scoped to one/several individual sites.</w:t>
            </w:r>
          </w:p>
        </w:tc>
        <w:tc>
          <w:tcPr>
            <w:tcW w:w="697" w:type="pct"/>
          </w:tcPr>
          <w:p w14:paraId="63F22215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713EAE7F" w14:textId="77777777" w:rsidTr="00B55E19">
        <w:trPr>
          <w:cantSplit/>
          <w:trHeight w:val="870"/>
        </w:trPr>
        <w:tc>
          <w:tcPr>
            <w:tcW w:w="623" w:type="pct"/>
            <w:noWrap/>
          </w:tcPr>
          <w:p w14:paraId="6BD68D0E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MR04</w:t>
            </w:r>
          </w:p>
        </w:tc>
        <w:tc>
          <w:tcPr>
            <w:tcW w:w="1017" w:type="pct"/>
            <w:hideMark/>
          </w:tcPr>
          <w:p w14:paraId="20EE3A2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6E3A1C45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Migration into the Service from an existing supplier must be supported by the Tenderer and be time-bound.</w:t>
            </w:r>
          </w:p>
        </w:tc>
        <w:tc>
          <w:tcPr>
            <w:tcW w:w="1219" w:type="pct"/>
            <w:hideMark/>
          </w:tcPr>
          <w:p w14:paraId="465B7A0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Confirmation of a dedicated migration page, tool, or documented process for moving onto the Service from an existing service, with a stated timeline.</w:t>
            </w:r>
          </w:p>
        </w:tc>
        <w:tc>
          <w:tcPr>
            <w:tcW w:w="697" w:type="pct"/>
          </w:tcPr>
          <w:p w14:paraId="3E662FA5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3455F90E" w14:textId="77777777" w:rsidTr="00B55E19">
        <w:trPr>
          <w:cantSplit/>
          <w:trHeight w:val="870"/>
        </w:trPr>
        <w:tc>
          <w:tcPr>
            <w:tcW w:w="623" w:type="pct"/>
            <w:noWrap/>
          </w:tcPr>
          <w:p w14:paraId="0CB92B03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lastRenderedPageBreak/>
              <w:t>MR05</w:t>
            </w:r>
          </w:p>
        </w:tc>
        <w:tc>
          <w:tcPr>
            <w:tcW w:w="1017" w:type="pct"/>
            <w:hideMark/>
          </w:tcPr>
          <w:p w14:paraId="36B3C2B8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2941E24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Before go-live, the Tenderer must provide, or support the Contracting Authority in producing, a documented implementation plan that covers roles, dependencies, timeline, risks, testing, rollback and required Contracting Authority inputs.</w:t>
            </w:r>
          </w:p>
        </w:tc>
        <w:tc>
          <w:tcPr>
            <w:tcW w:w="1219" w:type="pct"/>
            <w:hideMark/>
          </w:tcPr>
          <w:p w14:paraId="5F9200E0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Confirmation that an implementation plan can be produced/supported by the Tenderer, including a project-plan template, documented onboarding process, or equivalent, explicitly covering the elements listed in MR19.</w:t>
            </w:r>
          </w:p>
        </w:tc>
        <w:tc>
          <w:tcPr>
            <w:tcW w:w="697" w:type="pct"/>
          </w:tcPr>
          <w:p w14:paraId="7F3877B9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4B0D6CDF" w14:textId="77777777" w:rsidTr="00B55E19">
        <w:trPr>
          <w:cantSplit/>
          <w:trHeight w:val="840"/>
        </w:trPr>
        <w:tc>
          <w:tcPr>
            <w:tcW w:w="623" w:type="pct"/>
            <w:noWrap/>
          </w:tcPr>
          <w:p w14:paraId="614069DF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MR06</w:t>
            </w:r>
          </w:p>
        </w:tc>
        <w:tc>
          <w:tcPr>
            <w:tcW w:w="1017" w:type="pct"/>
            <w:hideMark/>
          </w:tcPr>
          <w:p w14:paraId="7F2A7D67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1C19E01E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A test version of each template script must be available and easily integrated with any codebase for configuration testing before any production deployment.</w:t>
            </w:r>
          </w:p>
        </w:tc>
        <w:tc>
          <w:tcPr>
            <w:tcW w:w="1219" w:type="pct"/>
            <w:hideMark/>
          </w:tcPr>
          <w:p w14:paraId="27B7909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Documentation for a preview, staging, sandbox, or draft/publish workflow, separated by site and domain.</w:t>
            </w:r>
          </w:p>
        </w:tc>
        <w:tc>
          <w:tcPr>
            <w:tcW w:w="697" w:type="pct"/>
          </w:tcPr>
          <w:p w14:paraId="483241A7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06A947A8" w14:textId="77777777" w:rsidTr="00B55E19">
        <w:trPr>
          <w:cantSplit/>
          <w:trHeight w:val="900"/>
        </w:trPr>
        <w:tc>
          <w:tcPr>
            <w:tcW w:w="623" w:type="pct"/>
            <w:noWrap/>
          </w:tcPr>
          <w:p w14:paraId="5D16929B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MR07</w:t>
            </w:r>
          </w:p>
        </w:tc>
        <w:tc>
          <w:tcPr>
            <w:tcW w:w="1017" w:type="pct"/>
            <w:hideMark/>
          </w:tcPr>
          <w:p w14:paraId="46033E38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0576B221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Version history/audit log must be available for all production configurations and sites.</w:t>
            </w:r>
          </w:p>
        </w:tc>
        <w:tc>
          <w:tcPr>
            <w:tcW w:w="1219" w:type="pct"/>
            <w:hideMark/>
          </w:tcPr>
          <w:p w14:paraId="359C4FE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Documentation and example of dedicated, Contracting Authority-facing activity log/version history page.</w:t>
            </w:r>
          </w:p>
        </w:tc>
        <w:tc>
          <w:tcPr>
            <w:tcW w:w="697" w:type="pct"/>
          </w:tcPr>
          <w:p w14:paraId="48B29920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23F1890E" w14:textId="77777777" w:rsidTr="00B55E19">
        <w:trPr>
          <w:cantSplit/>
          <w:trHeight w:val="900"/>
        </w:trPr>
        <w:tc>
          <w:tcPr>
            <w:tcW w:w="623" w:type="pct"/>
            <w:noWrap/>
          </w:tcPr>
          <w:p w14:paraId="272EA225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MR08</w:t>
            </w:r>
          </w:p>
        </w:tc>
        <w:tc>
          <w:tcPr>
            <w:tcW w:w="1017" w:type="pct"/>
            <w:hideMark/>
          </w:tcPr>
          <w:p w14:paraId="430F1C10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35B47B9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Rollback capability must be available for all production configurations and sites.</w:t>
            </w:r>
          </w:p>
        </w:tc>
        <w:tc>
          <w:tcPr>
            <w:tcW w:w="1219" w:type="pct"/>
            <w:hideMark/>
          </w:tcPr>
          <w:p w14:paraId="67F6FBCB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Documentation and example of Contracting Authority-controlled version rollback.</w:t>
            </w:r>
          </w:p>
        </w:tc>
        <w:tc>
          <w:tcPr>
            <w:tcW w:w="697" w:type="pct"/>
          </w:tcPr>
          <w:p w14:paraId="092678B6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69730E6D" w14:textId="77777777" w:rsidTr="00B55E19">
        <w:trPr>
          <w:cantSplit/>
          <w:trHeight w:val="880"/>
        </w:trPr>
        <w:tc>
          <w:tcPr>
            <w:tcW w:w="623" w:type="pct"/>
            <w:noWrap/>
          </w:tcPr>
          <w:p w14:paraId="042394A3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MR09</w:t>
            </w:r>
          </w:p>
        </w:tc>
        <w:tc>
          <w:tcPr>
            <w:tcW w:w="1017" w:type="pct"/>
            <w:hideMark/>
          </w:tcPr>
          <w:p w14:paraId="6409EDAE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Implementation, transition, testing and change control</w:t>
            </w:r>
          </w:p>
        </w:tc>
        <w:tc>
          <w:tcPr>
            <w:tcW w:w="1444" w:type="pct"/>
            <w:hideMark/>
          </w:tcPr>
          <w:p w14:paraId="6BF01C73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Once the Contracting Authority is operating the Service independently, where the Contracting Authority's internal change-control process requires specific information about or support for a change, the Tenderer must supply that information on request.</w:t>
            </w:r>
          </w:p>
        </w:tc>
        <w:tc>
          <w:tcPr>
            <w:tcW w:w="1219" w:type="pct"/>
            <w:hideMark/>
          </w:tcPr>
          <w:p w14:paraId="75806BB9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Documentation or a support commitment confirming that support channels can supply the underlying facts/data about a specific change - what will change, how to revert it safely, how to confirm it worked.</w:t>
            </w:r>
          </w:p>
        </w:tc>
        <w:tc>
          <w:tcPr>
            <w:tcW w:w="697" w:type="pct"/>
          </w:tcPr>
          <w:p w14:paraId="5AB19376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30A6FA58" w14:textId="77777777" w:rsidTr="00B55E19">
        <w:trPr>
          <w:cantSplit/>
          <w:trHeight w:val="920"/>
        </w:trPr>
        <w:tc>
          <w:tcPr>
            <w:tcW w:w="623" w:type="pct"/>
            <w:noWrap/>
          </w:tcPr>
          <w:p w14:paraId="7DFD4F66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lastRenderedPageBreak/>
              <w:t>MR10</w:t>
            </w:r>
          </w:p>
        </w:tc>
        <w:tc>
          <w:tcPr>
            <w:tcW w:w="1017" w:type="pct"/>
            <w:hideMark/>
          </w:tcPr>
          <w:p w14:paraId="79DBFA28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Support, ongoing operation and exit</w:t>
            </w:r>
          </w:p>
        </w:tc>
        <w:tc>
          <w:tcPr>
            <w:tcW w:w="1444" w:type="pct"/>
            <w:hideMark/>
          </w:tcPr>
          <w:p w14:paraId="0718C559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Tenderer must demonstrate sufficient service-level commitments.</w:t>
            </w:r>
          </w:p>
        </w:tc>
        <w:tc>
          <w:tcPr>
            <w:tcW w:w="1219" w:type="pct"/>
            <w:hideMark/>
          </w:tcPr>
          <w:p w14:paraId="5C57A1B3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proofErr w:type="gramStart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Incident-report and 99.9% uptime SLAs,</w:t>
            </w:r>
            <w:proofErr w:type="gramEnd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 xml:space="preserve"> defined support-response timelines and a public status/uptime page. Templates or examples are sufficient if the required documents are </w:t>
            </w:r>
            <w:proofErr w:type="gramStart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bespoke</w:t>
            </w:r>
            <w:proofErr w:type="gramEnd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 xml:space="preserve"> per contract.</w:t>
            </w:r>
          </w:p>
        </w:tc>
        <w:tc>
          <w:tcPr>
            <w:tcW w:w="697" w:type="pct"/>
          </w:tcPr>
          <w:p w14:paraId="28E33CFA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101E3DF5" w14:textId="77777777" w:rsidTr="00B55E19">
        <w:trPr>
          <w:cantSplit/>
          <w:trHeight w:val="870"/>
        </w:trPr>
        <w:tc>
          <w:tcPr>
            <w:tcW w:w="623" w:type="pct"/>
            <w:noWrap/>
          </w:tcPr>
          <w:p w14:paraId="10DECC4D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MR11</w:t>
            </w:r>
          </w:p>
        </w:tc>
        <w:tc>
          <w:tcPr>
            <w:tcW w:w="1017" w:type="pct"/>
            <w:hideMark/>
          </w:tcPr>
          <w:p w14:paraId="4E5060A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Support, ongoing operation and exit</w:t>
            </w:r>
          </w:p>
        </w:tc>
        <w:tc>
          <w:tcPr>
            <w:tcW w:w="1444" w:type="pct"/>
            <w:hideMark/>
          </w:tcPr>
          <w:p w14:paraId="7C985608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Training and documentation must be sufficient for the Contracting Authority to manage the Service operationally without Tenderer involvement for routine changes.</w:t>
            </w:r>
          </w:p>
        </w:tc>
        <w:tc>
          <w:tcPr>
            <w:tcW w:w="1219" w:type="pct"/>
            <w:hideMark/>
          </w:tcPr>
          <w:p w14:paraId="7B2964AB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Comprehensive, current and accessible self-serve help/support documentation, and commitment to at least one live onboarding session with a Tenderer representative walking through key Service functionality and taking Contracting Authority questions.</w:t>
            </w:r>
          </w:p>
        </w:tc>
        <w:tc>
          <w:tcPr>
            <w:tcW w:w="697" w:type="pct"/>
          </w:tcPr>
          <w:p w14:paraId="7E07E662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4B3D21" w:rsidRPr="004B3D21" w14:paraId="539434A7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733B9952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b/>
                <w:bCs/>
                <w:kern w:val="2"/>
                <w:sz w:val="24"/>
                <w:szCs w:val="24"/>
                <w:lang w:val="en-GB" w:eastAsia="en-US"/>
                <w14:ligatures w14:val="standardContextual"/>
              </w:rPr>
              <w:t>MR12</w:t>
            </w:r>
          </w:p>
        </w:tc>
        <w:tc>
          <w:tcPr>
            <w:tcW w:w="1017" w:type="pct"/>
            <w:hideMark/>
          </w:tcPr>
          <w:p w14:paraId="5075DD44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Support, ongoing operation and exit</w:t>
            </w:r>
          </w:p>
        </w:tc>
        <w:tc>
          <w:tcPr>
            <w:tcW w:w="1444" w:type="pct"/>
            <w:hideMark/>
          </w:tcPr>
          <w:p w14:paraId="54B66AEB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Exit provisions must include adequate notice period, data portability and handover support obligations.</w:t>
            </w:r>
          </w:p>
        </w:tc>
        <w:tc>
          <w:tcPr>
            <w:tcW w:w="1219" w:type="pct"/>
            <w:hideMark/>
          </w:tcPr>
          <w:p w14:paraId="7530A4D1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</w:pPr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 xml:space="preserve">A documented commitment to export Contracting Authority data in a usable </w:t>
            </w:r>
            <w:proofErr w:type="gramStart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>format, or</w:t>
            </w:r>
            <w:proofErr w:type="gramEnd"/>
            <w:r w:rsidRPr="004B3D21">
              <w:rPr>
                <w:rFonts w:ascii="Calibri" w:hAnsi="Calibri"/>
                <w:kern w:val="2"/>
                <w:lang w:val="en-GB" w:eastAsia="en-US"/>
                <w14:ligatures w14:val="standardContextual"/>
              </w:rPr>
              <w:t xml:space="preserve"> otherwise support the Contracting Authority if changing to another supplier.</w:t>
            </w:r>
          </w:p>
        </w:tc>
        <w:tc>
          <w:tcPr>
            <w:tcW w:w="697" w:type="pct"/>
          </w:tcPr>
          <w:p w14:paraId="662FD1E5" w14:textId="77777777" w:rsidR="004B3D21" w:rsidRPr="004B3D21" w:rsidRDefault="004B3D21" w:rsidP="004B3D21">
            <w:pPr>
              <w:spacing w:after="160" w:line="278" w:lineRule="auto"/>
              <w:rPr>
                <w:rFonts w:ascii="Calibri" w:hAnsi="Calibri"/>
                <w:kern w:val="2"/>
                <w:sz w:val="32"/>
                <w:szCs w:val="32"/>
                <w:lang w:val="en-GB" w:eastAsia="en-US"/>
                <w14:ligatures w14:val="standardContextual"/>
              </w:rPr>
            </w:pPr>
          </w:p>
        </w:tc>
      </w:tr>
      <w:tr w:rsidR="00161FB6" w:rsidRPr="004B3D21" w14:paraId="69BE3F83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6EA0EAB1" w14:textId="566FD65F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MR13</w:t>
            </w:r>
          </w:p>
        </w:tc>
        <w:tc>
          <w:tcPr>
            <w:tcW w:w="1017" w:type="pct"/>
          </w:tcPr>
          <w:p w14:paraId="2E587852" w14:textId="1B7FE7FC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Data protection and compliance</w:t>
            </w:r>
          </w:p>
        </w:tc>
        <w:tc>
          <w:tcPr>
            <w:tcW w:w="1444" w:type="pct"/>
          </w:tcPr>
          <w:p w14:paraId="130CAA8C" w14:textId="14F3707D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A signed Article 28 GDPR Data Processing Agreement must be in place before go-live, with a comprehensive standard/template DPA provided with the Tender.</w:t>
            </w:r>
          </w:p>
        </w:tc>
        <w:tc>
          <w:tcPr>
            <w:tcW w:w="1219" w:type="pct"/>
          </w:tcPr>
          <w:p w14:paraId="67F77EA5" w14:textId="5A2F18E4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 xml:space="preserve">Standard DPA with an up-to-date sub-processor list, SCCs or other transfer mechanism, Data Subject Access Request SLA or equivalent, Contracting Authority-configurable data retention periods, and a clause requiring notification of a breach </w:t>
            </w:r>
            <w:r w:rsidRPr="004B3D21">
              <w:rPr>
                <w:rFonts w:ascii="Calibri" w:hAnsi="Calibri"/>
                <w:lang w:val="en-GB"/>
              </w:rPr>
              <w:lastRenderedPageBreak/>
              <w:t>within 24 hours of the Tenderer becoming aware, with a full incident report to follow within 72 hours.</w:t>
            </w:r>
          </w:p>
        </w:tc>
        <w:tc>
          <w:tcPr>
            <w:tcW w:w="697" w:type="pct"/>
          </w:tcPr>
          <w:p w14:paraId="1CC26C37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046F87C6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638C9773" w14:textId="0139848F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MR14</w:t>
            </w:r>
          </w:p>
        </w:tc>
        <w:tc>
          <w:tcPr>
            <w:tcW w:w="1017" w:type="pct"/>
          </w:tcPr>
          <w:p w14:paraId="239B0898" w14:textId="169F1940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Data protection and compliance</w:t>
            </w:r>
          </w:p>
        </w:tc>
        <w:tc>
          <w:tcPr>
            <w:tcW w:w="1444" w:type="pct"/>
          </w:tcPr>
          <w:p w14:paraId="0DA585B0" w14:textId="709861AC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The Tenderer must document all cookies set by the Service itself, with purpose, lifetime and legal basis stated for each.</w:t>
            </w:r>
          </w:p>
        </w:tc>
        <w:tc>
          <w:tcPr>
            <w:tcW w:w="1219" w:type="pct"/>
          </w:tcPr>
          <w:p w14:paraId="22067BF1" w14:textId="20E7FC62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 xml:space="preserve">A page or document listing every cookie the Service itself sets, with a stated purpose, storage duration and legal basis for each, detailed enough for Contracting Authority to include or refer to in its privacy/cookie notices. </w:t>
            </w:r>
          </w:p>
        </w:tc>
        <w:tc>
          <w:tcPr>
            <w:tcW w:w="697" w:type="pct"/>
          </w:tcPr>
          <w:p w14:paraId="6DCD9F92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4A4EE534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0B9866F8" w14:textId="2D2B32AF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MR15</w:t>
            </w:r>
          </w:p>
        </w:tc>
        <w:tc>
          <w:tcPr>
            <w:tcW w:w="1017" w:type="pct"/>
          </w:tcPr>
          <w:p w14:paraId="70B2EB0B" w14:textId="6D442309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Data protection and compliance</w:t>
            </w:r>
          </w:p>
        </w:tc>
        <w:tc>
          <w:tcPr>
            <w:tcW w:w="1444" w:type="pct"/>
          </w:tcPr>
          <w:p w14:paraId="1AEFF29E" w14:textId="6A010AB3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The Service must collect only the personal data necessary for consent management, namely consent preferences, timestamps and the minimum device or session identifiers required for technical operation.</w:t>
            </w:r>
          </w:p>
        </w:tc>
        <w:tc>
          <w:tcPr>
            <w:tcW w:w="1219" w:type="pct"/>
          </w:tcPr>
          <w:p w14:paraId="023B675A" w14:textId="45046DBD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 xml:space="preserve">A page or document listing every cookie the Service itself sets, with a stated purpose, storage duration and legal basis for each, detailed enough for Contracting Authority to include or refer to in its privacy/cookie notices. </w:t>
            </w:r>
          </w:p>
        </w:tc>
        <w:tc>
          <w:tcPr>
            <w:tcW w:w="697" w:type="pct"/>
          </w:tcPr>
          <w:p w14:paraId="3BF893E7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6F1B12B9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1D9DBF0F" w14:textId="67C47371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MR16</w:t>
            </w:r>
          </w:p>
        </w:tc>
        <w:tc>
          <w:tcPr>
            <w:tcW w:w="1017" w:type="pct"/>
          </w:tcPr>
          <w:p w14:paraId="47B77312" w14:textId="768D9A60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Data protection and compliance</w:t>
            </w:r>
          </w:p>
        </w:tc>
        <w:tc>
          <w:tcPr>
            <w:tcW w:w="1444" w:type="pct"/>
          </w:tcPr>
          <w:p w14:paraId="63C66476" w14:textId="31685D65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Consent functionality must be compliant by default, with no pre-selections, non-essential cookies blocked until the user decides, rejection given equal prominence as acceptance and cookie categories separated.</w:t>
            </w:r>
          </w:p>
        </w:tc>
        <w:tc>
          <w:tcPr>
            <w:tcW w:w="1219" w:type="pct"/>
          </w:tcPr>
          <w:p w14:paraId="4D08E46C" w14:textId="0BD3C3BC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Tenderer documentation of default configuration settings, stating the default button set, pre-check state of each cookie category and whether non-essential cookies are blocked prior to consent.</w:t>
            </w:r>
          </w:p>
        </w:tc>
        <w:tc>
          <w:tcPr>
            <w:tcW w:w="697" w:type="pct"/>
          </w:tcPr>
          <w:p w14:paraId="692FF01A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390A63A3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6A6E3F25" w14:textId="3DF1B8ED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MR17</w:t>
            </w:r>
          </w:p>
        </w:tc>
        <w:tc>
          <w:tcPr>
            <w:tcW w:w="1017" w:type="pct"/>
          </w:tcPr>
          <w:p w14:paraId="22796A3A" w14:textId="7D503675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Data protection and compliance</w:t>
            </w:r>
          </w:p>
        </w:tc>
        <w:tc>
          <w:tcPr>
            <w:tcW w:w="1444" w:type="pct"/>
          </w:tcPr>
          <w:p w14:paraId="26ECE93F" w14:textId="094628F5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The consent banner and all associated UI elements must conform to EN 301 549 v3.2.1, or WCAG equivalent, as a minimum.</w:t>
            </w:r>
          </w:p>
        </w:tc>
        <w:tc>
          <w:tcPr>
            <w:tcW w:w="1219" w:type="pct"/>
          </w:tcPr>
          <w:p w14:paraId="69BCD5E0" w14:textId="639DFB9E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A public accessibility statement with stated EN 301 549 v3.2.1 or WCAG equivalent.</w:t>
            </w:r>
          </w:p>
        </w:tc>
        <w:tc>
          <w:tcPr>
            <w:tcW w:w="697" w:type="pct"/>
          </w:tcPr>
          <w:p w14:paraId="0C65D0DD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1762248C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25A98861" w14:textId="5E7096C6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MR18</w:t>
            </w:r>
          </w:p>
        </w:tc>
        <w:tc>
          <w:tcPr>
            <w:tcW w:w="1017" w:type="pct"/>
          </w:tcPr>
          <w:p w14:paraId="73E1AEC0" w14:textId="20550CFD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33FA00D3" w14:textId="79E009CB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Tenders must demonstrate how the Services' blocking mechanism discriminates between the items it blocks.</w:t>
            </w:r>
          </w:p>
        </w:tc>
        <w:tc>
          <w:tcPr>
            <w:tcW w:w="1219" w:type="pct"/>
          </w:tcPr>
          <w:p w14:paraId="18FE68E9" w14:textId="22E4A051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 xml:space="preserve">Technical documentation naming the blocking modes available and what each </w:t>
            </w:r>
            <w:proofErr w:type="gramStart"/>
            <w:r w:rsidRPr="004B3D21">
              <w:rPr>
                <w:rFonts w:ascii="Calibri" w:hAnsi="Calibri"/>
                <w:lang w:val="en-GB"/>
              </w:rPr>
              <w:t>acts</w:t>
            </w:r>
            <w:proofErr w:type="gramEnd"/>
            <w:r w:rsidRPr="004B3D21">
              <w:rPr>
                <w:rFonts w:ascii="Calibri" w:hAnsi="Calibri"/>
                <w:lang w:val="en-GB"/>
              </w:rPr>
              <w:t xml:space="preserve"> on, including third-party JavaScript, Google Tag Manager and </w:t>
            </w:r>
          </w:p>
        </w:tc>
        <w:tc>
          <w:tcPr>
            <w:tcW w:w="697" w:type="pct"/>
          </w:tcPr>
          <w:p w14:paraId="730B6658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46E4BD0D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5669E6E8" w14:textId="1995C556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lastRenderedPageBreak/>
              <w:t>MR19</w:t>
            </w:r>
          </w:p>
        </w:tc>
        <w:tc>
          <w:tcPr>
            <w:tcW w:w="1017" w:type="pct"/>
          </w:tcPr>
          <w:p w14:paraId="37CC31D1" w14:textId="21C037FB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2F9FE91B" w14:textId="66305373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Automated cookie scanning must detect cookies and third-party scripts on all sites, including those fired via GTM.</w:t>
            </w:r>
          </w:p>
        </w:tc>
        <w:tc>
          <w:tcPr>
            <w:tcW w:w="1219" w:type="pct"/>
          </w:tcPr>
          <w:p w14:paraId="24BE83E8" w14:textId="66FE569D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Tenderer documentation stating whether the scan executes and inspects scripts loaded via GTM and other third-party scripts.</w:t>
            </w:r>
          </w:p>
        </w:tc>
        <w:tc>
          <w:tcPr>
            <w:tcW w:w="697" w:type="pct"/>
          </w:tcPr>
          <w:p w14:paraId="3BD71F9E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7962B1AB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62ED32B4" w14:textId="30318DC2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MR20</w:t>
            </w:r>
          </w:p>
        </w:tc>
        <w:tc>
          <w:tcPr>
            <w:tcW w:w="1017" w:type="pct"/>
          </w:tcPr>
          <w:p w14:paraId="40BF13EF" w14:textId="78181A13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7D6C8AEB" w14:textId="4FAD397F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Google Consent Mode v2 must be supported.</w:t>
            </w:r>
          </w:p>
        </w:tc>
        <w:tc>
          <w:tcPr>
            <w:tcW w:w="1219" w:type="pct"/>
          </w:tcPr>
          <w:p w14:paraId="481A4412" w14:textId="43839ADF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Evidence that Service is listed on Google CMP Partner Program.</w:t>
            </w:r>
          </w:p>
        </w:tc>
        <w:tc>
          <w:tcPr>
            <w:tcW w:w="697" w:type="pct"/>
          </w:tcPr>
          <w:p w14:paraId="32B23331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161FB6" w:rsidRPr="004B3D21" w14:paraId="51F9280B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02402B87" w14:textId="55259F3F" w:rsidR="00161FB6" w:rsidRPr="00B55E19" w:rsidRDefault="00161FB6" w:rsidP="00161FB6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MR21</w:t>
            </w:r>
          </w:p>
        </w:tc>
        <w:tc>
          <w:tcPr>
            <w:tcW w:w="1017" w:type="pct"/>
          </w:tcPr>
          <w:p w14:paraId="72D29DDA" w14:textId="1F5B0B1B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14FE9CCD" w14:textId="02C5CEC6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Tender must demonstrate TCF conformance and GPP support.</w:t>
            </w:r>
          </w:p>
        </w:tc>
        <w:tc>
          <w:tcPr>
            <w:tcW w:w="1219" w:type="pct"/>
          </w:tcPr>
          <w:p w14:paraId="06D21E8C" w14:textId="799A2BBD" w:rsidR="00161FB6" w:rsidRPr="004B3D21" w:rsidRDefault="00161FB6" w:rsidP="00161FB6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A registered CMP ID on the IAB Europe CMP List and documented GPP support.</w:t>
            </w:r>
          </w:p>
        </w:tc>
        <w:tc>
          <w:tcPr>
            <w:tcW w:w="697" w:type="pct"/>
          </w:tcPr>
          <w:p w14:paraId="45EA8B92" w14:textId="77777777" w:rsidR="00161FB6" w:rsidRPr="004B3D21" w:rsidRDefault="00161FB6" w:rsidP="00161FB6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B55E19" w:rsidRPr="004B3D21" w14:paraId="04FF6AE5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528476DA" w14:textId="1E748B39" w:rsidR="00B55E19" w:rsidRPr="00B55E19" w:rsidRDefault="00B55E19" w:rsidP="00B55E19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MR22</w:t>
            </w:r>
          </w:p>
        </w:tc>
        <w:tc>
          <w:tcPr>
            <w:tcW w:w="1017" w:type="pct"/>
          </w:tcPr>
          <w:p w14:paraId="3ED06775" w14:textId="780DCCC4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5C1DBA4F" w14:textId="44756AD9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Tender must demonstrate that Tenderer Service does not undermine site page performance.</w:t>
            </w:r>
          </w:p>
        </w:tc>
        <w:tc>
          <w:tcPr>
            <w:tcW w:w="1219" w:type="pct"/>
          </w:tcPr>
          <w:p w14:paraId="7B815B7C" w14:textId="6790D32F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Independent, recent RUM/benchmark results showing the Service's own INP, and whether the Service is itself the LCP element.</w:t>
            </w:r>
          </w:p>
        </w:tc>
        <w:tc>
          <w:tcPr>
            <w:tcW w:w="697" w:type="pct"/>
          </w:tcPr>
          <w:p w14:paraId="2C9FAEBE" w14:textId="77777777" w:rsidR="00B55E19" w:rsidRPr="004B3D21" w:rsidRDefault="00B55E19" w:rsidP="00B55E19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B55E19" w:rsidRPr="004B3D21" w14:paraId="322C7416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10924018" w14:textId="42888959" w:rsidR="00B55E19" w:rsidRPr="00B55E19" w:rsidRDefault="00B55E19" w:rsidP="00B55E19">
            <w:pPr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</w:pPr>
            <w:r w:rsidRPr="004B3D21">
              <w:rPr>
                <w:rFonts w:ascii="Calibri" w:hAnsi="Calibri"/>
                <w:b/>
                <w:bCs/>
                <w:sz w:val="24"/>
                <w:szCs w:val="24"/>
                <w:lang w:val="en-GB"/>
              </w:rPr>
              <w:t>MR23</w:t>
            </w:r>
          </w:p>
        </w:tc>
        <w:tc>
          <w:tcPr>
            <w:tcW w:w="1017" w:type="pct"/>
          </w:tcPr>
          <w:p w14:paraId="55B19197" w14:textId="0B09F998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Technical integration and performance</w:t>
            </w:r>
          </w:p>
        </w:tc>
        <w:tc>
          <w:tcPr>
            <w:tcW w:w="1444" w:type="pct"/>
          </w:tcPr>
          <w:p w14:paraId="182B2287" w14:textId="18B90307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The Tenderer must facilitate the Contracting Authority in reviewing the Service architecture and data flows.</w:t>
            </w:r>
          </w:p>
        </w:tc>
        <w:tc>
          <w:tcPr>
            <w:tcW w:w="1219" w:type="pct"/>
          </w:tcPr>
          <w:p w14:paraId="49D85242" w14:textId="0CB5EFF9" w:rsidR="00B55E19" w:rsidRPr="004B3D21" w:rsidRDefault="00B55E19" w:rsidP="00B55E19">
            <w:pPr>
              <w:rPr>
                <w:rFonts w:ascii="Calibri" w:hAnsi="Calibri"/>
                <w:lang w:val="en-GB"/>
              </w:rPr>
            </w:pPr>
            <w:r w:rsidRPr="004B3D21">
              <w:rPr>
                <w:rFonts w:ascii="Calibri" w:hAnsi="Calibri"/>
                <w:lang w:val="en-GB"/>
              </w:rPr>
              <w:t>Documentation showing how data moves through the Service, from browser/banner through to backend processing and any downstream destinations.</w:t>
            </w:r>
          </w:p>
        </w:tc>
        <w:tc>
          <w:tcPr>
            <w:tcW w:w="697" w:type="pct"/>
          </w:tcPr>
          <w:p w14:paraId="0AD8972E" w14:textId="77777777" w:rsidR="00B55E19" w:rsidRPr="004B3D21" w:rsidRDefault="00B55E19" w:rsidP="00B55E19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  <w:tr w:rsidR="00B55E19" w:rsidRPr="004B3D21" w14:paraId="5C444AF5" w14:textId="77777777" w:rsidTr="00B55E19">
        <w:trPr>
          <w:cantSplit/>
          <w:trHeight w:val="580"/>
        </w:trPr>
        <w:tc>
          <w:tcPr>
            <w:tcW w:w="623" w:type="pct"/>
            <w:noWrap/>
          </w:tcPr>
          <w:p w14:paraId="53C147ED" w14:textId="3CB2CE08" w:rsidR="00B55E19" w:rsidRPr="00B55E19" w:rsidRDefault="00B55E19" w:rsidP="00B55E19">
            <w:pPr>
              <w:rPr>
                <w:rFonts w:ascii="Calibri" w:hAnsi="Calibri" w:cs="Calibri"/>
                <w:b/>
                <w:bCs/>
                <w:sz w:val="24"/>
                <w:szCs w:val="24"/>
                <w:lang w:val="en-GB"/>
              </w:rPr>
            </w:pPr>
            <w:r w:rsidRPr="00B55E19">
              <w:rPr>
                <w:rFonts w:ascii="Calibri" w:hAnsi="Calibri" w:cs="Calibri"/>
                <w:b/>
                <w:bCs/>
                <w:sz w:val="24"/>
                <w:szCs w:val="24"/>
              </w:rPr>
              <w:t>MR24</w:t>
            </w:r>
          </w:p>
        </w:tc>
        <w:tc>
          <w:tcPr>
            <w:tcW w:w="1017" w:type="pct"/>
          </w:tcPr>
          <w:p w14:paraId="38F12DA8" w14:textId="3296E2E5" w:rsidR="00B55E19" w:rsidRPr="00B55E19" w:rsidRDefault="00B55E19" w:rsidP="00B55E19">
            <w:pPr>
              <w:rPr>
                <w:rFonts w:ascii="Calibri" w:hAnsi="Calibri" w:cs="Calibri"/>
                <w:lang w:val="en-GB"/>
              </w:rPr>
            </w:pPr>
            <w:r w:rsidRPr="00B55E19">
              <w:rPr>
                <w:rFonts w:ascii="Calibri" w:hAnsi="Calibri" w:cs="Calibri"/>
              </w:rPr>
              <w:t>Language support</w:t>
            </w:r>
          </w:p>
        </w:tc>
        <w:tc>
          <w:tcPr>
            <w:tcW w:w="1444" w:type="pct"/>
          </w:tcPr>
          <w:p w14:paraId="177168B7" w14:textId="618B4ACC" w:rsidR="00B55E19" w:rsidRPr="00B55E19" w:rsidRDefault="00B55E19" w:rsidP="00B55E19">
            <w:pPr>
              <w:rPr>
                <w:rFonts w:ascii="Calibri" w:hAnsi="Calibri" w:cs="Calibri"/>
                <w:lang w:val="en-GB"/>
              </w:rPr>
            </w:pPr>
            <w:r w:rsidRPr="00B55E19">
              <w:rPr>
                <w:rFonts w:ascii="Calibri" w:hAnsi="Calibri" w:cs="Calibri"/>
              </w:rPr>
              <w:t>Cookie banner and preference text must be available in Irish, English, Modern Standard Arabic, Simplified Chinese, French, Hindi, Italian, Standard Japanese, Polish, Portuguese, Russian, Spanish and Turkish, without custom development.</w:t>
            </w:r>
          </w:p>
        </w:tc>
        <w:tc>
          <w:tcPr>
            <w:tcW w:w="1219" w:type="pct"/>
          </w:tcPr>
          <w:p w14:paraId="74CAF06C" w14:textId="37C16B9F" w:rsidR="00B55E19" w:rsidRPr="00B55E19" w:rsidRDefault="00B55E19" w:rsidP="00B55E19">
            <w:pPr>
              <w:rPr>
                <w:rFonts w:ascii="Calibri" w:hAnsi="Calibri" w:cs="Calibri"/>
                <w:lang w:val="en-GB"/>
              </w:rPr>
            </w:pPr>
            <w:r w:rsidRPr="00B55E19">
              <w:rPr>
                <w:rFonts w:ascii="Calibri" w:hAnsi="Calibri" w:cs="Calibri"/>
              </w:rPr>
              <w:t>A documented list of supported languages, example of English and non-English banner/preference-centre and description of translation process.</w:t>
            </w:r>
          </w:p>
        </w:tc>
        <w:tc>
          <w:tcPr>
            <w:tcW w:w="697" w:type="pct"/>
          </w:tcPr>
          <w:p w14:paraId="28764510" w14:textId="77777777" w:rsidR="00B55E19" w:rsidRPr="004B3D21" w:rsidRDefault="00B55E19" w:rsidP="00B55E19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</w:tr>
    </w:tbl>
    <w:p w14:paraId="1E2EE8C5" w14:textId="77777777" w:rsidR="004B3D21" w:rsidRDefault="004B3D21"/>
    <w:sectPr w:rsidR="004B3D2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448130"/>
      <w:docPartObj>
        <w:docPartGallery w:val="Page Numbers (Bottom of Page)"/>
        <w:docPartUnique/>
      </w:docPartObj>
    </w:sdtPr>
    <w:sdtContent>
      <w:p w14:paraId="341DF0CF" w14:textId="77777777" w:rsidR="004B3D21" w:rsidRPr="00DE06E5" w:rsidRDefault="004B3D21" w:rsidP="00F934BA">
        <w:pPr>
          <w:pStyle w:val="Footer"/>
          <w:jc w:val="center"/>
        </w:pPr>
        <w:r w:rsidRPr="00DE06E5">
          <w:fldChar w:fldCharType="begin"/>
        </w:r>
        <w:r w:rsidRPr="00DE06E5">
          <w:instrText xml:space="preserve"> PAGE   \* MERGEFORMAT </w:instrText>
        </w:r>
        <w:r w:rsidRPr="00DE06E5">
          <w:fldChar w:fldCharType="separate"/>
        </w:r>
        <w:r w:rsidRPr="00526CD2">
          <w:rPr>
            <w:rFonts w:ascii="Times New Roman" w:hAnsi="Times New Roman"/>
            <w:noProof/>
          </w:rPr>
          <w:t>21</w:t>
        </w:r>
        <w:r w:rsidRPr="00DE06E5"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21"/>
    <w:rsid w:val="00161FB6"/>
    <w:rsid w:val="001733F3"/>
    <w:rsid w:val="004B3D21"/>
    <w:rsid w:val="009A04D5"/>
    <w:rsid w:val="00B55E19"/>
    <w:rsid w:val="00C406B5"/>
    <w:rsid w:val="00E27B95"/>
    <w:rsid w:val="00F8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E7AF6"/>
  <w15:chartTrackingRefBased/>
  <w15:docId w15:val="{0D29A5E8-D2E5-4909-99F8-1F48C7CA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D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D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D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D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D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D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D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D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D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D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B3D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4B3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217F5C4B4885714290178E1243A0A295" ma:contentTypeVersion="253" ma:contentTypeDescription="" ma:contentTypeScope="" ma:versionID="c3b963cf4c967e4d845484f529370e90">
  <xsd:schema xmlns:xsd="http://www.w3.org/2001/XMLSchema" xmlns:xs="http://www.w3.org/2001/XMLSchema" xmlns:p="http://schemas.microsoft.com/office/2006/metadata/properties" xmlns:ns2="2ff5d677-0cab-4642-9cb9-c725cc8c657c" targetNamespace="http://schemas.microsoft.com/office/2006/metadata/properties" ma:root="true" ma:fieldsID="059c47b18712231727b3ef6b3d5ff321" ns2:_="">
    <xsd:import namespace="2ff5d677-0cab-4642-9cb9-c725cc8c657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5d677-0cab-4642-9cb9-c725cc8c657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13f73aa-ea99-414a-8373-130280e3b6b4}" ma:internalName="TaxCatchAll" ma:showField="CatchAllData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13f73aa-ea99-414a-8373-130280e3b6b4}" ma:internalName="TaxCatchAllLabel" ma:readOnly="true" ma:showField="CatchAllDataLabel" ma:web="2ff5d677-0cab-4642-9cb9-c725cc8c65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36|3bf74684-aa4a-48dc-a3f8-2440bd6bde0a" ma:fieldId="{11f8bb48-43d6-459a-8b80-9123185593c7}" ma:sspId="0e3abafe-1b34-4c1b-bf65-10a7feaae33e" ma:termSetId="90efb4c6-9db8-4ab8-b5d0-a64d06b76fd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0e3abafe-1b34-4c1b-bf65-10a7feaae33e" ma:termSetId="6e832c83-050b-48dc-ad1c-9a00fb71e29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0e3abafe-1b34-4c1b-bf65-10a7feaae33e" ma:termSetId="3bfd233e-e4b5-4528-8241-afa9e55df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48e59aef-4941-49be-a09f-d6143239bb71" ma:fieldId="{6bbd3faf-a5ab-4e5e-b8a6-a5e099cef439}" ma:sspId="0e3abafe-1b34-4c1b-bf65-10a7feaae33e" ma:termSetId="cfde435d-7c98-4272-8b5d-5c47f89107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0e3abafe-1b34-4c1b-bf65-10a7feaae33e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02c691f3efa402dab5cbaa8c240a9e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a6a10e9d-ee7f-4f16-965b-ca906350e1c3</TermId>
        </TermInfo>
        <TermInfo xmlns="http://schemas.microsoft.com/office/infopath/2007/PartnerControls">
          <TermName xmlns="http://schemas.microsoft.com/office/infopath/2007/PartnerControls">#Finance</TermName>
          <TermId xmlns="http://schemas.microsoft.com/office/infopath/2007/PartnerControls">3b5c7c14-53f4-48ec-a203-54ec26f3c77e</TermId>
        </TermInfo>
        <TermInfo xmlns="http://schemas.microsoft.com/office/infopath/2007/PartnerControls">
          <TermName xmlns="http://schemas.microsoft.com/office/infopath/2007/PartnerControls">#Projects</TermName>
          <TermId xmlns="http://schemas.microsoft.com/office/infopath/2007/PartnerControls">5e12c8d0-ac4c-4a6a-a8e8-8bf9bd4e9b7c</TermId>
        </TermInfo>
        <TermInfo xmlns="http://schemas.microsoft.com/office/infopath/2007/PartnerControls">
          <TermName xmlns="http://schemas.microsoft.com/office/infopath/2007/PartnerControls">#Tenders</TermName>
          <TermId xmlns="http://schemas.microsoft.com/office/infopath/2007/PartnerControls">9f1d9cd5-9dd5-4793-a796-65213e8304f7</TermId>
        </TermInfo>
        <TermInfo xmlns="http://schemas.microsoft.com/office/infopath/2007/PartnerControls">
          <TermName xmlns="http://schemas.microsoft.com/office/infopath/2007/PartnerControls">#RFT</TermName>
          <TermId xmlns="http://schemas.microsoft.com/office/infopath/2007/PartnerControls">ddbd3dc8-c8ea-4bb2-b588-2c9d085c1415</TermId>
        </TermInfo>
        <TermInfo xmlns="http://schemas.microsoft.com/office/infopath/2007/PartnerControls">
          <TermName xmlns="http://schemas.microsoft.com/office/infopath/2007/PartnerControls">#Procurement</TermName>
          <TermId xmlns="http://schemas.microsoft.com/office/infopath/2007/PartnerControls">a68a2ea9-f4da-41d7-bacf-7b3f1404e250</TermId>
        </TermInfo>
      </Terms>
    </m02c691f3efa402dab5cbaa8c240a9e7>
    <eDocs_FileStatus xmlns="2ff5d677-0cab-4642-9cb9-c725cc8c657c">Live</eDocs_FileStatus>
    <mbbd3fafa5ab4e5eb8a6a5e099cef439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dbd28018-9f70-450e-9470-9d9d44bcba64</TermId>
        </TermInfo>
      </Terms>
    </mbbd3fafa5ab4e5eb8a6a5e099cef439>
    <fbaa881fc4ae443f9fdafbdd527793df xmlns="2ff5d677-0cab-4642-9cb9-c725cc8c657c">
      <Terms xmlns="http://schemas.microsoft.com/office/infopath/2007/PartnerControls"/>
    </fbaa881fc4ae443f9fdafbdd527793df>
    <_vti_ItemDeclaredRecord xmlns="2ff5d677-0cab-4642-9cb9-c725cc8c657c" xsi:nil="true"/>
    <h1f8bb4843d6459a8b809123185593c7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036</TermName>
          <TermId xmlns="http://schemas.microsoft.com/office/infopath/2007/PartnerControls">3bf74684-aa4a-48dc-a3f8-2440bd6bde0a</TermId>
        </TermInfo>
      </Terms>
    </h1f8bb4843d6459a8b809123185593c7>
    <eDocs_eFileName xmlns="2ff5d677-0cab-4642-9cb9-c725cc8c657c">DFA036-001-2025</eDocs_eFileName>
    <nb1b8a72855341e18dd75ce464e281f2 xmlns="2ff5d677-0cab-4642-9cb9-c725cc8c657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fa6db36b-335b-4ee9-8e45-1b7375a06d1a</TermId>
        </TermInfo>
      </Terms>
    </nb1b8a72855341e18dd75ce464e281f2>
    <TaxCatchAll xmlns="2ff5d677-0cab-4642-9cb9-c725cc8c657c">
      <Value>101</Value>
      <Value>14</Value>
      <Value>12</Value>
      <Value>96</Value>
      <Value>8</Value>
      <Value>97</Value>
      <Value>6</Value>
      <Value>3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361D5A33-E7D1-4081-BD20-A4FBF69F8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f5d677-0cab-4642-9cb9-c725cc8c6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895BA-3541-4C58-B1B7-2E24C3A210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D95CC-2711-4A43-BB0B-E583EB59515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purl.org/dc/dcmitype/"/>
    <ds:schemaRef ds:uri="2ff5d677-0cab-4642-9cb9-c725cc8c657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and Trade</Company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Fitzpatrick Ciara HQ-FINANCE</dc:creator>
  <cp:keywords/>
  <dc:description/>
  <cp:lastModifiedBy>Fitzpatrick Ciara HQ-FINANCE</cp:lastModifiedBy>
  <cp:revision>13</cp:revision>
  <dcterms:created xsi:type="dcterms:W3CDTF">2026-09-07T09:57:00Z</dcterms:created>
  <dcterms:modified xsi:type="dcterms:W3CDTF">2026-09-07T10:22:00Z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0x0101000BC94875665D404BB1351B53C41FD2C000217F5C4B4885714290178E1243A0A295</vt:lpwstr>
  </property>
  <property fmtid="{D5CDD505-2E9C-101B-9397-08002B2CF9AE}" pid="3" name="eDocs_SecurityClassification">
    <vt:lpwstr>8;#Confidential|dbd28018-9f70-450e-9470-9d9d44bcba64</vt:lpwstr>
  </property>
  <property fmtid="{D5CDD505-2E9C-101B-9397-08002B2CF9AE}" pid="4" name="eDocs_Series">
    <vt:lpwstr>1;#036|3bf74684-aa4a-48dc-a3f8-2440bd6bde0a</vt:lpwstr>
  </property>
  <property fmtid="{D5CDD505-2E9C-101B-9397-08002B2CF9AE}" pid="5" name="eDocs_Year">
    <vt:lpwstr>101;#2025|fa6db36b-335b-4ee9-8e45-1b7375a06d1a</vt:lpwstr>
  </property>
  <property fmtid="{D5CDD505-2E9C-101B-9397-08002B2CF9AE}" pid="6" name="eDocs_FileTopics">
    <vt:lpwstr>3;#Administration|a6a10e9d-ee7f-4f16-965b-ca906350e1c3;#6;##Finance|3b5c7c14-53f4-48ec-a203-54ec26f3c77e;#12;##Projects|5e12c8d0-ac4c-4a6a-a8e8-8bf9bd4e9b7c;#96;##Tenders|9f1d9cd5-9dd5-4793-a796-65213e8304f7;#97;##RFT|ddbd3dc8-c8ea-4bb2-b588-2c9d085c1415;#14;##Procurement|a68a2ea9-f4da-41d7-bacf-7b3f1404e250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