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p>
    <w:p/>
    <w:p>
      <w:pPr>
        <w:pStyle w:val="Title"/>
        <w:jc w:val="center"/>
      </w:pPr>
      <w:r>
        <w:t>DRAFT SERVICES CONTRACT</w:t>
      </w:r>
    </w:p>
    <w:p>
      <w:pPr>
        <w:jc w:val="center"/>
      </w:pPr>
      <w:r>
        <w:rPr>
          <w:b/>
          <w:sz w:val="32"/>
        </w:rPr>
        <w:t>Graduate Development Programme</w:t>
      </w:r>
    </w:p>
    <w:p/>
    <w:p>
      <w:pPr>
        <w:jc w:val="center"/>
      </w:pPr>
      <w:r>
        <w:rPr>
          <w:b/>
        </w:rPr>
        <w:t>Tech Industry Alliance Skillnet</w:t>
        <w:br/>
        <w:t>and</w:t>
        <w:br/>
        <w:t>[Successful Tenderer]</w:t>
      </w:r>
    </w:p>
    <w:p/>
    <w:p>
      <w:pPr>
        <w:jc w:val="center"/>
      </w:pPr>
      <w:r>
        <w:t>Contract Date: [TO BE COMPLETED]</w:t>
        <w:br/>
        <w:t>Contract Reference: [TO BE COMPLETED]</w:t>
      </w:r>
    </w:p>
    <w:p>
      <w:pPr>
        <w:jc w:val="center"/>
      </w:pPr>
      <w:r>
        <w:rPr>
          <w:i/>
        </w:rPr>
        <w:br/>
        <w:t>DRAFT ISSUED WITH THE CALL FOR TENDER</w:t>
        <w:br/>
        <w:t>Tenderers should review this draft contract as part of the procurement documentation.</w:t>
      </w:r>
    </w:p>
    <w:p>
      <w:r>
        <w:br w:type="page"/>
      </w:r>
    </w:p>
    <w:p>
      <w:pPr>
        <w:pStyle w:val="Heading1"/>
      </w:pPr>
      <w:r>
        <w:t>DRAFT SERVICES CONTRACT</w:t>
      </w:r>
    </w:p>
    <w:p>
      <w:r>
        <w:t>This Services Contract (the “Contract”) is made on [DATE].</w:t>
      </w:r>
    </w:p>
    <w:p>
      <w:pPr>
        <w:pStyle w:val="Heading2"/>
      </w:pPr>
      <w:r>
        <w:t>PARTIES</w:t>
      </w:r>
    </w:p>
    <w:p>
      <w:r>
        <w:t>(1) Tech Industry Alliance Skillnet (“TIAS” or the “Contracting Authority”), The Rubicon Centre, MTU Campus, Bishopstown, Cork, Ireland; and</w:t>
      </w:r>
    </w:p>
    <w:p>
      <w:r>
        <w:t>(2) [FULL LEGAL NAME OF SUCCESSFUL TENDERER], of [REGISTERED ADDRESS] (the “Contractor”).</w:t>
      </w:r>
    </w:p>
    <w:p>
      <w:r>
        <w:t>Together referred to as the “Parties” and individually as a “Party”.</w:t>
      </w:r>
    </w:p>
    <w:p>
      <w:pPr>
        <w:pStyle w:val="Heading2"/>
      </w:pPr>
      <w:r>
        <w:t>BACKGROUND</w:t>
      </w:r>
    </w:p>
    <w:p>
      <w:r>
        <w:t>A. TIAS conducted a competitive procurement process for the provision of a Graduate Development Programme (the “Competition”).</w:t>
      </w:r>
    </w:p>
    <w:p>
      <w:r>
        <w:t>B. The Contractor submitted a tender in response to the Call for Tender and has been selected as the successful tenderer.</w:t>
      </w:r>
    </w:p>
    <w:p>
      <w:r>
        <w:t>C. The Parties wish to record the terms on which the Contractor will provide the Services.</w:t>
      </w:r>
    </w:p>
    <w:p>
      <w:r>
        <w:t>D. This Contract is intended to be read together with the Call for Tender, the Contractor’s accepted Tender Response Document and the accepted Pricing Schedule.</w:t>
      </w:r>
    </w:p>
    <w:p>
      <w:pPr>
        <w:pStyle w:val="Heading1"/>
      </w:pPr>
      <w:r>
        <w:t>1. DEFINITIONS AND INTERPRETATION</w:t>
      </w:r>
    </w:p>
    <w:tbl>
      <w:tblPr>
        <w:tblStyle w:val="TableGrid"/>
        <w:tblW w:type="auto" w:w="0"/>
        <w:jc w:val="center"/>
        <w:tblLook w:firstColumn="1" w:firstRow="1" w:lastColumn="0" w:lastRow="0" w:noHBand="0" w:noVBand="1" w:val="04A0"/>
      </w:tblPr>
      <w:tblGrid>
        <w:gridCol w:w="4968"/>
        <w:gridCol w:w="4968"/>
      </w:tblGrid>
      <w:tr>
        <w:tc>
          <w:tcPr>
            <w:tcW w:type="dxa" w:w="4968"/>
          </w:tcPr>
          <w:p>
            <w:r>
              <w:t>Term</w:t>
            </w:r>
          </w:p>
        </w:tc>
        <w:tc>
          <w:tcPr>
            <w:tcW w:type="dxa" w:w="4968"/>
          </w:tcPr>
          <w:p>
            <w:r>
              <w:t>Meaning</w:t>
            </w:r>
          </w:p>
        </w:tc>
      </w:tr>
      <w:tr>
        <w:tc>
          <w:tcPr>
            <w:tcW w:type="dxa" w:w="4968"/>
            <w:vAlign w:val="top"/>
          </w:tcPr>
          <w:p>
            <w:r>
              <w:t>Business Day</w:t>
            </w:r>
          </w:p>
        </w:tc>
        <w:tc>
          <w:tcPr>
            <w:tcW w:type="dxa" w:w="4968"/>
            <w:vAlign w:val="top"/>
          </w:tcPr>
          <w:p>
            <w:r>
              <w:t>a day other than a Saturday, Sunday or public holiday in Ireland.</w:t>
            </w:r>
          </w:p>
        </w:tc>
      </w:tr>
      <w:tr>
        <w:tc>
          <w:tcPr>
            <w:tcW w:type="dxa" w:w="4968"/>
            <w:vAlign w:val="top"/>
          </w:tcPr>
          <w:p>
            <w:r>
              <w:t>Charges</w:t>
            </w:r>
          </w:p>
        </w:tc>
        <w:tc>
          <w:tcPr>
            <w:tcW w:type="dxa" w:w="4968"/>
            <w:vAlign w:val="top"/>
          </w:tcPr>
          <w:p>
            <w:r>
              <w:t>the charges payable for the Services as set out in Schedule 3.</w:t>
            </w:r>
          </w:p>
        </w:tc>
      </w:tr>
      <w:tr>
        <w:tc>
          <w:tcPr>
            <w:tcW w:type="dxa" w:w="4968"/>
            <w:vAlign w:val="top"/>
          </w:tcPr>
          <w:p>
            <w:r>
              <w:t>CFT</w:t>
            </w:r>
          </w:p>
        </w:tc>
        <w:tc>
          <w:tcPr>
            <w:tcW w:type="dxa" w:w="4968"/>
            <w:vAlign w:val="top"/>
          </w:tcPr>
          <w:p>
            <w:r>
              <w:t>the Call for Tender for the Graduate Development Programme issued by TIAS.</w:t>
            </w:r>
          </w:p>
        </w:tc>
      </w:tr>
      <w:tr>
        <w:tc>
          <w:tcPr>
            <w:tcW w:type="dxa" w:w="4968"/>
            <w:vAlign w:val="top"/>
          </w:tcPr>
          <w:p>
            <w:r>
              <w:t>Commencement Date</w:t>
            </w:r>
          </w:p>
        </w:tc>
        <w:tc>
          <w:tcPr>
            <w:tcW w:type="dxa" w:w="4968"/>
            <w:vAlign w:val="top"/>
          </w:tcPr>
          <w:p>
            <w:r>
              <w:t>[DATE TO BE COMPLETED].</w:t>
            </w:r>
          </w:p>
        </w:tc>
      </w:tr>
      <w:tr>
        <w:tc>
          <w:tcPr>
            <w:tcW w:type="dxa" w:w="4968"/>
            <w:vAlign w:val="top"/>
          </w:tcPr>
          <w:p>
            <w:r>
              <w:t>Contract Manager</w:t>
            </w:r>
          </w:p>
        </w:tc>
        <w:tc>
          <w:tcPr>
            <w:tcW w:type="dxa" w:w="4968"/>
            <w:vAlign w:val="top"/>
          </w:tcPr>
          <w:p>
            <w:r>
              <w:t>the person nominated by each Party for day-to-day contract management.</w:t>
            </w:r>
          </w:p>
        </w:tc>
      </w:tr>
      <w:tr>
        <w:tc>
          <w:tcPr>
            <w:tcW w:type="dxa" w:w="4968"/>
            <w:vAlign w:val="top"/>
          </w:tcPr>
          <w:p>
            <w:r>
              <w:t>Key Personnel</w:t>
            </w:r>
          </w:p>
        </w:tc>
        <w:tc>
          <w:tcPr>
            <w:tcW w:type="dxa" w:w="4968"/>
            <w:vAlign w:val="top"/>
          </w:tcPr>
          <w:p>
            <w:r>
              <w:t>the personnel identified in the Contractor’s tender as material to delivery of the Services, together with approved replacements.</w:t>
            </w:r>
          </w:p>
        </w:tc>
      </w:tr>
      <w:tr>
        <w:tc>
          <w:tcPr>
            <w:tcW w:type="dxa" w:w="4968"/>
            <w:vAlign w:val="top"/>
          </w:tcPr>
          <w:p>
            <w:r>
              <w:t>Programme</w:t>
            </w:r>
          </w:p>
        </w:tc>
        <w:tc>
          <w:tcPr>
            <w:tcW w:type="dxa" w:w="4968"/>
            <w:vAlign w:val="top"/>
          </w:tcPr>
          <w:p>
            <w:r>
              <w:t>the Graduate Development Programme described in Schedule 1.</w:t>
            </w:r>
          </w:p>
        </w:tc>
      </w:tr>
      <w:tr>
        <w:tc>
          <w:tcPr>
            <w:tcW w:type="dxa" w:w="4968"/>
            <w:vAlign w:val="top"/>
          </w:tcPr>
          <w:p>
            <w:r>
              <w:t>Services</w:t>
            </w:r>
          </w:p>
        </w:tc>
        <w:tc>
          <w:tcPr>
            <w:tcW w:type="dxa" w:w="4968"/>
            <w:vAlign w:val="top"/>
          </w:tcPr>
          <w:p>
            <w:r>
              <w:t>all services, deliverables, programme management, training, facilitation, learning supports, evaluation and associated activities required under this Contract.</w:t>
            </w:r>
          </w:p>
        </w:tc>
      </w:tr>
      <w:tr>
        <w:tc>
          <w:tcPr>
            <w:tcW w:type="dxa" w:w="4968"/>
            <w:vAlign w:val="top"/>
          </w:tcPr>
          <w:p>
            <w:r>
              <w:t>Tender</w:t>
            </w:r>
          </w:p>
        </w:tc>
        <w:tc>
          <w:tcPr>
            <w:tcW w:type="dxa" w:w="4968"/>
            <w:vAlign w:val="top"/>
          </w:tcPr>
          <w:p>
            <w:r>
              <w:t>the Contractor’s accepted tender submission, including its Tender Response Document and Pricing Schedule.</w:t>
            </w:r>
          </w:p>
        </w:tc>
      </w:tr>
      <w:tr>
        <w:tc>
          <w:tcPr>
            <w:tcW w:type="dxa" w:w="4968"/>
            <w:vAlign w:val="top"/>
          </w:tcPr>
          <w:p>
            <w:r>
              <w:t>Term</w:t>
            </w:r>
          </w:p>
        </w:tc>
        <w:tc>
          <w:tcPr>
            <w:tcW w:type="dxa" w:w="4968"/>
            <w:vAlign w:val="top"/>
          </w:tcPr>
          <w:p>
            <w:r>
              <w:t>the period described in clause 3.</w:t>
            </w:r>
          </w:p>
        </w:tc>
      </w:tr>
    </w:tbl>
    <w:p>
      <w:pPr>
        <w:pStyle w:val="Heading1"/>
      </w:pPr>
      <w:r>
        <w:t>2. CONTRACT DOCUMENTS AND ORDER OF PRECEDENCE</w:t>
      </w:r>
    </w:p>
    <w:p>
      <w:r>
        <w:t>2.1 The Contract comprises this document and its Schedules, the CFT, the Contractor’s Tender Response Document and the accepted Pricing Schedule.</w:t>
      </w:r>
    </w:p>
    <w:p>
      <w:r>
        <w:t>2.2 In the event of conflict or inconsistency, the following order of precedence shall apply unless expressly agreed otherwise in writing: (a) this signed Contract; (b) Schedule 1 – Services and Programme Specification; (c) the CFT; (d) Schedule 4 – KPIs, Reporting and Service Levels; (e) Schedule 3 – Pricing and Payment; (f) the accepted Tender Response Document; and (g) the remainder of the Contractor’s Tender.</w:t>
      </w:r>
    </w:p>
    <w:p>
      <w:r>
        <w:t>2.3 Any pre-printed or standard terms of the Contractor shall not apply.</w:t>
      </w:r>
    </w:p>
    <w:p>
      <w:pPr>
        <w:pStyle w:val="Heading1"/>
      </w:pPr>
      <w:r>
        <w:t>3. TERM AND EXTENSIONS</w:t>
      </w:r>
    </w:p>
    <w:p>
      <w:r>
        <w:t>3.1 The Contract shall commence on the Commencement Date and, unless terminated earlier in accordance with this Contract, shall continue for an initial period of twelve (12) months.</w:t>
      </w:r>
    </w:p>
    <w:p>
      <w:r>
        <w:t>3.2 TIAS may, at its sole discretion, extend the Contract for up to two further periods of twelve (12) months each.</w:t>
      </w:r>
    </w:p>
    <w:p>
      <w:r>
        <w:t>3.3 Any extension is subject to continued funding, participant and member-company demand, satisfactory performance, continuing need and written confirmation by TIAS.</w:t>
      </w:r>
    </w:p>
    <w:p>
      <w:r>
        <w:t>3.4 The maximum potential term is therefore thirty-six (36) months. No extension is automatic.</w:t>
      </w:r>
    </w:p>
    <w:p>
      <w:pPr>
        <w:pStyle w:val="Heading1"/>
      </w:pPr>
      <w:r>
        <w:t>4. SCOPE AND NO GUARANTEED VOLUME</w:t>
      </w:r>
    </w:p>
    <w:p>
      <w:r>
        <w:t>4.1 The Contractor shall provide the Services in accordance with this Contract, Schedule 1, the CFT and its accepted Tender.</w:t>
      </w:r>
    </w:p>
    <w:p>
      <w:r>
        <w:t>4.2 TIAS gives no guarantee as to participant numbers, cohort numbers, annual expenditure or minimum value of Services. The estimated procurement value is an estimate only and does not constitute a commitment to purchase.</w:t>
      </w:r>
    </w:p>
    <w:p>
      <w:r>
        <w:t>4.3 TIAS may determine whether and when a cohort proceeds, taking account of demand, funding and operational requirements.</w:t>
      </w:r>
    </w:p>
    <w:p>
      <w:r>
        <w:t>4.4 For the avoidance of doubt, clause 4.2 protects TIAS against any commitment to minimum participant numbers, cohort numbers, annual expenditure or minimum contract value.</w:t>
      </w:r>
    </w:p>
    <w:p>
      <w:pPr>
        <w:pStyle w:val="Heading1"/>
      </w:pPr>
      <w:r>
        <w:t>5. CONTRACTOR OBLIGATIONS</w:t>
      </w:r>
    </w:p>
    <w:p>
      <w:r>
        <w:t>5.1 The Contractor shall exercise due care, skill and diligence and deliver the Services in accordance with good industry practice, all applicable law and the quality standards set out in the procurement documents.</w:t>
      </w:r>
    </w:p>
    <w:p>
      <w:r>
        <w:t>5.2 The Contractor shall provide appropriately qualified and experienced personnel; prepare and customise programme materials; manage programme logistics and learner supports; maintain attendance and participant records; conduct agreed evaluation; and provide timely reports and documentation.</w:t>
      </w:r>
    </w:p>
    <w:p>
      <w:r>
        <w:t>5.3 The Contractor is the prime contractor and remains responsible for all subcontractors and for the performance of all Services.</w:t>
      </w:r>
    </w:p>
    <w:p>
      <w:r>
        <w:t>5.4 The Contractor shall comply with applicable obligations in environmental, social and labour law, health and safety requirements, and all reasonable TIAS policies and programme governance requirements notified to it.</w:t>
      </w:r>
    </w:p>
    <w:p>
      <w:r>
        <w:t>5.5 The Contractor shall not use participant or member-company contact details for unrelated commercial or promotional purposes.</w:t>
      </w:r>
    </w:p>
    <w:p>
      <w:pPr>
        <w:pStyle w:val="Heading1"/>
      </w:pPr>
      <w:r>
        <w:t>6. KEY PERSONNEL</w:t>
      </w:r>
    </w:p>
    <w:p>
      <w:r>
        <w:t>6.1 The Key Personnel shall be those identified in the accepted Tender.</w:t>
      </w:r>
    </w:p>
    <w:p>
      <w:r>
        <w:t>6.2 The Contractor shall use reasonable endeavours to ensure continuity of Key Personnel throughout delivery.</w:t>
      </w:r>
    </w:p>
    <w:p>
      <w:r>
        <w:t>6.3 No material replacement of Key Personnel may be made without TIAS’s prior written approval. Proposed replacements must have qualifications, experience and expertise equivalent to or greater than the individual being replaced.</w:t>
      </w:r>
    </w:p>
    <w:p>
      <w:r>
        <w:t>6.4 TIAS may reasonably require the removal or replacement of any Key Personnel where their performance or conduct materially affects delivery. The cost of replacement shall be borne by the Contractor.</w:t>
      </w:r>
    </w:p>
    <w:p>
      <w:pPr>
        <w:pStyle w:val="Heading1"/>
      </w:pPr>
      <w:r>
        <w:t>7. PROGRAMME MANAGEMENT, QUALITY AND REPORTING</w:t>
      </w:r>
    </w:p>
    <w:p>
      <w:r>
        <w:t>7.1 Each Party shall nominate a Contract Manager. The Contractor’s Contract Manager shall have authority to coordinate resources, address operational issues and act as the principal liaison with TIAS.</w:t>
      </w:r>
    </w:p>
    <w:p>
      <w:r>
        <w:t>7.2 The Parties shall meet as reasonably required to review programme performance, learner feedback, risks, issues, demand and continuous improvement.</w:t>
      </w:r>
    </w:p>
    <w:p>
      <w:r>
        <w:t>7.3 The Contractor shall comply with the KPIs, reporting requirements and service levels in Schedule 4.</w:t>
      </w:r>
    </w:p>
    <w:p>
      <w:r>
        <w:t>7.4 The Contractor shall promptly report any matter likely to affect programme quality, delivery dates, participant experience or contractual performance.</w:t>
      </w:r>
    </w:p>
    <w:p>
      <w:r>
        <w:t>7.5 TIAS and/or its appointed representatives may attend programme sessions for reasonable quality assurance, monitoring and evaluation purposes.</w:t>
      </w:r>
    </w:p>
    <w:p>
      <w:pPr>
        <w:pStyle w:val="Heading1"/>
      </w:pPr>
      <w:r>
        <w:t>8. BUSINESS CONTINUITY</w:t>
      </w:r>
    </w:p>
    <w:p>
      <w:r>
        <w:t>8.1 The Contractor shall maintain appropriate business continuity and contingency arrangements.</w:t>
      </w:r>
    </w:p>
    <w:p>
      <w:r>
        <w:t>8.2 Such arrangements shall address, as applicable, trainer or facilitator absence, replacement personnel, technology or platform failure, venue disruption, severe weather, public health emergencies and other events that could materially affect delivery.</w:t>
      </w:r>
    </w:p>
    <w:p>
      <w:r>
        <w:t>8.3 The Contractor shall minimise disruption, communicate promptly with TIAS and restore normal service as soon as reasonably practicable.</w:t>
      </w:r>
    </w:p>
    <w:p>
      <w:pPr>
        <w:pStyle w:val="Heading1"/>
      </w:pPr>
      <w:r>
        <w:t>9. CHARGES, PRICING AND PAYMENT</w:t>
      </w:r>
    </w:p>
    <w:p>
      <w:r>
        <w:t>9.1 Charges shall be calculated in accordance with the accepted Pricing Schedule at Schedule 3 and shall be expressed in euro, exclusive of VAT.</w:t>
      </w:r>
    </w:p>
    <w:p>
      <w:r>
        <w:t>9.2 Unless expressly stated otherwise in Schedule 3, Charges are inclusive of all costs and expenses required to deliver the Services, including travel and subsistence.</w:t>
      </w:r>
    </w:p>
    <w:p>
      <w:r>
        <w:t>9.3 The Contractor may invoice only for Services properly delivered or for agreed milestones. Invoices must contain such supporting information as TIAS reasonably requires.</w:t>
      </w:r>
    </w:p>
    <w:p>
      <w:r>
        <w:t>9.4 Payment is subject to TIAS being satisfied that the relevant Services have been delivered in accordance with the Contract and to the Contractor maintaining all required tax-clearance status.</w:t>
      </w:r>
    </w:p>
    <w:p>
      <w:r>
        <w:t>9.5 The European Communities (Late Payment in Commercial Transactions) Regulations 2012 shall apply.</w:t>
      </w:r>
    </w:p>
    <w:p>
      <w:r>
        <w:t>9.6 Pricing for extension years shall be as stated in Schedule 3. No price increase shall apply unless expressly provided for in the accepted Pricing Schedule or subsequently agreed in writing by TIAS.</w:t>
      </w:r>
    </w:p>
    <w:p>
      <w:pPr>
        <w:pStyle w:val="Heading1"/>
      </w:pPr>
      <w:r>
        <w:t>10. TAXATION</w:t>
      </w:r>
    </w:p>
    <w:p>
      <w:r>
        <w:t>10.1 The Contractor is solely responsible for all taxation, employment, remuneration, immigration and work-permit obligations relating to its personnel.</w:t>
      </w:r>
    </w:p>
    <w:p>
      <w:r>
        <w:t>10.2 TIAS may make any withholding required by law.</w:t>
      </w:r>
    </w:p>
    <w:p>
      <w:pPr>
        <w:pStyle w:val="Heading1"/>
      </w:pPr>
      <w:r>
        <w:t>11. WARRANTIES AND INSURANCE</w:t>
      </w:r>
    </w:p>
    <w:p>
      <w:r>
        <w:t>11.1 The Contractor warrants that it has authority to enter into this Contract; has the resources, competence and licences necessary to perform it; and will comply with all applicable legal and professional requirements.</w:t>
      </w:r>
    </w:p>
    <w:p>
      <w:r>
        <w:t>11.2 The Contractor shall maintain for the Term the insurance cover required by the CFT and shall provide evidence of cover and payment of premiums upon reasonable request.</w:t>
      </w:r>
    </w:p>
    <w:p>
      <w:r>
        <w:t>11.3 The Contractor shall promptly notify TIAS of any material change affecting its ability to satisfy the warranties or insurance requirements.</w:t>
      </w:r>
    </w:p>
    <w:p>
      <w:pPr>
        <w:pStyle w:val="Heading1"/>
      </w:pPr>
      <w:r>
        <w:t>12. INTELLECTUAL PROPERTY</w:t>
      </w:r>
    </w:p>
    <w:p>
      <w:r>
        <w:t>12.1 Each Party retains ownership of intellectual property owned or developed independently before this Contract (“Pre-Existing IPR”).</w:t>
      </w:r>
    </w:p>
    <w:p>
      <w:r>
        <w:t>12.2 The Contractor retains ownership of its pre-existing methodologies, templates, teaching materials, know-how and standard programme content.</w:t>
      </w:r>
    </w:p>
    <w:p>
      <w:r>
        <w:t>12.3 To the extent bespoke reports, evaluation outputs, TIAS-specific materials or other deliverables are created specifically for TIAS under this Contract, ownership shall vest in TIAS unless otherwise agreed in writing.</w:t>
      </w:r>
    </w:p>
    <w:p>
      <w:r>
        <w:t>12.4 Where Contractor Pre-Existing IPR is embedded in a deliverable, the Contractor grants TIAS a perpetual, royalty-free, non-exclusive licence to use that material for TIAS’s internal and programme purposes.</w:t>
      </w:r>
    </w:p>
    <w:p>
      <w:r>
        <w:t>12.5 The Contractor shall obtain all third-party licences and permissions required for lawful delivery of the Services.</w:t>
      </w:r>
    </w:p>
    <w:p>
      <w:pPr>
        <w:pStyle w:val="Heading1"/>
      </w:pPr>
      <w:r>
        <w:t>13. CONFIDENTIALITY</w:t>
      </w:r>
    </w:p>
    <w:p>
      <w:r>
        <w:t>13.1 Each Party shall keep confidential all confidential information received from the other in connection with this Contract and shall use it only for the purposes of performing or receiving the Services.</w:t>
      </w:r>
    </w:p>
    <w:p>
      <w:r>
        <w:t>13.2 This obligation does not apply to information already lawfully known, independently developed, in the public domain other than through breach, lawfully received from a third party, or required to be disclosed by law.</w:t>
      </w:r>
    </w:p>
    <w:p>
      <w:r>
        <w:t>13.3 Confidentiality obligations survive expiry or termination.</w:t>
      </w:r>
    </w:p>
    <w:p>
      <w:pPr>
        <w:pStyle w:val="Heading1"/>
      </w:pPr>
      <w:r>
        <w:t>14. DATA PROTECTION</w:t>
      </w:r>
    </w:p>
    <w:p>
      <w:r>
        <w:t>14.1 Each Party shall comply with the General Data Protection Regulation, the Data Protection Act 2018 and other applicable data-protection legislation.</w:t>
      </w:r>
    </w:p>
    <w:p>
      <w:r>
        <w:t>14.2 Where the Contractor processes personal data on behalf of TIAS, the Parties shall put in place any data-processing terms required by Article 28 GDPR before such processing begins.</w:t>
      </w:r>
    </w:p>
    <w:p>
      <w:r>
        <w:t>14.3 Personal data shall be processed only for legitimate programme and contractual purposes, protected by appropriate technical and organisational measures, and retained only as long as required.</w:t>
      </w:r>
    </w:p>
    <w:p>
      <w:r>
        <w:t>14.4 The Contractor shall notify TIAS without undue delay of any personal-data breach affecting data processed for TIAS.</w:t>
      </w:r>
    </w:p>
    <w:p>
      <w:pPr>
        <w:pStyle w:val="Heading1"/>
      </w:pPr>
      <w:r>
        <w:t>15. FREEDOM OF INFORMATION AND PUBLIC ACCOUNTABILITY</w:t>
      </w:r>
    </w:p>
    <w:p>
      <w:r>
        <w:t>15.1 The Contractor acknowledges that information relating to this Contract may be subject to statutory disclosure, audit, funding-body oversight or public-procurement reporting requirements.</w:t>
      </w:r>
    </w:p>
    <w:p>
      <w:r>
        <w:t>15.2 The Contractor shall clearly identify information it considers commercially sensitive and state the reasons. TIAS will consider such representations but cannot guarantee non-disclosure where disclosure is required by law.</w:t>
      </w:r>
    </w:p>
    <w:p>
      <w:r>
        <w:t>15.3 The Contractor agrees that relevant contract and spend information may be provided to Skillnet Ireland, the Office of Government Procurement, auditors or other competent public bodies where required.</w:t>
      </w:r>
    </w:p>
    <w:p>
      <w:pPr>
        <w:pStyle w:val="Heading1"/>
      </w:pPr>
      <w:r>
        <w:t>16. CONFLICTS OF INTEREST</w:t>
      </w:r>
    </w:p>
    <w:p>
      <w:r>
        <w:t>16.1 The Contractor shall avoid conflicts of interest and shall immediately disclose to TIAS any actual, potential or perceived conflict arising during the Term.</w:t>
      </w:r>
    </w:p>
    <w:p>
      <w:r>
        <w:t>16.2 The Contractor shall comply with reasonable measures required by TIAS to manage or remove such conflict.</w:t>
      </w:r>
    </w:p>
    <w:p>
      <w:r>
        <w:t>16.3 A conflict that cannot reasonably be managed may constitute grounds for termination.</w:t>
      </w:r>
    </w:p>
    <w:p>
      <w:pPr>
        <w:pStyle w:val="Heading1"/>
      </w:pPr>
      <w:r>
        <w:t>17. LIABILITY AND REMEDIES</w:t>
      </w:r>
    </w:p>
    <w:p>
      <w:r>
        <w:t>17.1 Subject to clause 17.3, the Contractor shall be responsible for direct loss caused by its breach of Contract, negligence or wilful misconduct.</w:t>
      </w:r>
    </w:p>
    <w:p>
      <w:r>
        <w:t>17.2 Subject to clause 17.3, the Contractor’s aggregate liability arising out of or in connection with this Contract shall not exceed the total Charges paid or payable under the relevant twelve-month contract period giving rise to the claim.</w:t>
      </w:r>
    </w:p>
    <w:p>
      <w:r>
        <w:t>17.3 Nothing in this Contract limits or excludes liability that cannot lawfully be limited or excluded, including liability for fraud or fraudulent misrepresentation, or death or personal injury caused by negligence.</w:t>
      </w:r>
    </w:p>
    <w:p>
      <w:r>
        <w:t>17.4 Neither Party shall be liable to the other for indirect or consequential loss, loss of profit, revenue, goodwill or anticipated savings, except to the extent such exclusion is prohibited by law.</w:t>
      </w:r>
    </w:p>
    <w:p>
      <w:r>
        <w:t>17.5 Where Services are materially defective or non-compliant, TIAS may require re-performance at no additional charge, withhold the disputed portion of payment pending remedy, or exercise any other contractual remedy.</w:t>
      </w:r>
    </w:p>
    <w:p>
      <w:r>
        <w:t>17.6 If the Contractor fails to deliver required Services and TIAS reasonably procures replacement services, TIAS may recover reasonable additional direct costs from the Contractor, subject to the liability cap.</w:t>
      </w:r>
    </w:p>
    <w:p>
      <w:pPr>
        <w:pStyle w:val="Heading1"/>
      </w:pPr>
      <w:r>
        <w:t>18. FORCE MAJEURE</w:t>
      </w:r>
    </w:p>
    <w:p>
      <w:r>
        <w:t>18.1 Neither Party shall be liable for delay or failure caused by an event beyond its reasonable control, provided the affected Party promptly notifies the other, explains the expected impact and takes reasonable steps to mitigate it.</w:t>
      </w:r>
    </w:p>
    <w:p>
      <w:r>
        <w:t>18.2 Payment remains due only for Services properly performed.</w:t>
      </w:r>
    </w:p>
    <w:p>
      <w:r>
        <w:t>18.3 If a force-majeure event materially prevents performance for fifty (50) consecutive days, either Party may terminate the affected Services on fourteen (14) days’ written notice.</w:t>
      </w:r>
    </w:p>
    <w:p>
      <w:pPr>
        <w:pStyle w:val="Heading1"/>
      </w:pPr>
      <w:r>
        <w:t>19. TERMINATION</w:t>
      </w:r>
    </w:p>
    <w:p>
      <w:r>
        <w:t>19.1 TIAS may terminate this Contract for convenience on thirty (30) days’ written notice. TIAS shall pay for Services properly delivered up to the effective date of termination.</w:t>
      </w:r>
    </w:p>
    <w:p>
      <w:r>
        <w:t>19.2 Either Party may terminate for material breach where the breach is capable of remedy and is not remedied within thirty (30) days after written notice.</w:t>
      </w:r>
    </w:p>
    <w:p>
      <w:r>
        <w:t>19.3 Either Party may terminate immediately where the other becomes insolvent, enters liquidation or examinership, or ceases or threatens to cease carrying on business.</w:t>
      </w:r>
    </w:p>
    <w:p>
      <w:r>
        <w:t>19.4 TIAS may terminate immediately where mandatory procurement exclusion grounds apply, where a conflict of interest cannot be adequately managed, or where serious or persistent performance deficiencies materially undermine the Services.</w:t>
      </w:r>
    </w:p>
    <w:p>
      <w:r>
        <w:t>19.5 Expiry or termination shall not affect accrued rights or provisions intended to survive, including confidentiality, data protection, intellectual property, liability and dispute resolution.</w:t>
      </w:r>
    </w:p>
    <w:p>
      <w:pPr>
        <w:pStyle w:val="Heading1"/>
      </w:pPr>
      <w:r>
        <w:t>20. TRANSFER OF UNDERTAKINGS (TUPE)</w:t>
      </w:r>
    </w:p>
    <w:p>
      <w:r>
        <w:t>20.1 The Parties acknowledge that the European Communities (Protection of Employees’ Rights on Transfer of Undertakings) Regulations 2003 and Directive 2001/23/EC shall apply only to the extent that they are legally applicable to the circumstances.</w:t>
      </w:r>
    </w:p>
    <w:p>
      <w:r>
        <w:t>20.2 Nothing in this Contract constitutes an admission or assumption that a relevant transfer occurs on commencement, expiry or termination.</w:t>
      </w:r>
    </w:p>
    <w:p>
      <w:r>
        <w:t>20.3 If either Party reasonably considers that TUPE may apply, the Parties shall cooperate in good faith and comply with their respective legal obligations.</w:t>
      </w:r>
    </w:p>
    <w:p>
      <w:pPr>
        <w:pStyle w:val="Heading1"/>
      </w:pPr>
      <w:r>
        <w:t>21. ASSIGNMENT AND SUBCONTRACTING</w:t>
      </w:r>
    </w:p>
    <w:p>
      <w:r>
        <w:t>21.1 The Contractor shall not assign this Contract without TIAS’s prior written consent.</w:t>
      </w:r>
    </w:p>
    <w:p>
      <w:r>
        <w:t>21.2 Material subcontracting arrangements must be disclosed and are subject to TIAS’s reasonable approval. The Contractor remains fully liable for subcontracted Services.</w:t>
      </w:r>
    </w:p>
    <w:p>
      <w:pPr>
        <w:pStyle w:val="Heading1"/>
      </w:pPr>
      <w:r>
        <w:t>22. VARIATION</w:t>
      </w:r>
    </w:p>
    <w:p>
      <w:r>
        <w:t>22.1 No variation to this Contract is effective unless agreed in writing by authorised representatives of both Parties.</w:t>
      </w:r>
    </w:p>
    <w:p>
      <w:r>
        <w:t>22.2 A variation shall not materially alter the nature or scope of the procurement in a manner inconsistent with applicable procurement law.</w:t>
      </w:r>
    </w:p>
    <w:p>
      <w:pPr>
        <w:pStyle w:val="Heading1"/>
      </w:pPr>
      <w:r>
        <w:t>23. NOTICES</w:t>
      </w:r>
    </w:p>
    <w:p>
      <w:r>
        <w:t>23.1 Formal notices shall be in writing and sent to the contacts below, or to any replacement contact notified in writing.</w:t>
      </w:r>
    </w:p>
    <w:tbl>
      <w:tblPr>
        <w:tblStyle w:val="TableGrid"/>
        <w:tblW w:type="auto" w:w="0"/>
        <w:jc w:val="center"/>
        <w:tblLook w:firstColumn="1" w:firstRow="1" w:lastColumn="0" w:lastRow="0" w:noHBand="0" w:noVBand="1" w:val="04A0"/>
      </w:tblPr>
      <w:tblGrid>
        <w:gridCol w:w="3312"/>
        <w:gridCol w:w="3312"/>
        <w:gridCol w:w="3312"/>
      </w:tblGrid>
      <w:tr>
        <w:tc>
          <w:tcPr>
            <w:tcW w:type="dxa" w:w="3312"/>
          </w:tcPr>
          <w:p>
            <w:r>
              <w:t>Party</w:t>
            </w:r>
          </w:p>
        </w:tc>
        <w:tc>
          <w:tcPr>
            <w:tcW w:type="dxa" w:w="3312"/>
          </w:tcPr>
          <w:p>
            <w:r>
              <w:t>Contact</w:t>
            </w:r>
          </w:p>
        </w:tc>
        <w:tc>
          <w:tcPr>
            <w:tcW w:type="dxa" w:w="3312"/>
          </w:tcPr>
          <w:p>
            <w:r>
              <w:t>Email / Address</w:t>
            </w:r>
          </w:p>
        </w:tc>
      </w:tr>
      <w:tr>
        <w:tc>
          <w:tcPr>
            <w:tcW w:type="dxa" w:w="3312"/>
          </w:tcPr>
          <w:p>
            <w:r>
              <w:t>TIAS</w:t>
            </w:r>
          </w:p>
        </w:tc>
        <w:tc>
          <w:tcPr>
            <w:tcW w:type="dxa" w:w="3312"/>
          </w:tcPr>
          <w:p>
            <w:r>
              <w:t>Annette Coburn / [authorised contact]</w:t>
            </w:r>
          </w:p>
        </w:tc>
        <w:tc>
          <w:tcPr>
            <w:tcW w:type="dxa" w:w="3312"/>
          </w:tcPr>
          <w:p>
            <w:r>
              <w:t>annette.coburn@techiaskillnet.ie / The Rubicon Centre, MTU Campus, Bishopstown, Cork</w:t>
            </w:r>
          </w:p>
        </w:tc>
      </w:tr>
      <w:tr>
        <w:tc>
          <w:tcPr>
            <w:tcW w:type="dxa" w:w="3312"/>
          </w:tcPr>
          <w:p>
            <w:r>
              <w:t>Contractor</w:t>
            </w:r>
          </w:p>
        </w:tc>
        <w:tc>
          <w:tcPr>
            <w:tcW w:type="dxa" w:w="3312"/>
          </w:tcPr>
          <w:p>
            <w:r>
              <w:t>[NAME]</w:t>
            </w:r>
          </w:p>
        </w:tc>
        <w:tc>
          <w:tcPr>
            <w:tcW w:type="dxa" w:w="3312"/>
          </w:tcPr>
          <w:p>
            <w:r>
              <w:t>[EMAIL / ADDRESS]</w:t>
            </w:r>
          </w:p>
        </w:tc>
      </w:tr>
    </w:tbl>
    <w:p>
      <w:pPr>
        <w:pStyle w:val="Heading1"/>
      </w:pPr>
      <w:r>
        <w:t>24. DISPUTE RESOLUTION</w:t>
      </w:r>
    </w:p>
    <w:p>
      <w:r>
        <w:t>24.1 The Parties shall first seek to resolve any dispute through their Contract Managers.</w:t>
      </w:r>
    </w:p>
    <w:p>
      <w:r>
        <w:t>24.2 If unresolved, the dispute shall be referred to a senior representative of each Party.</w:t>
      </w:r>
    </w:p>
    <w:p>
      <w:r>
        <w:t>24.3 If the dispute remains unresolved fifteen (15) Business Days after escalation, either Party may propose mediation. The mediator shall be agreed by the Parties or, failing agreement, appointed through an appropriate Irish mediation body.</w:t>
      </w:r>
    </w:p>
    <w:p>
      <w:r>
        <w:t>24.4 Nothing prevents either Party from seeking urgent interlocutory or injunctive relief where necessary.</w:t>
      </w:r>
    </w:p>
    <w:p>
      <w:r>
        <w:t>24.5 If mediation does not resolve the dispute, either Party may refer the matter to the Irish courts.</w:t>
      </w:r>
    </w:p>
    <w:p>
      <w:pPr>
        <w:pStyle w:val="Heading1"/>
      </w:pPr>
      <w:r>
        <w:t>25. GOVERNING LAW AND JURISDICTION</w:t>
      </w:r>
    </w:p>
    <w:p>
      <w:r>
        <w:t>25.1 This Contract is governed by the laws of Ireland.</w:t>
      </w:r>
    </w:p>
    <w:p>
      <w:r>
        <w:t>25.2 Subject to clause 24, the courts of Ireland shall have exclusive jurisdiction.</w:t>
      </w:r>
    </w:p>
    <w:p>
      <w:pPr>
        <w:pStyle w:val="Heading1"/>
      </w:pPr>
      <w:r>
        <w:t>26. ENTIRE AGREEMENT AND SEVERABILITY</w:t>
      </w:r>
    </w:p>
    <w:p>
      <w:r>
        <w:t>26.1 This Contract and the documents incorporated into it constitute the entire agreement between the Parties in relation to the Services.</w:t>
      </w:r>
    </w:p>
    <w:p>
      <w:r>
        <w:t>26.2 If any provision is held invalid or unenforceable, the remaining provisions shall continue in effect.</w:t>
      </w:r>
    </w:p>
    <w:p>
      <w:pPr>
        <w:pStyle w:val="Heading1"/>
      </w:pPr>
      <w:r>
        <w:t>27. COUNTERPARTS AND ELECTRONIC SIGNATURE</w:t>
      </w:r>
    </w:p>
    <w:p>
      <w:r>
        <w:t>27.1 This Contract may be executed in counterparts and by electronic signature, each of which shall be treated as an original and together shall constitute one instrument.</w:t>
      </w:r>
    </w:p>
    <w:p>
      <w:pPr>
        <w:pStyle w:val="Heading1"/>
      </w:pPr>
      <w:r>
        <w:t>SIGNATURES</w:t>
      </w:r>
    </w:p>
    <w:p>
      <w:r>
        <w:t>Signed for and on behalf of Tech Industry Alliance Skillnet:</w:t>
      </w:r>
    </w:p>
    <w:tbl>
      <w:tblPr>
        <w:tblStyle w:val="TableGrid"/>
        <w:tblW w:type="auto" w:w="0"/>
        <w:tblLook w:firstColumn="1" w:firstRow="1" w:lastColumn="0" w:lastRow="0" w:noHBand="0" w:noVBand="1" w:val="04A0"/>
      </w:tblPr>
      <w:tblGrid>
        <w:gridCol w:w="4968"/>
        <w:gridCol w:w="4968"/>
      </w:tblGrid>
      <w:tr>
        <w:tc>
          <w:tcPr>
            <w:tcW w:type="dxa" w:w="4968"/>
          </w:tcPr>
          <w:p>
            <w:r>
              <w:t>Name</w:t>
            </w:r>
          </w:p>
        </w:tc>
        <w:tc>
          <w:tcPr>
            <w:tcW w:type="dxa" w:w="4968"/>
          </w:tcPr>
          <w:p>
            <w:r/>
          </w:p>
        </w:tc>
      </w:tr>
      <w:tr>
        <w:tc>
          <w:tcPr>
            <w:tcW w:type="dxa" w:w="4968"/>
          </w:tcPr>
          <w:p>
            <w:r>
              <w:t>Title</w:t>
            </w:r>
          </w:p>
        </w:tc>
        <w:tc>
          <w:tcPr>
            <w:tcW w:type="dxa" w:w="4968"/>
          </w:tcPr>
          <w:p>
            <w:r/>
          </w:p>
        </w:tc>
      </w:tr>
      <w:tr>
        <w:tc>
          <w:tcPr>
            <w:tcW w:type="dxa" w:w="4968"/>
          </w:tcPr>
          <w:p>
            <w:r>
              <w:t>Signature</w:t>
            </w:r>
          </w:p>
        </w:tc>
        <w:tc>
          <w:tcPr>
            <w:tcW w:type="dxa" w:w="4968"/>
          </w:tcPr>
          <w:p>
            <w:r/>
          </w:p>
        </w:tc>
      </w:tr>
      <w:tr>
        <w:tc>
          <w:tcPr>
            <w:tcW w:type="dxa" w:w="4968"/>
          </w:tcPr>
          <w:p>
            <w:r>
              <w:t>Date</w:t>
            </w:r>
          </w:p>
        </w:tc>
        <w:tc>
          <w:tcPr>
            <w:tcW w:type="dxa" w:w="4968"/>
          </w:tcPr>
          <w:p>
            <w:r/>
          </w:p>
        </w:tc>
      </w:tr>
      <w:tr>
        <w:tc>
          <w:tcPr>
            <w:tcW w:type="dxa" w:w="4968"/>
          </w:tcPr>
          <w:p>
            <w:r>
              <w:t>Witness (if required)</w:t>
            </w:r>
          </w:p>
        </w:tc>
        <w:tc>
          <w:tcPr>
            <w:tcW w:type="dxa" w:w="4968"/>
          </w:tcPr>
          <w:p>
            <w:r/>
          </w:p>
        </w:tc>
      </w:tr>
    </w:tbl>
    <w:p/>
    <w:p>
      <w:r>
        <w:t>Signed for and on behalf of [SUCCESSFUL TENDERER]:</w:t>
      </w:r>
    </w:p>
    <w:tbl>
      <w:tblPr>
        <w:tblStyle w:val="TableGrid"/>
        <w:tblW w:type="auto" w:w="0"/>
        <w:tblLook w:firstColumn="1" w:firstRow="1" w:lastColumn="0" w:lastRow="0" w:noHBand="0" w:noVBand="1" w:val="04A0"/>
      </w:tblPr>
      <w:tblGrid>
        <w:gridCol w:w="4968"/>
        <w:gridCol w:w="4968"/>
      </w:tblGrid>
      <w:tr>
        <w:tc>
          <w:tcPr>
            <w:tcW w:type="dxa" w:w="4968"/>
          </w:tcPr>
          <w:p>
            <w:r>
              <w:t>Name</w:t>
            </w:r>
          </w:p>
        </w:tc>
        <w:tc>
          <w:tcPr>
            <w:tcW w:type="dxa" w:w="4968"/>
          </w:tcPr>
          <w:p>
            <w:r/>
          </w:p>
        </w:tc>
      </w:tr>
      <w:tr>
        <w:tc>
          <w:tcPr>
            <w:tcW w:type="dxa" w:w="4968"/>
          </w:tcPr>
          <w:p>
            <w:r>
              <w:t>Title</w:t>
            </w:r>
          </w:p>
        </w:tc>
        <w:tc>
          <w:tcPr>
            <w:tcW w:type="dxa" w:w="4968"/>
          </w:tcPr>
          <w:p>
            <w:r/>
          </w:p>
        </w:tc>
      </w:tr>
      <w:tr>
        <w:tc>
          <w:tcPr>
            <w:tcW w:type="dxa" w:w="4968"/>
          </w:tcPr>
          <w:p>
            <w:r>
              <w:t>Signature</w:t>
            </w:r>
          </w:p>
        </w:tc>
        <w:tc>
          <w:tcPr>
            <w:tcW w:type="dxa" w:w="4968"/>
          </w:tcPr>
          <w:p>
            <w:r/>
          </w:p>
        </w:tc>
      </w:tr>
      <w:tr>
        <w:tc>
          <w:tcPr>
            <w:tcW w:type="dxa" w:w="4968"/>
          </w:tcPr>
          <w:p>
            <w:r>
              <w:t>Date</w:t>
            </w:r>
          </w:p>
        </w:tc>
        <w:tc>
          <w:tcPr>
            <w:tcW w:type="dxa" w:w="4968"/>
          </w:tcPr>
          <w:p>
            <w:r/>
          </w:p>
        </w:tc>
      </w:tr>
      <w:tr>
        <w:tc>
          <w:tcPr>
            <w:tcW w:type="dxa" w:w="4968"/>
          </w:tcPr>
          <w:p>
            <w:r>
              <w:t>Witness (if required)</w:t>
            </w:r>
          </w:p>
        </w:tc>
        <w:tc>
          <w:tcPr>
            <w:tcW w:type="dxa" w:w="4968"/>
          </w:tcPr>
          <w:p>
            <w:r/>
          </w:p>
        </w:tc>
      </w:tr>
    </w:tbl>
    <w:p>
      <w:r>
        <w:br w:type="page"/>
      </w:r>
    </w:p>
    <w:p>
      <w:pPr>
        <w:pStyle w:val="Heading1"/>
      </w:pPr>
      <w:r>
        <w:t>SCHEDULE 1 – SERVICES AND PROGRAMME SPECIFICATION</w:t>
      </w:r>
    </w:p>
    <w:p>
      <w:r>
        <w:t>This Schedule incorporates the final Graduate Development Programme specification contained in the CFT, together with any clarifications formally issued during the Competition. The following particulars shall be completed on award:</w:t>
      </w:r>
    </w:p>
    <w:p>
      <w:pPr/>
      <w:r>
        <w:t>Programme title: Graduate Development Programme</w:t>
      </w:r>
    </w:p>
    <w:p>
      <w:pPr/>
      <w:r>
        <w:t>Indicative programme duration: approximately 10–12 months</w:t>
      </w:r>
    </w:p>
    <w:p>
      <w:pPr/>
      <w:r>
        <w:t>Target cohort size / range: [TO BE COMPLETED]</w:t>
      </w:r>
    </w:p>
    <w:p>
      <w:pPr/>
      <w:r>
        <w:t>Delivery model and locations: [TO BE COMPLETED FROM ACCEPTED TENDER]</w:t>
      </w:r>
    </w:p>
    <w:p>
      <w:pPr/>
      <w:r>
        <w:t>Programme modules / learning journey: [TO BE COMPLETED FROM ACCEPTED TENDER]</w:t>
      </w:r>
    </w:p>
    <w:p>
      <w:pPr/>
      <w:r>
        <w:t>Contact days / learning hours: [TO BE COMPLETED]</w:t>
      </w:r>
    </w:p>
    <w:p>
      <w:pPr/>
      <w:r>
        <w:t>Diagnostics / psychometrics: [TO BE COMPLETED]</w:t>
      </w:r>
    </w:p>
    <w:p>
      <w:pPr/>
      <w:r>
        <w:t>Coaching / mentoring: [TO BE COMPLETED]</w:t>
      </w:r>
    </w:p>
    <w:p>
      <w:pPr/>
      <w:r>
        <w:t>Experiential / action-learning elements: [TO BE COMPLETED]</w:t>
      </w:r>
    </w:p>
    <w:p>
      <w:pPr/>
      <w:r>
        <w:t>Workplace application / project requirements: [TO BE COMPLETED]</w:t>
      </w:r>
    </w:p>
    <w:p>
      <w:pPr/>
      <w:r>
        <w:t>Evaluation and reporting requirements: as specified in the CFT and Schedule 4</w:t>
      </w:r>
    </w:p>
    <w:p>
      <w:pPr/>
      <w:r>
        <w:t>Initial anticipated commencement: [TO BE COMPLETED]</w:t>
      </w:r>
    </w:p>
    <w:p>
      <w:pPr>
        <w:pStyle w:val="Heading1"/>
      </w:pPr>
      <w:r>
        <w:t>SCHEDULE 2 – SUCCESSFUL TENDERER’S PROPOSAL</w:t>
      </w:r>
    </w:p>
    <w:p>
      <w:r>
        <w:t>The Contractor’s final accepted Tender Response Document, including the programme design, methodology, proposed faculty, delivery model, contract-management approach and all commitments relied upon in the evaluation, is incorporated into this Contract by reference. A copy shall be appended to the executed Contract.</w:t>
      </w:r>
    </w:p>
    <w:p>
      <w:pPr>
        <w:pStyle w:val="Heading1"/>
      </w:pPr>
      <w:r>
        <w:t>SCHEDULE 3 – PRICING AND PAYMENT</w:t>
      </w:r>
    </w:p>
    <w:p>
      <w:r>
        <w:t>The Contractor’s final accepted Pricing Schedule is incorporated into this Contract as Schedule 3 – Pricing and Payment. A copy of the completed and accepted Pricing Schedule shall be appended to the executed Contract.</w:t>
      </w:r>
    </w:p>
    <w:tbl>
      <w:tblPr>
        <w:tblStyle w:val="TableGrid"/>
        <w:tblW w:type="auto" w:w="0"/>
        <w:tblLook w:firstColumn="1" w:firstRow="1" w:lastColumn="0" w:lastRow="0" w:noHBand="0" w:noVBand="1" w:val="04A0"/>
      </w:tblPr>
      <w:tblGrid>
        <w:gridCol w:w="3312"/>
        <w:gridCol w:w="3312"/>
        <w:gridCol w:w="3312"/>
      </w:tblGrid>
      <w:tr>
        <w:tc>
          <w:tcPr>
            <w:tcW w:type="dxa" w:w="3312"/>
          </w:tcPr>
          <w:p>
            <w:r>
              <w:t>Item</w:t>
            </w:r>
          </w:p>
        </w:tc>
        <w:tc>
          <w:tcPr>
            <w:tcW w:type="dxa" w:w="3312"/>
          </w:tcPr>
          <w:p>
            <w:r>
              <w:t>Agreed basis</w:t>
            </w:r>
          </w:p>
        </w:tc>
        <w:tc>
          <w:tcPr>
            <w:tcW w:type="dxa" w:w="3312"/>
          </w:tcPr>
          <w:p>
            <w:r>
              <w:t>Amount / rate</w:t>
            </w:r>
          </w:p>
        </w:tc>
      </w:tr>
      <w:tr>
        <w:tc>
          <w:tcPr>
            <w:tcW w:type="dxa" w:w="3312"/>
          </w:tcPr>
          <w:p>
            <w:r>
              <w:t>Total evaluated price for one reference cohort</w:t>
            </w:r>
          </w:p>
        </w:tc>
        <w:tc>
          <w:tcPr>
            <w:tcW w:type="dxa" w:w="3312"/>
          </w:tcPr>
          <w:p>
            <w:r>
              <w:t>As accepted in Competition</w:t>
            </w:r>
          </w:p>
        </w:tc>
        <w:tc>
          <w:tcPr>
            <w:tcW w:type="dxa" w:w="3312"/>
          </w:tcPr>
          <w:p>
            <w:r>
              <w:t>€ [ ] excl. VAT</w:t>
            </w:r>
          </w:p>
        </w:tc>
      </w:tr>
      <w:tr>
        <w:tc>
          <w:tcPr>
            <w:tcW w:type="dxa" w:w="3312"/>
          </w:tcPr>
          <w:p>
            <w:r>
              <w:t>Equivalent participant price</w:t>
            </w:r>
          </w:p>
        </w:tc>
        <w:tc>
          <w:tcPr>
            <w:tcW w:type="dxa" w:w="3312"/>
          </w:tcPr>
          <w:p>
            <w:r>
              <w:t>As accepted in Competition</w:t>
            </w:r>
          </w:p>
        </w:tc>
        <w:tc>
          <w:tcPr>
            <w:tcW w:type="dxa" w:w="3312"/>
          </w:tcPr>
          <w:p>
            <w:r>
              <w:t>€ [ ] excl. VAT</w:t>
            </w:r>
          </w:p>
        </w:tc>
      </w:tr>
      <w:tr>
        <w:tc>
          <w:tcPr>
            <w:tcW w:type="dxa" w:w="3312"/>
          </w:tcPr>
          <w:p>
            <w:r>
              <w:t>Additional participant</w:t>
            </w:r>
          </w:p>
        </w:tc>
        <w:tc>
          <w:tcPr>
            <w:tcW w:type="dxa" w:w="3312"/>
          </w:tcPr>
          <w:p>
            <w:r>
              <w:t>As accepted in Competition</w:t>
            </w:r>
          </w:p>
        </w:tc>
        <w:tc>
          <w:tcPr>
            <w:tcW w:type="dxa" w:w="3312"/>
          </w:tcPr>
          <w:p>
            <w:r>
              <w:t>€ [ ] excl. VAT</w:t>
            </w:r>
          </w:p>
        </w:tc>
      </w:tr>
      <w:tr>
        <w:tc>
          <w:tcPr>
            <w:tcW w:type="dxa" w:w="3312"/>
          </w:tcPr>
          <w:p>
            <w:r>
              <w:t>Additional / subsequent cohort</w:t>
            </w:r>
          </w:p>
        </w:tc>
        <w:tc>
          <w:tcPr>
            <w:tcW w:type="dxa" w:w="3312"/>
          </w:tcPr>
          <w:p>
            <w:r>
              <w:t>As accepted in Competition</w:t>
            </w:r>
          </w:p>
        </w:tc>
        <w:tc>
          <w:tcPr>
            <w:tcW w:type="dxa" w:w="3312"/>
          </w:tcPr>
          <w:p>
            <w:r>
              <w:t>€ [ ] excl. VAT</w:t>
            </w:r>
          </w:p>
        </w:tc>
      </w:tr>
      <w:tr>
        <w:tc>
          <w:tcPr>
            <w:tcW w:type="dxa" w:w="3312"/>
          </w:tcPr>
          <w:p>
            <w:r>
              <w:t>Year 2 pricing / indexation</w:t>
            </w:r>
          </w:p>
        </w:tc>
        <w:tc>
          <w:tcPr>
            <w:tcW w:type="dxa" w:w="3312"/>
          </w:tcPr>
          <w:p>
            <w:r>
              <w:t>As accepted in Competition</w:t>
            </w:r>
          </w:p>
        </w:tc>
        <w:tc>
          <w:tcPr>
            <w:tcW w:type="dxa" w:w="3312"/>
          </w:tcPr>
          <w:p>
            <w:r>
              <w:t>[ ]</w:t>
            </w:r>
          </w:p>
        </w:tc>
      </w:tr>
      <w:tr>
        <w:tc>
          <w:tcPr>
            <w:tcW w:type="dxa" w:w="3312"/>
          </w:tcPr>
          <w:p>
            <w:r>
              <w:t>Year 3 pricing / indexation</w:t>
            </w:r>
          </w:p>
        </w:tc>
        <w:tc>
          <w:tcPr>
            <w:tcW w:type="dxa" w:w="3312"/>
          </w:tcPr>
          <w:p>
            <w:r>
              <w:t>As accepted in Competition</w:t>
            </w:r>
          </w:p>
        </w:tc>
        <w:tc>
          <w:tcPr>
            <w:tcW w:type="dxa" w:w="3312"/>
          </w:tcPr>
          <w:p>
            <w:r>
              <w:t>[ ]</w:t>
            </w:r>
          </w:p>
        </w:tc>
      </w:tr>
    </w:tbl>
    <w:p>
      <w:r>
        <w:t>Payment milestones / invoicing arrangements: [TO BE COMPLETED ON AWARD, CONSISTENT WITH THE CFT AND ACCEPTED PRICING SCHEDULE].</w:t>
      </w:r>
    </w:p>
    <w:p>
      <w:pPr>
        <w:pStyle w:val="Heading1"/>
      </w:pPr>
      <w:r>
        <w:t>SCHEDULE 4 – KPIs, REPORTING AND SERVICE LEVELS</w:t>
      </w:r>
    </w:p>
    <w:tbl>
      <w:tblPr>
        <w:tblStyle w:val="TableGrid"/>
        <w:tblW w:type="auto" w:w="0"/>
        <w:tblLook w:firstColumn="1" w:firstRow="1" w:lastColumn="0" w:lastRow="0" w:noHBand="0" w:noVBand="1" w:val="04A0"/>
      </w:tblPr>
      <w:tblGrid>
        <w:gridCol w:w="4968"/>
        <w:gridCol w:w="4968"/>
      </w:tblGrid>
      <w:tr>
        <w:tc>
          <w:tcPr>
            <w:tcW w:type="dxa" w:w="4968"/>
          </w:tcPr>
          <w:p>
            <w:r>
              <w:t>Measure</w:t>
            </w:r>
          </w:p>
        </w:tc>
        <w:tc>
          <w:tcPr>
            <w:tcW w:type="dxa" w:w="4968"/>
          </w:tcPr>
          <w:p>
            <w:r>
              <w:t>Required standard</w:t>
            </w:r>
          </w:p>
        </w:tc>
      </w:tr>
      <w:tr>
        <w:tc>
          <w:tcPr>
            <w:tcW w:type="dxa" w:w="4968"/>
          </w:tcPr>
          <w:p>
            <w:r>
              <w:t>Programme mobilisation</w:t>
            </w:r>
          </w:p>
        </w:tc>
        <w:tc>
          <w:tcPr>
            <w:tcW w:type="dxa" w:w="4968"/>
          </w:tcPr>
          <w:p>
            <w:r>
              <w:t>Agreed mobilisation plan, confirmed faculty, schedule and participant communications in place before programme start.</w:t>
            </w:r>
          </w:p>
        </w:tc>
      </w:tr>
      <w:tr>
        <w:tc>
          <w:tcPr>
            <w:tcW w:type="dxa" w:w="4968"/>
          </w:tcPr>
          <w:p>
            <w:r>
              <w:t>Delivery against schedule</w:t>
            </w:r>
          </w:p>
        </w:tc>
        <w:tc>
          <w:tcPr>
            <w:tcW w:type="dxa" w:w="4968"/>
          </w:tcPr>
          <w:p>
            <w:r>
              <w:t>Sessions delivered on agreed dates/times, subject to approved changes.</w:t>
            </w:r>
          </w:p>
        </w:tc>
      </w:tr>
      <w:tr>
        <w:tc>
          <w:tcPr>
            <w:tcW w:type="dxa" w:w="4968"/>
          </w:tcPr>
          <w:p>
            <w:r>
              <w:t>Key personnel continuity</w:t>
            </w:r>
          </w:p>
        </w:tc>
        <w:tc>
          <w:tcPr>
            <w:tcW w:type="dxa" w:w="4968"/>
          </w:tcPr>
          <w:p>
            <w:r>
              <w:t>Only approved Key Personnel or approved equivalent replacements deliver the Services.</w:t>
            </w:r>
          </w:p>
        </w:tc>
      </w:tr>
      <w:tr>
        <w:tc>
          <w:tcPr>
            <w:tcW w:type="dxa" w:w="4968"/>
          </w:tcPr>
          <w:p>
            <w:r>
              <w:t>Attendance and records</w:t>
            </w:r>
          </w:p>
        </w:tc>
        <w:tc>
          <w:tcPr>
            <w:tcW w:type="dxa" w:w="4968"/>
          </w:tcPr>
          <w:p>
            <w:r>
              <w:t>Accurate attendance and participant records maintained and supplied in the TIAS-required format.</w:t>
            </w:r>
          </w:p>
        </w:tc>
      </w:tr>
      <w:tr>
        <w:tc>
          <w:tcPr>
            <w:tcW w:type="dxa" w:w="4968"/>
          </w:tcPr>
          <w:p>
            <w:r>
              <w:t>Participant experience</w:t>
            </w:r>
          </w:p>
        </w:tc>
        <w:tc>
          <w:tcPr>
            <w:tcW w:type="dxa" w:w="4968"/>
          </w:tcPr>
          <w:p>
            <w:r>
              <w:t>Participant feedback monitored; issues and complaints promptly addressed.</w:t>
            </w:r>
          </w:p>
        </w:tc>
      </w:tr>
      <w:tr>
        <w:tc>
          <w:tcPr>
            <w:tcW w:type="dxa" w:w="4968"/>
          </w:tcPr>
          <w:p>
            <w:r>
              <w:t>Learning evaluation</w:t>
            </w:r>
          </w:p>
        </w:tc>
        <w:tc>
          <w:tcPr>
            <w:tcW w:type="dxa" w:w="4968"/>
          </w:tcPr>
          <w:p>
            <w:r>
              <w:t>Evaluation completed in accordance with the CFT, including agreed Kirkpatrick Level 1 and Level 2 measures where specified.</w:t>
            </w:r>
          </w:p>
        </w:tc>
      </w:tr>
      <w:tr>
        <w:tc>
          <w:tcPr>
            <w:tcW w:type="dxa" w:w="4968"/>
          </w:tcPr>
          <w:p>
            <w:r>
              <w:t>Reporting</w:t>
            </w:r>
          </w:p>
        </w:tc>
        <w:tc>
          <w:tcPr>
            <w:tcW w:type="dxa" w:w="4968"/>
          </w:tcPr>
          <w:p>
            <w:r>
              <w:t>Programme / cohort reports and required documentation supplied within agreed timelines.</w:t>
            </w:r>
          </w:p>
        </w:tc>
      </w:tr>
      <w:tr>
        <w:tc>
          <w:tcPr>
            <w:tcW w:type="dxa" w:w="4968"/>
          </w:tcPr>
          <w:p>
            <w:r>
              <w:t>Continuous improvement</w:t>
            </w:r>
          </w:p>
        </w:tc>
        <w:tc>
          <w:tcPr>
            <w:tcW w:type="dxa" w:w="4968"/>
          </w:tcPr>
          <w:p>
            <w:r>
              <w:t>Evaluation findings reviewed with TIAS and agreed improvements implemented for subsequent delivery.</w:t>
            </w:r>
          </w:p>
        </w:tc>
      </w:tr>
      <w:tr>
        <w:tc>
          <w:tcPr>
            <w:tcW w:type="dxa" w:w="4968"/>
          </w:tcPr>
          <w:p>
            <w:r>
              <w:t>Issue escalation</w:t>
            </w:r>
          </w:p>
        </w:tc>
        <w:tc>
          <w:tcPr>
            <w:tcW w:type="dxa" w:w="4968"/>
          </w:tcPr>
          <w:p>
            <w:r>
              <w:t>Material delivery risks and incidents notified promptly to TIAS.</w:t>
            </w:r>
          </w:p>
        </w:tc>
      </w:tr>
      <w:tr>
        <w:tc>
          <w:tcPr>
            <w:tcW w:type="dxa" w:w="4968"/>
          </w:tcPr>
          <w:p>
            <w:r>
              <w:t>Data protection</w:t>
            </w:r>
          </w:p>
        </w:tc>
        <w:tc>
          <w:tcPr>
            <w:tcW w:type="dxa" w:w="4968"/>
          </w:tcPr>
          <w:p>
            <w:r>
              <w:t>No material breach of agreed data-protection requirements.</w:t>
            </w:r>
          </w:p>
        </w:tc>
      </w:tr>
    </w:tbl>
    <w:p>
      <w:r>
        <w:t>Specific numerical targets, if required, may be completed at contract award provided they are consistent with the CFT and do not materially alter the procurement.</w:t>
      </w:r>
    </w:p>
    <w:p>
      <w:pPr>
        <w:pStyle w:val="Heading1"/>
      </w:pPr>
      <w:r>
        <w:t>SCHEDULE 5 – DATA PROCESSING REQUIREMENTS (IF APPLICABLE)</w:t>
      </w:r>
    </w:p>
    <w:p>
      <w:r>
        <w:t>If the Contractor processes personal data on behalf of TIAS as a processor, the Parties shall complete an Article 28 GDPR data-processing schedule before such processing commences. This shall specify, at minimum, the subject matter and duration of processing; nature and purpose; categories of data and data subjects; documented instructions; confidentiality; security measures; subprocessors; data-subject rights support; breach notification; deletion/return; audit and compliance obligations.</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Tech Industry Alliance Skillnet | Graduate Development Programme | Draft Services Contract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1D08206D796CA42A5345BAEBBA7C49A" ma:contentTypeVersion="12" ma:contentTypeDescription="Create a new document." ma:contentTypeScope="" ma:versionID="7257f4e5ea4cc3b5b61f95ea3e254903">
  <xsd:schema xmlns:xsd="http://www.w3.org/2001/XMLSchema" xmlns:xs="http://www.w3.org/2001/XMLSchema" xmlns:p="http://schemas.microsoft.com/office/2006/metadata/properties" xmlns:ns2="316f0377-e2c2-458b-be5e-8755e014db0f" xmlns:ns3="5db27def-ca5d-467e-a7f3-1aedc99f9cf5" targetNamespace="http://schemas.microsoft.com/office/2006/metadata/properties" ma:root="true" ma:fieldsID="6df835b76f8230ca6a47095a7157ee32" ns2:_="" ns3:_="">
    <xsd:import namespace="316f0377-e2c2-458b-be5e-8755e014db0f"/>
    <xsd:import namespace="5db27def-ca5d-467e-a7f3-1aedc99f9c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6f0377-e2c2-458b-be5e-8755e014d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1236f33-e22c-487e-963d-361dc3fd441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b27def-ca5d-467e-a7f3-1aedc99f9cf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80ca5a6-7b1b-4137-b8e2-6d6d5b06eff2}" ma:internalName="TaxCatchAll" ma:showField="CatchAllData" ma:web="5db27def-ca5d-467e-a7f3-1aedc99f9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6f0377-e2c2-458b-be5e-8755e014db0f">
      <Terms xmlns="http://schemas.microsoft.com/office/infopath/2007/PartnerControls"/>
    </lcf76f155ced4ddcb4097134ff3c332f>
    <TaxCatchAll xmlns="5db27def-ca5d-467e-a7f3-1aedc99f9cf5"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860E3BB-CEF1-4ABA-AEC3-33F074BA139C}"/>
</file>

<file path=customXml/itemProps3.xml><?xml version="1.0" encoding="utf-8"?>
<ds:datastoreItem xmlns:ds="http://schemas.openxmlformats.org/officeDocument/2006/customXml" ds:itemID="{44C5B8D2-ABFB-4560-9FB8-FFC08D20BCD0}"/>
</file>

<file path=customXml/itemProps4.xml><?xml version="1.0" encoding="utf-8"?>
<ds:datastoreItem xmlns:ds="http://schemas.openxmlformats.org/officeDocument/2006/customXml" ds:itemID="{E228903E-D228-4AC4-9B74-C237EE948EF8}"/>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0x010100F1D08206D796CA42A5345BAEBBA7C49A</vt:lpwstr>
  </property>
</Properties>
</file>