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FDAA1" w14:textId="77777777" w:rsidR="00260D0F" w:rsidRDefault="00A55DDE">
      <w:pPr>
        <w:spacing w:after="0"/>
        <w:jc w:val="center"/>
      </w:pPr>
      <w:r>
        <w:rPr>
          <w:noProof/>
        </w:rPr>
        <w:drawing>
          <wp:inline distT="0" distB="0" distL="0" distR="0" wp14:anchorId="7DEF186D" wp14:editId="58890F72">
            <wp:extent cx="7406640" cy="10469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cft.png"/>
                    <pic:cNvPicPr/>
                  </pic:nvPicPr>
                  <pic:blipFill>
                    <a:blip r:embed="rId11"/>
                    <a:stretch>
                      <a:fillRect/>
                    </a:stretch>
                  </pic:blipFill>
                  <pic:spPr>
                    <a:xfrm>
                      <a:off x="0" y="0"/>
                      <a:ext cx="7406640" cy="10469880"/>
                    </a:xfrm>
                    <a:prstGeom prst="rect">
                      <a:avLst/>
                    </a:prstGeom>
                  </pic:spPr>
                </pic:pic>
              </a:graphicData>
            </a:graphic>
          </wp:inline>
        </w:drawing>
      </w:r>
    </w:p>
    <w:p w14:paraId="7F132475" w14:textId="77777777" w:rsidR="00260D0F" w:rsidRDefault="00260D0F">
      <w:pPr>
        <w:sectPr w:rsidR="00260D0F">
          <w:pgSz w:w="12240" w:h="15840"/>
          <w:pgMar w:top="0" w:right="0" w:bottom="0" w:left="0" w:header="720" w:footer="720" w:gutter="0"/>
          <w:cols w:space="720"/>
          <w:docGrid w:linePitch="360"/>
        </w:sectPr>
      </w:pPr>
    </w:p>
    <w:p w14:paraId="1C6A91C5" w14:textId="77777777" w:rsidR="00260D0F" w:rsidRDefault="00A55DDE">
      <w:pPr>
        <w:pStyle w:val="Title"/>
      </w:pPr>
      <w:r>
        <w:lastRenderedPageBreak/>
        <w:t>CALL FOR TENDER</w:t>
      </w:r>
    </w:p>
    <w:p w14:paraId="3F66F062" w14:textId="77777777" w:rsidR="00260D0F" w:rsidRDefault="00A55DDE">
      <w:r>
        <w:t>Appointment of a single service provider for the design and delivery of a Graduate Development Programme for Tech Industry Alliance Skillnet (TIAS)</w:t>
      </w:r>
    </w:p>
    <w:p w14:paraId="5D1C8DDF" w14:textId="77777777" w:rsidR="00260D0F" w:rsidRDefault="00260D0F"/>
    <w:tbl>
      <w:tblPr>
        <w:tblStyle w:val="TableGrid"/>
        <w:tblW w:w="0" w:type="auto"/>
        <w:jc w:val="center"/>
        <w:tblLook w:val="04A0" w:firstRow="1" w:lastRow="0" w:firstColumn="1" w:lastColumn="0" w:noHBand="0" w:noVBand="1"/>
      </w:tblPr>
      <w:tblGrid>
        <w:gridCol w:w="5040"/>
        <w:gridCol w:w="5040"/>
      </w:tblGrid>
      <w:tr w:rsidR="00260D0F" w14:paraId="1BFB54D7" w14:textId="77777777">
        <w:trPr>
          <w:jc w:val="center"/>
        </w:trPr>
        <w:tc>
          <w:tcPr>
            <w:tcW w:w="5040" w:type="dxa"/>
            <w:shd w:val="clear" w:color="auto" w:fill="F2F2F2"/>
            <w:vAlign w:val="center"/>
          </w:tcPr>
          <w:p w14:paraId="2B7B8379" w14:textId="77777777" w:rsidR="00260D0F" w:rsidRDefault="00A55DDE">
            <w:r>
              <w:rPr>
                <w:b/>
                <w:color w:val="003247"/>
                <w:sz w:val="18"/>
              </w:rPr>
              <w:t>Contracting Authority</w:t>
            </w:r>
          </w:p>
        </w:tc>
        <w:tc>
          <w:tcPr>
            <w:tcW w:w="5040" w:type="dxa"/>
            <w:vAlign w:val="center"/>
          </w:tcPr>
          <w:p w14:paraId="3C6F7C2B" w14:textId="77777777" w:rsidR="00260D0F" w:rsidRDefault="00A55DDE">
            <w:r>
              <w:rPr>
                <w:sz w:val="18"/>
              </w:rPr>
              <w:t>Tech Industry Alliance Skillnet (TIA Skillnet / TIAS)</w:t>
            </w:r>
          </w:p>
        </w:tc>
      </w:tr>
      <w:tr w:rsidR="00260D0F" w14:paraId="693D29CE" w14:textId="77777777">
        <w:trPr>
          <w:jc w:val="center"/>
        </w:trPr>
        <w:tc>
          <w:tcPr>
            <w:tcW w:w="5040" w:type="dxa"/>
            <w:shd w:val="clear" w:color="auto" w:fill="F2F2F2"/>
            <w:vAlign w:val="center"/>
          </w:tcPr>
          <w:p w14:paraId="13F28012" w14:textId="77777777" w:rsidR="00260D0F" w:rsidRDefault="00A55DDE">
            <w:r>
              <w:rPr>
                <w:b/>
                <w:color w:val="003247"/>
                <w:sz w:val="18"/>
              </w:rPr>
              <w:t>Procurement</w:t>
            </w:r>
          </w:p>
        </w:tc>
        <w:tc>
          <w:tcPr>
            <w:tcW w:w="5040" w:type="dxa"/>
            <w:vAlign w:val="center"/>
          </w:tcPr>
          <w:p w14:paraId="5927DC59" w14:textId="77777777" w:rsidR="00260D0F" w:rsidRDefault="00A55DDE">
            <w:r>
              <w:rPr>
                <w:sz w:val="18"/>
              </w:rPr>
              <w:t>Single-supplier services contract</w:t>
            </w:r>
          </w:p>
        </w:tc>
      </w:tr>
      <w:tr w:rsidR="00260D0F" w14:paraId="42E62D5D" w14:textId="77777777">
        <w:trPr>
          <w:jc w:val="center"/>
        </w:trPr>
        <w:tc>
          <w:tcPr>
            <w:tcW w:w="5040" w:type="dxa"/>
            <w:shd w:val="clear" w:color="auto" w:fill="F2F2F2"/>
            <w:vAlign w:val="center"/>
          </w:tcPr>
          <w:p w14:paraId="6A79BE1E" w14:textId="77777777" w:rsidR="00260D0F" w:rsidRDefault="00A55DDE">
            <w:r>
              <w:rPr>
                <w:b/>
                <w:color w:val="003247"/>
                <w:sz w:val="18"/>
              </w:rPr>
              <w:t>Indicative initial term</w:t>
            </w:r>
          </w:p>
        </w:tc>
        <w:tc>
          <w:tcPr>
            <w:tcW w:w="5040" w:type="dxa"/>
            <w:vAlign w:val="center"/>
          </w:tcPr>
          <w:p w14:paraId="5B7F6F85" w14:textId="2FCCA8F5" w:rsidR="00260D0F" w:rsidRDefault="00A55DDE">
            <w:r>
              <w:rPr>
                <w:sz w:val="18"/>
              </w:rPr>
              <w:t xml:space="preserve">12 months October 2026 – October 2027</w:t>
            </w:r>
          </w:p>
        </w:tc>
      </w:tr>
      <w:tr w:rsidR="00260D0F" w14:paraId="4D4B24A7" w14:textId="77777777">
        <w:trPr>
          <w:jc w:val="center"/>
        </w:trPr>
        <w:tc>
          <w:tcPr>
            <w:tcW w:w="5040" w:type="dxa"/>
            <w:shd w:val="clear" w:color="auto" w:fill="F2F2F2"/>
            <w:vAlign w:val="center"/>
          </w:tcPr>
          <w:p w14:paraId="13671FC8" w14:textId="77777777" w:rsidR="00260D0F" w:rsidRDefault="00A55DDE">
            <w:r>
              <w:rPr>
                <w:b/>
                <w:color w:val="003247"/>
                <w:sz w:val="18"/>
              </w:rPr>
              <w:t>Extension options</w:t>
            </w:r>
          </w:p>
        </w:tc>
        <w:tc>
          <w:tcPr>
            <w:tcW w:w="5040" w:type="dxa"/>
            <w:vAlign w:val="center"/>
          </w:tcPr>
          <w:p w14:paraId="763AEAB5" w14:textId="60F7663F" w:rsidR="00260D0F" w:rsidRDefault="00A55DDE">
            <w:r>
              <w:rPr>
                <w:sz w:val="18"/>
              </w:rPr>
              <w:t>Up to two further periods of 12 months each, subject to funding, demand and satisfactory performance</w:t>
            </w:r>
          </w:p>
        </w:tc>
      </w:tr>
      <w:tr w:rsidR="00260D0F" w14:paraId="691CFE93" w14:textId="77777777">
        <w:trPr>
          <w:jc w:val="center"/>
        </w:trPr>
        <w:tc>
          <w:tcPr>
            <w:tcW w:w="5040" w:type="dxa"/>
            <w:shd w:val="clear" w:color="auto" w:fill="F2F2F2"/>
            <w:vAlign w:val="center"/>
          </w:tcPr>
          <w:p w14:paraId="56CA0118" w14:textId="77777777" w:rsidR="00260D0F" w:rsidRDefault="00A55DDE">
            <w:r>
              <w:rPr>
                <w:b/>
                <w:color w:val="003247"/>
                <w:sz w:val="18"/>
              </w:rPr>
              <w:t>Indicative maximum term</w:t>
            </w:r>
          </w:p>
        </w:tc>
        <w:tc>
          <w:tcPr>
            <w:tcW w:w="5040" w:type="dxa"/>
            <w:vAlign w:val="center"/>
          </w:tcPr>
          <w:p w14:paraId="1E98DB2D" w14:textId="77777777" w:rsidR="00260D0F" w:rsidRDefault="00A55DDE">
            <w:r>
              <w:rPr>
                <w:sz w:val="18"/>
              </w:rPr>
              <w:t>36 months</w:t>
            </w:r>
          </w:p>
        </w:tc>
      </w:tr>
      <w:tr w:rsidR="00260D0F" w14:paraId="3B5AB1A4" w14:textId="77777777">
        <w:trPr>
          <w:jc w:val="center"/>
        </w:trPr>
        <w:tc>
          <w:tcPr>
            <w:tcW w:w="5040" w:type="dxa"/>
            <w:shd w:val="clear" w:color="auto" w:fill="F2F2F2"/>
            <w:vAlign w:val="center"/>
          </w:tcPr>
          <w:p w14:paraId="185F3435" w14:textId="77777777" w:rsidR="00260D0F" w:rsidRDefault="00A55DDE">
            <w:r>
              <w:rPr>
                <w:b/>
                <w:color w:val="003247"/>
                <w:sz w:val="18"/>
              </w:rPr>
              <w:t>Estimated total value</w:t>
            </w:r>
          </w:p>
        </w:tc>
        <w:tc>
          <w:tcPr>
            <w:tcW w:w="5040" w:type="dxa"/>
            <w:vAlign w:val="center"/>
          </w:tcPr>
          <w:p w14:paraId="176290D3" w14:textId="77777777" w:rsidR="00260D0F" w:rsidRDefault="00A55DDE">
            <w:r>
              <w:rPr>
                <w:sz w:val="18"/>
              </w:rPr>
              <w:t>Approximately €300,000 exclusive of VAT over the maximum term (indicative only; no guaranteed spend)</w:t>
            </w:r>
          </w:p>
        </w:tc>
      </w:tr>
      <w:tr w:rsidR="00260D0F" w14:paraId="25840838" w14:textId="77777777">
        <w:trPr>
          <w:jc w:val="center"/>
        </w:trPr>
        <w:tc>
          <w:tcPr>
            <w:tcW w:w="5040" w:type="dxa"/>
            <w:shd w:val="clear" w:color="auto" w:fill="F2F2F2"/>
            <w:vAlign w:val="center"/>
          </w:tcPr>
          <w:p w14:paraId="215DA2E4" w14:textId="77777777" w:rsidR="00260D0F" w:rsidRDefault="00A55DDE">
            <w:r>
              <w:rPr>
                <w:b/>
                <w:color w:val="003247"/>
                <w:sz w:val="18"/>
              </w:rPr>
              <w:t>Submission method</w:t>
            </w:r>
          </w:p>
        </w:tc>
        <w:tc>
          <w:tcPr>
            <w:tcW w:w="5040" w:type="dxa"/>
            <w:vAlign w:val="center"/>
          </w:tcPr>
          <w:p w14:paraId="203ED527" w14:textId="77777777" w:rsidR="00260D0F" w:rsidRDefault="00A55DDE">
            <w:r>
              <w:rPr>
                <w:sz w:val="18"/>
              </w:rPr>
              <w:t>Electronic submission through the eTenders tender box only</w:t>
            </w:r>
          </w:p>
        </w:tc>
      </w:tr>
      <w:tr w:rsidR="00260D0F" w14:paraId="28540D71" w14:textId="77777777">
        <w:trPr>
          <w:jc w:val="center"/>
        </w:trPr>
        <w:tc>
          <w:tcPr>
            <w:tcW w:w="5040" w:type="dxa"/>
            <w:shd w:val="clear" w:color="auto" w:fill="F2F2F2"/>
            <w:vAlign w:val="center"/>
          </w:tcPr>
          <w:p w14:paraId="553C1805" w14:textId="77777777" w:rsidR="00260D0F" w:rsidRDefault="00A55DDE">
            <w:r>
              <w:rPr>
                <w:b/>
                <w:color w:val="003247"/>
                <w:sz w:val="18"/>
              </w:rPr>
              <w:t>Tender deadline</w:t>
            </w:r>
          </w:p>
        </w:tc>
        <w:tc>
          <w:tcPr>
            <w:tcW w:w="5040" w:type="dxa"/>
            <w:vAlign w:val="center"/>
          </w:tcPr>
          <w:p w14:paraId="7D72632F" w14:textId="7E299E7B" w:rsidR="00260D0F" w:rsidRDefault="005E25B1">
            <w:r>
              <w:rPr>
                <w:sz w:val="18"/>
              </w:rPr>
              <w:t xml:space="preserve"> 5:00p.m. 28</w:t>
            </w:r>
            <w:r>
              <w:rPr>
                <w:sz w:val="18"/>
                <w:vertAlign w:val="superscript"/>
              </w:rPr>
              <w:t>th</w:t>
            </w:r>
            <w:r>
              <w:rPr>
                <w:sz w:val="18"/>
              </w:rPr>
              <w:t xml:space="preserve"> September 2026</w:t>
            </w:r>
          </w:p>
        </w:tc>
      </w:tr>
      <w:tr w:rsidR="00260D0F" w14:paraId="61886D33" w14:textId="77777777">
        <w:trPr>
          <w:jc w:val="center"/>
        </w:trPr>
        <w:tc>
          <w:tcPr>
            <w:tcW w:w="5040" w:type="dxa"/>
            <w:shd w:val="clear" w:color="auto" w:fill="F2F2F2"/>
            <w:vAlign w:val="center"/>
          </w:tcPr>
          <w:p w14:paraId="3B947C32" w14:textId="77777777" w:rsidR="00260D0F" w:rsidRDefault="00A55DDE">
            <w:r>
              <w:rPr>
                <w:b/>
                <w:color w:val="003247"/>
                <w:sz w:val="18"/>
              </w:rPr>
              <w:t>Contract commencement</w:t>
            </w:r>
          </w:p>
        </w:tc>
        <w:tc>
          <w:tcPr>
            <w:tcW w:w="5040" w:type="dxa"/>
            <w:vAlign w:val="center"/>
          </w:tcPr>
          <w:p w14:paraId="4A6D6354" w14:textId="3C2FCC90" w:rsidR="00260D0F" w:rsidRDefault="004B291D">
            <w:r>
              <w:rPr>
                <w:sz w:val="18"/>
              </w:rPr>
              <w:t>10</w:t>
            </w:r>
            <w:r>
              <w:rPr>
                <w:sz w:val="18"/>
                <w:vertAlign w:val="superscript"/>
              </w:rPr>
              <w:t>th</w:t>
            </w:r>
            <w:r>
              <w:rPr>
                <w:sz w:val="18"/>
              </w:rPr>
              <w:t xml:space="preserve"> October 2026</w:t>
            </w:r>
          </w:p>
        </w:tc>
      </w:tr>
    </w:tbl>
    <w:p w14:paraId="49D215A5" w14:textId="77777777" w:rsidR="00260D0F" w:rsidRDefault="00A55DDE">
      <w:pPr>
        <w:pStyle w:val="Heading1"/>
      </w:pPr>
      <w:r>
        <w:t>1. INTRODUCTION AND BACKGROUND</w:t>
      </w:r>
    </w:p>
    <w:p w14:paraId="1B9525CC" w14:textId="77777777" w:rsidR="00260D0F" w:rsidRDefault="00A55DDE">
      <w:r>
        <w:t>Tech Industry Alliance (TIA) is the contracting organisation for TIA Skillnet. It is a leading not-for-profit, independent organisation representing the technology sector in the South West of Ireland. It was established over 20 years ago and plays a crucial role in facilitating collaboration between stakeholders, providing high quality events and skills training, and promoting innovation and achievement. Its membership base includes more than 200 technology-driven companies at different stages of growth, from start-ups and SMEs to multinational companies.</w:t>
      </w:r>
    </w:p>
    <w:p w14:paraId="43D7C831" w14:textId="77777777" w:rsidR="00260D0F" w:rsidRDefault="00A55DDE">
      <w:r>
        <w:t>TIA Skillnet is a learning network that supports and works with companies of all sizes in the technology sector and beyond in the South West region to develop talent. It addresses current and future skills needs through the provision of subsidised workforce development solutions. The aim of the Network is to increase and upgrade skills to enhance business performance and competitiveness. The Network was established in 2013 and has continually developed and expanded its scale and scope.</w:t>
      </w:r>
    </w:p>
    <w:p w14:paraId="4827EBC6" w14:textId="1E7904ED" w:rsidR="00260D0F" w:rsidRDefault="00A55DDE">
      <w:r>
        <w:t xml:space="preserve">TIA Skillnet is funded by Skillnet Ireland through the National Training Fund and the European Union and by contributions from participating companies. The delivery of any programme under this competition will remain subject to applicable Skillnet Ireland eligibility, funding and governance requirements.</w:t>
      </w:r>
    </w:p>
    <w:p w14:paraId="3E8CDAF4" w14:textId="77777777" w:rsidR="00260D0F" w:rsidRDefault="00A55DDE">
      <w:pPr>
        <w:pStyle w:val="Heading1"/>
      </w:pPr>
      <w:r>
        <w:t>2. OBJECTIVE OF THE COMPETITION</w:t>
      </w:r>
    </w:p>
    <w:p w14:paraId="3CB89C2E" w14:textId="77777777" w:rsidR="00260D0F" w:rsidRDefault="00A55DDE">
      <w:r>
        <w:t>TIA Skillnet invites tenders from suitably qualified providers for the design, programme management and delivery of a high-quality, cross-company Graduate Development Programme. The successful provider will be expected to support participating employers in attracting, developing and retaining graduate talent and to accelerate participants' transition from graduate entrant to confident, capable and self-directed professional.</w:t>
      </w:r>
    </w:p>
    <w:p w14:paraId="114C6CE0" w14:textId="77777777" w:rsidR="00260D0F" w:rsidRDefault="00A55DDE">
      <w:r>
        <w:lastRenderedPageBreak/>
        <w:t>The programme should combine practical workplace application with relevant theory and should create a coherent development journey rather than a series of disconnected training events. Tenderers are encouraged to propose an evidence-based design that reflects contemporary graduate and early-career development needs while remaining adaptable to the requirements of participating employers.</w:t>
      </w:r>
    </w:p>
    <w:p w14:paraId="3BF990E3" w14:textId="77777777" w:rsidR="00260D0F" w:rsidRDefault="00A55DDE">
      <w:pPr>
        <w:pStyle w:val="Heading1"/>
      </w:pPr>
      <w:r>
        <w:t>3. PROCUREMENT AND CONTRACT STRUCTURE</w:t>
      </w:r>
    </w:p>
    <w:p w14:paraId="70382130" w14:textId="77777777" w:rsidR="00260D0F" w:rsidRDefault="00A55DDE">
      <w:pPr>
        <w:pStyle w:val="ListNumber"/>
      </w:pPr>
      <w:r>
        <w:t>This competition is intended to result in the appointment of one successful service provider.</w:t>
      </w:r>
    </w:p>
    <w:p w14:paraId="345E2EA4" w14:textId="77777777" w:rsidR="00260D0F" w:rsidRDefault="00A55DDE">
      <w:pPr>
        <w:pStyle w:val="ListNumber"/>
      </w:pPr>
      <w:r>
        <w:t>The initial contract term is expected to be 12 months, with TIAS retaining the option to extend the contract for up to two additional 12-month periods on the same or agreed revised terms, subject to demand, continued availability of funding, satisfactory performance and TIAS requirements.</w:t>
      </w:r>
    </w:p>
    <w:p w14:paraId="1C301B54" w14:textId="017C68FC" w:rsidR="00260D0F" w:rsidRDefault="00A55DDE">
      <w:pPr>
        <w:pStyle w:val="ListNumber"/>
      </w:pPr>
      <w:r>
        <w:t xml:space="preserve">The estimated aggregate value of the services over the maximum 36-month term is approximately €300,000 exclusive of VAT. This estimate is based on a single iteration per year. This estimate is indicative only and does not constitute a commitment or guarantee of expenditure, participant numbers, programme deliveries or contract extensions.</w:t>
      </w:r>
    </w:p>
    <w:p w14:paraId="7C951F82" w14:textId="77777777" w:rsidR="00260D0F" w:rsidRDefault="00A55DDE">
      <w:pPr>
        <w:pStyle w:val="ListNumber"/>
      </w:pPr>
      <w:r>
        <w:t>The contract will not confer exclusivity. TIAS reserves the right, subject to its obligations under procurement law, to procure other services separately where requirements fall outside the scope of this competition or where otherwise appropriate.</w:t>
      </w:r>
    </w:p>
    <w:p w14:paraId="7FE6AEB1" w14:textId="77777777" w:rsidR="00260D0F" w:rsidRDefault="00A55DDE">
      <w:pPr>
        <w:pStyle w:val="ListNumber"/>
      </w:pPr>
      <w:r>
        <w:t>The successful tenderer will be required to enter into a written services agreement incorporating the requirements of this CFT, the successful tender, agreed pricing, TIAS standard terms and any subsequent written clarifications.</w:t>
      </w:r>
    </w:p>
    <w:p w14:paraId="4FC8AEDE" w14:textId="77777777" w:rsidR="00260D0F" w:rsidRDefault="00A55DDE">
      <w:pPr>
        <w:pStyle w:val="ListNumber"/>
      </w:pPr>
      <w:r>
        <w:t>Tenderers are required to review the Draft Services Contract issued with this competition. Any query or concern regarding its terms must be raised during the clarification period. By submitting a Tender, a Tenderer confirms that, if successful, it is prepared to enter into the Services Contract substantially in the form issued, subject only to amendments formally notified by TIAS during the competition or required to complete the contract particulars.</w:t>
      </w:r>
    </w:p>
    <w:p w14:paraId="60E94A25" w14:textId="77777777" w:rsidR="00260D0F" w:rsidRDefault="00A55DDE">
      <w:pPr>
        <w:pStyle w:val="Heading1"/>
      </w:pPr>
      <w:r>
        <w:t>4. PROGRAMME REQUIREMENTS AND SPECIFICATION</w:t>
      </w:r>
    </w:p>
    <w:p w14:paraId="70CE62ED" w14:textId="77777777" w:rsidR="00260D0F" w:rsidRDefault="00A55DDE">
      <w:pPr>
        <w:pStyle w:val="Heading2"/>
      </w:pPr>
      <w:r>
        <w:t>4.1 Target audience and cohort model</w:t>
      </w:r>
    </w:p>
    <w:p w14:paraId="38B6171C" w14:textId="77777777" w:rsidR="00260D0F" w:rsidRDefault="00A55DDE">
      <w:r>
        <w:t>The programme is intended principally for graduates and early-career professionals employed by participating companies. Participants are expected to be in the early stages of their professional careers and may come from different functions, disciplines and organisations.</w:t>
      </w:r>
    </w:p>
    <w:p w14:paraId="3CA14E23" w14:textId="77777777" w:rsidR="00260D0F" w:rsidRDefault="00A55DDE">
      <w:pPr>
        <w:pStyle w:val="ListBullet"/>
      </w:pPr>
      <w:r>
        <w:t>Indicative cohort size for planning and pricing purposes: 20 participants.</w:t>
      </w:r>
    </w:p>
    <w:p w14:paraId="133F5AB3" w14:textId="77777777" w:rsidR="00260D0F" w:rsidRDefault="00A55DDE">
      <w:pPr>
        <w:pStyle w:val="ListBullet"/>
      </w:pPr>
      <w:r>
        <w:t>TIAS may commission cohorts of different sizes subject to employer demand and funding.</w:t>
      </w:r>
    </w:p>
    <w:p w14:paraId="00875189" w14:textId="77777777" w:rsidR="00260D0F" w:rsidRDefault="00A55DDE">
      <w:pPr>
        <w:pStyle w:val="ListBullet"/>
      </w:pPr>
      <w:r>
        <w:t>The programme should be suitable for cross-company delivery and should create meaningful opportunities for peer learning, networking and collaborative problem solving.</w:t>
      </w:r>
    </w:p>
    <w:p w14:paraId="624F9357" w14:textId="77777777" w:rsidR="00260D0F" w:rsidRDefault="00A55DDE">
      <w:pPr>
        <w:pStyle w:val="Heading2"/>
      </w:pPr>
      <w:r>
        <w:t>4.2 Programme duration and delivery approach</w:t>
      </w:r>
    </w:p>
    <w:p w14:paraId="21D44EA5" w14:textId="77777777" w:rsidR="00260D0F" w:rsidRDefault="00A55DDE">
      <w:r>
        <w:t>TIAS currently envisages a multi-module programme delivered over approximately 10-12 months. Delivery is expected to be predominantly instructor-led and highly experiential. Face-to-face delivery in Cork / the South West is preferred for core modules, with live online or blended elements permitted where they strengthen the learning journey or reduce unnecessary travel.</w:t>
      </w:r>
    </w:p>
    <w:p w14:paraId="2E389474" w14:textId="77777777" w:rsidR="00260D0F" w:rsidRDefault="00260D0F"/>
    <w:p w14:paraId="4BA3FF74" w14:textId="77777777" w:rsidR="00260D0F" w:rsidRDefault="00A55DDE">
      <w:pPr>
        <w:pStyle w:val="Heading2"/>
      </w:pPr>
      <w:r>
        <w:lastRenderedPageBreak/>
        <w:t>4.3 Required capability areas</w:t>
      </w:r>
    </w:p>
    <w:p w14:paraId="6D8BF2C2" w14:textId="77777777" w:rsidR="00260D0F" w:rsidRDefault="00A55DDE">
      <w:r>
        <w:t>Tenderers must propose a coherent programme that, as a minimum, develops the following capability areas:</w:t>
      </w:r>
    </w:p>
    <w:p w14:paraId="2CECF2B7" w14:textId="77777777" w:rsidR="00260D0F" w:rsidRDefault="00A55DDE">
      <w:pPr>
        <w:pStyle w:val="ListBullet"/>
      </w:pPr>
      <w:r>
        <w:t>transition from graduate to effective professional, including personal responsibility, professional standards and career ownership;</w:t>
      </w:r>
    </w:p>
    <w:p w14:paraId="1928223C" w14:textId="77777777" w:rsidR="00260D0F" w:rsidRDefault="00A55DDE">
      <w:pPr>
        <w:pStyle w:val="ListBullet"/>
      </w:pPr>
      <w:r>
        <w:t>self-awareness, emotional intelligence, resilience, confidence and reflective practice;</w:t>
      </w:r>
    </w:p>
    <w:p w14:paraId="33B623C6" w14:textId="77777777" w:rsidR="00260D0F" w:rsidRDefault="00A55DDE">
      <w:pPr>
        <w:pStyle w:val="ListBullet"/>
      </w:pPr>
      <w:r>
        <w:t>communication, presentation, influencing, negotiation and stakeholder management;</w:t>
      </w:r>
    </w:p>
    <w:p w14:paraId="6D8743CF" w14:textId="77777777" w:rsidR="00260D0F" w:rsidRDefault="00A55DDE">
      <w:pPr>
        <w:pStyle w:val="ListBullet"/>
      </w:pPr>
      <w:r>
        <w:t>commercial and business acumen, including understanding how organisations create value;</w:t>
      </w:r>
    </w:p>
    <w:p w14:paraId="79415714" w14:textId="77777777" w:rsidR="00260D0F" w:rsidRDefault="00A55DDE">
      <w:pPr>
        <w:pStyle w:val="ListBullet"/>
      </w:pPr>
      <w:r>
        <w:t>collaboration, teamwork and effective working across functions, cultures and hybrid environments;</w:t>
      </w:r>
    </w:p>
    <w:p w14:paraId="5AB69645" w14:textId="77777777" w:rsidR="00260D0F" w:rsidRDefault="00A55DDE">
      <w:pPr>
        <w:pStyle w:val="ListBullet"/>
      </w:pPr>
      <w:r>
        <w:t>critical thinking, structured problem solving, judgement and decision-making;</w:t>
      </w:r>
    </w:p>
    <w:p w14:paraId="29AFC696" w14:textId="77777777" w:rsidR="00260D0F" w:rsidRDefault="00A55DDE">
      <w:pPr>
        <w:pStyle w:val="ListBullet"/>
      </w:pPr>
      <w:r>
        <w:t>change, adaptability, innovation and continuous improvement;</w:t>
      </w:r>
    </w:p>
    <w:p w14:paraId="57622316" w14:textId="77777777" w:rsidR="00260D0F" w:rsidRDefault="00A55DDE">
      <w:pPr>
        <w:pStyle w:val="ListBullet"/>
      </w:pPr>
      <w:r>
        <w:t>project and priority management, personal effectiveness and accountability;</w:t>
      </w:r>
    </w:p>
    <w:p w14:paraId="6AE8DE7A" w14:textId="77777777" w:rsidR="00260D0F" w:rsidRDefault="00A55DDE">
      <w:pPr>
        <w:pStyle w:val="ListBullet"/>
      </w:pPr>
      <w:r>
        <w:t>leadership mindset and the foundations of leading self and others;</w:t>
      </w:r>
    </w:p>
    <w:p w14:paraId="02ABE636" w14:textId="77777777" w:rsidR="00260D0F" w:rsidRDefault="00A55DDE">
      <w:pPr>
        <w:pStyle w:val="ListBullet"/>
      </w:pPr>
      <w:r>
        <w:t>active / applied learning that addresses real workplace challenges.</w:t>
      </w:r>
    </w:p>
    <w:p w14:paraId="17AB4AB6" w14:textId="77777777" w:rsidR="00260D0F" w:rsidRDefault="00A55DDE">
      <w:pPr>
        <w:pStyle w:val="Heading2"/>
      </w:pPr>
      <w:r>
        <w:t>4.4 Learning design</w:t>
      </w:r>
    </w:p>
    <w:p w14:paraId="215DD83A" w14:textId="77777777" w:rsidR="00260D0F" w:rsidRDefault="00A55DDE">
      <w:r>
        <w:t>The proposed design should demonstrate how the programme operates as an integrated learning journey. Tenderers should explain how they will combine relevant theory with practical application and how they will support participants to apply learning in their organisations between modules.</w:t>
      </w:r>
    </w:p>
    <w:p w14:paraId="283CE4B7" w14:textId="77777777" w:rsidR="00260D0F" w:rsidRDefault="00A55DDE">
      <w:pPr>
        <w:pStyle w:val="ListBullet"/>
      </w:pPr>
      <w:r>
        <w:t>Facilitated workshops and practical exercises.</w:t>
      </w:r>
    </w:p>
    <w:p w14:paraId="431F0A6F" w14:textId="77777777" w:rsidR="00260D0F" w:rsidRDefault="00A55DDE">
      <w:pPr>
        <w:pStyle w:val="ListBullet"/>
      </w:pPr>
      <w:r>
        <w:t>Peer learning and cohort-based collaboration.</w:t>
      </w:r>
    </w:p>
    <w:p w14:paraId="18E028E1" w14:textId="77777777" w:rsidR="00260D0F" w:rsidRDefault="00A55DDE">
      <w:pPr>
        <w:pStyle w:val="ListBullet"/>
      </w:pPr>
      <w:r>
        <w:t>Workplace application / action learning assignments or projects.</w:t>
      </w:r>
    </w:p>
    <w:p w14:paraId="6A8D106F" w14:textId="77777777" w:rsidR="00260D0F" w:rsidRDefault="00A55DDE">
      <w:pPr>
        <w:pStyle w:val="ListBullet"/>
      </w:pPr>
      <w:r>
        <w:t>A suitable diagnostic or psychometric instrument, together with an appropriate debrief approach.</w:t>
      </w:r>
    </w:p>
    <w:p w14:paraId="40BC6437" w14:textId="77777777" w:rsidR="00260D0F" w:rsidRDefault="00A55DDE">
      <w:pPr>
        <w:pStyle w:val="ListBullet"/>
      </w:pPr>
      <w:r>
        <w:t>Experiential team or cohort development activity aligned to the learning objectives.</w:t>
      </w:r>
    </w:p>
    <w:p w14:paraId="165D6F6B" w14:textId="77777777" w:rsidR="00260D0F" w:rsidRDefault="00A55DDE">
      <w:pPr>
        <w:pStyle w:val="ListBullet"/>
      </w:pPr>
      <w:r>
        <w:t>Reflection, feedback and mechanisms to reinforce transfer of learning.</w:t>
      </w:r>
    </w:p>
    <w:p w14:paraId="198822C2" w14:textId="77777777" w:rsidR="00260D0F" w:rsidRDefault="00A55DDE">
      <w:pPr>
        <w:pStyle w:val="ListBullet"/>
      </w:pPr>
      <w:r>
        <w:t>Digital tools and learning resources where these add value.</w:t>
      </w:r>
    </w:p>
    <w:p w14:paraId="16AA1983" w14:textId="77777777" w:rsidR="00260D0F" w:rsidRDefault="00A55DDE">
      <w:pPr>
        <w:pStyle w:val="ListBullet"/>
      </w:pPr>
      <w:r>
        <w:t>A closing / integration activity that consolidates learning and captures participant impact.</w:t>
      </w:r>
    </w:p>
    <w:p w14:paraId="16A17070" w14:textId="77777777" w:rsidR="00260D0F" w:rsidRDefault="00A55DDE">
      <w:pPr>
        <w:pStyle w:val="Heading2"/>
      </w:pPr>
      <w:r>
        <w:t>4.5 Customisation</w:t>
      </w:r>
    </w:p>
    <w:p w14:paraId="4A6334DB" w14:textId="77777777" w:rsidR="00260D0F" w:rsidRDefault="00A55DDE">
      <w:r>
        <w:t>The successful provider must be willing to engage with TIAS and participating employers before programme commencement and, where appropriate, tailor examples, case material, sequencing, workplace assignments and delivery emphasis to reflect the operating environment of participating companies. Any customisation must preserve the overall integrity and quality of the programme.</w:t>
      </w:r>
    </w:p>
    <w:p w14:paraId="5AEF89ED" w14:textId="77777777" w:rsidR="00260D0F" w:rsidRDefault="00A55DDE">
      <w:pPr>
        <w:pStyle w:val="Heading2"/>
      </w:pPr>
      <w:r>
        <w:t>4.6 Learning outcomes</w:t>
      </w:r>
    </w:p>
    <w:p w14:paraId="328B372B" w14:textId="77777777" w:rsidR="00260D0F" w:rsidRDefault="00A55DDE">
      <w:r>
        <w:t>On successful completion, participants should be better able to:</w:t>
      </w:r>
    </w:p>
    <w:p w14:paraId="21D03FF2" w14:textId="77777777" w:rsidR="00260D0F" w:rsidRDefault="00A55DDE">
      <w:pPr>
        <w:pStyle w:val="ListBullet"/>
      </w:pPr>
      <w:r>
        <w:t>operate confidently and effectively in a professional organisational environment;</w:t>
      </w:r>
    </w:p>
    <w:p w14:paraId="4D31D9CA" w14:textId="77777777" w:rsidR="00260D0F" w:rsidRDefault="00A55DDE">
      <w:pPr>
        <w:pStyle w:val="ListBullet"/>
      </w:pPr>
      <w:r>
        <w:t>communicate and collaborate effectively with colleagues, managers and stakeholders;</w:t>
      </w:r>
    </w:p>
    <w:p w14:paraId="0C7D010A" w14:textId="77777777" w:rsidR="00260D0F" w:rsidRDefault="00A55DDE">
      <w:pPr>
        <w:pStyle w:val="ListBullet"/>
      </w:pPr>
      <w:r>
        <w:t>demonstrate greater self-awareness, resilience and ownership of personal development;</w:t>
      </w:r>
    </w:p>
    <w:p w14:paraId="329D8A44" w14:textId="77777777" w:rsidR="00260D0F" w:rsidRDefault="00A55DDE">
      <w:pPr>
        <w:pStyle w:val="ListBullet"/>
      </w:pPr>
      <w:r>
        <w:t>analyse workplace challenges and apply structured critical thinking and problem-solving approaches;</w:t>
      </w:r>
    </w:p>
    <w:p w14:paraId="60CE1DEE" w14:textId="77777777" w:rsidR="00260D0F" w:rsidRDefault="00A55DDE">
      <w:pPr>
        <w:pStyle w:val="ListBullet"/>
      </w:pPr>
      <w:r>
        <w:t>understand commercial priorities and connect their work to organisational value;</w:t>
      </w:r>
    </w:p>
    <w:p w14:paraId="5E5F1B63" w14:textId="77777777" w:rsidR="00260D0F" w:rsidRDefault="00A55DDE">
      <w:pPr>
        <w:pStyle w:val="ListBullet"/>
      </w:pPr>
      <w:r>
        <w:t>manage priorities, projects and commitments with greater discipline and accountability;</w:t>
      </w:r>
    </w:p>
    <w:p w14:paraId="01AA7C56" w14:textId="77777777" w:rsidR="00260D0F" w:rsidRDefault="00A55DDE">
      <w:pPr>
        <w:pStyle w:val="ListBullet"/>
      </w:pPr>
      <w:r>
        <w:t>adapt constructively to change and contribute ideas for innovation and improvement;</w:t>
      </w:r>
    </w:p>
    <w:p w14:paraId="04709AC8" w14:textId="77777777" w:rsidR="00260D0F" w:rsidRDefault="00A55DDE">
      <w:pPr>
        <w:pStyle w:val="ListBullet"/>
      </w:pPr>
      <w:r>
        <w:t>demonstrate an emerging leadership mindset and increased readiness for broader responsibility;</w:t>
      </w:r>
    </w:p>
    <w:p w14:paraId="6EEE8C39" w14:textId="77777777" w:rsidR="00260D0F" w:rsidRDefault="00A55DDE">
      <w:pPr>
        <w:pStyle w:val="ListBullet"/>
      </w:pPr>
      <w:r>
        <w:lastRenderedPageBreak/>
        <w:t>apply programme learning to measurable workplace challenges and opportunities.</w:t>
      </w:r>
    </w:p>
    <w:p w14:paraId="508665ED" w14:textId="77777777" w:rsidR="00260D0F" w:rsidRDefault="00A55DDE">
      <w:pPr>
        <w:pStyle w:val="Heading2"/>
      </w:pPr>
      <w:r>
        <w:t>4.7 Programme management and reporting</w:t>
      </w:r>
    </w:p>
    <w:p w14:paraId="4F011023" w14:textId="77777777" w:rsidR="00260D0F" w:rsidRDefault="00A55DDE">
      <w:pPr>
        <w:pStyle w:val="ListBullet"/>
      </w:pPr>
      <w:r>
        <w:t>Nomination of a dedicated Contract / Programme Manager as TIAS's primary point of contact.</w:t>
      </w:r>
    </w:p>
    <w:p w14:paraId="76D4DCC9" w14:textId="77777777" w:rsidR="00260D0F" w:rsidRDefault="00A55DDE">
      <w:pPr>
        <w:pStyle w:val="ListBullet"/>
      </w:pPr>
      <w:r>
        <w:t>A clear mobilisation plan and agreed programme calendar.</w:t>
      </w:r>
    </w:p>
    <w:p w14:paraId="5F27158F" w14:textId="77777777" w:rsidR="00260D0F" w:rsidRDefault="00A55DDE">
      <w:pPr>
        <w:pStyle w:val="ListBullet"/>
      </w:pPr>
      <w:r>
        <w:t>Participant onboarding and pre-programme communication in coordination with TIAS.</w:t>
      </w:r>
    </w:p>
    <w:p w14:paraId="7973099B" w14:textId="77777777" w:rsidR="00260D0F" w:rsidRDefault="00A55DDE">
      <w:pPr>
        <w:pStyle w:val="ListBullet"/>
      </w:pPr>
      <w:r>
        <w:t>Accurate attendance and participation records.</w:t>
      </w:r>
    </w:p>
    <w:p w14:paraId="4D446669" w14:textId="77777777" w:rsidR="00260D0F" w:rsidRDefault="00A55DDE">
      <w:pPr>
        <w:pStyle w:val="ListBullet"/>
      </w:pPr>
      <w:r>
        <w:t>Prompt escalation of delivery risks, cancellations or participant issues.</w:t>
      </w:r>
    </w:p>
    <w:p w14:paraId="5419A196" w14:textId="77777777" w:rsidR="00260D0F" w:rsidRDefault="00A55DDE">
      <w:pPr>
        <w:pStyle w:val="ListBullet"/>
      </w:pPr>
      <w:r>
        <w:t>Participant evaluations at appropriate stages. As a minimum, TIAS expects evaluation of reaction and learning (Kirkpatrick Levels 1 and 2 or equivalent) and evidence of workplace application where practicable.</w:t>
      </w:r>
    </w:p>
    <w:p w14:paraId="7658D05B" w14:textId="77777777" w:rsidR="00260D0F" w:rsidRDefault="00A55DDE">
      <w:pPr>
        <w:pStyle w:val="ListBullet"/>
      </w:pPr>
      <w:r>
        <w:t>Interim and final programme reports summarising attendance, engagement, feedback, outcomes, issues and recommendations for future cohorts.</w:t>
      </w:r>
    </w:p>
    <w:p w14:paraId="483E1D3B" w14:textId="77777777" w:rsidR="00260D0F" w:rsidRDefault="00A55DDE">
      <w:pPr>
        <w:pStyle w:val="ListBullet"/>
      </w:pPr>
      <w:r>
        <w:t>Continuous improvement between cohorts and contract years.</w:t>
      </w:r>
    </w:p>
    <w:p w14:paraId="11F4491D" w14:textId="77777777" w:rsidR="00260D0F" w:rsidRDefault="00A55DDE">
      <w:pPr>
        <w:pStyle w:val="Heading2"/>
      </w:pPr>
      <w:r>
        <w:t>4.8 Faculty and key personnel</w:t>
      </w:r>
    </w:p>
    <w:p w14:paraId="63A5877E" w14:textId="77777777" w:rsidR="00260D0F" w:rsidRDefault="00A55DDE">
      <w:r>
        <w:t>Tenderers must identify the personnel proposed to design, manage and deliver the programme. TIAS expects experienced facilitators who can credibly engage graduate and early-career professionals from technology and related sectors. The successful tenderer must use the Key Personnel identified in its tender unless TIAS has approved a replacement in writing. Any replacement must have equivalent or greater qualifications, skills and experience.</w:t>
      </w:r>
    </w:p>
    <w:p w14:paraId="604BE22F" w14:textId="77777777" w:rsidR="00260D0F" w:rsidRDefault="00A55DDE">
      <w:pPr>
        <w:pStyle w:val="Heading1"/>
      </w:pPr>
      <w:r>
        <w:t>5. TENDER SUBMISSION REQUIREMENTS</w:t>
      </w:r>
    </w:p>
    <w:p w14:paraId="5A31171D" w14:textId="77777777" w:rsidR="00260D0F" w:rsidRDefault="00A55DDE">
      <w:r>
        <w:t>Tenderers must submit the following documents through the eTenders tender box before the Tender Deadline:</w:t>
      </w:r>
    </w:p>
    <w:p w14:paraId="28509EE9" w14:textId="77777777" w:rsidR="00260D0F" w:rsidRDefault="00A55DDE">
      <w:pPr>
        <w:pStyle w:val="ListBullet"/>
      </w:pPr>
      <w:r>
        <w:t>Completed Tender Response Document (TRD).</w:t>
      </w:r>
    </w:p>
    <w:p w14:paraId="1C7037AB" w14:textId="77777777" w:rsidR="00260D0F" w:rsidRDefault="00A55DDE">
      <w:pPr>
        <w:pStyle w:val="ListBullet"/>
      </w:pPr>
      <w:r>
        <w:t>On award, the successful Tenderer’s accepted Tender Response Document and Pricing Schedule will be incorporated into the Services Contract. The Contract will govern delivery of the Services.</w:t>
      </w:r>
    </w:p>
    <w:p w14:paraId="18144DED" w14:textId="77777777" w:rsidR="00260D0F" w:rsidRDefault="00A55DDE">
      <w:pPr>
        <w:pStyle w:val="ListBullet"/>
      </w:pPr>
      <w:r>
        <w:t>Completed Pricing Schedule.</w:t>
      </w:r>
    </w:p>
    <w:p w14:paraId="5DFE366B" w14:textId="77777777" w:rsidR="00260D0F" w:rsidRDefault="00A55DDE">
      <w:pPr>
        <w:pStyle w:val="ListBullet"/>
      </w:pPr>
      <w:r>
        <w:t>Signed Tenderer Declaration contained in the TRD.</w:t>
      </w:r>
    </w:p>
    <w:p w14:paraId="7C7A7EFC" w14:textId="77777777" w:rsidR="00260D0F" w:rsidRDefault="00A55DDE">
      <w:pPr>
        <w:pStyle w:val="ListBullet"/>
      </w:pPr>
      <w:r>
        <w:t>Any supporting evidence expressly requested in the TRD. Tenderers should not provide large volumes of unrequested marketing material.</w:t>
      </w:r>
    </w:p>
    <w:p w14:paraId="02667AC4" w14:textId="77777778" w:rsidR="00260D0F" w:rsidRDefault="00A55DDE">
      <w:r>
        <w:t xml:space="preserve">For reference, the Draft Services Contract is issued by TIAS with this competition for the Tenderer's review; it is not a document for the Tenderer to complete or upload. Acceptance is confirmed through the Tenderer Statement in the TRD, in accordance with paragraph 3.6 above.</w:t>
      </w:r>
    </w:p>
    <w:p w14:paraId="02667AC5" w14:textId="77777777" w:rsidR="00260D0F" w:rsidRDefault="00A55DDE">
      <w:r>
        <w:t>Tenderers must follow the structure of the TRD and answer each requirement in the location provided. Responses may be rejected as non-compliant where mandatory information is omitted or where a tender is submitted outside the eTenders tender box.</w:t>
      </w:r>
    </w:p>
    <w:p w14:paraId="3080765C" w14:textId="77777778" w:rsidR="00260D0F" w:rsidRDefault="00A55DDE">
      <w:r>
        <w:t>Responses must be self-contained. Tenderers must not rely on hyperlinks to external websites, cloud-hosted files, video or other online content to satisfy any requirement of the TRD. Evaluators are under no obligation to access such links, will not do so, and will evaluate only the content set out within the body of the submitted TRD, Pricing Schedule and Draft Services Contract.</w:t>
      </w:r>
    </w:p>
    <w:p w14:paraId="3080765D" w14:textId="77777777" w:rsidR="00260D0F" w:rsidRDefault="00A55DDE">
      <w:pPr>
        <w:pStyle w:val="Heading1"/>
      </w:pPr>
      <w:r>
        <w:t>6. SELECTION CRITERIA - PASS / FAIL</w:t>
      </w:r>
    </w:p>
    <w:p w14:paraId="4B499A5D" w14:textId="77777777" w:rsidR="00260D0F" w:rsidRDefault="00A55DDE">
      <w:r>
        <w:t>Only compliant tenders that pass all applicable selection criteria will proceed to evaluation under the Award Criteria.</w:t>
      </w:r>
    </w:p>
    <w:p w14:paraId="61B3C4B0" w14:textId="77777777" w:rsidR="00260D0F" w:rsidRDefault="00A55DDE">
      <w:pPr>
        <w:pStyle w:val="Heading2"/>
      </w:pPr>
      <w:r>
        <w:t>6.1 Economic and financial standing</w:t>
      </w:r>
    </w:p>
    <w:p w14:paraId="488D8B26" w14:textId="77777777" w:rsidR="00260D0F" w:rsidRDefault="00A55DDE">
      <w:r>
        <w:t xml:space="preserve">Tenderers must confirm that they have the financial and economic capacity to perform a contract of the scale described in this CFT and must provide reasonable supporting evidence if requested by TIAS. TIAS reserves the right </w:t>
        <w:lastRenderedPageBreak/>
        <w:t>to seek accounts, banker or insurer references, evidence of professional indemnity / public liability insurance, or other proportionate evidence before contract award.</w:t>
      </w:r>
    </w:p>
    <w:p w14:paraId="79200A44" w14:textId="77777777" w:rsidR="00260D0F" w:rsidRDefault="00A55DDE">
      <w:pPr>
        <w:pStyle w:val="Heading2"/>
      </w:pPr>
      <w:r>
        <w:t>6.2 Tax clearance</w:t>
      </w:r>
    </w:p>
    <w:p w14:paraId="5D36CE42" w14:textId="77777777" w:rsidR="00260D0F" w:rsidRDefault="00A55DDE">
      <w:r>
        <w:t>The successful tenderer must hold a valid Irish Tax Clearance status (or equivalent evidence where applicable) and provide the information necessary for TIAS to verify that status before contract award and during the contract term.</w:t>
      </w:r>
    </w:p>
    <w:p w14:paraId="1A93A80D" w14:textId="77777777" w:rsidR="00260D0F" w:rsidRDefault="00A55DDE">
      <w:pPr>
        <w:pStyle w:val="Heading2"/>
      </w:pPr>
      <w:r>
        <w:t>6.3 Previous experience</w:t>
      </w:r>
    </w:p>
    <w:p w14:paraId="2DA2A7AE" w14:textId="77777777" w:rsidR="00260D0F" w:rsidRDefault="00A55DDE">
      <w:r>
        <w:t>Tenderers must demonstrate at least two relevant assignments delivered within the previous five years that are comparable in nature, scope and complexity to the requirement. At least one example should involve a structured graduate, emerging talent, early-career or equivalent multi-module development programme. Referee contact details must be provided.</w:t>
      </w:r>
    </w:p>
    <w:p w14:paraId="54079773" w14:textId="77777777" w:rsidR="00260D0F" w:rsidRDefault="00A55DDE">
      <w:pPr>
        <w:pStyle w:val="Heading2"/>
      </w:pPr>
      <w:r>
        <w:t>6.4 Organisational capacity and quality</w:t>
      </w:r>
    </w:p>
    <w:p w14:paraId="4249FD6E" w14:textId="77777777" w:rsidR="00260D0F" w:rsidRDefault="00A55DDE">
      <w:r>
        <w:t>Tenderers must demonstrate sufficient organisational capacity, quality assurance arrangements, programme administration capability and business continuity arrangements to deliver the requirement over the proposed contract term.</w:t>
      </w:r>
    </w:p>
    <w:p w14:paraId="2B8C38F5" w14:textId="77777777" w:rsidR="00260D0F" w:rsidRDefault="00A55DDE">
      <w:pPr>
        <w:pStyle w:val="Heading2"/>
      </w:pPr>
      <w:r>
        <w:t>6.5 Exclusion grounds and conflicts</w:t>
      </w:r>
    </w:p>
    <w:p w14:paraId="3D71DA3B" w14:textId="77777777" w:rsidR="00260D0F" w:rsidRDefault="00A55DDE">
      <w:r>
        <w:t>Tenderers must complete the declarations in the TRD relating to grounds for exclusion, conflicts of interest, anti-competitive conduct and accuracy of information. TIAS may request supporting evidence before award.</w:t>
      </w:r>
    </w:p>
    <w:p w14:paraId="53CDF15C" w14:textId="77777777" w:rsidR="00260D0F" w:rsidRDefault="00A55DDE">
      <w:pPr>
        <w:pStyle w:val="Heading1"/>
      </w:pPr>
      <w:r>
        <w:t>7. AWARD CRITERIA</w:t>
      </w:r>
    </w:p>
    <w:p w14:paraId="1EB12DCA" w14:textId="77777777" w:rsidR="00260D0F" w:rsidRDefault="00A55DDE">
      <w:r>
        <w:t>The contract will be awarded on the basis of the most economically advantageous tender (MEAT). The award criteria are:</w:t>
      </w:r>
    </w:p>
    <w:tbl>
      <w:tblPr>
        <w:tblStyle w:val="TableGrid"/>
        <w:tblW w:w="0" w:type="auto"/>
        <w:jc w:val="center"/>
        <w:tblLook w:val="04A0" w:firstRow="1" w:lastRow="0" w:firstColumn="1" w:lastColumn="0" w:noHBand="0" w:noVBand="1"/>
      </w:tblPr>
      <w:tblGrid>
        <w:gridCol w:w="2016"/>
        <w:gridCol w:w="2016"/>
        <w:gridCol w:w="2016"/>
        <w:gridCol w:w="2016"/>
        <w:gridCol w:w="2016"/>
      </w:tblGrid>
      <w:tr w:rsidR="00260D0F" w14:paraId="3B7969B1" w14:textId="77777777">
        <w:trPr>
          <w:jc w:val="center"/>
        </w:trPr>
        <w:tc>
          <w:tcPr>
            <w:tcW w:w="2016" w:type="dxa"/>
            <w:shd w:val="clear" w:color="auto" w:fill="003247"/>
            <w:vAlign w:val="center"/>
          </w:tcPr>
          <w:p w14:paraId="0E367048" w14:textId="77777777" w:rsidR="00260D0F" w:rsidRDefault="00A55DDE">
            <w:r>
              <w:rPr>
                <w:b/>
                <w:color w:val="FFFFFF"/>
                <w:sz w:val="16"/>
              </w:rPr>
              <w:t>Ref</w:t>
            </w:r>
          </w:p>
        </w:tc>
        <w:tc>
          <w:tcPr>
            <w:tcW w:w="2016" w:type="dxa"/>
            <w:shd w:val="clear" w:color="auto" w:fill="003247"/>
            <w:vAlign w:val="center"/>
          </w:tcPr>
          <w:p w14:paraId="597E4216" w14:textId="77777777" w:rsidR="00260D0F" w:rsidRDefault="00A55DDE">
            <w:r>
              <w:rPr>
                <w:b/>
                <w:color w:val="FFFFFF"/>
                <w:sz w:val="16"/>
              </w:rPr>
              <w:t>Award criterion</w:t>
            </w:r>
          </w:p>
        </w:tc>
        <w:tc>
          <w:tcPr>
            <w:tcW w:w="2016" w:type="dxa"/>
            <w:shd w:val="clear" w:color="auto" w:fill="003247"/>
            <w:vAlign w:val="center"/>
          </w:tcPr>
          <w:p w14:paraId="5BBA2E37" w14:textId="77777777" w:rsidR="00260D0F" w:rsidRDefault="00A55DDE">
            <w:r>
              <w:rPr>
                <w:b/>
                <w:color w:val="FFFFFF"/>
                <w:sz w:val="16"/>
              </w:rPr>
              <w:t>Weighting</w:t>
            </w:r>
          </w:p>
        </w:tc>
        <w:tc>
          <w:tcPr>
            <w:tcW w:w="2016" w:type="dxa"/>
            <w:shd w:val="clear" w:color="auto" w:fill="003247"/>
            <w:vAlign w:val="center"/>
          </w:tcPr>
          <w:p w14:paraId="108BE739" w14:textId="77777777" w:rsidR="00260D0F" w:rsidRDefault="00A55DDE">
            <w:r>
              <w:rPr>
                <w:b/>
                <w:color w:val="FFFFFF"/>
                <w:sz w:val="16"/>
              </w:rPr>
              <w:t>Max marks</w:t>
            </w:r>
          </w:p>
        </w:tc>
        <w:tc>
          <w:tcPr>
            <w:tcW w:w="2016" w:type="dxa"/>
            <w:shd w:val="clear" w:color="auto" w:fill="003247"/>
            <w:vAlign w:val="center"/>
          </w:tcPr>
          <w:p w14:paraId="6232371E" w14:textId="77777777" w:rsidR="00260D0F" w:rsidRDefault="00A55DDE">
            <w:r>
              <w:rPr>
                <w:b/>
                <w:color w:val="FFFFFF"/>
                <w:sz w:val="16"/>
              </w:rPr>
              <w:t>Minimum required</w:t>
            </w:r>
          </w:p>
        </w:tc>
      </w:tr>
      <w:tr w:rsidR="00260D0F" w14:paraId="78EFFCB7" w14:textId="77777777">
        <w:trPr>
          <w:jc w:val="center"/>
        </w:trPr>
        <w:tc>
          <w:tcPr>
            <w:tcW w:w="2016" w:type="dxa"/>
            <w:vAlign w:val="center"/>
          </w:tcPr>
          <w:p w14:paraId="3BD88571" w14:textId="77777777" w:rsidR="00260D0F" w:rsidRDefault="00A55DDE">
            <w:r>
              <w:rPr>
                <w:sz w:val="16"/>
              </w:rPr>
              <w:t>A</w:t>
            </w:r>
          </w:p>
        </w:tc>
        <w:tc>
          <w:tcPr>
            <w:tcW w:w="2016" w:type="dxa"/>
            <w:vAlign w:val="center"/>
          </w:tcPr>
          <w:p w14:paraId="7C84073B" w14:textId="77777777" w:rsidR="00260D0F" w:rsidRDefault="00A55DDE">
            <w:r>
              <w:rPr>
                <w:sz w:val="16"/>
              </w:rPr>
              <w:t>Quality of proposed programme design, content and learning methodology</w:t>
            </w:r>
          </w:p>
        </w:tc>
        <w:tc>
          <w:tcPr>
            <w:tcW w:w="2016" w:type="dxa"/>
            <w:vAlign w:val="center"/>
          </w:tcPr>
          <w:p w14:paraId="701651B3" w14:textId="77777777" w:rsidR="00260D0F" w:rsidRDefault="00A55DDE">
            <w:r>
              <w:rPr>
                <w:sz w:val="16"/>
              </w:rPr>
              <w:t>30%</w:t>
            </w:r>
          </w:p>
        </w:tc>
        <w:tc>
          <w:tcPr>
            <w:tcW w:w="2016" w:type="dxa"/>
            <w:vAlign w:val="center"/>
          </w:tcPr>
          <w:p w14:paraId="23493631" w14:textId="77777777" w:rsidR="00260D0F" w:rsidRDefault="00A55DDE">
            <w:r>
              <w:rPr>
                <w:sz w:val="16"/>
              </w:rPr>
              <w:t>300</w:t>
            </w:r>
          </w:p>
        </w:tc>
        <w:tc>
          <w:tcPr>
            <w:tcW w:w="2016" w:type="dxa"/>
            <w:vAlign w:val="center"/>
          </w:tcPr>
          <w:p w14:paraId="4AB0BA82" w14:textId="77777777" w:rsidR="00260D0F" w:rsidRDefault="00A55DDE">
            <w:r>
              <w:rPr>
                <w:sz w:val="16"/>
              </w:rPr>
              <w:t>180</w:t>
            </w:r>
          </w:p>
        </w:tc>
      </w:tr>
      <w:tr w:rsidR="00260D0F" w14:paraId="77E12CE9" w14:textId="77777777">
        <w:trPr>
          <w:jc w:val="center"/>
        </w:trPr>
        <w:tc>
          <w:tcPr>
            <w:tcW w:w="2016" w:type="dxa"/>
            <w:vAlign w:val="center"/>
          </w:tcPr>
          <w:p w14:paraId="29BF0379" w14:textId="77777777" w:rsidR="00260D0F" w:rsidRDefault="00A55DDE">
            <w:r>
              <w:rPr>
                <w:sz w:val="16"/>
              </w:rPr>
              <w:t>B</w:t>
            </w:r>
          </w:p>
        </w:tc>
        <w:tc>
          <w:tcPr>
            <w:tcW w:w="2016" w:type="dxa"/>
            <w:vAlign w:val="center"/>
          </w:tcPr>
          <w:p w14:paraId="1FF510B3" w14:textId="77777777" w:rsidR="00260D0F" w:rsidRDefault="00A55DDE">
            <w:r>
              <w:rPr>
                <w:sz w:val="16"/>
              </w:rPr>
              <w:t>Relevant organisational experience and evidence of comparable graduate development programmes</w:t>
            </w:r>
          </w:p>
        </w:tc>
        <w:tc>
          <w:tcPr>
            <w:tcW w:w="2016" w:type="dxa"/>
            <w:vAlign w:val="center"/>
          </w:tcPr>
          <w:p w14:paraId="178E7168" w14:textId="77777777" w:rsidR="00260D0F" w:rsidRDefault="00A55DDE">
            <w:r>
              <w:rPr>
                <w:sz w:val="16"/>
              </w:rPr>
              <w:t>20%</w:t>
            </w:r>
          </w:p>
        </w:tc>
        <w:tc>
          <w:tcPr>
            <w:tcW w:w="2016" w:type="dxa"/>
            <w:vAlign w:val="center"/>
          </w:tcPr>
          <w:p w14:paraId="4EA1561B" w14:textId="77777777" w:rsidR="00260D0F" w:rsidRDefault="00A55DDE">
            <w:r>
              <w:rPr>
                <w:sz w:val="16"/>
              </w:rPr>
              <w:t>200</w:t>
            </w:r>
          </w:p>
        </w:tc>
        <w:tc>
          <w:tcPr>
            <w:tcW w:w="2016" w:type="dxa"/>
            <w:vAlign w:val="center"/>
          </w:tcPr>
          <w:p w14:paraId="1E7133E9" w14:textId="77777777" w:rsidR="00260D0F" w:rsidRDefault="00A55DDE">
            <w:r>
              <w:rPr>
                <w:sz w:val="16"/>
              </w:rPr>
              <w:t>120</w:t>
            </w:r>
          </w:p>
        </w:tc>
      </w:tr>
      <w:tr w:rsidR="00260D0F" w14:paraId="59C676F2" w14:textId="77777777">
        <w:trPr>
          <w:jc w:val="center"/>
        </w:trPr>
        <w:tc>
          <w:tcPr>
            <w:tcW w:w="2016" w:type="dxa"/>
            <w:vAlign w:val="center"/>
          </w:tcPr>
          <w:p w14:paraId="1484DA7D" w14:textId="77777777" w:rsidR="00260D0F" w:rsidRDefault="00A55DDE">
            <w:r>
              <w:rPr>
                <w:sz w:val="16"/>
              </w:rPr>
              <w:t>C</w:t>
            </w:r>
          </w:p>
        </w:tc>
        <w:tc>
          <w:tcPr>
            <w:tcW w:w="2016" w:type="dxa"/>
            <w:vAlign w:val="center"/>
          </w:tcPr>
          <w:p w14:paraId="47BE99FE" w14:textId="77777777" w:rsidR="00260D0F" w:rsidRDefault="00A55DDE">
            <w:r>
              <w:rPr>
                <w:sz w:val="16"/>
              </w:rPr>
              <w:t>Qualifications, experience and capability of the proposed programme team</w:t>
            </w:r>
          </w:p>
        </w:tc>
        <w:tc>
          <w:tcPr>
            <w:tcW w:w="2016" w:type="dxa"/>
            <w:vAlign w:val="center"/>
          </w:tcPr>
          <w:p w14:paraId="76268208" w14:textId="77777777" w:rsidR="00260D0F" w:rsidRDefault="00A55DDE">
            <w:r>
              <w:rPr>
                <w:sz w:val="16"/>
              </w:rPr>
              <w:t>20%</w:t>
            </w:r>
          </w:p>
        </w:tc>
        <w:tc>
          <w:tcPr>
            <w:tcW w:w="2016" w:type="dxa"/>
            <w:vAlign w:val="center"/>
          </w:tcPr>
          <w:p w14:paraId="3E57682A" w14:textId="77777777" w:rsidR="00260D0F" w:rsidRDefault="00A55DDE">
            <w:r>
              <w:rPr>
                <w:sz w:val="16"/>
              </w:rPr>
              <w:t>200</w:t>
            </w:r>
          </w:p>
        </w:tc>
        <w:tc>
          <w:tcPr>
            <w:tcW w:w="2016" w:type="dxa"/>
            <w:vAlign w:val="center"/>
          </w:tcPr>
          <w:p w14:paraId="3A43E574" w14:textId="77777777" w:rsidR="00260D0F" w:rsidRDefault="00A55DDE">
            <w:r>
              <w:rPr>
                <w:sz w:val="16"/>
              </w:rPr>
              <w:t>120</w:t>
            </w:r>
          </w:p>
        </w:tc>
      </w:tr>
      <w:tr w:rsidR="00260D0F" w14:paraId="3CEE714D" w14:textId="77777777">
        <w:trPr>
          <w:jc w:val="center"/>
        </w:trPr>
        <w:tc>
          <w:tcPr>
            <w:tcW w:w="2016" w:type="dxa"/>
            <w:vAlign w:val="center"/>
          </w:tcPr>
          <w:p w14:paraId="2DCDF9A8" w14:textId="77777777" w:rsidR="00260D0F" w:rsidRDefault="00A55DDE">
            <w:r>
              <w:rPr>
                <w:sz w:val="16"/>
              </w:rPr>
              <w:t>D</w:t>
            </w:r>
          </w:p>
        </w:tc>
        <w:tc>
          <w:tcPr>
            <w:tcW w:w="2016" w:type="dxa"/>
            <w:vAlign w:val="center"/>
          </w:tcPr>
          <w:p w14:paraId="51EF7068" w14:textId="77777777" w:rsidR="00260D0F" w:rsidRDefault="00A55DDE">
            <w:r>
              <w:rPr>
                <w:sz w:val="16"/>
              </w:rPr>
              <w:t>Contract management, participant experience, measurement, transfer of learning and service continuity</w:t>
            </w:r>
          </w:p>
        </w:tc>
        <w:tc>
          <w:tcPr>
            <w:tcW w:w="2016" w:type="dxa"/>
            <w:vAlign w:val="center"/>
          </w:tcPr>
          <w:p w14:paraId="69B81F78" w14:textId="77777777" w:rsidR="00260D0F" w:rsidRDefault="00A55DDE">
            <w:r>
              <w:rPr>
                <w:sz w:val="16"/>
              </w:rPr>
              <w:t>10%</w:t>
            </w:r>
          </w:p>
        </w:tc>
        <w:tc>
          <w:tcPr>
            <w:tcW w:w="2016" w:type="dxa"/>
            <w:vAlign w:val="center"/>
          </w:tcPr>
          <w:p w14:paraId="579C28B1" w14:textId="77777777" w:rsidR="00260D0F" w:rsidRDefault="00A55DDE">
            <w:r>
              <w:rPr>
                <w:sz w:val="16"/>
              </w:rPr>
              <w:t>100</w:t>
            </w:r>
          </w:p>
        </w:tc>
        <w:tc>
          <w:tcPr>
            <w:tcW w:w="2016" w:type="dxa"/>
            <w:vAlign w:val="center"/>
          </w:tcPr>
          <w:p w14:paraId="1CD1EFEF" w14:textId="77777777" w:rsidR="00260D0F" w:rsidRDefault="00A55DDE">
            <w:r>
              <w:rPr>
                <w:sz w:val="16"/>
              </w:rPr>
              <w:t>60</w:t>
            </w:r>
          </w:p>
        </w:tc>
      </w:tr>
      <w:tr w:rsidR="00260D0F" w14:paraId="5229945C" w14:textId="77777777">
        <w:trPr>
          <w:jc w:val="center"/>
        </w:trPr>
        <w:tc>
          <w:tcPr>
            <w:tcW w:w="2016" w:type="dxa"/>
            <w:vAlign w:val="center"/>
          </w:tcPr>
          <w:p w14:paraId="227D69C5" w14:textId="77777777" w:rsidR="00260D0F" w:rsidRDefault="00A55DDE">
            <w:r>
              <w:rPr>
                <w:sz w:val="16"/>
              </w:rPr>
              <w:t>E</w:t>
            </w:r>
          </w:p>
        </w:tc>
        <w:tc>
          <w:tcPr>
            <w:tcW w:w="2016" w:type="dxa"/>
            <w:vAlign w:val="center"/>
          </w:tcPr>
          <w:p w14:paraId="404F7964" w14:textId="77777777" w:rsidR="00260D0F" w:rsidRDefault="00A55DDE">
            <w:r>
              <w:rPr>
                <w:sz w:val="16"/>
              </w:rPr>
              <w:t xml:space="preserve">Price (Total Evaluated Price from the mandatory </w:t>
              <w:lastRenderedPageBreak/>
              <w:t>Pricing Schedule)</w:t>
            </w:r>
          </w:p>
        </w:tc>
        <w:tc>
          <w:tcPr>
            <w:tcW w:w="2016" w:type="dxa"/>
            <w:vAlign w:val="center"/>
          </w:tcPr>
          <w:p w14:paraId="43F0CE77" w14:textId="77777777" w:rsidR="00260D0F" w:rsidRDefault="00A55DDE">
            <w:r>
              <w:rPr>
                <w:sz w:val="16"/>
              </w:rPr>
              <w:lastRenderedPageBreak/>
              <w:t>20%</w:t>
            </w:r>
          </w:p>
        </w:tc>
        <w:tc>
          <w:tcPr>
            <w:tcW w:w="2016" w:type="dxa"/>
            <w:vAlign w:val="center"/>
          </w:tcPr>
          <w:p w14:paraId="082D7C9B" w14:textId="77777777" w:rsidR="00260D0F" w:rsidRDefault="00A55DDE">
            <w:r>
              <w:rPr>
                <w:sz w:val="16"/>
              </w:rPr>
              <w:t>200</w:t>
            </w:r>
          </w:p>
        </w:tc>
        <w:tc>
          <w:tcPr>
            <w:tcW w:w="2016" w:type="dxa"/>
            <w:vAlign w:val="center"/>
          </w:tcPr>
          <w:p w14:paraId="541203D3" w14:textId="77777777" w:rsidR="00260D0F" w:rsidRDefault="00A55DDE">
            <w:r>
              <w:rPr>
                <w:sz w:val="16"/>
              </w:rPr>
              <w:t>N/A</w:t>
            </w:r>
          </w:p>
        </w:tc>
      </w:tr>
    </w:tbl>
    <w:p w14:paraId="202D7E0A" w14:textId="77777778" w:rsidR="00260D0F" w:rsidRDefault="00A55DDE">
      <w:r>
        <w:t xml:space="preserve">The Sustainability response required at TRD Section 7 is assessed as part of Award Criterion A (Quality of proposed programme design, content and learning methodology) and does not carry a separate weighting.</w:t>
      </w:r>
    </w:p>
    <w:p w14:paraId="202D7E0B" w14:textId="77777777" w:rsidR="00260D0F" w:rsidRDefault="00A55DDE">
      <w:r>
        <w:t>Tenderers must achieve at least 60% of the marks available under each qualitative criterion A-D. Failure to meet the minimum score in any one of those criteria will result in elimination before the price evaluation stage.</w:t>
      </w:r>
    </w:p>
    <w:p w14:paraId="0C491FB3" w14:textId="77777777" w:rsidR="00260D0F" w:rsidRDefault="00A55DDE">
      <w:pPr>
        <w:pStyle w:val="Heading2"/>
      </w:pPr>
      <w:r>
        <w:t>7.1 Qualitative scoring methodology</w:t>
      </w:r>
    </w:p>
    <w:tbl>
      <w:tblPr>
        <w:tblStyle w:val="TableGrid"/>
        <w:tblW w:w="0" w:type="auto"/>
        <w:jc w:val="center"/>
        <w:tblLook w:val="04A0" w:firstRow="1" w:lastRow="0" w:firstColumn="1" w:lastColumn="0" w:noHBand="0" w:noVBand="1"/>
      </w:tblPr>
      <w:tblGrid>
        <w:gridCol w:w="3360"/>
        <w:gridCol w:w="3360"/>
        <w:gridCol w:w="3360"/>
      </w:tblGrid>
      <w:tr w:rsidR="00260D0F" w14:paraId="2B333597" w14:textId="77777777">
        <w:trPr>
          <w:jc w:val="center"/>
        </w:trPr>
        <w:tc>
          <w:tcPr>
            <w:tcW w:w="3360" w:type="dxa"/>
            <w:shd w:val="clear" w:color="auto" w:fill="003247"/>
            <w:vAlign w:val="center"/>
          </w:tcPr>
          <w:p w14:paraId="6C51D63D" w14:textId="77777777" w:rsidR="00260D0F" w:rsidRDefault="00A55DDE">
            <w:r>
              <w:rPr>
                <w:b/>
                <w:color w:val="FFFFFF"/>
                <w:sz w:val="16"/>
              </w:rPr>
              <w:t>Score band</w:t>
            </w:r>
          </w:p>
        </w:tc>
        <w:tc>
          <w:tcPr>
            <w:tcW w:w="3360" w:type="dxa"/>
            <w:shd w:val="clear" w:color="auto" w:fill="003247"/>
            <w:vAlign w:val="center"/>
          </w:tcPr>
          <w:p w14:paraId="1A94D58D" w14:textId="77777777" w:rsidR="00260D0F" w:rsidRDefault="00A55DDE">
            <w:r>
              <w:rPr>
                <w:b/>
                <w:color w:val="FFFFFF"/>
                <w:sz w:val="16"/>
              </w:rPr>
              <w:t>Rating</w:t>
            </w:r>
          </w:p>
        </w:tc>
        <w:tc>
          <w:tcPr>
            <w:tcW w:w="3360" w:type="dxa"/>
            <w:shd w:val="clear" w:color="auto" w:fill="003247"/>
            <w:vAlign w:val="center"/>
          </w:tcPr>
          <w:p w14:paraId="5AD15192" w14:textId="77777777" w:rsidR="00260D0F" w:rsidRDefault="00A55DDE">
            <w:r>
              <w:rPr>
                <w:b/>
                <w:color w:val="FFFFFF"/>
                <w:sz w:val="16"/>
              </w:rPr>
              <w:t>Interpretation</w:t>
            </w:r>
          </w:p>
        </w:tc>
      </w:tr>
      <w:tr w:rsidR="00260D0F" w14:paraId="3BBD58FE" w14:textId="77777777">
        <w:trPr>
          <w:jc w:val="center"/>
        </w:trPr>
        <w:tc>
          <w:tcPr>
            <w:tcW w:w="3360" w:type="dxa"/>
            <w:vAlign w:val="center"/>
          </w:tcPr>
          <w:p w14:paraId="669BBCBE" w14:textId="77777777" w:rsidR="00260D0F" w:rsidRDefault="00A55DDE">
            <w:r>
              <w:rPr>
                <w:sz w:val="16"/>
              </w:rPr>
              <w:t>90-100%</w:t>
            </w:r>
          </w:p>
        </w:tc>
        <w:tc>
          <w:tcPr>
            <w:tcW w:w="3360" w:type="dxa"/>
            <w:vAlign w:val="center"/>
          </w:tcPr>
          <w:p w14:paraId="7FA4AB86" w14:textId="77777777" w:rsidR="00260D0F" w:rsidRDefault="00A55DDE">
            <w:r>
              <w:rPr>
                <w:sz w:val="16"/>
              </w:rPr>
              <w:t>Excellent</w:t>
            </w:r>
          </w:p>
        </w:tc>
        <w:tc>
          <w:tcPr>
            <w:tcW w:w="3360" w:type="dxa"/>
            <w:vAlign w:val="center"/>
          </w:tcPr>
          <w:p w14:paraId="6B552019" w14:textId="77777777" w:rsidR="00260D0F" w:rsidRDefault="00A55DDE">
            <w:r>
              <w:rPr>
                <w:sz w:val="16"/>
              </w:rPr>
              <w:t>Comprehensive, compelling response; fully addresses the requirement; very high confidence in successful delivery.</w:t>
            </w:r>
          </w:p>
        </w:tc>
      </w:tr>
      <w:tr w:rsidR="00260D0F" w14:paraId="536B1D80" w14:textId="77777777">
        <w:trPr>
          <w:jc w:val="center"/>
        </w:trPr>
        <w:tc>
          <w:tcPr>
            <w:tcW w:w="3360" w:type="dxa"/>
            <w:vAlign w:val="center"/>
          </w:tcPr>
          <w:p w14:paraId="6A0BD021" w14:textId="77777777" w:rsidR="00260D0F" w:rsidRDefault="00A55DDE">
            <w:r>
              <w:rPr>
                <w:sz w:val="16"/>
              </w:rPr>
              <w:t>80-89%</w:t>
            </w:r>
          </w:p>
        </w:tc>
        <w:tc>
          <w:tcPr>
            <w:tcW w:w="3360" w:type="dxa"/>
            <w:vAlign w:val="center"/>
          </w:tcPr>
          <w:p w14:paraId="623C633E" w14:textId="77777777" w:rsidR="00260D0F" w:rsidRDefault="00A55DDE">
            <w:r>
              <w:rPr>
                <w:sz w:val="16"/>
              </w:rPr>
              <w:t>Very good</w:t>
            </w:r>
          </w:p>
        </w:tc>
        <w:tc>
          <w:tcPr>
            <w:tcW w:w="3360" w:type="dxa"/>
            <w:vAlign w:val="center"/>
          </w:tcPr>
          <w:p w14:paraId="41B838E2" w14:textId="77777777" w:rsidR="00260D0F" w:rsidRDefault="00A55DDE">
            <w:r>
              <w:rPr>
                <w:sz w:val="16"/>
              </w:rPr>
              <w:t>Strong and detailed response with only minor weaknesses; high confidence in successful delivery.</w:t>
            </w:r>
          </w:p>
        </w:tc>
      </w:tr>
      <w:tr w:rsidR="00260D0F" w14:paraId="0C7E8F51" w14:textId="77777777">
        <w:trPr>
          <w:jc w:val="center"/>
        </w:trPr>
        <w:tc>
          <w:tcPr>
            <w:tcW w:w="3360" w:type="dxa"/>
            <w:vAlign w:val="center"/>
          </w:tcPr>
          <w:p w14:paraId="4F57AAD0" w14:textId="77777777" w:rsidR="00260D0F" w:rsidRDefault="00A55DDE">
            <w:r>
              <w:rPr>
                <w:sz w:val="16"/>
              </w:rPr>
              <w:t>70-79%</w:t>
            </w:r>
          </w:p>
        </w:tc>
        <w:tc>
          <w:tcPr>
            <w:tcW w:w="3360" w:type="dxa"/>
            <w:vAlign w:val="center"/>
          </w:tcPr>
          <w:p w14:paraId="7140DC4E" w14:textId="77777777" w:rsidR="00260D0F" w:rsidRDefault="00A55DDE">
            <w:r>
              <w:rPr>
                <w:sz w:val="16"/>
              </w:rPr>
              <w:t>Good</w:t>
            </w:r>
          </w:p>
        </w:tc>
        <w:tc>
          <w:tcPr>
            <w:tcW w:w="3360" w:type="dxa"/>
            <w:vAlign w:val="center"/>
          </w:tcPr>
          <w:p w14:paraId="60508802" w14:textId="77777777" w:rsidR="00260D0F" w:rsidRDefault="00A55DDE">
            <w:r>
              <w:rPr>
                <w:sz w:val="16"/>
              </w:rPr>
              <w:t>Addresses most requirements well; some weaknesses or areas requiring greater clarity; good confidence in delivery.</w:t>
            </w:r>
          </w:p>
        </w:tc>
      </w:tr>
      <w:tr w:rsidR="00260D0F" w14:paraId="33EE53A3" w14:textId="77777777">
        <w:trPr>
          <w:jc w:val="center"/>
        </w:trPr>
        <w:tc>
          <w:tcPr>
            <w:tcW w:w="3360" w:type="dxa"/>
            <w:vAlign w:val="center"/>
          </w:tcPr>
          <w:p w14:paraId="6E4CE10D" w14:textId="77777777" w:rsidR="00260D0F" w:rsidRDefault="00A55DDE">
            <w:r>
              <w:rPr>
                <w:sz w:val="16"/>
              </w:rPr>
              <w:t>60-69%</w:t>
            </w:r>
          </w:p>
        </w:tc>
        <w:tc>
          <w:tcPr>
            <w:tcW w:w="3360" w:type="dxa"/>
            <w:vAlign w:val="center"/>
          </w:tcPr>
          <w:p w14:paraId="1662ACA2" w14:textId="77777777" w:rsidR="00260D0F" w:rsidRDefault="00A55DDE">
            <w:r>
              <w:rPr>
                <w:sz w:val="16"/>
              </w:rPr>
              <w:t>Acceptable</w:t>
            </w:r>
          </w:p>
        </w:tc>
        <w:tc>
          <w:tcPr>
            <w:tcW w:w="3360" w:type="dxa"/>
            <w:vAlign w:val="center"/>
          </w:tcPr>
          <w:p w14:paraId="62856E88" w14:textId="77777777" w:rsidR="00260D0F" w:rsidRDefault="00A55DDE">
            <w:r>
              <w:rPr>
                <w:sz w:val="16"/>
              </w:rPr>
              <w:t>Meets the basic requirement but contains notable weaknesses, gaps or limited evidence; sufficient but limited assurance.</w:t>
            </w:r>
          </w:p>
        </w:tc>
      </w:tr>
      <w:tr w:rsidR="00260D0F" w14:paraId="6D5D027F" w14:textId="77777777">
        <w:trPr>
          <w:jc w:val="center"/>
        </w:trPr>
        <w:tc>
          <w:tcPr>
            <w:tcW w:w="3360" w:type="dxa"/>
            <w:vAlign w:val="center"/>
          </w:tcPr>
          <w:p w14:paraId="590B7432" w14:textId="77777777" w:rsidR="00260D0F" w:rsidRDefault="00A55DDE">
            <w:r>
              <w:rPr>
                <w:sz w:val="16"/>
              </w:rPr>
              <w:t>1-59%</w:t>
            </w:r>
          </w:p>
        </w:tc>
        <w:tc>
          <w:tcPr>
            <w:tcW w:w="3360" w:type="dxa"/>
            <w:vAlign w:val="center"/>
          </w:tcPr>
          <w:p w14:paraId="27759628" w14:textId="77777777" w:rsidR="00260D0F" w:rsidRDefault="00A55DDE">
            <w:r>
              <w:rPr>
                <w:sz w:val="16"/>
              </w:rPr>
              <w:t>Poor / unacceptable</w:t>
            </w:r>
          </w:p>
        </w:tc>
        <w:tc>
          <w:tcPr>
            <w:tcW w:w="3360" w:type="dxa"/>
            <w:vAlign w:val="center"/>
          </w:tcPr>
          <w:p w14:paraId="650E36E6" w14:textId="77777777" w:rsidR="00260D0F" w:rsidRDefault="00A55DDE">
            <w:r>
              <w:rPr>
                <w:sz w:val="16"/>
              </w:rPr>
              <w:t>Material weaknesses, omissions or insufficient evidence; does not provide adequate assurance of delivery.</w:t>
            </w:r>
          </w:p>
        </w:tc>
      </w:tr>
    </w:tbl>
    <w:p w14:paraId="2435C663" w14:textId="77777777" w:rsidR="00260D0F" w:rsidRDefault="00A55DDE">
      <w:pPr>
        <w:pStyle w:val="Heading2"/>
      </w:pPr>
      <w:r>
        <w:t>7.2 Price evaluation</w:t>
      </w:r>
    </w:p>
    <w:p w14:paraId="3E088E5E" w14:textId="77777777" w:rsidR="00260D0F" w:rsidRDefault="00A55DDE">
      <w:r>
        <w:t>Price will be evaluated using the Total Evaluated Price calculated from the mandatory Pricing Schedule. All mandatory cost components must be included. The lowest compliant Total Evaluated Price will receive the maximum available price marks. Other compliant tenders will be scored using the following formula:</w:t>
      </w:r>
    </w:p>
    <w:p w14:paraId="694A9426" w14:textId="77777777" w:rsidR="00260D0F" w:rsidRDefault="00A55DDE">
      <w:pPr>
        <w:jc w:val="center"/>
      </w:pPr>
      <w:r>
        <w:rPr>
          <w:b/>
        </w:rPr>
        <w:t>Lowest compliant Total Evaluated Price / Tenderer’s Total Evaluated Price × 200 marks</w:t>
      </w:r>
    </w:p>
    <w:p w14:paraId="6D225423" w14:textId="77777777" w:rsidR="00260D0F" w:rsidRDefault="00A55DDE">
      <w:r>
        <w:t>TIAS may seek clarification of apparent arithmetic errors or ambiguous price entries, but tenderers will not be permitted to improve or materially alter their commercial offer after the Tender Deadline.</w:t>
      </w:r>
    </w:p>
    <w:p w14:paraId="5902B6DA" w14:textId="77777777" w:rsidR="00260D0F" w:rsidRDefault="00A55DDE">
      <w:pPr>
        <w:pStyle w:val="Heading1"/>
      </w:pPr>
      <w:r>
        <w:t>8. PRICING REQUIREMENTS</w:t>
      </w:r>
    </w:p>
    <w:p w14:paraId="582DB803" w14:textId="77777777" w:rsidR="00260D0F" w:rsidRDefault="00A55DDE">
      <w:pPr>
        <w:pStyle w:val="ListBullet"/>
      </w:pPr>
      <w:r>
        <w:t>All prices must be stated in Euro and exclusive of VAT, with VAT indicated separately where applicable.</w:t>
      </w:r>
    </w:p>
    <w:p w14:paraId="6CF93DBA" w14:textId="77777777" w:rsidR="00260D0F" w:rsidRDefault="00A55DDE">
      <w:pPr>
        <w:pStyle w:val="ListBullet"/>
      </w:pPr>
      <w:r>
        <w:t>Prices must be all-inclusive of all costs necessary to deliver the proposed programme, except where the Pricing Schedule expressly identifies a separate optional item.</w:t>
      </w:r>
    </w:p>
    <w:p w14:paraId="30C20554" w14:textId="77777777" w:rsidR="00260D0F" w:rsidRDefault="00A55DDE">
      <w:pPr>
        <w:pStyle w:val="ListBullet"/>
      </w:pPr>
      <w:r>
        <w:t>Travel and subsistence must be included in the relevant line item and may not be charged additionally unless TIAS has expressly agreed otherwise in writing.</w:t>
      </w:r>
    </w:p>
    <w:p w14:paraId="1E532BA1" w14:textId="77777777" w:rsidR="00260D0F" w:rsidRDefault="00A55DDE">
      <w:pPr>
        <w:pStyle w:val="ListBullet"/>
      </w:pPr>
      <w:r>
        <w:t>Tenderers must state the number of facilitated learning days / sessions included in the programme and must price all mandatory elements separately in the Pricing Schedule.</w:t>
      </w:r>
    </w:p>
    <w:p w14:paraId="77BD773B" w14:textId="77777777" w:rsidR="00260D0F" w:rsidRDefault="00A55DDE">
      <w:pPr>
        <w:pStyle w:val="ListBullet"/>
      </w:pPr>
      <w:r>
        <w:t>Tenderers must provide a Total Evaluated Price for the stated evaluation scenario and an equivalent cost per participant.</w:t>
      </w:r>
    </w:p>
    <w:p w14:paraId="3A941808" w14:textId="77777777" w:rsidR="00260D0F" w:rsidRDefault="00A55DDE">
      <w:pPr>
        <w:pStyle w:val="ListBullet"/>
      </w:pPr>
      <w:r>
        <w:t>Prices must remain valid for at least 180 days from the Tender Deadline.</w:t>
      </w:r>
    </w:p>
    <w:p w14:paraId="5E6ABFA6" w14:textId="77777777" w:rsidR="00260D0F" w:rsidRDefault="00A55DDE">
      <w:pPr>
        <w:pStyle w:val="ListBullet"/>
      </w:pPr>
      <w:r>
        <w:t>For any extension period, prices may be adjusted only where expressly permitted in the final contract and in accordance with the indexation mechanism stated in the Pricing Schedule / contract.</w:t>
      </w:r>
    </w:p>
    <w:p w14:paraId="40472DDA" w14:textId="77777777" w:rsidR="00260D0F" w:rsidRDefault="00A55DDE">
      <w:pPr>
        <w:pStyle w:val="Heading1"/>
      </w:pPr>
      <w:r>
        <w:lastRenderedPageBreak/>
        <w:t>9. INSTRUCTIONS TO TENDERERS</w:t>
      </w:r>
    </w:p>
    <w:p w14:paraId="05B6E947" w14:textId="77777777" w:rsidR="00260D0F" w:rsidRDefault="00A55DDE">
      <w:pPr>
        <w:pStyle w:val="Heading2"/>
      </w:pPr>
      <w:r>
        <w:t>9.1 eTenders submission</w:t>
      </w:r>
    </w:p>
    <w:p w14:paraId="551FFD8B" w14:textId="77777777" w:rsidR="00260D0F" w:rsidRDefault="00A55DDE">
      <w:r>
        <w:t>Tenders must be submitted electronically through the relevant competition tender box on www.etenders.gov.ie. Tenders submitted by email, post or other means will not be accepted unless TIAS expressly instructs otherwise through eTenders. Tenderers are responsible for allowing sufficient time to upload all documents before the deadline.</w:t>
      </w:r>
    </w:p>
    <w:p w14:paraId="474E928A" w14:textId="77777777" w:rsidR="00260D0F" w:rsidRDefault="00A55DDE">
      <w:pPr>
        <w:pStyle w:val="Heading2"/>
      </w:pPr>
      <w:r>
        <w:t>9.2 Queries and clarifications</w:t>
      </w:r>
    </w:p>
    <w:p w14:paraId="2C589831" w14:textId="77777777" w:rsidR="00260D0F" w:rsidRDefault="00A55DDE">
      <w:r>
        <w:t>All queries must be submitted through the eTenders messaging facility by the clarification deadline stated on eTenders. TIAS may circulate anonymised responses to all tenderers. Tenderers should not rely on oral statements or correspondence outside the eTenders process.</w:t>
      </w:r>
    </w:p>
    <w:p w14:paraId="5DD36465" w14:textId="77777777" w:rsidR="00260D0F" w:rsidRDefault="00A55DDE">
      <w:pPr>
        <w:pStyle w:val="Heading2"/>
      </w:pPr>
      <w:r>
        <w:t>9.3 Tender validity and costs</w:t>
      </w:r>
    </w:p>
    <w:p w14:paraId="11BF534E" w14:textId="77777777" w:rsidR="00260D0F" w:rsidRDefault="00A55DDE">
      <w:r>
        <w:t>Tenderers are responsible for all costs incurred in preparing and submitting a tender. TIAS will not reimburse tendering costs. Tenders must remain open for acceptance for 180 days from the Tender Deadline unless otherwise notified.</w:t>
      </w:r>
    </w:p>
    <w:p w14:paraId="73EB9E4A" w14:textId="77777777" w:rsidR="00260D0F" w:rsidRDefault="00A55DDE">
      <w:pPr>
        <w:pStyle w:val="Heading2"/>
      </w:pPr>
      <w:r>
        <w:t>9.4 Right to cancel / not award</w:t>
      </w:r>
    </w:p>
    <w:p w14:paraId="31247D9C" w14:textId="77777777" w:rsidR="00260D0F" w:rsidRDefault="00A55DDE">
      <w:r>
        <w:t>This CFT does not constitute an offer or commitment to award a contract. TIAS does not bind itself to accept the lowest-priced tender or any tender and may cancel or discontinue the competition at any time before execution of a written contract, subject to its obligations at law.</w:t>
      </w:r>
    </w:p>
    <w:p w14:paraId="5FF3A5E8" w14:textId="77777777" w:rsidR="00260D0F" w:rsidRDefault="00A55DDE">
      <w:pPr>
        <w:pStyle w:val="Heading2"/>
      </w:pPr>
      <w:r>
        <w:t>9.5 Clarification and verification</w:t>
      </w:r>
    </w:p>
    <w:p w14:paraId="2130A620" w14:textId="77777777" w:rsidR="00260D0F" w:rsidRDefault="00A55DDE">
      <w:r>
        <w:t>TIAS may seek clarification or verification of information contained in a tender, request supporting evidence, or waive a non-material procedural requirement where permitted by law. Such clarification will not permit a tenderer to materially amend its tender.</w:t>
      </w:r>
    </w:p>
    <w:p w14:paraId="6261E23B" w14:textId="77777777" w:rsidR="00260D0F" w:rsidRDefault="00A55DDE">
      <w:pPr>
        <w:pStyle w:val="Heading2"/>
      </w:pPr>
      <w:r>
        <w:t>9.6 Presentations / interviews</w:t>
      </w:r>
    </w:p>
    <w:p w14:paraId="6030CBA5" w14:textId="77777777" w:rsidR="00260D0F" w:rsidRDefault="00A55DDE">
      <w:r>
        <w:t>TIAS may invite one or more tenderers to a clarification meeting or presentation. Unless expressly stated otherwise in advance, such meetings will be used for clarification only and will not constitute a separately scored award criterion.</w:t>
      </w:r>
    </w:p>
    <w:p w14:paraId="4B016D74" w14:textId="77777777" w:rsidR="00260D0F" w:rsidRDefault="00A55DDE">
      <w:pPr>
        <w:pStyle w:val="Heading1"/>
      </w:pPr>
      <w:r>
        <w:t>10. PRINCIPAL CONTRACT TERMS</w:t>
      </w:r>
    </w:p>
    <w:p w14:paraId="10D0E64B" w14:textId="77777777" w:rsidR="00260D0F" w:rsidRDefault="00A55DDE">
      <w:pPr>
        <w:pStyle w:val="Heading2"/>
      </w:pPr>
      <w:r>
        <w:t>10.1 Standard of performance</w:t>
      </w:r>
    </w:p>
    <w:p w14:paraId="391F74FB" w14:textId="77777777" w:rsidR="00260D0F" w:rsidRDefault="00A55DDE">
      <w:r>
        <w:t>The successful provider will be required to perform the Services with due care, skill and diligence, in accordance with good industry practice, the CFT, the accepted tender, TIAS directions and all applicable laws.</w:t>
      </w:r>
    </w:p>
    <w:p w14:paraId="06D7A1B2" w14:textId="77777777" w:rsidR="00260D0F" w:rsidRDefault="00A55DDE">
      <w:pPr>
        <w:pStyle w:val="Heading2"/>
      </w:pPr>
      <w:r>
        <w:t>10.2 Key personnel and subcontractors</w:t>
      </w:r>
    </w:p>
    <w:p w14:paraId="1962DB58" w14:textId="77777777" w:rsidR="00260D0F" w:rsidRDefault="00A55DDE">
      <w:r>
        <w:t>The provider will remain responsible for all personnel and subcontractors used in delivery. Key Personnel may not be replaced without TIAS's prior written approval. TIAS may require replacement of personnel where performance or conduct materially affects service delivery.</w:t>
      </w:r>
    </w:p>
    <w:p w14:paraId="008582DC" w14:textId="77777777" w:rsidR="00260D0F" w:rsidRDefault="00A55DDE">
      <w:pPr>
        <w:pStyle w:val="Heading2"/>
      </w:pPr>
      <w:r>
        <w:lastRenderedPageBreak/>
        <w:t>10.3 Data protection and confidentiality</w:t>
      </w:r>
    </w:p>
    <w:p w14:paraId="1CF9D4C4" w14:textId="77777777" w:rsidR="00260D0F" w:rsidRDefault="00A55DDE">
      <w:r>
        <w:t>The provider must comply with the GDPR, the Data Protection Act 2018 and all other applicable data protection requirements. Participant and company information may be used only for the purpose of delivering the contracted Services. The provider must not use participant contact details for unrelated commercial or promotional activity. All confidential information obtained through the contract must be protected and disclosed only where lawful and necessary.</w:t>
      </w:r>
    </w:p>
    <w:p w14:paraId="37642870" w14:textId="77777777" w:rsidR="00260D0F" w:rsidRDefault="00A55DDE">
      <w:pPr>
        <w:pStyle w:val="Heading2"/>
      </w:pPr>
      <w:r>
        <w:t>10.4 Intellectual property</w:t>
      </w:r>
    </w:p>
    <w:p w14:paraId="18702FBD" w14:textId="77777777" w:rsidR="00260D0F" w:rsidRDefault="00A55DDE">
      <w:r>
        <w:t>Each party will retain ownership of its pre-existing intellectual property. The final contract will specify appropriate rights for TIAS and participating companies to use programme-specific reports, evaluation outputs and materials created specifically for the contracted Services, while preserving the provider's ownership of its pre-existing methodologies, standard course materials and know-how. Tenderers must identify any material third-party licences or restrictions in their tender.</w:t>
      </w:r>
    </w:p>
    <w:p w14:paraId="22E415C4" w14:textId="77777777" w:rsidR="00260D0F" w:rsidRDefault="00A55DDE">
      <w:pPr>
        <w:pStyle w:val="Heading2"/>
      </w:pPr>
      <w:r>
        <w:t>10.5 Freedom of Information / Access to Information</w:t>
      </w:r>
    </w:p>
    <w:p w14:paraId="2323CB35" w14:textId="77777777" w:rsidR="00260D0F" w:rsidRDefault="00A55DDE">
      <w:r>
        <w:t>Information supplied may be subject to applicable freedom of information or access-to-information obligations. Tenderers should clearly identify information they consider commercially sensitive and explain the basis for that sensitivity. TIAS cannot guarantee that information marked confidential will be withheld where disclosure is required by law.</w:t>
      </w:r>
    </w:p>
    <w:p w14:paraId="2F378347" w14:textId="77777777" w:rsidR="00260D0F" w:rsidRDefault="00A55DDE">
      <w:pPr>
        <w:pStyle w:val="Heading2"/>
      </w:pPr>
      <w:r>
        <w:t>10.6 Insurance</w:t>
      </w:r>
    </w:p>
    <w:p w14:paraId="7FB3F828" w14:textId="77777777" w:rsidR="00260D0F" w:rsidRDefault="00A55DDE">
      <w:r>
        <w:t>The successful tenderer must maintain the following insurances for the term of the contract, and must provide evidence of cover before contract award and during the contract term:</w:t>
      </w:r>
    </w:p>
    <w:p w14:paraId="7FB3F829" w14:textId="77777778" w:rsidR="00260D0F" w:rsidRDefault="00A55DDE">
      <w:pPr>
        <w:pStyle w:val="ListBullet"/>
      </w:pPr>
      <w:r>
        <w:rPr>
          <w:b/>
        </w:rPr>
        <w:t>Employer's Liability:</w:t>
      </w:r>
      <w:r>
        <w:t xml:space="preserve"> €13,500,000 for any one claim or series of claims arising out of a single occurrence, per insurance year (not required where the tenderer has no employees).</w:t>
      </w:r>
    </w:p>
    <w:p w14:paraId="7FB3F82A" w14:textId="77777779" w:rsidR="00260D0F" w:rsidRDefault="00A55DDE">
      <w:pPr>
        <w:pStyle w:val="ListBullet"/>
      </w:pPr>
      <w:r>
        <w:rPr>
          <w:b/>
        </w:rPr>
        <w:t>Public Liability:</w:t>
      </w:r>
      <w:r>
        <w:t xml:space="preserve"> €6,500,000 for any one claim or series of claims arising out of a single occurrence, per insurance year.</w:t>
      </w:r>
    </w:p>
    <w:p w14:paraId="7FB3F82B" w14:textId="7777777A" w:rsidR="00260D0F" w:rsidRDefault="00A55DDE">
      <w:pPr>
        <w:pStyle w:val="ListBullet"/>
      </w:pPr>
      <w:r>
        <w:rPr>
          <w:b/>
        </w:rPr>
        <w:t>Professional Indemnity:</w:t>
      </w:r>
      <w:r>
        <w:t xml:space="preserve"> insurance appropriate to the nature and scale of the Services.</w:t>
      </w:r>
    </w:p>
    <w:p w14:paraId="36440DAB" w14:textId="77777777" w:rsidR="00260D0F" w:rsidRDefault="00A55DDE">
      <w:pPr>
        <w:pStyle w:val="Heading2"/>
      </w:pPr>
      <w:r>
        <w:t>10.7 Payment</w:t>
      </w:r>
    </w:p>
    <w:p w14:paraId="6BCD2BC4" w14:textId="77777777" w:rsidR="00260D0F" w:rsidRDefault="00A55DDE">
      <w:r>
        <w:t>Payment will be made against valid invoices for Services satisfactorily delivered in accordance with agreed milestones and the final contract. The successful tenderer must maintain valid tax clearance. The European Communities (Late Payment in Commercial Transactions) Regulations 2012 will apply where applicable.</w:t>
      </w:r>
    </w:p>
    <w:p w14:paraId="3914E574" w14:textId="77777777" w:rsidR="00260D0F" w:rsidRDefault="00A55DDE">
      <w:pPr>
        <w:pStyle w:val="Heading2"/>
      </w:pPr>
      <w:r>
        <w:t>10.8 Performance, remedies and termination</w:t>
      </w:r>
    </w:p>
    <w:p w14:paraId="71B378AA" w14:textId="77777777" w:rsidR="00260D0F" w:rsidRDefault="00A55DDE">
      <w:r>
        <w:t xml:space="preserve">TIAS will monitor performance, quality, attendance, learner feedback and delivery against agreed milestones. Material or repeated failure to meet contractual requirements may result in corrective action, withholding of payment for unsatisfactory Services, replacement of personnel, termination or other remedies provided by the final contract and law. TIAS will retain a right to terminate for serious breach, insolvency, unmanageable conflicts of interest, applicable exclusion grounds and other material contractual default.</w:t>
      </w:r>
    </w:p>
    <w:p w14:paraId="0D2916AF" w14:textId="77777777" w:rsidR="00260D0F" w:rsidRDefault="00A55DDE">
      <w:pPr>
        <w:pStyle w:val="Heading2"/>
      </w:pPr>
      <w:r>
        <w:t>10.9 Applicable law and jurisdiction</w:t>
      </w:r>
    </w:p>
    <w:p w14:paraId="7C57F40A" w14:textId="77777777" w:rsidR="00260D0F" w:rsidRDefault="00A55DDE">
      <w:r>
        <w:t>The contract will be governed by the laws of Ireland and subject to the jurisdiction of the Irish courts. The parties will be expected to attempt good-faith escalation and mediation before litigation where appropriate.</w:t>
      </w:r>
    </w:p>
    <w:p w14:paraId="553A13E0" w14:textId="77777777" w:rsidR="00260D0F" w:rsidRDefault="00A55DDE">
      <w:pPr>
        <w:pStyle w:val="Heading2"/>
      </w:pPr>
      <w:r>
        <w:t>10.10 Sustainability</w:t>
      </w:r>
    </w:p>
    <w:p w14:paraId="3019561D" w14:textId="77777777" w:rsidR="00260D0F" w:rsidRDefault="00A55DDE">
      <w:r>
        <w:t>Tenderers should describe practical measures to minimise unnecessary travel, printing, waste and other environmental impacts associated with programme delivery while maintaining the quality and effectiveness of the learning experience.</w:t>
      </w:r>
    </w:p>
    <w:p w14:paraId="570952ED" w14:textId="77777777" w:rsidR="00260D0F" w:rsidRDefault="00A55DDE">
      <w:pPr>
        <w:pStyle w:val="Heading1"/>
      </w:pPr>
      <w:r>
        <w:lastRenderedPageBreak/>
        <w:t>11. TIMETABLE</w:t>
      </w:r>
    </w:p>
    <w:tbl>
      <w:tblPr>
        <w:tblStyle w:val="TableGrid"/>
        <w:tblW w:w="0" w:type="auto"/>
        <w:jc w:val="center"/>
        <w:tblLook w:val="04A0" w:firstRow="1" w:lastRow="0" w:firstColumn="1" w:lastColumn="0" w:noHBand="0" w:noVBand="1"/>
      </w:tblPr>
      <w:tblGrid>
        <w:gridCol w:w="5040"/>
        <w:gridCol w:w="5040"/>
      </w:tblGrid>
      <w:tr w:rsidR="00260D0F" w14:paraId="78204DC9" w14:textId="77777777">
        <w:trPr>
          <w:jc w:val="center"/>
        </w:trPr>
        <w:tc>
          <w:tcPr>
            <w:tcW w:w="5040" w:type="dxa"/>
            <w:shd w:val="clear" w:color="auto" w:fill="F2F2F2"/>
            <w:vAlign w:val="center"/>
          </w:tcPr>
          <w:p w14:paraId="1BBF3760" w14:textId="77777777" w:rsidR="00260D0F" w:rsidRDefault="00A55DDE">
            <w:r>
              <w:rPr>
                <w:b/>
                <w:color w:val="003247"/>
                <w:sz w:val="18"/>
              </w:rPr>
              <w:t>CFT publication</w:t>
            </w:r>
          </w:p>
        </w:tc>
        <w:tc>
          <w:tcPr>
            <w:tcW w:w="5040" w:type="dxa"/>
            <w:vAlign w:val="center"/>
          </w:tcPr>
          <w:p w14:paraId="11BC1939" w14:textId="77662671" w:rsidR="00260D0F" w:rsidRDefault="00494333">
            <w:r>
              <w:rPr>
                <w:sz w:val="18"/>
              </w:rPr>
              <w:t xml:space="preserve"> 6</w:t>
            </w:r>
            <w:r>
              <w:rPr>
                <w:sz w:val="18"/>
                <w:vertAlign w:val="superscript"/>
              </w:rPr>
              <w:t>th</w:t>
            </w:r>
            <w:r>
              <w:rPr>
                <w:sz w:val="18"/>
              </w:rPr>
              <w:t xml:space="preserve"> September 2026</w:t>
            </w:r>
          </w:p>
        </w:tc>
      </w:tr>
      <w:tr w:rsidR="00260D0F" w14:paraId="4617C4A9" w14:textId="77777777">
        <w:trPr>
          <w:jc w:val="center"/>
        </w:trPr>
        <w:tc>
          <w:tcPr>
            <w:tcW w:w="5040" w:type="dxa"/>
            <w:shd w:val="clear" w:color="auto" w:fill="F2F2F2"/>
            <w:vAlign w:val="center"/>
          </w:tcPr>
          <w:p w14:paraId="0A550D10" w14:textId="77777777" w:rsidR="00260D0F" w:rsidRDefault="00A55DDE">
            <w:r>
              <w:rPr>
                <w:b/>
                <w:color w:val="003247"/>
                <w:sz w:val="18"/>
              </w:rPr>
              <w:t>Clarification deadline</w:t>
            </w:r>
          </w:p>
        </w:tc>
        <w:tc>
          <w:tcPr>
            <w:tcW w:w="5040" w:type="dxa"/>
            <w:vAlign w:val="center"/>
          </w:tcPr>
          <w:p w14:paraId="7BE2C7CC" w14:textId="3F454BE8" w:rsidR="00260D0F" w:rsidRDefault="00113081">
            <w:r>
              <w:rPr>
                <w:sz w:val="18"/>
              </w:rPr>
              <w:t xml:space="preserve"> 14</w:t>
            </w:r>
            <w:r>
              <w:rPr>
                <w:sz w:val="18"/>
                <w:vertAlign w:val="superscript"/>
              </w:rPr>
              <w:t>th</w:t>
            </w:r>
            <w:r>
              <w:rPr>
                <w:sz w:val="18"/>
              </w:rPr>
              <w:t xml:space="preserve"> September 2026</w:t>
            </w:r>
          </w:p>
        </w:tc>
      </w:tr>
      <w:tr w:rsidR="00260D0F" w14:paraId="21F4CF3C" w14:textId="77777777">
        <w:trPr>
          <w:jc w:val="center"/>
        </w:trPr>
        <w:tc>
          <w:tcPr>
            <w:tcW w:w="5040" w:type="dxa"/>
            <w:shd w:val="clear" w:color="auto" w:fill="F2F2F2"/>
            <w:vAlign w:val="center"/>
          </w:tcPr>
          <w:p w14:paraId="18E0626F" w14:textId="77777777" w:rsidR="00260D0F" w:rsidRDefault="00A55DDE">
            <w:r>
              <w:rPr>
                <w:b/>
                <w:color w:val="003247"/>
                <w:sz w:val="18"/>
              </w:rPr>
              <w:t>Tender deadline</w:t>
            </w:r>
          </w:p>
        </w:tc>
        <w:tc>
          <w:tcPr>
            <w:tcW w:w="5040" w:type="dxa"/>
            <w:vAlign w:val="center"/>
          </w:tcPr>
          <w:p w14:paraId="732D0A66" w14:textId="06956BF0" w:rsidR="00260D0F" w:rsidRDefault="003F6548">
            <w:r>
              <w:rPr>
                <w:sz w:val="18"/>
              </w:rPr>
              <w:t xml:space="preserve"> 28</w:t>
            </w:r>
            <w:r>
              <w:rPr>
                <w:sz w:val="18"/>
                <w:vertAlign w:val="superscript"/>
              </w:rPr>
              <w:t>th</w:t>
            </w:r>
            <w:r>
              <w:rPr>
                <w:sz w:val="18"/>
              </w:rPr>
              <w:t xml:space="preserve"> September 2026</w:t>
            </w:r>
          </w:p>
        </w:tc>
      </w:tr>
      <w:tr w:rsidR="00260D0F" w14:paraId="73F0A1F1" w14:textId="77777777">
        <w:trPr>
          <w:jc w:val="center"/>
        </w:trPr>
        <w:tc>
          <w:tcPr>
            <w:tcW w:w="5040" w:type="dxa"/>
            <w:shd w:val="clear" w:color="auto" w:fill="F2F2F2"/>
            <w:vAlign w:val="center"/>
          </w:tcPr>
          <w:p w14:paraId="47BF0517" w14:textId="77777777" w:rsidR="00260D0F" w:rsidRDefault="00A55DDE">
            <w:r>
              <w:rPr>
                <w:b/>
                <w:color w:val="003247"/>
                <w:sz w:val="18"/>
              </w:rPr>
              <w:t>Evaluation period</w:t>
            </w:r>
          </w:p>
        </w:tc>
        <w:tc>
          <w:tcPr>
            <w:tcW w:w="5040" w:type="dxa"/>
            <w:vAlign w:val="center"/>
          </w:tcPr>
          <w:p w14:paraId="06332A76" w14:textId="7C516E6A" w:rsidR="00260D0F" w:rsidRDefault="00F2121F">
            <w:r>
              <w:rPr>
                <w:sz w:val="18"/>
              </w:rPr>
              <w:t xml:space="preserve"> 29</w:t>
            </w:r>
            <w:r>
              <w:rPr>
                <w:sz w:val="18"/>
                <w:vertAlign w:val="superscript"/>
              </w:rPr>
              <w:t>th</w:t>
            </w:r>
            <w:r>
              <w:rPr>
                <w:sz w:val="18"/>
              </w:rPr>
              <w:t xml:space="preserve"> September – 8</w:t>
            </w:r>
            <w:r>
              <w:rPr>
                <w:sz w:val="18"/>
                <w:vertAlign w:val="superscript"/>
              </w:rPr>
              <w:t>th</w:t>
            </w:r>
            <w:r>
              <w:rPr>
                <w:sz w:val="18"/>
              </w:rPr>
              <w:t xml:space="preserve"> October</w:t>
            </w:r>
          </w:p>
        </w:tc>
      </w:tr>
      <w:tr w:rsidR="00260D0F" w14:paraId="4548EAA6" w14:textId="77777777">
        <w:trPr>
          <w:jc w:val="center"/>
        </w:trPr>
        <w:tc>
          <w:tcPr>
            <w:tcW w:w="5040" w:type="dxa"/>
            <w:shd w:val="clear" w:color="auto" w:fill="F2F2F2"/>
            <w:vAlign w:val="center"/>
          </w:tcPr>
          <w:p w14:paraId="718199C7" w14:textId="77777777" w:rsidR="00260D0F" w:rsidRDefault="00A55DDE">
            <w:r>
              <w:rPr>
                <w:b/>
                <w:color w:val="003247"/>
                <w:sz w:val="18"/>
              </w:rPr>
              <w:t>Standstill / notification</w:t>
            </w:r>
          </w:p>
        </w:tc>
        <w:tc>
          <w:tcPr>
            <w:tcW w:w="5040" w:type="dxa"/>
            <w:vAlign w:val="center"/>
          </w:tcPr>
          <w:p w14:paraId="13F5519F" w14:textId="77777777" w:rsidR="00260D0F" w:rsidRDefault="00A55DDE">
            <w:r>
              <w:rPr>
                <w:sz w:val="18"/>
              </w:rPr>
              <w:t>As applicable</w:t>
            </w:r>
          </w:p>
        </w:tc>
      </w:tr>
      <w:tr w:rsidR="00260D0F" w14:paraId="33888ED7" w14:textId="77777777">
        <w:trPr>
          <w:jc w:val="center"/>
        </w:trPr>
        <w:tc>
          <w:tcPr>
            <w:tcW w:w="5040" w:type="dxa"/>
            <w:shd w:val="clear" w:color="auto" w:fill="F2F2F2"/>
            <w:vAlign w:val="center"/>
          </w:tcPr>
          <w:p w14:paraId="195EAA63" w14:textId="77777777" w:rsidR="00260D0F" w:rsidRDefault="00A55DDE">
            <w:r>
              <w:rPr>
                <w:b/>
                <w:color w:val="003247"/>
                <w:sz w:val="18"/>
              </w:rPr>
              <w:t>Contract commencement</w:t>
            </w:r>
          </w:p>
        </w:tc>
        <w:tc>
          <w:tcPr>
            <w:tcW w:w="5040" w:type="dxa"/>
            <w:vAlign w:val="center"/>
          </w:tcPr>
          <w:p w14:paraId="5FBB67C3" w14:textId="0C0245FD" w:rsidR="00260D0F" w:rsidRDefault="00F24BCF">
            <w:r>
              <w:rPr>
                <w:sz w:val="18"/>
              </w:rPr>
              <w:t xml:space="preserve"> 10</w:t>
            </w:r>
            <w:r>
              <w:rPr>
                <w:sz w:val="18"/>
                <w:vertAlign w:val="superscript"/>
              </w:rPr>
              <w:t>th</w:t>
            </w:r>
            <w:r>
              <w:rPr>
                <w:sz w:val="18"/>
              </w:rPr>
              <w:t xml:space="preserve"> October 2026</w:t>
            </w:r>
          </w:p>
        </w:tc>
      </w:tr>
      <w:tr w:rsidR="00260D0F" w14:paraId="2BB55E6F" w14:textId="77777777">
        <w:trPr>
          <w:jc w:val="center"/>
        </w:trPr>
        <w:tc>
          <w:tcPr>
            <w:tcW w:w="5040" w:type="dxa"/>
            <w:shd w:val="clear" w:color="auto" w:fill="F2F2F2"/>
            <w:vAlign w:val="center"/>
          </w:tcPr>
          <w:p w14:paraId="18DC9045" w14:textId="77777777" w:rsidR="00260D0F" w:rsidRDefault="00A55DDE">
            <w:r>
              <w:rPr>
                <w:b/>
                <w:color w:val="003247"/>
                <w:sz w:val="18"/>
              </w:rPr>
              <w:t>First cohort commencement</w:t>
            </w:r>
          </w:p>
        </w:tc>
        <w:tc>
          <w:tcPr>
            <w:tcW w:w="5040" w:type="dxa"/>
            <w:vAlign w:val="center"/>
          </w:tcPr>
          <w:p w14:paraId="60976974" w14:textId="25A32D9C" w:rsidR="00260D0F" w:rsidRDefault="00F24BCF">
            <w:r>
              <w:rPr>
                <w:sz w:val="18"/>
              </w:rPr>
              <w:t xml:space="preserve"> 2</w:t>
            </w:r>
            <w:r>
              <w:rPr>
                <w:sz w:val="18"/>
                <w:vertAlign w:val="superscript"/>
              </w:rPr>
              <w:t>nd</w:t>
            </w:r>
            <w:r>
              <w:rPr>
                <w:sz w:val="18"/>
              </w:rPr>
              <w:t xml:space="preserve">  November 2026</w:t>
            </w:r>
          </w:p>
        </w:tc>
      </w:tr>
    </w:tbl>
    <w:p w14:paraId="67F49340" w14:textId="77777777" w:rsidR="00260D0F" w:rsidRDefault="00A55DDE">
      <w:pPr>
        <w:pStyle w:val="Heading1"/>
      </w:pPr>
      <w:r>
        <w:t>12. DOCUMENT CHECKLIST</w:t>
      </w:r>
    </w:p>
    <w:p w14:paraId="2CC1F0AB" w14:textId="77777777" w:rsidR="00260D0F" w:rsidRDefault="00A55DDE">
      <w:pPr>
        <w:pStyle w:val="ListBullet"/>
      </w:pPr>
      <w:r>
        <w:t>Document 1: Call for Tender (this document) - for information and compliance.</w:t>
      </w:r>
    </w:p>
    <w:p w14:paraId="273A919C" w14:textId="77777777" w:rsidR="00260D0F" w:rsidRDefault="00A55DDE">
      <w:pPr>
        <w:pStyle w:val="ListBullet"/>
      </w:pPr>
      <w:r>
        <w:t>Document 2: Tender Response Document - complete and upload.</w:t>
      </w:r>
    </w:p>
    <w:p w14:paraId="0CF0DE13" w14:textId="77777777" w:rsidR="00260D0F" w:rsidRDefault="00A55DDE">
      <w:pPr>
        <w:pStyle w:val="ListBullet"/>
      </w:pPr>
      <w:r>
        <w:t>Document 3: Pricing Schedule - complete and upload.</w:t>
      </w:r>
    </w:p>
    <w:p w14:paraId="0F842E8E" w14:textId="77777778" w:rsidR="00260D0F" w:rsidRDefault="00A55DDE">
      <w:pPr>
        <w:pStyle w:val="ListBullet"/>
      </w:pPr>
      <w:r>
        <w:t>Document 4: Draft Services Contract - issued by TIAS for information and review; not to be completed or uploaded.</w:t>
      </w:r>
    </w:p>
    <w:p w14:paraId="0F842E8F" w14:textId="77777777" w:rsidR="00260D0F" w:rsidRDefault="00A55DDE">
      <w:pPr>
        <w:pStyle w:val="ListBullet"/>
      </w:pPr>
      <w:r>
        <w:t>Any clarification documents subsequently issued through eTenders form part of the competition documents.</w:t>
      </w:r>
    </w:p>
    <w:sectPr w:rsidR="00260D0F" w:rsidSect="00034616">
      <w:headerReference w:type="default" r:id="rId12"/>
      <w:footerReference w:type="default" r:id="rId13"/>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73FD0" w14:textId="77777777" w:rsidR="00A55DDE" w:rsidRDefault="00A55DDE">
      <w:pPr>
        <w:spacing w:after="0" w:line="240" w:lineRule="auto"/>
      </w:pPr>
      <w:r>
        <w:separator/>
      </w:r>
    </w:p>
  </w:endnote>
  <w:endnote w:type="continuationSeparator" w:id="0">
    <w:p w14:paraId="0F196C11" w14:textId="77777777" w:rsidR="00A55DDE" w:rsidRDefault="00A55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4AD65" w14:textId="77777777" w:rsidR="00260D0F" w:rsidRDefault="00A55DDE">
    <w:pPr>
      <w:pStyle w:val="Footer"/>
    </w:pPr>
    <w:r>
      <w:rPr>
        <w:color w:val="666666"/>
        <w:sz w:val="16"/>
      </w:rPr>
      <w:t xml:space="preserve">TIA Skillnet Graduate Development Programme - Call for Tender</w:t>
    </w:r>
  </w:p>
  <w:p w14:paraId="417CBB88" w14:textId="0B16F0E6" w:rsidR="00260D0F" w:rsidRDefault="00A55DDE">
    <w:pPr>
      <w:jc w:val="right"/>
    </w:pPr>
    <w:r>
      <w:rPr>
        <w:color w:val="666666"/>
        <w:sz w:val="16"/>
      </w:rPr>
      <w:t xml:space="preserve">Page </w:t>
    </w:r>
    <w:r>
      <w:fldChar w:fldCharType="begin"/>
    </w:r>
    <w:r>
      <w:instrText>PAGE</w:instrText>
    </w:r>
    <w:r>
      <w:fldChar w:fldCharType="separate"/>
    </w:r>
    <w:r w:rsidR="00326983">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3603D" w14:textId="77777777" w:rsidR="00A55DDE" w:rsidRDefault="00A55DDE">
      <w:pPr>
        <w:spacing w:after="0" w:line="240" w:lineRule="auto"/>
      </w:pPr>
      <w:r>
        <w:separator/>
      </w:r>
    </w:p>
  </w:footnote>
  <w:footnote w:type="continuationSeparator" w:id="0">
    <w:p w14:paraId="49F0C467" w14:textId="77777777" w:rsidR="00A55DDE" w:rsidRDefault="00A55D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1E22F" w14:textId="77777777" w:rsidR="00260D0F" w:rsidRDefault="00A55DDE">
    <w:pPr>
      <w:pStyle w:val="Header"/>
      <w:jc w:val="right"/>
    </w:pPr>
    <w:r>
      <w:rPr>
        <w:noProof/>
      </w:rPr>
      <w:drawing>
        <wp:inline distT="0" distB="0" distL="0" distR="0" wp14:anchorId="1D228060" wp14:editId="4FA3B54C">
          <wp:extent cx="1325880" cy="1036475"/>
          <wp:effectExtent l="0" t="0" r="0" b="0"/>
          <wp:docPr id="1375634596" name="Picture 1375634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
                  <a:stretch>
                    <a:fillRect/>
                  </a:stretch>
                </pic:blipFill>
                <pic:spPr>
                  <a:xfrm>
                    <a:off x="0" y="0"/>
                    <a:ext cx="1325880" cy="10364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29512884">
    <w:abstractNumId w:val="8"/>
  </w:num>
  <w:num w:numId="2" w16cid:durableId="2026442946">
    <w:abstractNumId w:val="6"/>
  </w:num>
  <w:num w:numId="3" w16cid:durableId="1977973">
    <w:abstractNumId w:val="5"/>
  </w:num>
  <w:num w:numId="4" w16cid:durableId="386032189">
    <w:abstractNumId w:val="4"/>
  </w:num>
  <w:num w:numId="5" w16cid:durableId="1367219996">
    <w:abstractNumId w:val="7"/>
  </w:num>
  <w:num w:numId="6" w16cid:durableId="127670530">
    <w:abstractNumId w:val="3"/>
  </w:num>
  <w:num w:numId="7" w16cid:durableId="924001671">
    <w:abstractNumId w:val="2"/>
  </w:num>
  <w:num w:numId="8" w16cid:durableId="2111388254">
    <w:abstractNumId w:val="1"/>
  </w:num>
  <w:num w:numId="9" w16cid:durableId="136702006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nette Coburn">
    <w15:presenceInfo w15:providerId="AD" w15:userId="S::annette.coburn@techiaskillnet.ie::af5ac18e-34f8-4be6-aa63-c1d4097a9d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1640"/>
    <w:rsid w:val="000E271B"/>
    <w:rsid w:val="00113081"/>
    <w:rsid w:val="00126E59"/>
    <w:rsid w:val="00136BDB"/>
    <w:rsid w:val="0015074B"/>
    <w:rsid w:val="0022295B"/>
    <w:rsid w:val="00260D0F"/>
    <w:rsid w:val="0029639D"/>
    <w:rsid w:val="00326983"/>
    <w:rsid w:val="00326F90"/>
    <w:rsid w:val="003F4C54"/>
    <w:rsid w:val="003F6548"/>
    <w:rsid w:val="00494333"/>
    <w:rsid w:val="004B291D"/>
    <w:rsid w:val="005E25B1"/>
    <w:rsid w:val="00662829"/>
    <w:rsid w:val="00797781"/>
    <w:rsid w:val="008177B9"/>
    <w:rsid w:val="0084256A"/>
    <w:rsid w:val="00870662"/>
    <w:rsid w:val="00A55DDE"/>
    <w:rsid w:val="00AA1D8D"/>
    <w:rsid w:val="00AA448D"/>
    <w:rsid w:val="00B47730"/>
    <w:rsid w:val="00BA6B70"/>
    <w:rsid w:val="00C0680A"/>
    <w:rsid w:val="00C92217"/>
    <w:rsid w:val="00CB0664"/>
    <w:rsid w:val="00D74612"/>
    <w:rsid w:val="00E06316"/>
    <w:rsid w:val="00ED5F24"/>
    <w:rsid w:val="00F2121F"/>
    <w:rsid w:val="00F24BC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5D017A2-E0B9-4CAD-BAFC-831ECFB62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3247"/>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76B9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324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3247"/>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E06316"/>
    <w:pPr>
      <w:spacing w:after="0" w:line="240" w:lineRule="auto"/>
    </w:pPr>
    <w:rPr>
      <w:rFonts w:ascii="Aptos"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6f0377-e2c2-458b-be5e-8755e014db0f">
      <Terms xmlns="http://schemas.microsoft.com/office/infopath/2007/PartnerControls"/>
    </lcf76f155ced4ddcb4097134ff3c332f>
    <TaxCatchAll xmlns="5db27def-ca5d-467e-a7f3-1aedc99f9cf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1D08206D796CA42A5345BAEBBA7C49A" ma:contentTypeVersion="12" ma:contentTypeDescription="Create a new document." ma:contentTypeScope="" ma:versionID="7257f4e5ea4cc3b5b61f95ea3e254903">
  <xsd:schema xmlns:xsd="http://www.w3.org/2001/XMLSchema" xmlns:xs="http://www.w3.org/2001/XMLSchema" xmlns:p="http://schemas.microsoft.com/office/2006/metadata/properties" xmlns:ns2="316f0377-e2c2-458b-be5e-8755e014db0f" xmlns:ns3="5db27def-ca5d-467e-a7f3-1aedc99f9cf5" targetNamespace="http://schemas.microsoft.com/office/2006/metadata/properties" ma:root="true" ma:fieldsID="6df835b76f8230ca6a47095a7157ee32" ns2:_="" ns3:_="">
    <xsd:import namespace="316f0377-e2c2-458b-be5e-8755e014db0f"/>
    <xsd:import namespace="5db27def-ca5d-467e-a7f3-1aedc99f9c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6f0377-e2c2-458b-be5e-8755e014db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1236f33-e22c-487e-963d-361dc3fd441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b27def-ca5d-467e-a7f3-1aedc99f9cf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80ca5a6-7b1b-4137-b8e2-6d6d5b06eff2}" ma:internalName="TaxCatchAll" ma:showField="CatchAllData" ma:web="5db27def-ca5d-467e-a7f3-1aedc99f9c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4FCA10-39B0-4668-BF8C-09919928DA09}">
  <ds:schemaRefs>
    <ds:schemaRef ds:uri="http://schemas.microsoft.com/sharepoint/v3/contenttype/forms"/>
  </ds:schemaRefs>
</ds:datastoreItem>
</file>

<file path=customXml/itemProps2.xml><?xml version="1.0" encoding="utf-8"?>
<ds:datastoreItem xmlns:ds="http://schemas.openxmlformats.org/officeDocument/2006/customXml" ds:itemID="{16D6B04C-51F7-4BBD-BFDF-2AFE3D9A2982}">
  <ds:schemaRefs>
    <ds:schemaRef ds:uri="http://schemas.microsoft.com/office/2006/metadata/properties"/>
    <ds:schemaRef ds:uri="http://schemas.microsoft.com/office/infopath/2007/PartnerControls"/>
    <ds:schemaRef ds:uri="316f0377-e2c2-458b-be5e-8755e014db0f"/>
    <ds:schemaRef ds:uri="5db27def-ca5d-467e-a7f3-1aedc99f9cf5"/>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57CA77D8-A3A3-491B-8F8C-4318F7513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6f0377-e2c2-458b-be5e-8755e014db0f"/>
    <ds:schemaRef ds:uri="5db27def-ca5d-467e-a7f3-1aedc99f9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3338</Words>
  <Characters>19027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22321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Annette Coburn</cp:lastModifiedBy>
  <cp:revision>24</cp:revision>
  <dcterms:created xsi:type="dcterms:W3CDTF">2013-12-23T23:15:00Z</dcterms:created>
  <dcterms:modified xsi:type="dcterms:W3CDTF">2026-09-05T10:50:00Z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0x010100F1D08206D796CA42A5345BAEBBA7C49A</vt:lpwstr>
  </property>
  <property fmtid="{D5CDD505-2E9C-101B-9397-08002B2CF9AE}" pid="3" name="MediaServiceImageTags">
    <vt:lpwstr/>
  </property>
</Properties>
</file>