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0"/>
      </w:pPr>
    </w:p>
    <w:p>
      <w:pPr>
        <w:spacing w:after="400" w:line="276"/>
        <w:jc w:val="center"/>
      </w:pPr>
      <w:r>
        <w:rPr>
          <w:rFonts w:ascii="Calibri" w:cs="Calibri" w:eastAsia="Calibri" w:hAnsi="Calibri"/>
          <w:b/>
          <w:bCs/>
          <w:color w:val="2E5395"/>
          <w:sz w:val="32"/>
          <w:szCs w:val="32"/>
        </w:rPr>
        <w:t xml:space="preserve">Bilboa Hills Ltd</w:t>
      </w:r>
    </w:p>
    <w:p>
      <w:pPr>
        <w:spacing w:after="400" w:line="276"/>
        <w:jc w:val="center"/>
      </w:pPr>
      <w:r>
        <w:rPr>
          <w:rFonts w:ascii="Calibri" w:cs="Calibri" w:eastAsia="Calibri" w:hAnsi="Calibri"/>
          <w:b/>
          <w:bCs/>
          <w:color w:val="2E5395"/>
          <w:sz w:val="32"/>
          <w:szCs w:val="32"/>
        </w:rPr>
        <w:t xml:space="preserve">Request for Tenders – Supply of Glamping Cabins for a Glamping Enterprise</w:t>
      </w:r>
    </w:p>
    <w:p>
      <w:pPr>
        <w:spacing w:after="400" w:line="276"/>
        <w:jc w:val="center"/>
      </w:pPr>
      <w:r>
        <w:rPr>
          <w:rFonts w:ascii="Calibri" w:cs="Calibri" w:eastAsia="Calibri" w:hAnsi="Calibri"/>
          <w:color w:val="2E5395"/>
          <w:sz w:val="26"/>
          <w:szCs w:val="26"/>
        </w:rPr>
        <w:t xml:space="preserve">Ballinabrannagh, Bilboa, Co. Carlow, R93 XR53</w:t>
      </w:r>
    </w:p>
    <w:p>
      <w:pPr>
        <w:spacing w:after="160" w:line="276"/>
        <w:jc w:val="center"/>
      </w:pPr>
      <w:r>
        <w:rPr>
          <w:rFonts w:ascii="Calibri" w:cs="Calibri" w:eastAsia="Calibri" w:hAnsi="Calibri"/>
          <w:b/>
          <w:bCs/>
          <w:color w:val="2E5395"/>
          <w:sz w:val="32"/>
          <w:szCs w:val="32"/>
        </w:rPr>
        <w:t xml:space="preserve">Open Procedure</w:t>
      </w:r>
    </w:p>
    <w:p>
      <w:r>
        <w:br w:type="page"/>
      </w:r>
    </w:p>
    <w:p>
      <w:pPr>
        <w:pStyle w:val="Heading1"/>
        <w:spacing w:after="240" w:before="240"/>
      </w:pPr>
      <w:r>
        <w:rPr>
          <w:rFonts w:ascii="Calibri" w:cs="Calibri" w:eastAsia="Calibri" w:hAnsi="Calibri"/>
          <w:b/>
          <w:bCs/>
          <w:color w:val="1F3864"/>
          <w:sz w:val="32"/>
          <w:szCs w:val="32"/>
        </w:rPr>
        <w:t xml:space="preserve">Contents</w:t>
      </w:r>
    </w:p>
    <w:p>
      <w:pPr>
        <w:spacing w:after="120" w:line="276"/>
      </w:pPr>
      <w:r>
        <w:rPr>
          <w:rFonts w:ascii="Calibri" w:cs="Calibri" w:eastAsia="Calibri" w:hAnsi="Calibri"/>
          <w:sz w:val="22"/>
          <w:szCs w:val="22"/>
        </w:rPr>
        <w:t xml:space="preserve">Part 1: Introduction</w:t>
      </w:r>
    </w:p>
    <w:p>
      <w:pPr>
        <w:spacing w:after="120" w:line="276"/>
      </w:pPr>
      <w:r>
        <w:rPr>
          <w:rFonts w:ascii="Calibri" w:cs="Calibri" w:eastAsia="Calibri" w:hAnsi="Calibri"/>
          <w:sz w:val="22"/>
          <w:szCs w:val="22"/>
        </w:rPr>
        <w:t xml:space="preserve">Part 2: Requirements and Specifications</w:t>
      </w:r>
    </w:p>
    <w:p>
      <w:pPr>
        <w:spacing w:after="120" w:line="276"/>
      </w:pPr>
      <w:r>
        <w:rPr>
          <w:rFonts w:ascii="Calibri" w:cs="Calibri" w:eastAsia="Calibri" w:hAnsi="Calibri"/>
          <w:sz w:val="22"/>
          <w:szCs w:val="22"/>
        </w:rPr>
        <w:t xml:space="preserve">Part 3: Selection and Award Criteria</w:t>
      </w:r>
    </w:p>
    <w:p>
      <w:pPr>
        <w:spacing w:after="120" w:line="276"/>
      </w:pPr>
      <w:r>
        <w:rPr>
          <w:rFonts w:ascii="Calibri" w:cs="Calibri" w:eastAsia="Calibri" w:hAnsi="Calibri"/>
          <w:sz w:val="22"/>
          <w:szCs w:val="22"/>
        </w:rPr>
        <w:t xml:space="preserve">Part 4: Instructions to Tenderers</w:t>
      </w:r>
    </w:p>
    <w:p>
      <w:pPr>
        <w:spacing w:after="120" w:line="276"/>
      </w:pPr>
      <w:r>
        <w:rPr>
          <w:rFonts w:ascii="Calibri" w:cs="Calibri" w:eastAsia="Calibri" w:hAnsi="Calibri"/>
          <w:sz w:val="22"/>
          <w:szCs w:val="22"/>
        </w:rPr>
        <w:t xml:space="preserve">Appendix 1: Specification (see Part 2: Requirements and Specifications)</w:t>
      </w:r>
    </w:p>
    <w:p>
      <w:pPr>
        <w:spacing w:after="120" w:line="276"/>
      </w:pPr>
      <w:r>
        <w:rPr>
          <w:rFonts w:ascii="Calibri" w:cs="Calibri" w:eastAsia="Calibri" w:hAnsi="Calibri"/>
          <w:sz w:val="22"/>
          <w:szCs w:val="22"/>
        </w:rPr>
        <w:t xml:space="preserve">Appendix 2: Pricing Schedule (see Pricing Schedule)</w:t>
      </w:r>
    </w:p>
    <w:p>
      <w:pPr>
        <w:spacing w:after="120" w:line="276"/>
      </w:pPr>
      <w:r>
        <w:rPr>
          <w:rFonts w:ascii="Calibri" w:cs="Calibri" w:eastAsia="Calibri" w:hAnsi="Calibri"/>
          <w:sz w:val="22"/>
          <w:szCs w:val="22"/>
        </w:rPr>
        <w:t xml:space="preserve">Appendix 3: Tenderer’s Statement (see Tender Response Document)</w:t>
      </w:r>
    </w:p>
    <w:p>
      <w:pPr>
        <w:spacing w:after="120" w:line="276"/>
      </w:pPr>
      <w:r>
        <w:rPr>
          <w:rFonts w:ascii="Calibri" w:cs="Calibri" w:eastAsia="Calibri" w:hAnsi="Calibri"/>
          <w:sz w:val="22"/>
          <w:szCs w:val="22"/>
        </w:rPr>
        <w:t xml:space="preserve">Appendix 4: Goods Contract</w:t>
      </w:r>
    </w:p>
    <w:p>
      <w:r>
        <w:br w:type="page"/>
      </w:r>
    </w:p>
    <w:p>
      <w:pPr>
        <w:pStyle w:val="Heading1"/>
        <w:spacing w:after="240" w:before="240"/>
      </w:pPr>
      <w:r>
        <w:rPr>
          <w:rFonts w:ascii="Calibri" w:cs="Calibri" w:eastAsia="Calibri" w:hAnsi="Calibri"/>
          <w:b/>
          <w:bCs/>
          <w:color w:val="1F3864"/>
          <w:sz w:val="32"/>
          <w:szCs w:val="32"/>
        </w:rPr>
        <w:t xml:space="preserve">Part 1: Introduction</w:t>
      </w:r>
    </w:p>
    <w:p>
      <w:pPr>
        <w:spacing w:after="200" w:line="276"/>
      </w:pPr>
      <w:r>
        <w:rPr>
          <w:rFonts w:ascii="Calibri" w:cs="Calibri" w:eastAsia="Calibri" w:hAnsi="Calibri"/>
          <w:i/>
          <w:iCs/>
          <w:color w:val="C00000"/>
          <w:sz w:val="22"/>
          <w:szCs w:val="22"/>
        </w:rPr>
        <w:t xml:space="preserve">Note: Tenderers should note that their tender should be submitted in the Tender Response Document (TRD) that accompanies this RFT document. As well as being the tender response document, the TRD is also intended to be an easy-to-follow, step-by-step guide to compiling the information required for this procurement. As such, we recommend that the TRD be read in conjunction with this RFT.</w:t>
      </w:r>
    </w:p>
    <w:p>
      <w:pPr>
        <w:spacing w:after="200" w:line="276"/>
      </w:pPr>
      <w:r>
        <w:rPr>
          <w:rFonts w:ascii="Calibri" w:cs="Calibri" w:eastAsia="Calibri" w:hAnsi="Calibri"/>
          <w:i/>
          <w:iCs/>
          <w:color w:val="C00000"/>
          <w:sz w:val="22"/>
          <w:szCs w:val="22"/>
        </w:rPr>
        <w:t xml:space="preserve">Please note also in relation to this Request For Tenders document and all accompanying documents, that where reference is made to a particular make, source, process, trademark, type or patent that this is not to be regarded as a de facto requirement. In all such cases it should be understood that the reference in question is accompanied by the words "or equivalent".</w:t>
      </w:r>
    </w:p>
    <w:p>
      <w:pPr>
        <w:spacing w:after="160" w:line="276"/>
      </w:pPr>
      <w:r>
        <w:rPr>
          <w:rFonts w:ascii="Calibri" w:cs="Calibri" w:eastAsia="Calibri" w:hAnsi="Calibri"/>
          <w:b/>
          <w:bCs/>
          <w:color w:val="2E5395"/>
          <w:sz w:val="22"/>
          <w:szCs w:val="22"/>
        </w:rPr>
        <w:t xml:space="preserve">1.1 </w:t>
      </w:r>
      <w:r>
        <w:rPr>
          <w:rFonts w:ascii="Calibri" w:cs="Calibri" w:eastAsia="Calibri" w:hAnsi="Calibri"/>
          <w:sz w:val="22"/>
          <w:szCs w:val="22"/>
        </w:rPr>
        <w:t xml:space="preserve">Bilboa Hills Ltd (the “Contracting Authority”) invites tenders (“Tenders”) to this request for tenders (“RFT”) from economic operators (“Tenderers”) for the supply of the goods as described in part 2 of this RFT (the “Goods”).</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gridSpan w:val="2"/>
            <w:shd w:fill="D9D9D9" w:val="clear"/>
            <w:tcMar>
              <w:top w:type="dxa" w:w="60"/>
              <w:left w:type="dxa" w:w="100"/>
              <w:bottom w:type="dxa" w:w="60"/>
              <w:right w:type="dxa" w:w="100"/>
            </w:tcMar>
          </w:tcPr>
          <w:p>
            <w:pPr>
              <w:spacing w:after="40"/>
            </w:pPr>
            <w:r>
              <w:rPr>
                <w:rFonts w:ascii="Calibri" w:cs="Calibri" w:eastAsia="Calibri" w:hAnsi="Calibri"/>
                <w:b/>
                <w:bCs/>
                <w:sz w:val="22"/>
                <w:szCs w:val="22"/>
              </w:rPr>
              <w:t xml:space="preserve">Key Dates</w:t>
            </w:r>
          </w:p>
        </w:tc>
      </w:tr>
      <w:tr>
        <w:tc>
          <w:tcPr>
            <w:tcW w:type="dxa" w:w="32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Issue Date</w:t>
            </w:r>
          </w:p>
        </w:tc>
        <w:tc>
          <w:tcPr>
            <w:tcW w:type="dxa" w:w="6000"/>
            <w:tcMar>
              <w:top w:type="dxa" w:w="60"/>
              <w:left w:type="dxa" w:w="100"/>
              <w:bottom w:type="dxa" w:w="60"/>
              <w:right w:type="dxa" w:w="100"/>
            </w:tcMar>
          </w:tcPr>
          <w:p>
            <w:pPr>
              <w:spacing w:after="40"/>
            </w:pPr>
            <w:r>
              <w:rPr>
                <w:rFonts w:ascii="Calibri" w:cs="Calibri" w:eastAsia="Calibri" w:hAnsi="Calibri"/>
                <w:sz w:val="22"/>
                <w:szCs w:val="22"/>
              </w:rPr>
              <w:t xml:space="preserve">28.08.2026</w:t>
            </w:r>
          </w:p>
        </w:tc>
      </w:tr>
      <w:tr>
        <w:tc>
          <w:tcPr>
            <w:tcW w:type="dxa" w:w="32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Closing Date for Queries</w:t>
            </w:r>
          </w:p>
        </w:tc>
        <w:tc>
          <w:tcPr>
            <w:tcW w:type="dxa" w:w="6000"/>
            <w:tcMar>
              <w:top w:type="dxa" w:w="60"/>
              <w:left w:type="dxa" w:w="100"/>
              <w:bottom w:type="dxa" w:w="60"/>
              <w:right w:type="dxa" w:w="100"/>
            </w:tcMar>
          </w:tcPr>
          <w:p>
            <w:pPr>
              <w:spacing w:after="40"/>
            </w:pPr>
            <w:r>
              <w:rPr>
                <w:rFonts w:ascii="Calibri" w:cs="Calibri" w:eastAsia="Calibri" w:hAnsi="Calibri"/>
                <w:sz w:val="22"/>
                <w:szCs w:val="22"/>
              </w:rPr>
              <w:t xml:space="preserve">11.09.2026, 17.00 Hrs</w:t>
            </w:r>
          </w:p>
        </w:tc>
      </w:tr>
      <w:tr>
        <w:tc>
          <w:tcPr>
            <w:tcW w:type="dxa" w:w="32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Closing Date for Tenders</w:t>
            </w:r>
          </w:p>
        </w:tc>
        <w:tc>
          <w:tcPr>
            <w:tcW w:type="dxa" w:w="6000"/>
            <w:tcMar>
              <w:top w:type="dxa" w:w="60"/>
              <w:left w:type="dxa" w:w="100"/>
              <w:bottom w:type="dxa" w:w="60"/>
              <w:right w:type="dxa" w:w="100"/>
            </w:tcMar>
          </w:tcPr>
          <w:p>
            <w:pPr>
              <w:spacing w:after="40"/>
            </w:pPr>
            <w:r>
              <w:rPr>
                <w:rFonts w:ascii="Calibri" w:cs="Calibri" w:eastAsia="Calibri" w:hAnsi="Calibri"/>
                <w:sz w:val="22"/>
                <w:szCs w:val="22"/>
              </w:rPr>
              <w:t xml:space="preserve">22.09.2026, 17.00 Hrs</w:t>
            </w:r>
          </w:p>
        </w:tc>
      </w:tr>
      <w:tr>
        <w:tc>
          <w:tcPr>
            <w:tcW w:type="dxa" w:w="3200"/>
            <w:gridSpan w:val="2"/>
            <w:shd w:fill="D9D9D9" w:val="clear"/>
            <w:tcMar>
              <w:top w:type="dxa" w:w="60"/>
              <w:left w:type="dxa" w:w="100"/>
              <w:bottom w:type="dxa" w:w="60"/>
              <w:right w:type="dxa" w:w="100"/>
            </w:tcMar>
          </w:tcPr>
          <w:p>
            <w:pPr>
              <w:spacing w:after="40"/>
            </w:pPr>
            <w:r>
              <w:rPr>
                <w:rFonts w:ascii="Calibri" w:cs="Calibri" w:eastAsia="Calibri" w:hAnsi="Calibri"/>
                <w:b/>
                <w:bCs/>
                <w:sz w:val="22"/>
                <w:szCs w:val="22"/>
              </w:rPr>
              <w:t xml:space="preserve">Contact for Queries</w:t>
            </w:r>
          </w:p>
        </w:tc>
      </w:tr>
      <w:tr>
        <w:tc>
          <w:tcPr>
            <w:tcW w:type="dxa" w:w="3200"/>
            <w:gridSpan w:val="2"/>
            <w:tcMar>
              <w:top w:type="dxa" w:w="60"/>
              <w:left w:type="dxa" w:w="100"/>
              <w:bottom w:type="dxa" w:w="60"/>
              <w:right w:type="dxa" w:w="100"/>
            </w:tcMar>
          </w:tcPr>
          <w:p>
            <w:pPr>
              <w:spacing w:after="40"/>
            </w:pPr>
            <w:r>
              <w:rPr>
                <w:rFonts w:ascii="Calibri" w:cs="Calibri" w:eastAsia="Calibri" w:hAnsi="Calibri"/>
                <w:sz w:val="22"/>
                <w:szCs w:val="22"/>
              </w:rPr>
              <w:t xml:space="preserve">VIA www.etenders.gov.ie ONLY</w:t>
            </w:r>
          </w:p>
        </w:tc>
      </w:tr>
      <w:tr>
        <w:tc>
          <w:tcPr>
            <w:tcW w:type="dxa" w:w="3200"/>
            <w:gridSpan w:val="2"/>
            <w:shd w:fill="D9D9D9" w:val="clear"/>
            <w:tcMar>
              <w:top w:type="dxa" w:w="60"/>
              <w:left w:type="dxa" w:w="100"/>
              <w:bottom w:type="dxa" w:w="60"/>
              <w:right w:type="dxa" w:w="100"/>
            </w:tcMar>
          </w:tcPr>
          <w:p>
            <w:pPr>
              <w:spacing w:after="40"/>
            </w:pPr>
            <w:r>
              <w:rPr>
                <w:rFonts w:ascii="Calibri" w:cs="Calibri" w:eastAsia="Calibri" w:hAnsi="Calibri"/>
                <w:b/>
                <w:bCs/>
                <w:sz w:val="22"/>
                <w:szCs w:val="22"/>
              </w:rPr>
              <w:t xml:space="preserve">Format for submission of tenders – use the Tender Response Document provided</w:t>
            </w:r>
          </w:p>
        </w:tc>
      </w:tr>
      <w:tr>
        <w:tc>
          <w:tcPr>
            <w:tcW w:type="dxa" w:w="3200"/>
            <w:gridSpan w:val="2"/>
            <w:tcMar>
              <w:top w:type="dxa" w:w="60"/>
              <w:left w:type="dxa" w:w="100"/>
              <w:bottom w:type="dxa" w:w="60"/>
              <w:right w:type="dxa" w:w="100"/>
            </w:tcMar>
          </w:tcPr>
          <w:p>
            <w:pPr>
              <w:spacing w:after="40"/>
            </w:pPr>
            <w:r>
              <w:rPr>
                <w:rFonts w:ascii="Calibri" w:cs="Calibri" w:eastAsia="Calibri" w:hAnsi="Calibri"/>
                <w:sz w:val="22"/>
                <w:szCs w:val="22"/>
              </w:rPr>
              <w:t xml:space="preserve">VIA www.etenders.gov.ie ONLY</w:t>
            </w:r>
          </w:p>
        </w:tc>
      </w:tr>
    </w:tbl>
    <w:p>
      <w:pPr>
        <w:spacing w:after="120" w:line="276"/>
      </w:pPr>
      <w:r>
        <w:rPr>
          <w:rFonts w:ascii="Calibri" w:cs="Calibri" w:eastAsia="Calibri" w:hAnsi="Calibri"/>
          <w:sz w:val="22"/>
          <w:szCs w:val="22"/>
        </w:rPr>
        <w:t xml:space="preserve"/>
      </w:r>
    </w:p>
    <w:p>
      <w:pPr>
        <w:spacing w:after="160" w:line="276"/>
      </w:pPr>
      <w:r>
        <w:rPr>
          <w:rFonts w:ascii="Calibri" w:cs="Calibri" w:eastAsia="Calibri" w:hAnsi="Calibri"/>
          <w:b/>
          <w:bCs/>
          <w:color w:val="2E5395"/>
          <w:sz w:val="22"/>
          <w:szCs w:val="22"/>
        </w:rPr>
        <w:t xml:space="preserve">1.2 </w:t>
      </w:r>
      <w:r>
        <w:rPr>
          <w:rFonts w:ascii="Calibri" w:cs="Calibri" w:eastAsia="Calibri" w:hAnsi="Calibri"/>
          <w:sz w:val="22"/>
          <w:szCs w:val="22"/>
        </w:rPr>
        <w:t xml:space="preserve">In summary, the Goods comprise four (4) identical prefabricated, self-contained luxury glamping accommodation units (“Glamping Cabins”), each of approximately 32 m² internal floor area, comprising:</w:t>
      </w:r>
    </w:p>
    <w:p>
      <w:pPr>
        <w:pStyle w:val="ListParagraph"/>
        <w:numPr>
          <w:ilvl w:val="0"/>
          <w:numId w:val="2"/>
        </w:numPr>
        <w:spacing w:after="60" w:line="276"/>
      </w:pPr>
      <w:r>
        <w:rPr>
          <w:rFonts w:ascii="Calibri" w:cs="Calibri" w:eastAsia="Calibri" w:hAnsi="Calibri"/>
          <w:sz w:val="22"/>
          <w:szCs w:val="22"/>
        </w:rPr>
        <w:t xml:space="preserve">Open-plan living / dining area with feature glazed doors to the deck</w:t>
      </w:r>
    </w:p>
    <w:p>
      <w:pPr>
        <w:pStyle w:val="ListParagraph"/>
        <w:numPr>
          <w:ilvl w:val="0"/>
          <w:numId w:val="2"/>
        </w:numPr>
        <w:spacing w:after="60" w:line="276"/>
      </w:pPr>
      <w:r>
        <w:rPr>
          <w:rFonts w:ascii="Calibri" w:cs="Calibri" w:eastAsia="Calibri" w:hAnsi="Calibri"/>
          <w:sz w:val="22"/>
          <w:szCs w:val="22"/>
        </w:rPr>
        <w:t xml:space="preserve">Kitchenette – fitted units, sink, hob, fridge</w:t>
      </w:r>
    </w:p>
    <w:p>
      <w:pPr>
        <w:pStyle w:val="ListParagraph"/>
        <w:numPr>
          <w:ilvl w:val="0"/>
          <w:numId w:val="2"/>
        </w:numPr>
        <w:spacing w:after="60" w:line="276"/>
      </w:pPr>
      <w:r>
        <w:rPr>
          <w:rFonts w:ascii="Calibri" w:cs="Calibri" w:eastAsia="Calibri" w:hAnsi="Calibri"/>
          <w:sz w:val="22"/>
          <w:szCs w:val="22"/>
        </w:rPr>
        <w:t xml:space="preserve">Shower room – WC, wash-hand basin, shower</w:t>
      </w:r>
    </w:p>
    <w:p>
      <w:pPr>
        <w:pStyle w:val="ListParagraph"/>
        <w:numPr>
          <w:ilvl w:val="0"/>
          <w:numId w:val="2"/>
        </w:numPr>
        <w:spacing w:after="60" w:line="276"/>
      </w:pPr>
      <w:r>
        <w:rPr>
          <w:rFonts w:ascii="Calibri" w:cs="Calibri" w:eastAsia="Calibri" w:hAnsi="Calibri"/>
          <w:sz w:val="22"/>
          <w:szCs w:val="22"/>
        </w:rPr>
        <w:t xml:space="preserve">Double bedroom with vaulted ceiling and exposed feature truss</w:t>
      </w:r>
    </w:p>
    <w:p>
      <w:pPr>
        <w:pStyle w:val="ListParagraph"/>
        <w:numPr>
          <w:ilvl w:val="0"/>
          <w:numId w:val="2"/>
        </w:numPr>
        <w:spacing w:after="60" w:line="276"/>
      </w:pPr>
      <w:r>
        <w:rPr>
          <w:rFonts w:ascii="Calibri" w:cs="Calibri" w:eastAsia="Calibri" w:hAnsi="Calibri"/>
          <w:sz w:val="22"/>
          <w:szCs w:val="22"/>
        </w:rPr>
        <w:t xml:space="preserve">Covered deck (designed to carry a hot tub, supplied and installed later by others)</w:t>
      </w:r>
    </w:p>
    <w:p>
      <w:pPr>
        <w:spacing w:after="160" w:line="276"/>
      </w:pPr>
      <w:r>
        <w:rPr>
          <w:rFonts w:ascii="Calibri" w:cs="Calibri" w:eastAsia="Calibri" w:hAnsi="Calibri"/>
          <w:sz w:val="22"/>
          <w:szCs w:val="22"/>
        </w:rPr>
        <w:t xml:space="preserve">This includes the full design, manufacture, delivery and set-up of the four self-contained Glamping Cabins, as per the technical specifications outlined in the tender documents. Each unit must meet the thermal performance and airtightness standards set out in Part 2 and comply with all design and material requirements. The scope includes interior fit-out, appliances, furnishings, covered deck, steps, transportation, and full documentation and warranty provision.</w:t>
      </w:r>
    </w:p>
    <w:p>
      <w:pPr>
        <w:spacing w:after="160" w:line="276"/>
      </w:pPr>
      <w:r>
        <w:rPr>
          <w:rFonts w:ascii="Calibri" w:cs="Calibri" w:eastAsia="Calibri" w:hAnsi="Calibri"/>
          <w:sz w:val="22"/>
          <w:szCs w:val="22"/>
        </w:rPr>
        <w:t xml:space="preserve">A full set of requirements is set out in part 2 of this RFT.</w:t>
      </w:r>
    </w:p>
    <w:p>
      <w:pPr>
        <w:spacing w:after="160" w:line="276"/>
      </w:pPr>
      <w:r>
        <w:rPr>
          <w:rFonts w:ascii="Calibri" w:cs="Calibri" w:eastAsia="Calibri" w:hAnsi="Calibri"/>
          <w:b/>
          <w:bCs/>
          <w:color w:val="2E5395"/>
          <w:sz w:val="22"/>
          <w:szCs w:val="22"/>
        </w:rPr>
        <w:t xml:space="preserve">1.3 </w:t>
      </w:r>
      <w:r>
        <w:rPr>
          <w:rFonts w:ascii="Calibri" w:cs="Calibri" w:eastAsia="Calibri" w:hAnsi="Calibri"/>
          <w:sz w:val="22"/>
          <w:szCs w:val="22"/>
        </w:rPr>
        <w:t xml:space="preserve">The Contracting Authority estimates that the expenditure on the Goods to be covered by the proposed goods contract may amount to some €160,000 to €180,000 (excl. VAT).</w:t>
      </w:r>
    </w:p>
    <w:p>
      <w:pPr>
        <w:spacing w:after="160" w:line="276"/>
      </w:pPr>
      <w:r>
        <w:rPr>
          <w:rFonts w:ascii="Calibri" w:cs="Calibri" w:eastAsia="Calibri" w:hAnsi="Calibri"/>
          <w:b/>
          <w:bCs/>
          <w:color w:val="2E5395"/>
          <w:sz w:val="22"/>
          <w:szCs w:val="22"/>
        </w:rPr>
        <w:t xml:space="preserve">1.4 </w:t>
      </w:r>
      <w:r>
        <w:rPr>
          <w:rFonts w:ascii="Calibri" w:cs="Calibri" w:eastAsia="Calibri" w:hAnsi="Calibri"/>
          <w:sz w:val="22"/>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4.5,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Larger enterprises are also encouraged, subject to paragraph 4.5, to consider the practical ways that SMEs can be included in their proposals to maximise the social and economic benefits of any Goods Contract that may result from this Competition.</w:t>
      </w:r>
    </w:p>
    <w:p>
      <w:r>
        <w:br w:type="page"/>
      </w:r>
    </w:p>
    <w:p>
      <w:pPr>
        <w:pStyle w:val="Heading1"/>
        <w:spacing w:after="240" w:before="240"/>
      </w:pPr>
      <w:r>
        <w:rPr>
          <w:rFonts w:ascii="Calibri" w:cs="Calibri" w:eastAsia="Calibri" w:hAnsi="Calibri"/>
          <w:b/>
          <w:bCs/>
          <w:color w:val="1F3864"/>
          <w:sz w:val="32"/>
          <w:szCs w:val="32"/>
        </w:rPr>
        <w:t xml:space="preserve">Part 2: Requirements and Specifications</w:t>
      </w:r>
    </w:p>
    <w:p>
      <w:pPr>
        <w:spacing w:after="160" w:line="276"/>
      </w:pPr>
      <w:r>
        <w:rPr>
          <w:rFonts w:ascii="Calibri" w:cs="Calibri" w:eastAsia="Calibri" w:hAnsi="Calibri"/>
          <w:i/>
          <w:iCs/>
          <w:sz w:val="22"/>
          <w:szCs w:val="22"/>
        </w:rPr>
        <w:t xml:space="preserve">Tenderers must address each of the issues and requirements in this part of the RFT. Tenderers are required to provide their responses in the Tender Response Document that accompanies this RFT.</w:t>
      </w:r>
    </w:p>
    <w:p>
      <w:pPr>
        <w:pStyle w:val="Heading2"/>
        <w:spacing w:after="160" w:before="200"/>
      </w:pPr>
      <w:r>
        <w:rPr>
          <w:rFonts w:ascii="Calibri" w:cs="Calibri" w:eastAsia="Calibri" w:hAnsi="Calibri"/>
          <w:b/>
          <w:bCs/>
          <w:color w:val="2E5395"/>
          <w:sz w:val="26"/>
          <w:szCs w:val="26"/>
        </w:rPr>
        <w:t xml:space="preserve">Introduction and Context</w:t>
      </w:r>
    </w:p>
    <w:p>
      <w:pPr>
        <w:spacing w:after="160" w:line="276"/>
      </w:pPr>
      <w:r>
        <w:rPr>
          <w:rFonts w:ascii="Calibri" w:cs="Calibri" w:eastAsia="Calibri" w:hAnsi="Calibri"/>
          <w:sz w:val="22"/>
          <w:szCs w:val="22"/>
        </w:rPr>
        <w:t xml:space="preserve">The aim of this project is to offer premium glamping accommodation of four (4) identical self-contained Glamping Cabins on a working family farm at Ballinabrannagh, Bilboa, Co. Carlow, R93 XR53. The scope of this tender includes the cabin structure, insulation, roof, cladding, windows and doors, the covered deck, the internal fit-out, and each cabin’s own electrics, plumbing, heating and ventilation, brought to clear connection points for others to link to the site services – together with interior fit-out, appliances, furnishings, transportation, delivery, set-up, and full documentation and warranty provision.</w:t>
      </w:r>
    </w:p>
    <w:p>
      <w:pPr>
        <w:spacing w:after="160" w:line="276"/>
      </w:pPr>
      <w:r>
        <w:rPr>
          <w:rFonts w:ascii="Calibri" w:cs="Calibri" w:eastAsia="Calibri" w:hAnsi="Calibri"/>
          <w:sz w:val="22"/>
          <w:szCs w:val="22"/>
        </w:rPr>
        <w:t xml:space="preserve">A separate contract shall provide the supporting ground works – concrete raft foundations, foul and surface water drainage, wastewater treatment, water supply, service ducts, ESB connection, EV charging points, parking, paths and all other site works. These ground works, together with the utility connections to the cabins, are not in scope for this tender. Hot tubs (one per cabin) will also be supplied and installed separately by others.</w:t>
      </w:r>
    </w:p>
    <w:p>
      <w:pPr>
        <w:spacing w:after="160" w:line="276"/>
      </w:pPr>
      <w:r>
        <w:rPr>
          <w:rFonts w:ascii="Calibri" w:cs="Calibri" w:eastAsia="Calibri" w:hAnsi="Calibri"/>
          <w:sz w:val="22"/>
          <w:szCs w:val="22"/>
        </w:rPr>
        <w:t xml:space="preserve">The project is set in the quiet countryside of Ballinabrannagh and Bilboa, Co. Carlow, close to the River Barrow and the Barrow Way, Milford, Carlow town and the wider attractions of Ireland’s Ancient East. It offers guests peace, nature, tranquillity and time to reconnect, on a working family farm. Local village and town businesses will benefit from increased footfall from guests using local shops, pubs, restaurants and surrounding amenities.</w:t>
      </w:r>
    </w:p>
    <w:p>
      <w:pPr>
        <w:spacing w:after="160" w:line="276"/>
      </w:pPr>
      <w:r>
        <w:rPr>
          <w:rFonts w:ascii="Calibri" w:cs="Calibri" w:eastAsia="Calibri" w:hAnsi="Calibri"/>
          <w:sz w:val="22"/>
          <w:szCs w:val="22"/>
        </w:rPr>
        <w:t xml:space="preserve">The project will create employment for the sector, attract visitors and grow the local economy. It is designed to deliver sustainable, regenerative tourism – a low carbon footprint, support for biodiversity, and high-quality accommodation that can be highlighted within Carlow Tourism and the Ireland’s Ancient East brand.</w:t>
      </w:r>
    </w:p>
    <w:p>
      <w:pPr>
        <w:spacing w:after="160" w:line="276"/>
      </w:pPr>
      <w:r>
        <w:rPr>
          <w:rFonts w:ascii="Calibri" w:cs="Calibri" w:eastAsia="Calibri" w:hAnsi="Calibri"/>
          <w:sz w:val="22"/>
          <w:szCs w:val="22"/>
        </w:rPr>
        <w:t xml:space="preserve">[Funding: this project is proposed for grant support under the LEADER Programme, co-funded by the Government of Ireland and the European Union. Funding programme details and any conditions attaching are to be confirmed before publication.] The competition is being run in accordance with the principles of Irish public procurement guidance applicable to grant-funded projects, including demonstration of value for money and a clear audit trail of the award decision.</w:t>
      </w:r>
    </w:p>
    <w:p>
      <w:pPr>
        <w:spacing w:after="160" w:line="276"/>
      </w:pPr>
      <w:r>
        <w:rPr>
          <w:rFonts w:ascii="Calibri" w:cs="Calibri" w:eastAsia="Calibri" w:hAnsi="Calibri"/>
          <w:sz w:val="22"/>
          <w:szCs w:val="22"/>
        </w:rPr>
        <w:t xml:space="preserve">Planning permission is granted for the development [planning reference TBC – Carlow County Council]. The cabins must match the approved drawings (planning drawing 33-25, L. Colton Engineering &amp; Architectural Services, 16-03-2026). The approved cabin design must not be changed without the Contracting Authority’s written agreement, and the Council’s where that is needed.</w:t>
      </w:r>
    </w:p>
    <w:p>
      <w:pPr>
        <w:pStyle w:val="Heading2"/>
        <w:spacing w:after="160" w:before="200"/>
      </w:pPr>
      <w:r>
        <w:rPr>
          <w:rFonts w:ascii="Calibri" w:cs="Calibri" w:eastAsia="Calibri" w:hAnsi="Calibri"/>
          <w:b/>
          <w:bCs/>
          <w:color w:val="2E5395"/>
          <w:sz w:val="26"/>
          <w:szCs w:val="26"/>
        </w:rPr>
        <w:t xml:space="preserve">Specifications</w:t>
      </w:r>
    </w:p>
    <w:p>
      <w:pPr>
        <w:spacing w:after="160" w:line="276"/>
      </w:pPr>
      <w:r>
        <w:rPr>
          <w:rFonts w:ascii="Calibri" w:cs="Calibri" w:eastAsia="Calibri" w:hAnsi="Calibri"/>
          <w:sz w:val="22"/>
          <w:szCs w:val="22"/>
        </w:rPr>
        <w:t xml:space="preserve">The Contracting Authority requires the design, manufacture, supply, delivery and set-up of four (4) fully self-contained Glamping Cabins, all identical, to be used as high-quality glamping accommodation units.</w:t>
      </w:r>
    </w:p>
    <w:p>
      <w:pPr>
        <w:spacing w:after="120" w:before="160"/>
      </w:pPr>
      <w:r>
        <w:rPr>
          <w:rFonts w:ascii="Calibri" w:cs="Calibri" w:eastAsia="Calibri" w:hAnsi="Calibri"/>
          <w:b/>
          <w:bCs/>
          <w:sz w:val="22"/>
          <w:szCs w:val="22"/>
        </w:rPr>
        <w:t xml:space="preserve">General Requirements:</w:t>
      </w:r>
    </w:p>
    <w:p>
      <w:pPr>
        <w:pStyle w:val="ListParagraph"/>
        <w:numPr>
          <w:ilvl w:val="0"/>
          <w:numId w:val="2"/>
        </w:numPr>
        <w:spacing w:after="60" w:line="276"/>
      </w:pPr>
      <w:r>
        <w:rPr>
          <w:rFonts w:ascii="Calibri" w:cs="Calibri" w:eastAsia="Calibri" w:hAnsi="Calibri"/>
          <w:sz w:val="22"/>
          <w:szCs w:val="22"/>
        </w:rPr>
        <w:t xml:space="preserve">All cabins must be built to a high-end, highly insulated standard, meeting the Building Regulations 1997–2021 and the thermal performance requirements set out below</w:t>
      </w:r>
    </w:p>
    <w:p>
      <w:pPr>
        <w:pStyle w:val="ListParagraph"/>
        <w:numPr>
          <w:ilvl w:val="0"/>
          <w:numId w:val="2"/>
        </w:numPr>
        <w:spacing w:after="60" w:line="276"/>
      </w:pPr>
      <w:r>
        <w:rPr>
          <w:rFonts w:ascii="Calibri" w:cs="Calibri" w:eastAsia="Calibri" w:hAnsi="Calibri"/>
          <w:sz w:val="22"/>
          <w:szCs w:val="22"/>
        </w:rPr>
        <w:t xml:space="preserve">Materials used must ensure durability, sustainability, and low operational cost</w:t>
      </w:r>
    </w:p>
    <w:p>
      <w:pPr>
        <w:pStyle w:val="ListParagraph"/>
        <w:numPr>
          <w:ilvl w:val="0"/>
          <w:numId w:val="2"/>
        </w:numPr>
        <w:spacing w:after="60" w:line="276"/>
      </w:pPr>
      <w:r>
        <w:rPr>
          <w:rFonts w:ascii="Calibri" w:cs="Calibri" w:eastAsia="Calibri" w:hAnsi="Calibri"/>
          <w:sz w:val="22"/>
          <w:szCs w:val="22"/>
        </w:rPr>
        <w:t xml:space="preserve">The design must reflect a modern yet rustic aesthetic, suitable for a scenic rural farm setting</w:t>
      </w:r>
    </w:p>
    <w:p>
      <w:pPr>
        <w:spacing w:after="120" w:before="160"/>
      </w:pPr>
      <w:r>
        <w:rPr>
          <w:rFonts w:ascii="Calibri" w:cs="Calibri" w:eastAsia="Calibri" w:hAnsi="Calibri"/>
          <w:b/>
          <w:bCs/>
          <w:sz w:val="22"/>
          <w:szCs w:val="22"/>
        </w:rPr>
        <w:t xml:space="preserve">Overview of Units:</w:t>
      </w:r>
    </w:p>
    <w:p>
      <w:pPr>
        <w:spacing w:after="120" w:before="160"/>
      </w:pPr>
      <w:r>
        <w:rPr>
          <w:rFonts w:ascii="Calibri" w:cs="Calibri" w:eastAsia="Calibri" w:hAnsi="Calibri"/>
          <w:b/>
          <w:bCs/>
          <w:sz w:val="22"/>
          <w:szCs w:val="22"/>
          <w:u w:val="single"/>
        </w:rPr>
        <w:t xml:space="preserve">Four (4) Identical Glamping Cabins</w:t>
      </w:r>
    </w:p>
    <w:p>
      <w:pPr>
        <w:pStyle w:val="ListParagraph"/>
        <w:numPr>
          <w:ilvl w:val="0"/>
          <w:numId w:val="2"/>
        </w:numPr>
        <w:spacing w:after="60" w:line="276"/>
      </w:pPr>
      <w:r>
        <w:rPr>
          <w:rFonts w:ascii="Calibri" w:cs="Calibri" w:eastAsia="Calibri" w:hAnsi="Calibri"/>
          <w:sz w:val="22"/>
          <w:szCs w:val="22"/>
        </w:rPr>
        <w:t xml:space="preserve">Internal floor area of approximately 32 m² per cabin (to the approved drawings)</w:t>
      </w:r>
    </w:p>
    <w:p>
      <w:pPr>
        <w:pStyle w:val="ListParagraph"/>
        <w:numPr>
          <w:ilvl w:val="0"/>
          <w:numId w:val="2"/>
        </w:numPr>
        <w:spacing w:after="60" w:line="276"/>
      </w:pPr>
      <w:r>
        <w:rPr>
          <w:rFonts w:ascii="Calibri" w:cs="Calibri" w:eastAsia="Calibri" w:hAnsi="Calibri"/>
          <w:sz w:val="22"/>
          <w:szCs w:val="22"/>
        </w:rPr>
        <w:t xml:space="preserve">Open-plan living / dining with feature glazed doors, kitchenette, shower room, and double bedroom with vaulted ceiling and exposed feature truss</w:t>
      </w:r>
    </w:p>
    <w:p>
      <w:pPr>
        <w:pStyle w:val="ListParagraph"/>
        <w:numPr>
          <w:ilvl w:val="0"/>
          <w:numId w:val="2"/>
        </w:numPr>
        <w:spacing w:after="60" w:line="276"/>
      </w:pPr>
      <w:r>
        <w:rPr>
          <w:rFonts w:ascii="Calibri" w:cs="Calibri" w:eastAsia="Calibri" w:hAnsi="Calibri"/>
          <w:sz w:val="22"/>
          <w:szCs w:val="22"/>
        </w:rPr>
        <w:t xml:space="preserve">Covered deck with railing where needed for safety, non-slip finish, and steps to ground level</w:t>
      </w:r>
    </w:p>
    <w:p>
      <w:pPr>
        <w:pStyle w:val="ListParagraph"/>
        <w:numPr>
          <w:ilvl w:val="0"/>
          <w:numId w:val="2"/>
        </w:numPr>
        <w:spacing w:after="60" w:line="276"/>
      </w:pPr>
      <w:r>
        <w:rPr>
          <w:rFonts w:ascii="Calibri" w:cs="Calibri" w:eastAsia="Calibri" w:hAnsi="Calibri"/>
          <w:sz w:val="22"/>
          <w:szCs w:val="22"/>
        </w:rPr>
        <w:t xml:space="preserve">Floor level +0.300 m; ceiling / eaves level +2.800 m; ridge level +4.000 m (to the approved drawings)</w:t>
      </w:r>
    </w:p>
    <w:p>
      <w:pPr>
        <w:pStyle w:val="ListParagraph"/>
        <w:numPr>
          <w:ilvl w:val="0"/>
          <w:numId w:val="2"/>
        </w:numPr>
        <w:spacing w:after="60" w:line="276"/>
      </w:pPr>
      <w:r>
        <w:rPr>
          <w:rFonts w:ascii="Calibri" w:cs="Calibri" w:eastAsia="Calibri" w:hAnsi="Calibri"/>
          <w:sz w:val="22"/>
          <w:szCs w:val="22"/>
        </w:rPr>
        <w:t xml:space="preserve">Pitched roof with exposed feature truss and vaulted ceiling, to the approved drawings</w:t>
      </w:r>
    </w:p>
    <w:p>
      <w:pPr>
        <w:pStyle w:val="ListParagraph"/>
        <w:numPr>
          <w:ilvl w:val="0"/>
          <w:numId w:val="2"/>
        </w:numPr>
        <w:spacing w:after="60" w:line="276"/>
      </w:pPr>
      <w:r>
        <w:rPr>
          <w:rFonts w:ascii="Calibri" w:cs="Calibri" w:eastAsia="Calibri" w:hAnsi="Calibri"/>
          <w:sz w:val="22"/>
          <w:szCs w:val="22"/>
        </w:rPr>
        <w:t xml:space="preserve">Haulage, delivery, and set-up included</w:t>
      </w:r>
    </w:p>
    <w:p>
      <w:pPr>
        <w:spacing w:after="120" w:before="160"/>
      </w:pPr>
      <w:r>
        <w:rPr>
          <w:rFonts w:ascii="Calibri" w:cs="Calibri" w:eastAsia="Calibri" w:hAnsi="Calibri"/>
          <w:b/>
          <w:bCs/>
          <w:sz w:val="22"/>
          <w:szCs w:val="22"/>
        </w:rPr>
        <w:t xml:space="preserve">Glamping Cabin – Detailed Build Specification</w:t>
      </w:r>
    </w:p>
    <w:p>
      <w:pPr>
        <w:spacing w:after="160" w:line="276"/>
      </w:pPr>
      <w:r>
        <w:rPr>
          <w:rFonts w:ascii="Calibri" w:cs="Calibri" w:eastAsia="Calibri" w:hAnsi="Calibri"/>
          <w:i/>
          <w:iCs/>
          <w:sz w:val="22"/>
          <w:szCs w:val="22"/>
        </w:rPr>
        <w:t xml:space="preserve">This specification ensures a high-end, energy-efficient Glamping Cabin, combining premium materials, cost efficiency, and sustainable design for durability, comfort, and low operational costs. It has been written in terms of results and standards so that every Tenderer prices the same way.</w:t>
      </w:r>
    </w:p>
    <w:p>
      <w:pPr>
        <w:spacing w:after="200" w:line="276"/>
      </w:pPr>
      <w:r>
        <w:rPr>
          <w:rFonts w:ascii="Calibri" w:cs="Calibri" w:eastAsia="Calibri" w:hAnsi="Calibri"/>
          <w:i/>
          <w:iCs/>
          <w:color w:val="C00000"/>
          <w:sz w:val="22"/>
          <w:szCs w:val="22"/>
        </w:rPr>
        <w:t xml:space="preserve">Note: The specification below may specify specific brand-named products or materials. Any such references are for indicative purposes only. The Contracting Authority shall accept alternative products or materials with an equivalent specification to the specific brand-named ones, provided supporting evidence is supplied.</w:t>
      </w:r>
    </w:p>
    <w:p>
      <w:pPr>
        <w:spacing w:after="120" w:before="160"/>
      </w:pPr>
      <w:r>
        <w:rPr>
          <w:rFonts w:ascii="Calibri" w:cs="Calibri" w:eastAsia="Calibri" w:hAnsi="Calibri"/>
          <w:b/>
          <w:bCs/>
          <w:sz w:val="22"/>
          <w:szCs w:val="22"/>
          <w:u w:val="single"/>
        </w:rPr>
        <w:t xml:space="preserve">1. Structure &amp; Insulation</w:t>
      </w:r>
    </w:p>
    <w:p>
      <w:pPr>
        <w:pStyle w:val="ListParagraph"/>
        <w:numPr>
          <w:ilvl w:val="0"/>
          <w:numId w:val="2"/>
        </w:numPr>
        <w:spacing w:after="60" w:line="276"/>
      </w:pPr>
      <w:r>
        <w:rPr>
          <w:rFonts w:ascii="Calibri" w:cs="Calibri" w:eastAsia="Calibri" w:hAnsi="Calibri"/>
          <w:sz w:val="22"/>
          <w:szCs w:val="22"/>
        </w:rPr>
        <w:t xml:space="preserve">Walls: structural insulated panel (SIP) construction is preferred, meeting the thermal performance in section 2 below. Panel build-up details and U-value calculations must be provided with the tender.</w:t>
      </w:r>
    </w:p>
    <w:p>
      <w:pPr>
        <w:pStyle w:val="ListParagraph"/>
        <w:numPr>
          <w:ilvl w:val="0"/>
          <w:numId w:val="2"/>
        </w:numPr>
        <w:spacing w:after="60" w:line="276"/>
      </w:pPr>
      <w:r>
        <w:rPr>
          <w:rFonts w:ascii="Calibri" w:cs="Calibri" w:eastAsia="Calibri" w:hAnsi="Calibri"/>
          <w:sz w:val="22"/>
          <w:szCs w:val="22"/>
        </w:rPr>
        <w:t xml:space="preserve">External cladding: vented rain-screen finish in natural timber or wood-effect PVC / composite cladding, in keeping with the modern-rustic aesthetic and consistent with the approved drawings. Cladding must meet the durability requirement in section 4 (Exterior Finishes); colour and finish samples to be approved before manufacture.</w:t>
      </w:r>
    </w:p>
    <w:p>
      <w:pPr>
        <w:pStyle w:val="ListParagraph"/>
        <w:numPr>
          <w:ilvl w:val="0"/>
          <w:numId w:val="2"/>
        </w:numPr>
        <w:spacing w:after="60" w:line="276"/>
      </w:pPr>
      <w:r>
        <w:rPr>
          <w:rFonts w:ascii="Calibri" w:cs="Calibri" w:eastAsia="Calibri" w:hAnsi="Calibri"/>
          <w:sz w:val="22"/>
          <w:szCs w:val="22"/>
        </w:rPr>
        <w:t xml:space="preserve">Alternative wall constructions – for example insulated twin solid-timber (log) walls (indicative build-up, outside to inside: rain-screen cladding as above; vented cavity on battens ≈ 22 mm; breathable membrane; mineral-wool insulation between studs ≈ 100 mm; solid timber log wall ≈ 44 mm; rigid foil-faced PIR insulation ≈ 100 mm; service cavity ≈ 20 mm; solid timber log wall ≈ 44 mm) – are acceptable, provided the U-values, airtightness and durability requirements in this specification are met and the external appearance matches the approved drawings.</w:t>
      </w:r>
    </w:p>
    <w:p>
      <w:pPr>
        <w:pStyle w:val="ListParagraph"/>
        <w:numPr>
          <w:ilvl w:val="0"/>
          <w:numId w:val="2"/>
        </w:numPr>
        <w:spacing w:after="60" w:line="276"/>
      </w:pPr>
      <w:r>
        <w:rPr>
          <w:rFonts w:ascii="Calibri" w:cs="Calibri" w:eastAsia="Calibri" w:hAnsi="Calibri"/>
          <w:sz w:val="22"/>
          <w:szCs w:val="22"/>
        </w:rPr>
        <w:t xml:space="preserve">Floor: insulated floor build-up (part of the supply) reaching the U-value in section 2, with a continuous damp-proof layer and detailing to avoid cold bridging at the edges.</w:t>
      </w:r>
    </w:p>
    <w:p>
      <w:pPr>
        <w:pStyle w:val="ListParagraph"/>
        <w:numPr>
          <w:ilvl w:val="0"/>
          <w:numId w:val="2"/>
        </w:numPr>
        <w:spacing w:after="60" w:line="276"/>
      </w:pPr>
      <w:r>
        <w:rPr>
          <w:rFonts w:ascii="Calibri" w:cs="Calibri" w:eastAsia="Calibri" w:hAnsi="Calibri"/>
          <w:sz w:val="22"/>
          <w:szCs w:val="22"/>
        </w:rPr>
        <w:t xml:space="preserve">Roof: fully insulated, vented, pitched roof with a coated-steel tile-effect cover – from outside in: coated-steel tile-effect cover on battens; vented cavity on counter-battens; breathable membrane; mineral-wool insulation between rafters (in layers, ≈ 250 mm total); vapour control layer; exposed tongued-and-grooved timber ceiling. Rafters, truss and beams sized by structural design. Rainwater runs to coated-steel gutters and downpipes, left ready for others to connect to the site drains.</w:t>
      </w:r>
    </w:p>
    <w:p>
      <w:pPr>
        <w:pStyle w:val="ListParagraph"/>
        <w:numPr>
          <w:ilvl w:val="0"/>
          <w:numId w:val="2"/>
        </w:numPr>
        <w:spacing w:after="60" w:line="276"/>
      </w:pPr>
      <w:r>
        <w:rPr>
          <w:rFonts w:ascii="Calibri" w:cs="Calibri" w:eastAsia="Calibri" w:hAnsi="Calibri"/>
          <w:sz w:val="22"/>
          <w:szCs w:val="22"/>
        </w:rPr>
        <w:t xml:space="preserve">Structural timber must be strength-graded to I.S. EN 14081 and treated to last. All timber must come from certified sustainable sources (FSC / PEFC or equivalent).</w:t>
      </w:r>
    </w:p>
    <w:p>
      <w:pPr>
        <w:pStyle w:val="ListParagraph"/>
        <w:numPr>
          <w:ilvl w:val="0"/>
          <w:numId w:val="2"/>
        </w:numPr>
        <w:spacing w:after="60" w:line="276"/>
      </w:pPr>
      <w:r>
        <w:rPr>
          <w:rFonts w:ascii="Calibri" w:cs="Calibri" w:eastAsia="Calibri" w:hAnsi="Calibri"/>
          <w:sz w:val="22"/>
          <w:szCs w:val="22"/>
        </w:rPr>
        <w:t xml:space="preserve">Vapour barrier membrane and airtight seals around doors and windows; the insulation and airtight layer must be kept unbroken at every junction.</w:t>
      </w:r>
    </w:p>
    <w:p>
      <w:pPr>
        <w:spacing w:after="120" w:before="160"/>
      </w:pPr>
      <w:r>
        <w:rPr>
          <w:rFonts w:ascii="Calibri" w:cs="Calibri" w:eastAsia="Calibri" w:hAnsi="Calibri"/>
          <w:b/>
          <w:bCs/>
          <w:sz w:val="22"/>
          <w:szCs w:val="22"/>
          <w:u w:val="single"/>
        </w:rPr>
        <w:t xml:space="preserve">2. Thermal Performance</w:t>
      </w:r>
    </w:p>
    <w:p>
      <w:pPr>
        <w:spacing w:after="160" w:line="276"/>
      </w:pPr>
      <w:r>
        <w:rPr>
          <w:rFonts w:ascii="Calibri" w:cs="Calibri" w:eastAsia="Calibri" w:hAnsi="Calibri"/>
          <w:sz w:val="22"/>
          <w:szCs w:val="22"/>
        </w:rPr>
        <w:t xml:space="preserve">Each cabin must reach at least the U-values below – as good as, or better than, the approved design – and meet TGD Part L in every case. These are firm minimums.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2800"/>
      </w:tblGrid>
      <w:tr>
        <w:tc>
          <w:tcPr>
            <w:tcW w:type="dxa" w:w="34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Part</w:t>
            </w:r>
          </w:p>
        </w:tc>
        <w:tc>
          <w:tcPr>
            <w:tcW w:type="dxa" w:w="2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Required U-value (W/m²K)</w:t>
            </w:r>
          </w:p>
        </w:tc>
        <w:tc>
          <w:tcPr>
            <w:tcW w:type="dxa" w:w="2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Design aim</w:t>
            </w:r>
          </w:p>
        </w:tc>
      </w:tr>
      <w:tr>
        <w:tc>
          <w:tcPr>
            <w:tcW w:type="dxa" w:w="3400"/>
            <w:tcMar>
              <w:top w:type="dxa" w:w="60"/>
              <w:left w:type="dxa" w:w="100"/>
              <w:bottom w:type="dxa" w:w="60"/>
              <w:right w:type="dxa" w:w="100"/>
            </w:tcMar>
          </w:tcPr>
          <w:p>
            <w:pPr>
              <w:spacing w:after="40"/>
            </w:pPr>
            <w:r>
              <w:rPr>
                <w:rFonts w:ascii="Calibri" w:cs="Calibri" w:eastAsia="Calibri" w:hAnsi="Calibri"/>
                <w:sz w:val="22"/>
                <w:szCs w:val="22"/>
              </w:rPr>
              <w:t xml:space="preserve">Outside wall</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0.15</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0.12</w:t>
            </w:r>
          </w:p>
        </w:tc>
      </w:tr>
      <w:tr>
        <w:tc>
          <w:tcPr>
            <w:tcW w:type="dxa" w:w="3400"/>
            <w:tcMar>
              <w:top w:type="dxa" w:w="60"/>
              <w:left w:type="dxa" w:w="100"/>
              <w:bottom w:type="dxa" w:w="60"/>
              <w:right w:type="dxa" w:w="100"/>
            </w:tcMar>
          </w:tcPr>
          <w:p>
            <w:pPr>
              <w:spacing w:after="40"/>
            </w:pPr>
            <w:r>
              <w:rPr>
                <w:rFonts w:ascii="Calibri" w:cs="Calibri" w:eastAsia="Calibri" w:hAnsi="Calibri"/>
                <w:sz w:val="22"/>
                <w:szCs w:val="22"/>
              </w:rPr>
              <w:t xml:space="preserve">Roof</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0.15</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0.14</w:t>
            </w:r>
          </w:p>
        </w:tc>
      </w:tr>
      <w:tr>
        <w:tc>
          <w:tcPr>
            <w:tcW w:type="dxa" w:w="3400"/>
            <w:tcMar>
              <w:top w:type="dxa" w:w="60"/>
              <w:left w:type="dxa" w:w="100"/>
              <w:bottom w:type="dxa" w:w="60"/>
              <w:right w:type="dxa" w:w="100"/>
            </w:tcMar>
          </w:tcPr>
          <w:p>
            <w:pPr>
              <w:spacing w:after="40"/>
            </w:pPr>
            <w:r>
              <w:rPr>
                <w:rFonts w:ascii="Calibri" w:cs="Calibri" w:eastAsia="Calibri" w:hAnsi="Calibri"/>
                <w:sz w:val="22"/>
                <w:szCs w:val="22"/>
              </w:rPr>
              <w:t xml:space="preserve">Ground floor</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0.18</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0.16</w:t>
            </w:r>
          </w:p>
        </w:tc>
      </w:tr>
      <w:tr>
        <w:tc>
          <w:tcPr>
            <w:tcW w:type="dxa" w:w="3400"/>
            <w:tcMar>
              <w:top w:type="dxa" w:w="60"/>
              <w:left w:type="dxa" w:w="100"/>
              <w:bottom w:type="dxa" w:w="60"/>
              <w:right w:type="dxa" w:w="100"/>
            </w:tcMar>
          </w:tcPr>
          <w:p>
            <w:pPr>
              <w:spacing w:after="40"/>
            </w:pPr>
            <w:r>
              <w:rPr>
                <w:rFonts w:ascii="Calibri" w:cs="Calibri" w:eastAsia="Calibri" w:hAnsi="Calibri"/>
                <w:sz w:val="22"/>
                <w:szCs w:val="22"/>
              </w:rPr>
              <w:t xml:space="preserve">Windows and doors</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 1.40</w:t>
            </w:r>
          </w:p>
        </w:tc>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w:t>
            </w:r>
          </w:p>
        </w:tc>
      </w:tr>
    </w:tbl>
    <w:p>
      <w:pPr>
        <w:spacing w:after="80" w:line="276"/>
      </w:pPr>
      <w:r>
        <w:rPr>
          <w:rFonts w:ascii="Calibri" w:cs="Calibri" w:eastAsia="Calibri" w:hAnsi="Calibri"/>
          <w:sz w:val="22"/>
          <w:szCs w:val="22"/>
        </w:rPr>
        <w:t xml:space="preserve"/>
      </w:r>
    </w:p>
    <w:p>
      <w:pPr>
        <w:pStyle w:val="ListParagraph"/>
        <w:numPr>
          <w:ilvl w:val="0"/>
          <w:numId w:val="2"/>
        </w:numPr>
        <w:spacing w:after="60" w:line="276"/>
      </w:pPr>
      <w:r>
        <w:rPr>
          <w:rFonts w:ascii="Calibri" w:cs="Calibri" w:eastAsia="Calibri" w:hAnsi="Calibri"/>
          <w:sz w:val="22"/>
          <w:szCs w:val="22"/>
        </w:rPr>
        <w:t xml:space="preserve">Airtightness: 5 m³/(h·m²) at 50 Pa or better, proven by a test on one sample cabin.</w:t>
      </w:r>
    </w:p>
    <w:p>
      <w:pPr>
        <w:spacing w:after="120" w:before="160"/>
      </w:pPr>
      <w:r>
        <w:rPr>
          <w:rFonts w:ascii="Calibri" w:cs="Calibri" w:eastAsia="Calibri" w:hAnsi="Calibri"/>
          <w:b/>
          <w:bCs/>
          <w:sz w:val="22"/>
          <w:szCs w:val="22"/>
          <w:u w:val="single"/>
        </w:rPr>
        <w:t xml:space="preserve">3. Windows &amp; Doors</w:t>
      </w:r>
    </w:p>
    <w:p>
      <w:pPr>
        <w:pStyle w:val="ListParagraph"/>
        <w:numPr>
          <w:ilvl w:val="0"/>
          <w:numId w:val="2"/>
        </w:numPr>
        <w:spacing w:after="60" w:line="276"/>
      </w:pPr>
      <w:r>
        <w:rPr>
          <w:rFonts w:ascii="Calibri" w:cs="Calibri" w:eastAsia="Calibri" w:hAnsi="Calibri"/>
          <w:sz w:val="22"/>
          <w:szCs w:val="22"/>
        </w:rPr>
        <w:t xml:space="preserve">Double- or triple-glazed, with an installed U-value of 1.4 W/m²K or better, and feature glazed doors to the front as shown on the elevations.</w:t>
      </w:r>
    </w:p>
    <w:p>
      <w:pPr>
        <w:pStyle w:val="ListParagraph"/>
        <w:numPr>
          <w:ilvl w:val="0"/>
          <w:numId w:val="2"/>
        </w:numPr>
        <w:spacing w:after="60" w:line="276"/>
      </w:pPr>
      <w:r>
        <w:rPr>
          <w:rFonts w:ascii="Calibri" w:cs="Calibri" w:eastAsia="Calibri" w:hAnsi="Calibri"/>
          <w:sz w:val="22"/>
          <w:szCs w:val="22"/>
        </w:rPr>
        <w:t xml:space="preserve">Safety glass (I.S. EN 12600) in critical locations; opening lights to give the ventilation TGD Part F requires.</w:t>
      </w:r>
    </w:p>
    <w:p>
      <w:pPr>
        <w:pStyle w:val="ListParagraph"/>
        <w:numPr>
          <w:ilvl w:val="0"/>
          <w:numId w:val="2"/>
        </w:numPr>
        <w:spacing w:after="60" w:line="276"/>
      </w:pPr>
      <w:r>
        <w:rPr>
          <w:rFonts w:ascii="Calibri" w:cs="Calibri" w:eastAsia="Calibri" w:hAnsi="Calibri"/>
          <w:sz w:val="22"/>
          <w:szCs w:val="22"/>
        </w:rPr>
        <w:t xml:space="preserve">All outside doors and opening windows: multi-point locking to a recognised security standard.</w:t>
      </w:r>
    </w:p>
    <w:p>
      <w:pPr>
        <w:spacing w:after="120" w:before="160"/>
      </w:pPr>
      <w:r>
        <w:rPr>
          <w:rFonts w:ascii="Calibri" w:cs="Calibri" w:eastAsia="Calibri" w:hAnsi="Calibri"/>
          <w:b/>
          <w:bCs/>
          <w:sz w:val="22"/>
          <w:szCs w:val="22"/>
          <w:u w:val="single"/>
        </w:rPr>
        <w:t xml:space="preserve">4. Exterior Finishes</w:t>
      </w:r>
    </w:p>
    <w:p>
      <w:pPr>
        <w:pStyle w:val="ListParagraph"/>
        <w:numPr>
          <w:ilvl w:val="0"/>
          <w:numId w:val="2"/>
        </w:numPr>
        <w:spacing w:after="60" w:line="276"/>
      </w:pPr>
      <w:r>
        <w:rPr>
          <w:rFonts w:ascii="Calibri" w:cs="Calibri" w:eastAsia="Calibri" w:hAnsi="Calibri"/>
          <w:sz w:val="22"/>
          <w:szCs w:val="22"/>
        </w:rPr>
        <w:t xml:space="preserve">Outside joinery, fascia, soffit and trim: pressure-treated and factory-finished, colour to the drawings or the Contracting Authority’s choice.</w:t>
      </w:r>
    </w:p>
    <w:p>
      <w:pPr>
        <w:pStyle w:val="ListParagraph"/>
        <w:numPr>
          <w:ilvl w:val="0"/>
          <w:numId w:val="2"/>
        </w:numPr>
        <w:spacing w:after="60" w:line="276"/>
      </w:pPr>
      <w:r>
        <w:rPr>
          <w:rFonts w:ascii="Calibri" w:cs="Calibri" w:eastAsia="Calibri" w:hAnsi="Calibri"/>
          <w:sz w:val="22"/>
          <w:szCs w:val="22"/>
        </w:rPr>
        <w:t xml:space="preserve">Outside timber, PVC and steel finishes must need little upkeep and last at least 15 years in an exposed rural location.</w:t>
      </w:r>
    </w:p>
    <w:p>
      <w:pPr>
        <w:pStyle w:val="ListParagraph"/>
        <w:numPr>
          <w:ilvl w:val="0"/>
          <w:numId w:val="2"/>
        </w:numPr>
        <w:spacing w:after="60" w:line="276"/>
      </w:pPr>
      <w:r>
        <w:rPr>
          <w:rFonts w:ascii="Calibri" w:cs="Calibri" w:eastAsia="Calibri" w:hAnsi="Calibri"/>
          <w:sz w:val="22"/>
          <w:szCs w:val="22"/>
        </w:rPr>
        <w:t xml:space="preserve">Colour and finish samples must be submitted for approval before manufacture.</w:t>
      </w:r>
    </w:p>
    <w:p>
      <w:pPr>
        <w:spacing w:after="120" w:before="160"/>
      </w:pPr>
      <w:r>
        <w:rPr>
          <w:rFonts w:ascii="Calibri" w:cs="Calibri" w:eastAsia="Calibri" w:hAnsi="Calibri"/>
          <w:b/>
          <w:bCs/>
          <w:sz w:val="22"/>
          <w:szCs w:val="22"/>
          <w:u w:val="single"/>
        </w:rPr>
        <w:t xml:space="preserve">5. Interior Fit-Out</w:t>
      </w:r>
    </w:p>
    <w:p>
      <w:pPr>
        <w:pStyle w:val="ListParagraph"/>
        <w:numPr>
          <w:ilvl w:val="0"/>
          <w:numId w:val="2"/>
        </w:numPr>
        <w:spacing w:after="60" w:line="276"/>
      </w:pPr>
      <w:r>
        <w:rPr>
          <w:rFonts w:ascii="Calibri" w:cs="Calibri" w:eastAsia="Calibri" w:hAnsi="Calibri"/>
          <w:sz w:val="22"/>
          <w:szCs w:val="22"/>
        </w:rPr>
        <w:t xml:space="preserve">Floor: laminate or engineered timber on a soft underlay; suitable water-resistant finishes in the shower room.</w:t>
      </w:r>
    </w:p>
    <w:p>
      <w:pPr>
        <w:pStyle w:val="ListParagraph"/>
        <w:numPr>
          <w:ilvl w:val="0"/>
          <w:numId w:val="2"/>
        </w:numPr>
        <w:spacing w:after="60" w:line="276"/>
      </w:pPr>
      <w:r>
        <w:rPr>
          <w:rFonts w:ascii="Calibri" w:cs="Calibri" w:eastAsia="Calibri" w:hAnsi="Calibri"/>
          <w:sz w:val="22"/>
          <w:szCs w:val="22"/>
        </w:rPr>
        <w:t xml:space="preserve">Walls and ceilings: exposed timber to the design; SPC wall panelling (or an equivalent waterproof panel system) in wet areas.</w:t>
      </w:r>
    </w:p>
    <w:p>
      <w:pPr>
        <w:pStyle w:val="ListParagraph"/>
        <w:numPr>
          <w:ilvl w:val="0"/>
          <w:numId w:val="2"/>
        </w:numPr>
        <w:spacing w:after="60" w:line="276"/>
      </w:pPr>
      <w:r>
        <w:rPr>
          <w:rFonts w:ascii="Calibri" w:cs="Calibri" w:eastAsia="Calibri" w:hAnsi="Calibri"/>
          <w:sz w:val="22"/>
          <w:szCs w:val="22"/>
        </w:rPr>
        <w:t xml:space="preserve">Kitchenette: fitted units, worktop, sink, and a supplied and fitted fridge, hob and extract fan, to a layout to be agreed. The hob may be induction or gas (LPG) – Tenderers should propose their preferred option, with the final choice agreed at shop-drawing stage; any LPG installation must be installed and certified by an RGII registered installer.</w:t>
      </w:r>
    </w:p>
    <w:p>
      <w:pPr>
        <w:pStyle w:val="ListParagraph"/>
        <w:numPr>
          <w:ilvl w:val="0"/>
          <w:numId w:val="2"/>
        </w:numPr>
        <w:spacing w:after="60" w:line="276"/>
      </w:pPr>
      <w:r>
        <w:rPr>
          <w:rFonts w:ascii="Calibri" w:cs="Calibri" w:eastAsia="Calibri" w:hAnsi="Calibri"/>
          <w:sz w:val="22"/>
          <w:szCs w:val="22"/>
        </w:rPr>
        <w:t xml:space="preserve">Shower room: shower enclosure, WC, wash-hand basin, an extract fan, and full waterproofing in wet areas.</w:t>
      </w:r>
    </w:p>
    <w:p>
      <w:pPr>
        <w:pStyle w:val="ListParagraph"/>
        <w:numPr>
          <w:ilvl w:val="0"/>
          <w:numId w:val="2"/>
        </w:numPr>
        <w:spacing w:after="60" w:line="276"/>
      </w:pPr>
      <w:r>
        <w:rPr>
          <w:rFonts w:ascii="Calibri" w:cs="Calibri" w:eastAsia="Calibri" w:hAnsi="Calibri"/>
          <w:sz w:val="22"/>
          <w:szCs w:val="22"/>
        </w:rPr>
        <w:t xml:space="preserve">Interior joinery, handles, skirtings and architraves to a premium standard.</w:t>
      </w:r>
    </w:p>
    <w:p>
      <w:pPr>
        <w:pStyle w:val="ListParagraph"/>
        <w:numPr>
          <w:ilvl w:val="0"/>
          <w:numId w:val="2"/>
        </w:numPr>
        <w:spacing w:after="60" w:line="276"/>
      </w:pPr>
      <w:r>
        <w:rPr>
          <w:rFonts w:ascii="Calibri" w:cs="Calibri" w:eastAsia="Calibri" w:hAnsi="Calibri"/>
          <w:sz w:val="22"/>
          <w:szCs w:val="22"/>
        </w:rPr>
        <w:t xml:space="preserve">Furnishings: each cabin is to be supplied fully furnished, including a double bed (built-in or freestanding) with a high-quality mattress, seating and a table to suit the layout, window blinds or coverings, and light fittings, all to a standard consistent with premium glamping accommodation. Tenderers must describe and price the furnishing package as part of their tender.</w:t>
      </w:r>
    </w:p>
    <w:p>
      <w:pPr>
        <w:spacing w:after="120" w:before="160"/>
      </w:pPr>
      <w:r>
        <w:rPr>
          <w:rFonts w:ascii="Calibri" w:cs="Calibri" w:eastAsia="Calibri" w:hAnsi="Calibri"/>
          <w:b/>
          <w:bCs/>
          <w:sz w:val="22"/>
          <w:szCs w:val="22"/>
          <w:u w:val="single"/>
        </w:rPr>
        <w:t xml:space="preserve">6. Deck and Steps</w:t>
      </w:r>
    </w:p>
    <w:p>
      <w:pPr>
        <w:spacing w:after="160" w:line="276"/>
      </w:pPr>
      <w:r>
        <w:rPr>
          <w:rFonts w:ascii="Calibri" w:cs="Calibri" w:eastAsia="Calibri" w:hAnsi="Calibri"/>
          <w:sz w:val="22"/>
          <w:szCs w:val="22"/>
        </w:rPr>
        <w:t xml:space="preserve">Each cabin must have an outside timber or composite covered deck (part of the cabin), with a railing where needed for safety, a non-slip finish, and steps to the ground.</w:t>
      </w:r>
    </w:p>
    <w:p>
      <w:pPr>
        <w:spacing w:after="160" w:line="276"/>
      </w:pPr>
      <w:r>
        <w:rPr>
          <w:rFonts w:ascii="Calibri" w:cs="Calibri" w:eastAsia="Calibri" w:hAnsi="Calibri"/>
          <w:b/>
          <w:bCs/>
          <w:sz w:val="22"/>
          <w:szCs w:val="22"/>
        </w:rPr>
        <w:t xml:space="preserve">Important – hot-tub allowance. </w:t>
      </w:r>
      <w:r>
        <w:rPr>
          <w:rFonts w:ascii="Calibri" w:cs="Calibri" w:eastAsia="Calibri" w:hAnsi="Calibri"/>
          <w:sz w:val="22"/>
          <w:szCs w:val="22"/>
        </w:rPr>
        <w:t xml:space="preserve">The hot tub is by others, but a hot tub will sit on the deck of each cabin. The deck must be designed to carry, in addition to normal use, a hot tub of up to 2.2 m × 2.2 m footprint and 2,000 kg filled weight (in use), in the position shown on the drawings. Tenderers must state the load allowance used in their design.</w:t>
      </w:r>
    </w:p>
    <w:p>
      <w:pPr>
        <w:spacing w:after="120" w:before="160"/>
      </w:pPr>
      <w:r>
        <w:rPr>
          <w:rFonts w:ascii="Calibri" w:cs="Calibri" w:eastAsia="Calibri" w:hAnsi="Calibri"/>
          <w:b/>
          <w:bCs/>
          <w:sz w:val="22"/>
          <w:szCs w:val="22"/>
          <w:u w:val="single"/>
        </w:rPr>
        <w:t xml:space="preserve">7. Cabin Services</w:t>
      </w:r>
    </w:p>
    <w:p>
      <w:pPr>
        <w:spacing w:after="160" w:line="276"/>
      </w:pPr>
      <w:r>
        <w:rPr>
          <w:rFonts w:ascii="Calibri" w:cs="Calibri" w:eastAsia="Calibri" w:hAnsi="Calibri"/>
          <w:sz w:val="22"/>
          <w:szCs w:val="22"/>
        </w:rPr>
        <w:t xml:space="preserve">Each cabin’s own services must be provided, fitted and tested, ending at clear connection points for others to link to the site supplies:</w:t>
      </w:r>
    </w:p>
    <w:p>
      <w:pPr>
        <w:pStyle w:val="ListParagraph"/>
        <w:numPr>
          <w:ilvl w:val="0"/>
          <w:numId w:val="2"/>
        </w:numPr>
        <w:spacing w:after="60" w:line="276"/>
      </w:pPr>
      <w:r>
        <w:rPr>
          <w:rFonts w:ascii="Calibri" w:cs="Calibri" w:eastAsia="Calibri" w:hAnsi="Calibri"/>
          <w:sz w:val="22"/>
          <w:szCs w:val="22"/>
        </w:rPr>
        <w:t xml:space="preserve">Electrics: each cabin has its own consumer unit and RCD/RCBO protection, certified to I.S. 10101 (National Rules for Electrical Installations) by a Safe Electric registered contractor, left ready for connection to the site supply. LED lighting inside and out, sockets to suit the layout, and supplies for heating, hot water and broadband. A suitable RCD-protected 32A provision must be left at the deck for later hot tub connection by others.</w:t>
      </w:r>
    </w:p>
    <w:p>
      <w:pPr>
        <w:pStyle w:val="ListParagraph"/>
        <w:numPr>
          <w:ilvl w:val="0"/>
          <w:numId w:val="2"/>
        </w:numPr>
        <w:spacing w:after="60" w:line="276"/>
      </w:pPr>
      <w:r>
        <w:rPr>
          <w:rFonts w:ascii="Calibri" w:cs="Calibri" w:eastAsia="Calibri" w:hAnsi="Calibri"/>
          <w:sz w:val="22"/>
          <w:szCs w:val="22"/>
        </w:rPr>
        <w:t xml:space="preserve">Water and plumbing: hot and cold pipework, sanitaryware connections, and a foul-water connection point left ready for others to link to the site drainage. All pipes insulated and frost-protected. A capped cold-water point must be left at the deck for a future hot tub.</w:t>
      </w:r>
    </w:p>
    <w:p>
      <w:pPr>
        <w:pStyle w:val="ListParagraph"/>
        <w:numPr>
          <w:ilvl w:val="0"/>
          <w:numId w:val="2"/>
        </w:numPr>
        <w:spacing w:after="60" w:line="276"/>
      </w:pPr>
      <w:r>
        <w:rPr>
          <w:rFonts w:ascii="Calibri" w:cs="Calibri" w:eastAsia="Calibri" w:hAnsi="Calibri"/>
          <w:sz w:val="22"/>
          <w:szCs w:val="22"/>
        </w:rPr>
        <w:t xml:space="preserve">Hot water and heating: hot water to be provided by a gas (LPG) or solar system (or a combined gas/solar arrangement). Any LPG installation must be installed and certified by an RGII registered installer. The heating system must be efficient, sized for comfort all year and in line with the BER / TGD Part L plan, with controls that let guests set the temperature and turn the system down between stays.</w:t>
      </w:r>
    </w:p>
    <w:p>
      <w:pPr>
        <w:pStyle w:val="ListParagraph"/>
        <w:numPr>
          <w:ilvl w:val="0"/>
          <w:numId w:val="2"/>
        </w:numPr>
        <w:spacing w:after="60" w:line="276"/>
      </w:pPr>
      <w:r>
        <w:rPr>
          <w:rFonts w:ascii="Calibri" w:cs="Calibri" w:eastAsia="Calibri" w:hAnsi="Calibri"/>
          <w:sz w:val="22"/>
          <w:szCs w:val="22"/>
        </w:rPr>
        <w:t xml:space="preserve">Ventilation: background and purge ventilation to TGD Part F; extract fans in the shower room and kitchenette.</w:t>
      </w:r>
    </w:p>
    <w:p>
      <w:pPr>
        <w:pStyle w:val="ListParagraph"/>
        <w:numPr>
          <w:ilvl w:val="0"/>
          <w:numId w:val="2"/>
        </w:numPr>
        <w:spacing w:after="60" w:line="276"/>
      </w:pPr>
      <w:r>
        <w:rPr>
          <w:rFonts w:ascii="Calibri" w:cs="Calibri" w:eastAsia="Calibri" w:hAnsi="Calibri"/>
          <w:sz w:val="22"/>
          <w:szCs w:val="22"/>
        </w:rPr>
        <w:t xml:space="preserve">Broadband: Wi-Fi / broadband provision inside each cabin, with the cabling and a connection point left ready for others.</w:t>
      </w:r>
    </w:p>
    <w:p>
      <w:pPr>
        <w:pStyle w:val="ListParagraph"/>
        <w:numPr>
          <w:ilvl w:val="0"/>
          <w:numId w:val="2"/>
        </w:numPr>
        <w:spacing w:after="60" w:line="276"/>
      </w:pPr>
      <w:r>
        <w:rPr>
          <w:rFonts w:ascii="Calibri" w:cs="Calibri" w:eastAsia="Calibri" w:hAnsi="Calibri"/>
          <w:sz w:val="22"/>
          <w:szCs w:val="22"/>
        </w:rPr>
        <w:t xml:space="preserve">Fire safety: mains-powered, linked smoke and heat alarms with battery back-up (I.S. 3218); a CO alarm where there is any burning appliance; a fire blanket and fire extinguisher in each cabin; design to TGD Part B.</w:t>
      </w:r>
    </w:p>
    <w:p>
      <w:pPr>
        <w:spacing w:after="120" w:before="160"/>
      </w:pPr>
      <w:r>
        <w:rPr>
          <w:rFonts w:ascii="Calibri" w:cs="Calibri" w:eastAsia="Calibri" w:hAnsi="Calibri"/>
          <w:b/>
          <w:bCs/>
          <w:sz w:val="22"/>
          <w:szCs w:val="22"/>
          <w:u w:val="single"/>
        </w:rPr>
        <w:t xml:space="preserve">8. Rules and Standards to Meet</w:t>
      </w:r>
    </w:p>
    <w:p>
      <w:pPr>
        <w:spacing w:after="160" w:line="276"/>
      </w:pPr>
      <w:r>
        <w:rPr>
          <w:rFonts w:ascii="Calibri" w:cs="Calibri" w:eastAsia="Calibri" w:hAnsi="Calibri"/>
          <w:sz w:val="22"/>
          <w:szCs w:val="22"/>
        </w:rPr>
        <w:t xml:space="preserve">All cabins must meet current Irish law, regulations, standards and codes of practice, including those below. If a standard is updated, the version in force at the time of manufacture applies.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6200"/>
      </w:tblGrid>
      <w:tr>
        <w:tc>
          <w:tcPr>
            <w:tcW w:type="dxa" w:w="2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Area</w:t>
            </w:r>
          </w:p>
        </w:tc>
        <w:tc>
          <w:tcPr>
            <w:tcW w:type="dxa" w:w="62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What is needed</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Building Regulations</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The Building Regulations 1997–2021 and the Technical Guidance Documents that apply to the cabins – in particular Structure (A), Fire (B), Materials and Workmanship (D), Ventilation (F), Hygiene (G) and Energy (L).</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Building control</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Building control (BCAR), as it applies, is being managed by the Contracting Authority’s design team under the separate site works contract, including any Commencement Notice, Assigned Certifier appointment and statutory certification. The successful Tenderer shall provide all product certification, test evidence and design information required to support this, and shall cooperate with the Assigned Certifier as required.</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Electrical</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The cabin’s wiring to the National Rules for Electrical Installations (I.S. 10101), installed, tested and certified by a Safe Electric contractor.</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Gas (if LPG)</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If any LPG is used, installed and certified by an RGII installer.</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Energy rating</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A BER certificate for each cabin, where required.</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Health &amp; safety</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For any work carried out on site, the Safety, Health and Welfare at Work (Construction) Regulations 2013. All certificates and safety information required must be handed over.</w:t>
            </w:r>
          </w:p>
        </w:tc>
      </w:tr>
      <w:tr>
        <w:tc>
          <w:tcPr>
            <w:tcW w:type="dxa" w:w="2800"/>
            <w:tcMar>
              <w:top w:type="dxa" w:w="60"/>
              <w:left w:type="dxa" w:w="100"/>
              <w:bottom w:type="dxa" w:w="60"/>
              <w:right w:type="dxa" w:w="100"/>
            </w:tcMar>
          </w:tcPr>
          <w:p>
            <w:pPr>
              <w:spacing w:after="40"/>
            </w:pPr>
            <w:r>
              <w:rPr>
                <w:rFonts w:ascii="Calibri" w:cs="Calibri" w:eastAsia="Calibri" w:hAnsi="Calibri"/>
                <w:sz w:val="22"/>
                <w:szCs w:val="22"/>
              </w:rPr>
              <w:t xml:space="preserve">Waste</w:t>
            </w:r>
          </w:p>
        </w:tc>
        <w:tc>
          <w:tcPr>
            <w:tcW w:type="dxa" w:w="6200"/>
            <w:tcMar>
              <w:top w:type="dxa" w:w="60"/>
              <w:left w:type="dxa" w:w="100"/>
              <w:bottom w:type="dxa" w:w="60"/>
              <w:right w:type="dxa" w:w="100"/>
            </w:tcMar>
          </w:tcPr>
          <w:p>
            <w:pPr>
              <w:spacing w:after="40"/>
            </w:pPr>
            <w:r>
              <w:rPr>
                <w:rFonts w:ascii="Calibri" w:cs="Calibri" w:eastAsia="Calibri" w:hAnsi="Calibri"/>
                <w:sz w:val="22"/>
                <w:szCs w:val="22"/>
              </w:rPr>
              <w:t xml:space="preserve">The Tenderer must take away and lawfully dispose of its own packaging and offcuts.</w:t>
            </w:r>
          </w:p>
        </w:tc>
      </w:tr>
    </w:tbl>
    <w:p>
      <w:pPr>
        <w:spacing w:after="80" w:line="276"/>
      </w:pPr>
      <w:r>
        <w:rPr>
          <w:rFonts w:ascii="Calibri" w:cs="Calibri" w:eastAsia="Calibri" w:hAnsi="Calibri"/>
          <w:sz w:val="22"/>
          <w:szCs w:val="22"/>
        </w:rPr>
        <w:t xml:space="preserve"/>
      </w:r>
    </w:p>
    <w:p>
      <w:pPr>
        <w:spacing w:after="160" w:line="276"/>
      </w:pPr>
      <w:r>
        <w:rPr>
          <w:rFonts w:ascii="Calibri" w:cs="Calibri" w:eastAsia="Calibri" w:hAnsi="Calibri"/>
          <w:b/>
          <w:bCs/>
          <w:sz w:val="22"/>
          <w:szCs w:val="22"/>
        </w:rPr>
        <w:t xml:space="preserve">Pass / fail. </w:t>
      </w:r>
      <w:r>
        <w:rPr>
          <w:rFonts w:ascii="Calibri" w:cs="Calibri" w:eastAsia="Calibri" w:hAnsi="Calibri"/>
          <w:sz w:val="22"/>
          <w:szCs w:val="22"/>
        </w:rPr>
        <w:t xml:space="preserve">Meeting the planning permission and the Building Regulations is a basic requirement. Tenders that do not may be rejected.</w:t>
      </w:r>
    </w:p>
    <w:p>
      <w:pPr>
        <w:spacing w:after="120" w:before="160"/>
      </w:pPr>
      <w:r>
        <w:rPr>
          <w:rFonts w:ascii="Calibri" w:cs="Calibri" w:eastAsia="Calibri" w:hAnsi="Calibri"/>
          <w:b/>
          <w:bCs/>
          <w:sz w:val="22"/>
          <w:szCs w:val="22"/>
          <w:u w:val="single"/>
        </w:rPr>
        <w:t xml:space="preserve">9. Quality and Materials</w:t>
      </w:r>
    </w:p>
    <w:p>
      <w:pPr>
        <w:pStyle w:val="ListParagraph"/>
        <w:numPr>
          <w:ilvl w:val="0"/>
          <w:numId w:val="2"/>
        </w:numPr>
        <w:spacing w:after="60" w:line="276"/>
      </w:pPr>
      <w:r>
        <w:rPr>
          <w:rFonts w:ascii="Calibri" w:cs="Calibri" w:eastAsia="Calibri" w:hAnsi="Calibri"/>
          <w:sz w:val="22"/>
          <w:szCs w:val="22"/>
        </w:rPr>
        <w:t xml:space="preserve">All materials new, fit for purpose, and to the relevant I.S. / I.S. EN standard; all work to TGD Part D and good building practice.</w:t>
      </w:r>
    </w:p>
    <w:p>
      <w:pPr>
        <w:pStyle w:val="ListParagraph"/>
        <w:numPr>
          <w:ilvl w:val="0"/>
          <w:numId w:val="2"/>
        </w:numPr>
        <w:spacing w:after="60" w:line="276"/>
      </w:pPr>
      <w:r>
        <w:rPr>
          <w:rFonts w:ascii="Calibri" w:cs="Calibri" w:eastAsia="Calibri" w:hAnsi="Calibri"/>
          <w:sz w:val="22"/>
          <w:szCs w:val="22"/>
        </w:rPr>
        <w:t xml:space="preserve">Brand names are indicative only – an equivalent product that meets the standard is acceptable, with evidence approved before use.</w:t>
      </w:r>
    </w:p>
    <w:p>
      <w:pPr>
        <w:pStyle w:val="ListParagraph"/>
        <w:numPr>
          <w:ilvl w:val="0"/>
          <w:numId w:val="2"/>
        </w:numPr>
        <w:spacing w:after="60" w:line="276"/>
      </w:pPr>
      <w:r>
        <w:rPr>
          <w:rFonts w:ascii="Calibri" w:cs="Calibri" w:eastAsia="Calibri" w:hAnsi="Calibri"/>
          <w:sz w:val="22"/>
          <w:szCs w:val="22"/>
        </w:rPr>
        <w:t xml:space="preserve">Samples, technical details and shop drawings must be submitted for approval before manufacture or fitting.</w:t>
      </w:r>
    </w:p>
    <w:p>
      <w:pPr>
        <w:pStyle w:val="ListParagraph"/>
        <w:numPr>
          <w:ilvl w:val="0"/>
          <w:numId w:val="2"/>
        </w:numPr>
        <w:spacing w:after="60" w:line="276"/>
      </w:pPr>
      <w:r>
        <w:rPr>
          <w:rFonts w:ascii="Calibri" w:cs="Calibri" w:eastAsia="Calibri" w:hAnsi="Calibri"/>
          <w:sz w:val="22"/>
          <w:szCs w:val="22"/>
        </w:rPr>
        <w:t xml:space="preserve">Manufacturers’ warranties and a structural / weathertightness guarantee for the cabins must be provided; Tenderers must state how long the guarantees last in their tender.</w:t>
      </w:r>
    </w:p>
    <w:p>
      <w:pPr>
        <w:pStyle w:val="ListParagraph"/>
        <w:numPr>
          <w:ilvl w:val="0"/>
          <w:numId w:val="2"/>
        </w:numPr>
        <w:spacing w:after="60" w:line="276"/>
      </w:pPr>
      <w:r>
        <w:rPr>
          <w:rFonts w:ascii="Calibri" w:cs="Calibri" w:eastAsia="Calibri" w:hAnsi="Calibri"/>
          <w:sz w:val="22"/>
          <w:szCs w:val="22"/>
        </w:rPr>
        <w:t xml:space="preserve">A defects period of 12 months runs from acceptance of the cabins, with snagging, rectification and retention as set out in the Goods Contract.</w:t>
      </w:r>
    </w:p>
    <w:p>
      <w:pPr>
        <w:spacing w:after="120" w:before="160"/>
      </w:pPr>
      <w:r>
        <w:rPr>
          <w:rFonts w:ascii="Calibri" w:cs="Calibri" w:eastAsia="Calibri" w:hAnsi="Calibri"/>
          <w:b/>
          <w:bCs/>
          <w:sz w:val="22"/>
          <w:szCs w:val="22"/>
        </w:rPr>
        <w:t xml:space="preserve">Design</w:t>
      </w:r>
    </w:p>
    <w:p>
      <w:pPr>
        <w:spacing w:after="160" w:line="276"/>
      </w:pPr>
      <w:r>
        <w:rPr>
          <w:rFonts w:ascii="Calibri" w:cs="Calibri" w:eastAsia="Calibri" w:hAnsi="Calibri"/>
          <w:sz w:val="22"/>
          <w:szCs w:val="22"/>
        </w:rPr>
        <w:t xml:space="preserve">The design aesthetic and its conformance to the vision set out in the context provided earlier in this document is an important consideration. When describing their design, Tenderers are asked to include photographs of the proposed glamping cabins. Tenderers shall provide all design layout drawings, specifications and any other information which they believe illustrates the merits of their design, including technical sheets and U-value / performance evidence for the cabin build-up, windows and doors, and heating system.</w:t>
      </w:r>
    </w:p>
    <w:p>
      <w:pPr>
        <w:spacing w:after="120" w:before="160"/>
      </w:pPr>
      <w:r>
        <w:rPr>
          <w:rFonts w:ascii="Calibri" w:cs="Calibri" w:eastAsia="Calibri" w:hAnsi="Calibri"/>
          <w:b/>
          <w:bCs/>
          <w:sz w:val="22"/>
          <w:szCs w:val="22"/>
        </w:rPr>
        <w:t xml:space="preserve">Site Details and Visit</w:t>
      </w:r>
    </w:p>
    <w:p>
      <w:pPr>
        <w:spacing w:after="160" w:line="276"/>
      </w:pPr>
      <w:r>
        <w:rPr>
          <w:rFonts w:ascii="Calibri" w:cs="Calibri" w:eastAsia="Calibri" w:hAnsi="Calibri"/>
          <w:sz w:val="22"/>
          <w:szCs w:val="22"/>
        </w:rPr>
        <w:t xml:space="preserve">The cabins will be located on a working family farm at Ballinabrannagh, Bilboa, Co. Carlow, R93 XR53, reached by the existing farm entrance. It is strongly recommended that suppliers and installers familiarise themselves with the site location before pricing, as price must include for delivery and off-loading in site positions. Tenderers are responsible for checking the access and delivery route; no claims will be accepted for matters a site visit would have shown. Tenderers wishing to make an appointment to visit the site must submit their request through the eTenders platform. Site visit appointments will be facilitated during the first two weeks of the tender period.</w:t>
      </w:r>
    </w:p>
    <w:p>
      <w:pPr>
        <w:spacing w:after="160" w:line="276"/>
      </w:pPr>
      <w:r>
        <w:rPr>
          <w:rFonts w:ascii="Calibri" w:cs="Calibri" w:eastAsia="Calibri" w:hAnsi="Calibri"/>
          <w:sz w:val="22"/>
          <w:szCs w:val="22"/>
        </w:rPr>
        <w:t xml:space="preserve">As this is a working farm, Tenderers must follow biosecurity and livestock safety requirements, keep gates as agreed, and protect existing accesses, hardstanding, hedges, trees and field boundaries, making good any damage at their own cost.</w:t>
      </w:r>
    </w:p>
    <w:p>
      <w:pPr>
        <w:spacing w:after="160" w:line="276"/>
      </w:pPr>
      <w:r>
        <w:rPr>
          <w:rFonts w:ascii="Calibri" w:cs="Calibri" w:eastAsia="Calibri" w:hAnsi="Calibri"/>
          <w:sz w:val="22"/>
          <w:szCs w:val="22"/>
        </w:rPr>
        <w:t xml:space="preserve">For planning information, please refer to Carlow County Council’s online planning system – Planning reference: [TBC].</w:t>
      </w:r>
    </w:p>
    <w:p>
      <w:pPr>
        <w:spacing w:after="120" w:before="160"/>
      </w:pPr>
      <w:r>
        <w:rPr>
          <w:rFonts w:ascii="Calibri" w:cs="Calibri" w:eastAsia="Calibri" w:hAnsi="Calibri"/>
          <w:b/>
          <w:bCs/>
          <w:sz w:val="22"/>
          <w:szCs w:val="22"/>
        </w:rPr>
        <w:t xml:space="preserve">Financial Arrangements</w:t>
      </w:r>
    </w:p>
    <w:p>
      <w:pPr>
        <w:pStyle w:val="ListParagraph"/>
        <w:numPr>
          <w:ilvl w:val="0"/>
          <w:numId w:val="2"/>
        </w:numPr>
        <w:spacing w:after="60" w:line="276"/>
      </w:pPr>
      <w:r>
        <w:rPr>
          <w:rFonts w:ascii="Calibri" w:cs="Calibri" w:eastAsia="Calibri" w:hAnsi="Calibri"/>
          <w:sz w:val="22"/>
          <w:szCs w:val="22"/>
        </w:rPr>
        <w:t xml:space="preserve">All costs must be quoted in euro, excluding VAT.</w:t>
      </w:r>
    </w:p>
    <w:p>
      <w:pPr>
        <w:pStyle w:val="ListParagraph"/>
        <w:numPr>
          <w:ilvl w:val="0"/>
          <w:numId w:val="2"/>
        </w:numPr>
        <w:spacing w:after="60" w:line="276"/>
      </w:pPr>
      <w:r>
        <w:rPr>
          <w:rFonts w:ascii="Calibri" w:cs="Calibri" w:eastAsia="Calibri" w:hAnsi="Calibri"/>
          <w:sz w:val="22"/>
          <w:szCs w:val="22"/>
        </w:rPr>
        <w:t xml:space="preserve">The tender should be inclusive of design, layout, manufacture, supply and delivery of the cabins.</w:t>
      </w:r>
    </w:p>
    <w:p>
      <w:pPr>
        <w:spacing w:after="120" w:before="160"/>
      </w:pPr>
      <w:r>
        <w:rPr>
          <w:rFonts w:ascii="Calibri" w:cs="Calibri" w:eastAsia="Calibri" w:hAnsi="Calibri"/>
          <w:b/>
          <w:bCs/>
          <w:sz w:val="22"/>
          <w:szCs w:val="22"/>
        </w:rPr>
        <w:t xml:space="preserve">Proposal of Stage Payments</w:t>
      </w:r>
    </w:p>
    <w:p>
      <w:pPr>
        <w:spacing w:after="160" w:line="276"/>
      </w:pPr>
      <w:r>
        <w:rPr>
          <w:rFonts w:ascii="Calibri" w:cs="Calibri" w:eastAsia="Calibri" w:hAnsi="Calibri"/>
          <w:sz w:val="22"/>
          <w:szCs w:val="22"/>
        </w:rPr>
        <w:t xml:space="preserve">We propose the following payment schedule. Tenderers are asked to confirm their acceptance of it:</w:t>
      </w:r>
    </w:p>
    <w:p>
      <w:pPr>
        <w:pStyle w:val="ListParagraph"/>
        <w:numPr>
          <w:ilvl w:val="0"/>
          <w:numId w:val="2"/>
        </w:numPr>
        <w:spacing w:after="60" w:line="276"/>
      </w:pPr>
      <w:r>
        <w:rPr>
          <w:rFonts w:ascii="Calibri" w:cs="Calibri" w:eastAsia="Calibri" w:hAnsi="Calibri"/>
          <w:sz w:val="22"/>
          <w:szCs w:val="22"/>
        </w:rPr>
        <w:t xml:space="preserve">25% deposit payable at the start of the contract.</w:t>
      </w:r>
    </w:p>
    <w:p>
      <w:pPr>
        <w:pStyle w:val="ListParagraph"/>
        <w:numPr>
          <w:ilvl w:val="0"/>
          <w:numId w:val="2"/>
        </w:numPr>
        <w:spacing w:after="60" w:line="276"/>
      </w:pPr>
      <w:r>
        <w:rPr>
          <w:rFonts w:ascii="Calibri" w:cs="Calibri" w:eastAsia="Calibri" w:hAnsi="Calibri"/>
          <w:sz w:val="22"/>
          <w:szCs w:val="22"/>
        </w:rPr>
        <w:t xml:space="preserve">70% on delivery of the four units (glamping cabins) with contents.</w:t>
      </w:r>
    </w:p>
    <w:p>
      <w:pPr>
        <w:pStyle w:val="ListParagraph"/>
        <w:numPr>
          <w:ilvl w:val="0"/>
          <w:numId w:val="2"/>
        </w:numPr>
        <w:spacing w:after="60" w:line="276"/>
      </w:pPr>
      <w:r>
        <w:rPr>
          <w:rFonts w:ascii="Calibri" w:cs="Calibri" w:eastAsia="Calibri" w:hAnsi="Calibri"/>
          <w:sz w:val="22"/>
          <w:szCs w:val="22"/>
        </w:rPr>
        <w:t xml:space="preserve">5% withheld until the cabins are installed and commissioned by Bilboa Hills Ltd, to ensure electrical, plumbing and structure are all functioning correctly.</w:t>
      </w:r>
    </w:p>
    <w:p>
      <w:pPr>
        <w:spacing w:after="120" w:before="160"/>
      </w:pPr>
      <w:r>
        <w:rPr>
          <w:rFonts w:ascii="Calibri" w:cs="Calibri" w:eastAsia="Calibri" w:hAnsi="Calibri"/>
          <w:b/>
          <w:bCs/>
          <w:sz w:val="22"/>
          <w:szCs w:val="22"/>
        </w:rPr>
        <w:t xml:space="preserve">Delivery and Installation Schedule</w:t>
      </w:r>
    </w:p>
    <w:p>
      <w:pPr>
        <w:spacing w:after="160" w:line="276"/>
      </w:pPr>
      <w:r>
        <w:rPr>
          <w:rFonts w:ascii="Calibri" w:cs="Calibri" w:eastAsia="Calibri" w:hAnsi="Calibri"/>
          <w:sz w:val="22"/>
          <w:szCs w:val="22"/>
        </w:rPr>
        <w:t xml:space="preserve">The successful Tenderer must be able to complete delivery of the four Glamping Cabins during Q1 2027 (final programme to be agreed with the successful Tenderer).</w:t>
      </w:r>
    </w:p>
    <w:p>
      <w:pPr>
        <w:spacing w:after="160" w:line="276"/>
      </w:pPr>
      <w:r>
        <w:rPr>
          <w:rFonts w:ascii="Calibri" w:cs="Calibri" w:eastAsia="Calibri" w:hAnsi="Calibri"/>
          <w:sz w:val="22"/>
          <w:szCs w:val="22"/>
        </w:rPr>
        <w:t xml:space="preserve">Tenderers must provide details on:</w:t>
      </w:r>
    </w:p>
    <w:p>
      <w:pPr>
        <w:pStyle w:val="ListParagraph"/>
        <w:numPr>
          <w:ilvl w:val="0"/>
          <w:numId w:val="2"/>
        </w:numPr>
        <w:spacing w:after="60" w:line="276"/>
      </w:pPr>
      <w:r>
        <w:rPr>
          <w:rFonts w:ascii="Calibri" w:cs="Calibri" w:eastAsia="Calibri" w:hAnsi="Calibri"/>
          <w:sz w:val="22"/>
          <w:szCs w:val="22"/>
        </w:rPr>
        <w:t xml:space="preserve">Lead time and delivery for the four cabins and a timeline for assembly and set-up.</w:t>
      </w:r>
    </w:p>
    <w:p>
      <w:pPr>
        <w:pStyle w:val="ListParagraph"/>
        <w:numPr>
          <w:ilvl w:val="0"/>
          <w:numId w:val="2"/>
        </w:numPr>
        <w:spacing w:after="60" w:line="276"/>
      </w:pPr>
      <w:r>
        <w:rPr>
          <w:rFonts w:ascii="Calibri" w:cs="Calibri" w:eastAsia="Calibri" w:hAnsi="Calibri"/>
          <w:sz w:val="22"/>
          <w:szCs w:val="22"/>
        </w:rPr>
        <w:t xml:space="preserve">How the delivery and set-up of the cabins shall take place – including delivery and lift dates, and the access, vehicles and craneage needed. Please state clearly the roles and responsibilities of the Tenderer’s team and Bilboa Hills Ltd, and any assumptions and dependencies being made. The cabins must be set up complete, level and true, and weathertight.</w:t>
      </w:r>
    </w:p>
    <w:p>
      <w:pPr>
        <w:pStyle w:val="ListParagraph"/>
        <w:numPr>
          <w:ilvl w:val="0"/>
          <w:numId w:val="2"/>
        </w:numPr>
        <w:spacing w:after="60" w:line="276"/>
      </w:pPr>
      <w:r>
        <w:rPr>
          <w:rFonts w:ascii="Calibri" w:cs="Calibri" w:eastAsia="Calibri" w:hAnsi="Calibri"/>
          <w:sz w:val="22"/>
          <w:szCs w:val="22"/>
        </w:rPr>
        <w:t xml:space="preserve">Tenderers shall include with their tender submission full and comprehensive equipment installation and operation instructions.</w:t>
      </w:r>
    </w:p>
    <w:p>
      <w:pPr>
        <w:spacing w:after="160" w:line="276"/>
      </w:pPr>
      <w:r>
        <w:rPr>
          <w:rFonts w:ascii="Calibri" w:cs="Calibri" w:eastAsia="Calibri" w:hAnsi="Calibri"/>
          <w:sz w:val="22"/>
          <w:szCs w:val="22"/>
        </w:rPr>
        <w:t xml:space="preserve">Site works are subject to a separate procurement and are not in scope for this competition. The contact details of the appointed contractor for site works will be given to the successful Tenderer of this competition to agree site works and delivery requirements. The successful Tenderer is required to provide all necessary information (including foundation loading and interface requirements) and cooperate fully with the contractor for site works so that they may prepare the site for the Glamping Cabins.</w:t>
      </w:r>
    </w:p>
    <w:p>
      <w:pPr>
        <w:spacing w:after="120" w:before="160"/>
      </w:pPr>
      <w:r>
        <w:rPr>
          <w:rFonts w:ascii="Calibri" w:cs="Calibri" w:eastAsia="Calibri" w:hAnsi="Calibri"/>
          <w:b/>
          <w:bCs/>
          <w:sz w:val="22"/>
          <w:szCs w:val="22"/>
        </w:rPr>
        <w:t xml:space="preserve">After Sales Service and Maintenance</w:t>
      </w:r>
    </w:p>
    <w:p>
      <w:pPr>
        <w:spacing w:after="160" w:line="276"/>
      </w:pPr>
      <w:r>
        <w:rPr>
          <w:rFonts w:ascii="Calibri" w:cs="Calibri" w:eastAsia="Calibri" w:hAnsi="Calibri"/>
          <w:sz w:val="22"/>
          <w:szCs w:val="22"/>
        </w:rPr>
        <w:t xml:space="preserve">Long term warranties on the glamping cabins, plumbing, and electrical works are requested. Tenderers should outline their warranties in their tender document.</w:t>
      </w:r>
    </w:p>
    <w:p>
      <w:pPr>
        <w:spacing w:after="120" w:before="160"/>
      </w:pPr>
      <w:r>
        <w:rPr>
          <w:rFonts w:ascii="Calibri" w:cs="Calibri" w:eastAsia="Calibri" w:hAnsi="Calibri"/>
          <w:b/>
          <w:bCs/>
          <w:sz w:val="22"/>
          <w:szCs w:val="22"/>
          <w:u w:val="single"/>
        </w:rPr>
        <w:t xml:space="preserve">Warranties:</w:t>
      </w:r>
    </w:p>
    <w:p>
      <w:pPr>
        <w:pStyle w:val="ListParagraph"/>
        <w:numPr>
          <w:ilvl w:val="0"/>
          <w:numId w:val="2"/>
        </w:numPr>
        <w:spacing w:after="60" w:line="276"/>
      </w:pPr>
      <w:r>
        <w:rPr>
          <w:rFonts w:ascii="Calibri" w:cs="Calibri" w:eastAsia="Calibri" w:hAnsi="Calibri"/>
          <w:sz w:val="22"/>
          <w:szCs w:val="22"/>
        </w:rPr>
        <w:t xml:space="preserve">Please provide details of warranties provided with the cabins, including the structural / weathertightness guarantee.</w:t>
      </w:r>
    </w:p>
    <w:p>
      <w:pPr>
        <w:pStyle w:val="ListParagraph"/>
        <w:numPr>
          <w:ilvl w:val="0"/>
          <w:numId w:val="2"/>
        </w:numPr>
        <w:spacing w:after="60" w:line="276"/>
      </w:pPr>
      <w:r>
        <w:rPr>
          <w:rFonts w:ascii="Calibri" w:cs="Calibri" w:eastAsia="Calibri" w:hAnsi="Calibri"/>
          <w:sz w:val="22"/>
          <w:szCs w:val="22"/>
        </w:rPr>
        <w:t xml:space="preserve">Please provide details (including pricing) of any possible additional warranties that may be purchased.</w:t>
      </w:r>
    </w:p>
    <w:p>
      <w:pPr>
        <w:spacing w:after="120" w:before="160"/>
      </w:pPr>
      <w:r>
        <w:rPr>
          <w:rFonts w:ascii="Calibri" w:cs="Calibri" w:eastAsia="Calibri" w:hAnsi="Calibri"/>
          <w:b/>
          <w:bCs/>
          <w:sz w:val="22"/>
          <w:szCs w:val="22"/>
          <w:u w:val="single"/>
        </w:rPr>
        <w:t xml:space="preserve">Maintenance Program:</w:t>
      </w:r>
    </w:p>
    <w:p>
      <w:pPr>
        <w:pStyle w:val="ListParagraph"/>
        <w:numPr>
          <w:ilvl w:val="0"/>
          <w:numId w:val="2"/>
        </w:numPr>
        <w:spacing w:after="60" w:line="276"/>
      </w:pPr>
      <w:r>
        <w:rPr>
          <w:rFonts w:ascii="Calibri" w:cs="Calibri" w:eastAsia="Calibri" w:hAnsi="Calibri"/>
          <w:sz w:val="22"/>
          <w:szCs w:val="22"/>
        </w:rPr>
        <w:t xml:space="preserve">Please provide details of the required maintenance programme.</w:t>
      </w:r>
    </w:p>
    <w:p>
      <w:pPr>
        <w:pStyle w:val="ListParagraph"/>
        <w:numPr>
          <w:ilvl w:val="0"/>
          <w:numId w:val="2"/>
        </w:numPr>
        <w:spacing w:after="60" w:line="276"/>
      </w:pPr>
      <w:r>
        <w:rPr>
          <w:rFonts w:ascii="Calibri" w:cs="Calibri" w:eastAsia="Calibri" w:hAnsi="Calibri"/>
          <w:sz w:val="22"/>
          <w:szCs w:val="22"/>
        </w:rPr>
        <w:t xml:space="preserve">Please provide details of what, if any, maintenance agreements are included as part of this tender.</w:t>
      </w:r>
    </w:p>
    <w:p>
      <w:pPr>
        <w:pStyle w:val="ListParagraph"/>
        <w:numPr>
          <w:ilvl w:val="0"/>
          <w:numId w:val="2"/>
        </w:numPr>
        <w:spacing w:after="60" w:line="276"/>
      </w:pPr>
      <w:r>
        <w:rPr>
          <w:rFonts w:ascii="Calibri" w:cs="Calibri" w:eastAsia="Calibri" w:hAnsi="Calibri"/>
          <w:sz w:val="22"/>
          <w:szCs w:val="22"/>
        </w:rPr>
        <w:t xml:space="preserve">Please provide details (including pricing) of any possible additional maintenance agreements that may be purchased.</w:t>
      </w:r>
    </w:p>
    <w:p>
      <w:pPr>
        <w:spacing w:after="120" w:before="160"/>
      </w:pPr>
      <w:r>
        <w:rPr>
          <w:rFonts w:ascii="Calibri" w:cs="Calibri" w:eastAsia="Calibri" w:hAnsi="Calibri"/>
          <w:b/>
          <w:bCs/>
          <w:sz w:val="22"/>
          <w:szCs w:val="22"/>
        </w:rPr>
        <w:t xml:space="preserve">Quality &amp; Safety Features</w:t>
      </w:r>
    </w:p>
    <w:p>
      <w:pPr>
        <w:spacing w:after="160" w:line="276"/>
      </w:pPr>
      <w:r>
        <w:rPr>
          <w:rFonts w:ascii="Calibri" w:cs="Calibri" w:eastAsia="Calibri" w:hAnsi="Calibri"/>
          <w:sz w:val="22"/>
          <w:szCs w:val="22"/>
        </w:rPr>
        <w:t xml:space="preserve">The Glamping Cabins must meet all appropriate Irish and EU standards.</w:t>
      </w:r>
    </w:p>
    <w:p>
      <w:pPr>
        <w:spacing w:after="160" w:line="276"/>
      </w:pPr>
      <w:r>
        <w:rPr>
          <w:rFonts w:ascii="Calibri" w:cs="Calibri" w:eastAsia="Calibri" w:hAnsi="Calibri"/>
          <w:sz w:val="22"/>
          <w:szCs w:val="22"/>
        </w:rPr>
        <w:t xml:space="preserve">Tenderers must provide details on:</w:t>
      </w:r>
    </w:p>
    <w:p>
      <w:pPr>
        <w:pStyle w:val="ListParagraph"/>
        <w:numPr>
          <w:ilvl w:val="0"/>
          <w:numId w:val="2"/>
        </w:numPr>
        <w:spacing w:after="60" w:line="276"/>
      </w:pPr>
      <w:r>
        <w:rPr>
          <w:rFonts w:ascii="Calibri" w:cs="Calibri" w:eastAsia="Calibri" w:hAnsi="Calibri"/>
          <w:sz w:val="22"/>
          <w:szCs w:val="22"/>
        </w:rPr>
        <w:t xml:space="preserve">Electrical certs (ROI) and other certificates of conformance to regulations should be provided in the tender.</w:t>
      </w:r>
    </w:p>
    <w:p>
      <w:pPr>
        <w:pStyle w:val="ListParagraph"/>
        <w:numPr>
          <w:ilvl w:val="0"/>
          <w:numId w:val="2"/>
        </w:numPr>
        <w:spacing w:after="60" w:line="276"/>
      </w:pPr>
      <w:r>
        <w:rPr>
          <w:rFonts w:ascii="Calibri" w:cs="Calibri" w:eastAsia="Calibri" w:hAnsi="Calibri"/>
          <w:sz w:val="22"/>
          <w:szCs w:val="22"/>
        </w:rPr>
        <w:t xml:space="preserve">Proof of relevant registrations and certificates (Safe Electric, RGII where relevant, structural design competence).</w:t>
      </w:r>
    </w:p>
    <w:p>
      <w:r>
        <w:br w:type="page"/>
      </w:r>
    </w:p>
    <w:p>
      <w:pPr>
        <w:pStyle w:val="Heading1"/>
        <w:spacing w:after="240" w:before="240"/>
      </w:pPr>
      <w:r>
        <w:rPr>
          <w:rFonts w:ascii="Calibri" w:cs="Calibri" w:eastAsia="Calibri" w:hAnsi="Calibri"/>
          <w:b/>
          <w:bCs/>
          <w:color w:val="1F3864"/>
          <w:sz w:val="32"/>
          <w:szCs w:val="32"/>
        </w:rPr>
        <w:t xml:space="preserve">Part 3: Selection and Award Criteria</w:t>
      </w:r>
    </w:p>
    <w:p>
      <w:pPr>
        <w:spacing w:after="160" w:line="276"/>
      </w:pPr>
      <w:r>
        <w:rPr>
          <w:rFonts w:ascii="Calibri" w:cs="Calibri" w:eastAsia="Calibri" w:hAnsi="Calibri"/>
          <w:sz w:val="22"/>
          <w:szCs w:val="22"/>
        </w:rPr>
        <w:t xml:space="preserve">The Contracting Authority is using the open procedure for the award of this contract, therefore, while all interested parties may submit a tender, only those demonstrating that they first satisfy the Selection Criteria will have their tender considered against the Award criteria. In order to demonstrate a tenderers’ qualifications, tenderers are required to provide the information set out below in the Tender Response Document (TRD) which is based on a self-declaration model, however tenderers are required to provide the minimum information required.</w:t>
      </w:r>
    </w:p>
    <w:p>
      <w:pPr>
        <w:pStyle w:val="Heading2"/>
        <w:spacing w:after="160" w:before="200"/>
      </w:pPr>
      <w:r>
        <w:rPr>
          <w:rFonts w:ascii="Calibri" w:cs="Calibri" w:eastAsia="Calibri" w:hAnsi="Calibri"/>
          <w:b/>
          <w:bCs/>
          <w:color w:val="2E5395"/>
          <w:sz w:val="26"/>
          <w:szCs w:val="26"/>
        </w:rPr>
        <w:t xml:space="preserve">3.1 Selection Criteria</w:t>
      </w:r>
    </w:p>
    <w:p>
      <w:pPr>
        <w:spacing w:after="160" w:line="276"/>
      </w:pPr>
      <w:r>
        <w:rPr>
          <w:rFonts w:ascii="Calibri" w:cs="Calibri" w:eastAsia="Calibri" w:hAnsi="Calibri"/>
          <w:sz w:val="22"/>
          <w:szCs w:val="22"/>
        </w:rPr>
        <w:t xml:space="preserve">Tenderers are required to provide the information set out below in the Tender Response Document. The criteria outlined below are assessed on a pass/fail basis. Failure to comply with the requirements will result in your tender being considered inadmissible.</w:t>
      </w:r>
    </w:p>
    <w:p>
      <w:pPr>
        <w:spacing w:after="120" w:before="160"/>
      </w:pPr>
      <w:r>
        <w:rPr>
          <w:rFonts w:ascii="Calibri" w:cs="Calibri" w:eastAsia="Calibri" w:hAnsi="Calibri"/>
          <w:b/>
          <w:bCs/>
          <w:sz w:val="22"/>
          <w:szCs w:val="22"/>
        </w:rPr>
        <w:t xml:space="preserve">A. Suitability</w:t>
      </w:r>
    </w:p>
    <w:p>
      <w:pPr>
        <w:spacing w:after="160" w:line="276"/>
      </w:pPr>
      <w:r>
        <w:rPr>
          <w:rFonts w:ascii="Calibri" w:cs="Calibri" w:eastAsia="Calibri" w:hAnsi="Calibri"/>
          <w:sz w:val="22"/>
          <w:szCs w:val="22"/>
        </w:rPr>
        <w:t xml:space="preserve">The Contracting Authority will only consider tenderers from competent and financially sound and compliant tenderers. To this end, you are required to confirm the following by completing the self-declaration contained in the separate Tender Response Document (TRD).</w:t>
      </w:r>
    </w:p>
    <w:p>
      <w:pPr>
        <w:spacing w:after="100" w:line="276"/>
      </w:pPr>
      <w:r>
        <w:rPr>
          <w:rFonts w:ascii="Calibri" w:cs="Calibri" w:eastAsia="Calibri" w:hAnsi="Calibri"/>
          <w:sz w:val="22"/>
          <w:szCs w:val="22"/>
        </w:rPr>
        <w:t xml:space="preserve">a) General company information.</w:t>
      </w:r>
    </w:p>
    <w:p>
      <w:pPr>
        <w:spacing w:after="100" w:line="276"/>
      </w:pPr>
      <w:r>
        <w:rPr>
          <w:rFonts w:ascii="Calibri" w:cs="Calibri" w:eastAsia="Calibri" w:hAnsi="Calibri"/>
          <w:sz w:val="22"/>
          <w:szCs w:val="22"/>
        </w:rPr>
        <w:t xml:space="preserve">b) Confirmation of tax compliance.</w:t>
      </w:r>
    </w:p>
    <w:p>
      <w:pPr>
        <w:spacing w:after="100" w:line="276"/>
      </w:pPr>
      <w:r>
        <w:rPr>
          <w:rFonts w:ascii="Calibri" w:cs="Calibri" w:eastAsia="Calibri" w:hAnsi="Calibri"/>
          <w:sz w:val="22"/>
          <w:szCs w:val="22"/>
        </w:rPr>
        <w:t xml:space="preserve">c) Confirmation that the tenderer is appropriately insured.</w:t>
      </w:r>
    </w:p>
    <w:p>
      <w:pPr>
        <w:spacing w:after="100" w:line="276"/>
      </w:pPr>
      <w:r>
        <w:rPr>
          <w:rFonts w:ascii="Calibri" w:cs="Calibri" w:eastAsia="Calibri" w:hAnsi="Calibri"/>
          <w:sz w:val="22"/>
          <w:szCs w:val="22"/>
        </w:rPr>
        <w:t xml:space="preserve">d) A minimum turnover requirement is not applicable for this tender. However the tenderer must have been in existence for at least 12 months prior to the publication of this RFT.</w:t>
      </w:r>
    </w:p>
    <w:p>
      <w:pPr>
        <w:spacing w:after="100" w:line="276"/>
      </w:pPr>
      <w:r>
        <w:rPr>
          <w:rFonts w:ascii="Calibri" w:cs="Calibri" w:eastAsia="Calibri" w:hAnsi="Calibri"/>
          <w:sz w:val="22"/>
          <w:szCs w:val="22"/>
        </w:rPr>
        <w:t xml:space="preserve">e) Confirmation via declaration of Bona Fides as per Art. 57 of Directive 2014/24/EU as implemented by SI 284 of May 2016 as contained in the Tender Response Document.</w:t>
      </w:r>
    </w:p>
    <w:p>
      <w:pPr>
        <w:spacing w:after="100" w:line="276"/>
      </w:pPr>
      <w:r>
        <w:rPr>
          <w:rFonts w:ascii="Calibri" w:cs="Calibri" w:eastAsia="Calibri" w:hAnsi="Calibri"/>
          <w:sz w:val="22"/>
          <w:szCs w:val="22"/>
        </w:rPr>
        <w:t xml:space="preserve">f) Confirmation via declaration of compliance with relevant statutory obligations as contained in the Tender Response Document. Where tenderers are established and operating outside of Ireland compliance with equivalent legislation as applicable in the country of establishment / operation is required.</w:t>
      </w:r>
    </w:p>
    <w:p>
      <w:pPr>
        <w:spacing w:after="160" w:line="276"/>
      </w:pPr>
      <w:r>
        <w:rPr>
          <w:rFonts w:ascii="Calibri" w:cs="Calibri" w:eastAsia="Calibri" w:hAnsi="Calibri"/>
          <w:sz w:val="22"/>
          <w:szCs w:val="22"/>
        </w:rPr>
        <w:t xml:space="preserve">Tenderers must be able to provide the supporting evidence required to support the declarations outlined above without delay when requested by the Contracting Authority.</w:t>
      </w:r>
    </w:p>
    <w:p>
      <w:pPr>
        <w:spacing w:after="120" w:before="160"/>
      </w:pPr>
      <w:r>
        <w:rPr>
          <w:rFonts w:ascii="Calibri" w:cs="Calibri" w:eastAsia="Calibri" w:hAnsi="Calibri"/>
          <w:b/>
          <w:bCs/>
          <w:sz w:val="22"/>
          <w:szCs w:val="22"/>
        </w:rPr>
        <w:t xml:space="preserve">B. Client References</w:t>
      </w:r>
    </w:p>
    <w:p>
      <w:pPr>
        <w:spacing w:after="160" w:line="276"/>
      </w:pPr>
      <w:r>
        <w:rPr>
          <w:rFonts w:ascii="Calibri" w:cs="Calibri" w:eastAsia="Calibri" w:hAnsi="Calibri"/>
          <w:sz w:val="22"/>
          <w:szCs w:val="22"/>
        </w:rPr>
        <w:t xml:space="preserve">The Contracting Authority will only consider tenders from tenderers that can demonstrate prior experience of providing comparable goods. To this end, you are required to confirm the following by completing the table contained in the separate Tender Response Document (TRD).</w:t>
      </w:r>
    </w:p>
    <w:p>
      <w:pPr>
        <w:spacing w:after="160" w:line="276"/>
      </w:pPr>
      <w:r>
        <w:rPr>
          <w:rFonts w:ascii="Calibri" w:cs="Calibri" w:eastAsia="Calibri" w:hAnsi="Calibri"/>
          <w:sz w:val="22"/>
          <w:szCs w:val="22"/>
        </w:rPr>
        <w:t xml:space="preserve">a) Confirmation that the tenderer can demonstrate a track record of successful supply of the glamping cabins (or similar cabin / modular accommodation units) proposed in their tender. The tenderer must provide three relevant reference sites of where similar units to that being tendered for have been successfully installed, by completing the table below for each reference.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5400"/>
      </w:tblGrid>
      <w:tr>
        <w:tc>
          <w:tcPr>
            <w:tcW w:type="dxa" w:w="3600"/>
            <w:gridSpan w:val="2"/>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Reference Contract</w:t>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Client Name and Address</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Contact Name</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Contact Number</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Contract Date(s) From / To</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Contract Value €</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Title of Equipment/Model Number</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Describe the contract in full</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r>
        <w:tc>
          <w:tcPr>
            <w:tcW w:type="dxa" w:w="3600"/>
            <w:shd w:fill="D9D9D9" w:val="clear"/>
            <w:tcMar>
              <w:top w:type="dxa" w:w="60"/>
              <w:left w:type="dxa" w:w="100"/>
              <w:bottom w:type="dxa" w:w="60"/>
              <w:right w:type="dxa" w:w="100"/>
            </w:tcMar>
          </w:tcPr>
          <w:p>
            <w:pPr>
              <w:spacing w:after="40"/>
            </w:pPr>
            <w:r>
              <w:rPr>
                <w:rFonts w:ascii="Calibri" w:cs="Calibri" w:eastAsia="Calibri" w:hAnsi="Calibri"/>
                <w:sz w:val="22"/>
                <w:szCs w:val="22"/>
              </w:rPr>
              <w:t xml:space="preserve">Describe the similarities between this contract and the Contracting Authority’s requirements.</w:t>
            </w:r>
          </w:p>
        </w:tc>
        <w:tc>
          <w:tcPr>
            <w:tcW w:type="dxa" w:w="5400"/>
            <w:tcMar>
              <w:top w:type="dxa" w:w="60"/>
              <w:left w:type="dxa" w:w="100"/>
              <w:bottom w:type="dxa" w:w="60"/>
              <w:right w:type="dxa" w:w="100"/>
            </w:tcMar>
          </w:tcPr>
          <w:p>
            <w:pPr>
              <w:spacing w:after="40"/>
            </w:pPr>
            <w:r>
              <w:rPr>
                <w:rFonts w:ascii="Calibri" w:cs="Calibri" w:eastAsia="Calibri" w:hAnsi="Calibri"/>
                <w:sz w:val="22"/>
                <w:szCs w:val="22"/>
              </w:rPr>
              <w:t xml:space="preserve"/>
            </w:r>
          </w:p>
        </w:tc>
      </w:tr>
    </w:tbl>
    <w:p>
      <w:pPr>
        <w:spacing w:after="120" w:line="276"/>
      </w:pPr>
      <w:r>
        <w:rPr>
          <w:rFonts w:ascii="Calibri" w:cs="Calibri" w:eastAsia="Calibri" w:hAnsi="Calibri"/>
          <w:sz w:val="22"/>
          <w:szCs w:val="22"/>
        </w:rPr>
        <w:t xml:space="preserve"/>
      </w:r>
    </w:p>
    <w:p>
      <w:pPr>
        <w:pStyle w:val="Heading2"/>
        <w:spacing w:after="160" w:before="200"/>
      </w:pPr>
      <w:r>
        <w:rPr>
          <w:rFonts w:ascii="Calibri" w:cs="Calibri" w:eastAsia="Calibri" w:hAnsi="Calibri"/>
          <w:b/>
          <w:bCs/>
          <w:color w:val="2E5395"/>
          <w:sz w:val="26"/>
          <w:szCs w:val="26"/>
        </w:rPr>
        <w:t xml:space="preserve">3.2 Award Criteria</w:t>
      </w:r>
    </w:p>
    <w:p>
      <w:pPr>
        <w:spacing w:after="160" w:line="276"/>
      </w:pPr>
      <w:r>
        <w:rPr>
          <w:rFonts w:ascii="Calibri" w:cs="Calibri" w:eastAsia="Calibri" w:hAnsi="Calibri"/>
          <w:sz w:val="22"/>
          <w:szCs w:val="22"/>
        </w:rPr>
        <w:t xml:space="preserve">Only tenders that pass the requirements set out under ‘A. Suitability’ and ‘B. Client references’ will be evaluated against the Award Criteria. The Goods Contract will be awarded on the basis of the most economically advantageous tender(s) as assessed by the Contracting Authority (who is not obliged to accept the lowest or indeed any tender), in accordance with the Award Criteria below: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5400"/>
        <w:gridCol w:w="1800"/>
        <w:gridCol w:w="1800"/>
      </w:tblGrid>
      <w:tr>
        <w:tc>
          <w:tcPr>
            <w:tcW w:type="dxa" w:w="54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Award Criteria</w:t>
            </w:r>
          </w:p>
        </w:tc>
        <w:tc>
          <w:tcPr>
            <w:tcW w:type="dxa" w:w="1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Maximum available marks</w:t>
            </w:r>
          </w:p>
        </w:tc>
        <w:tc>
          <w:tcPr>
            <w:tcW w:type="dxa" w:w="1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Minimum qualifying threshold</w:t>
            </w:r>
          </w:p>
        </w:tc>
      </w:tr>
      <w:tr>
        <w:tc>
          <w:tcPr>
            <w:tcW w:type="dxa" w:w="5400"/>
            <w:tcMar>
              <w:top w:type="dxa" w:w="60"/>
              <w:left w:type="dxa" w:w="100"/>
              <w:bottom w:type="dxa" w:w="60"/>
              <w:right w:type="dxa" w:w="100"/>
            </w:tcMar>
          </w:tcPr>
          <w:p>
            <w:pPr>
              <w:spacing w:after="40"/>
            </w:pPr>
            <w:r>
              <w:rPr>
                <w:rFonts w:ascii="Calibri" w:cs="Calibri" w:eastAsia="Calibri" w:hAnsi="Calibri"/>
                <w:b/>
                <w:bCs/>
                <w:sz w:val="22"/>
                <w:szCs w:val="22"/>
              </w:rPr>
              <w:t xml:space="preserve">1. Specification/Technical Merit (40%)</w:t>
            </w:r>
          </w:p>
          <w:p>
            <w:pPr>
              <w:spacing w:after="40"/>
            </w:pPr>
            <w:r>
              <w:rPr>
                <w:rFonts w:ascii="Calibri" w:cs="Calibri" w:eastAsia="Calibri" w:hAnsi="Calibri"/>
                <w:sz w:val="22"/>
                <w:szCs w:val="22"/>
              </w:rPr>
              <w:t xml:space="preserve">Tenderer’s proposed glamping cabins shall be evaluated on how well the cabins address the requirements set out in part 2 of this RFT. This shall include:</w:t>
            </w:r>
          </w:p>
          <w:p>
            <w:pPr>
              <w:spacing w:after="40"/>
            </w:pPr>
            <w:r>
              <w:rPr>
                <w:rFonts w:ascii="Calibri" w:cs="Calibri" w:eastAsia="Calibri" w:hAnsi="Calibri"/>
                <w:sz w:val="22"/>
                <w:szCs w:val="22"/>
              </w:rPr>
              <w:t xml:space="preserve">• Overall design and creative use of all space within the cabins, the range of features and furnishings provided. Please include photographs of the proposed cabins and include any design layout drawings, specifications and any other information which you believe illustrates the merits of your design.</w:t>
            </w:r>
          </w:p>
          <w:p>
            <w:pPr>
              <w:spacing w:after="40"/>
            </w:pPr>
            <w:r>
              <w:rPr>
                <w:rFonts w:ascii="Calibri" w:cs="Calibri" w:eastAsia="Calibri" w:hAnsi="Calibri"/>
                <w:sz w:val="22"/>
                <w:szCs w:val="22"/>
              </w:rPr>
              <w:t xml:space="preserve">• Quality &amp; Safety Features – to include a thorough description of the quality and finish of the cabins and materials used in their manufacture, evidence of the thermal performance required in Part 2, and details of appropriate safety features, certifications etc. Please provide electrical certs (ROI) and other certificates of conformance to regulations.</w:t>
            </w:r>
          </w:p>
        </w:tc>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400</w:t>
            </w:r>
          </w:p>
        </w:tc>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240</w:t>
            </w:r>
          </w:p>
        </w:tc>
      </w:tr>
      <w:tr>
        <w:tc>
          <w:tcPr>
            <w:tcW w:type="dxa" w:w="5400"/>
            <w:tcMar>
              <w:top w:type="dxa" w:w="60"/>
              <w:left w:type="dxa" w:w="100"/>
              <w:bottom w:type="dxa" w:w="60"/>
              <w:right w:type="dxa" w:w="100"/>
            </w:tcMar>
          </w:tcPr>
          <w:p>
            <w:pPr>
              <w:spacing w:after="40"/>
            </w:pPr>
            <w:r>
              <w:rPr>
                <w:rFonts w:ascii="Calibri" w:cs="Calibri" w:eastAsia="Calibri" w:hAnsi="Calibri"/>
                <w:b/>
                <w:bCs/>
                <w:sz w:val="22"/>
                <w:szCs w:val="22"/>
              </w:rPr>
              <w:t xml:space="preserve">2. Delivery, Installation and Assembly (20%)</w:t>
            </w:r>
          </w:p>
          <w:p>
            <w:pPr>
              <w:spacing w:after="40"/>
            </w:pPr>
            <w:r>
              <w:rPr>
                <w:rFonts w:ascii="Calibri" w:cs="Calibri" w:eastAsia="Calibri" w:hAnsi="Calibri"/>
                <w:sz w:val="22"/>
                <w:szCs w:val="22"/>
              </w:rPr>
              <w:t xml:space="preserve">Tenderer’s approach shall be evaluated on:</w:t>
            </w:r>
          </w:p>
          <w:p>
            <w:pPr>
              <w:spacing w:after="40"/>
            </w:pPr>
            <w:r>
              <w:rPr>
                <w:rFonts w:ascii="Calibri" w:cs="Calibri" w:eastAsia="Calibri" w:hAnsi="Calibri"/>
                <w:sz w:val="22"/>
                <w:szCs w:val="22"/>
              </w:rPr>
              <w:t xml:space="preserve">• Lead Time &amp; Delivery.</w:t>
            </w:r>
          </w:p>
          <w:p>
            <w:pPr>
              <w:spacing w:after="40"/>
            </w:pPr>
            <w:r>
              <w:rPr>
                <w:rFonts w:ascii="Calibri" w:cs="Calibri" w:eastAsia="Calibri" w:hAnsi="Calibri"/>
                <w:sz w:val="22"/>
                <w:szCs w:val="22"/>
              </w:rPr>
              <w:t xml:space="preserve">• Installation / Assembly method. Please include full and comprehensive equipment installation and operation instructions.</w:t>
            </w:r>
          </w:p>
        </w:tc>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200</w:t>
            </w:r>
          </w:p>
        </w:tc>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120</w:t>
            </w:r>
          </w:p>
        </w:tc>
      </w:tr>
      <w:tr>
        <w:tc>
          <w:tcPr>
            <w:tcW w:type="dxa" w:w="5400"/>
            <w:tcMar>
              <w:top w:type="dxa" w:w="60"/>
              <w:left w:type="dxa" w:w="100"/>
              <w:bottom w:type="dxa" w:w="60"/>
              <w:right w:type="dxa" w:w="100"/>
            </w:tcMar>
          </w:tcPr>
          <w:p>
            <w:pPr>
              <w:spacing w:after="40"/>
            </w:pPr>
            <w:r>
              <w:rPr>
                <w:rFonts w:ascii="Calibri" w:cs="Calibri" w:eastAsia="Calibri" w:hAnsi="Calibri"/>
                <w:b/>
                <w:bCs/>
                <w:sz w:val="22"/>
                <w:szCs w:val="22"/>
              </w:rPr>
              <w:t xml:space="preserve">3. After Sales Service, Maintenance and Technical Support (20%)</w:t>
            </w:r>
          </w:p>
          <w:p>
            <w:pPr>
              <w:spacing w:after="40"/>
            </w:pPr>
            <w:r>
              <w:rPr>
                <w:rFonts w:ascii="Calibri" w:cs="Calibri" w:eastAsia="Calibri" w:hAnsi="Calibri"/>
                <w:sz w:val="22"/>
                <w:szCs w:val="22"/>
              </w:rPr>
              <w:t xml:space="preserve">• Tenderers must demonstrate that they satisfy the Supplier Criteria set out in part 2 of the RFT.</w:t>
            </w:r>
          </w:p>
          <w:p>
            <w:pPr>
              <w:spacing w:after="40"/>
            </w:pPr>
            <w:r>
              <w:rPr>
                <w:rFonts w:ascii="Calibri" w:cs="Calibri" w:eastAsia="Calibri" w:hAnsi="Calibri"/>
                <w:sz w:val="22"/>
                <w:szCs w:val="22"/>
              </w:rPr>
              <w:t xml:space="preserve">• Tenderers’ after sales service, maintenance and technical support shall be evaluated on: Warranty; Maintenance &amp; Repair Support.</w:t>
            </w:r>
          </w:p>
          <w:p>
            <w:pPr>
              <w:spacing w:after="40"/>
            </w:pPr>
            <w:r>
              <w:rPr>
                <w:rFonts w:ascii="Calibri" w:cs="Calibri" w:eastAsia="Calibri" w:hAnsi="Calibri"/>
                <w:i/>
                <w:iCs/>
                <w:sz w:val="22"/>
                <w:szCs w:val="22"/>
              </w:rPr>
              <w:t xml:space="preserve">Note: Optional pricing may be provided for Warranty, Customer Support and Preventative Maintenance Plans in the Pricing Schedule. While these items will not be evaluated under Award Criterion 4, they shall be noted as part of the evaluation for this award criterion.</w:t>
            </w:r>
          </w:p>
        </w:tc>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200</w:t>
            </w:r>
          </w:p>
        </w:tc>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120</w:t>
            </w:r>
          </w:p>
        </w:tc>
      </w:tr>
      <w:tr>
        <w:tc>
          <w:tcPr>
            <w:tcW w:type="dxa" w:w="5400"/>
            <w:tcMar>
              <w:top w:type="dxa" w:w="60"/>
              <w:left w:type="dxa" w:w="100"/>
              <w:bottom w:type="dxa" w:w="60"/>
              <w:right w:type="dxa" w:w="100"/>
            </w:tcMar>
          </w:tcPr>
          <w:p>
            <w:pPr>
              <w:spacing w:after="40"/>
            </w:pPr>
            <w:r>
              <w:rPr>
                <w:rFonts w:ascii="Calibri" w:cs="Calibri" w:eastAsia="Calibri" w:hAnsi="Calibri"/>
                <w:b/>
                <w:bCs/>
                <w:sz w:val="22"/>
                <w:szCs w:val="22"/>
              </w:rPr>
              <w:t xml:space="preserve">4. Overall Cost (20%)</w:t>
            </w:r>
          </w:p>
          <w:p>
            <w:pPr>
              <w:spacing w:after="40"/>
            </w:pPr>
            <w:r>
              <w:rPr>
                <w:rFonts w:ascii="Calibri" w:cs="Calibri" w:eastAsia="Calibri" w:hAnsi="Calibri"/>
                <w:sz w:val="22"/>
                <w:szCs w:val="22"/>
              </w:rPr>
              <w:t xml:space="preserve">Tenderer’s cost shall be evaluated on Total Purchase Cost provided in the Pricing Schedule.</w:t>
            </w:r>
          </w:p>
          <w:p>
            <w:pPr>
              <w:spacing w:after="40"/>
            </w:pPr>
            <w:r>
              <w:rPr>
                <w:rFonts w:ascii="Calibri" w:cs="Calibri" w:eastAsia="Calibri" w:hAnsi="Calibri"/>
                <w:sz w:val="22"/>
                <w:szCs w:val="22"/>
              </w:rPr>
              <w:t xml:space="preserve">Tenderers are also asked to confirm their acceptance of the proposed payment schedule.</w:t>
            </w:r>
          </w:p>
        </w:tc>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200</w:t>
            </w:r>
          </w:p>
        </w:tc>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N/A</w:t>
            </w:r>
          </w:p>
        </w:tc>
      </w:tr>
    </w:tbl>
    <w:p>
      <w:pPr>
        <w:spacing w:after="120" w:line="276"/>
      </w:pPr>
      <w:r>
        <w:rPr>
          <w:rFonts w:ascii="Calibri" w:cs="Calibri" w:eastAsia="Calibri" w:hAnsi="Calibri"/>
          <w:sz w:val="22"/>
          <w:szCs w:val="22"/>
        </w:rPr>
        <w:t xml:space="preserve"/>
      </w:r>
    </w:p>
    <w:p>
      <w:pPr>
        <w:spacing w:after="160" w:line="276"/>
      </w:pPr>
      <w:r>
        <w:rPr>
          <w:rFonts w:ascii="Calibri" w:cs="Calibri" w:eastAsia="Calibri" w:hAnsi="Calibri"/>
          <w:sz w:val="22"/>
          <w:szCs w:val="22"/>
        </w:rPr>
        <w:t xml:space="preserve">Tenderers must submit the Tender Response Document (TRD) that accompanies this RFT. Tenderers must also complete and submit the accompanying Pricing Schedule Document. Tenderers should ensure that they have submitted sufficient relevant information to allow their tenders to be assessed under each of the award criteria set out above.</w:t>
      </w:r>
    </w:p>
    <w:p>
      <w:pPr>
        <w:spacing w:after="160" w:line="276"/>
      </w:pPr>
      <w:r>
        <w:rPr>
          <w:rFonts w:ascii="Calibri" w:cs="Calibri" w:eastAsia="Calibri" w:hAnsi="Calibri"/>
          <w:sz w:val="22"/>
          <w:szCs w:val="22"/>
        </w:rPr>
        <w:t xml:space="preserve">Qualitative award criteria will be assessed first.</w:t>
      </w:r>
    </w:p>
    <w:p>
      <w:pPr>
        <w:spacing w:after="160" w:line="276"/>
      </w:pPr>
      <w:r>
        <w:rPr>
          <w:rFonts w:ascii="Calibri" w:cs="Calibri" w:eastAsia="Calibri" w:hAnsi="Calibri"/>
          <w:sz w:val="22"/>
          <w:szCs w:val="22"/>
        </w:rPr>
        <w:t xml:space="preserve">Only those Tenders that score a mark equal to or in excess of the minimum qualifying threshold (as shown in the table above) for award criteria 1 to 3 will proceed to be evaluated under award criterion 4 (cost).</w:t>
      </w:r>
    </w:p>
    <w:p>
      <w:pPr>
        <w:spacing w:after="160" w:line="276"/>
      </w:pPr>
      <w:r>
        <w:rPr>
          <w:rFonts w:ascii="Calibri" w:cs="Calibri" w:eastAsia="Calibri" w:hAnsi="Calibri"/>
          <w:sz w:val="22"/>
          <w:szCs w:val="22"/>
        </w:rPr>
        <w:t xml:space="preserve">Tenderers which fail to achieve the minimum qualifying thresholds will result in the Tenderer being eliminated from the competition and no further evaluation of its Tender will be carried out. Also in such circumstances, the Tenderer’s Pricing Schedule will not be evaluated.</w:t>
      </w:r>
    </w:p>
    <w:p>
      <w:pPr>
        <w:spacing w:after="160" w:line="276"/>
      </w:pPr>
      <w:r>
        <w:rPr>
          <w:rFonts w:ascii="Calibri" w:cs="Calibri" w:eastAsia="Calibri" w:hAnsi="Calibri"/>
          <w:sz w:val="22"/>
          <w:szCs w:val="22"/>
        </w:rPr>
        <w:t xml:space="preserve">Scoring of the qualitative award criteria will be based on an assessment of the information provided by Tenderers and each response element will be awarded marks using the following scoring methodology.</w:t>
      </w:r>
    </w:p>
    <w:p>
      <w:pPr>
        <w:spacing w:after="120" w:before="160"/>
      </w:pPr>
      <w:r>
        <w:rPr>
          <w:rFonts w:ascii="Calibri" w:cs="Calibri" w:eastAsia="Calibri" w:hAnsi="Calibri"/>
          <w:b/>
          <w:bCs/>
          <w:sz w:val="22"/>
          <w:szCs w:val="22"/>
          <w:u w:val="single"/>
        </w:rPr>
        <w:t xml:space="preserve">Scoring Methodology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800"/>
        <w:gridCol w:w="7200"/>
      </w:tblGrid>
      <w:tr>
        <w:tc>
          <w:tcPr>
            <w:tcW w:type="dxa" w:w="18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Weighting</w:t>
            </w:r>
          </w:p>
        </w:tc>
        <w:tc>
          <w:tcPr>
            <w:tcW w:type="dxa" w:w="72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Meaning</w:t>
            </w:r>
          </w:p>
        </w:tc>
      </w:tr>
      <w:tr>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91% - 100%</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Excellent response with very few or no weaknesses, exceeds requirements, and provides comprehensive, detailed, and convincing assurance that the Tenderer will deliver to an excellent standard.</w:t>
            </w:r>
          </w:p>
        </w:tc>
      </w:tr>
      <w:tr>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80% - 90%</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A very good response that demonstrates real understanding and fully meets the requirements and assurance that the Tenderer will deliver to high standard.</w:t>
            </w:r>
          </w:p>
        </w:tc>
      </w:tr>
      <w:tr>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60% - 79%</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A satisfactory response which demonstrates a reasonable understanding of requirements and gives reasonable assurance of delivery to an adequate standard but does not provide sufficiently convincing assurance to award a higher mark.</w:t>
            </w:r>
          </w:p>
        </w:tc>
      </w:tr>
      <w:tr>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30% - 59%</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A response where reservations exist. Lacks full credibility/convincing detail, and there is a significant risk that the response will not be successful.</w:t>
            </w:r>
          </w:p>
        </w:tc>
      </w:tr>
      <w:tr>
        <w:tc>
          <w:tcPr>
            <w:tcW w:type="dxa" w:w="18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1% - 29%</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A response where serious reservations exist. This may be because, for example, insufficient detail is provided, and the response has fundamental flaws, or is seriously inadequate or seriously lacks credibility with a high risk of non-delivery.</w:t>
            </w:r>
          </w:p>
        </w:tc>
      </w:tr>
      <w:tr>
        <w:tc>
          <w:tcPr>
            <w:tcW w:type="dxa" w:w="1800"/>
            <w:tcMar>
              <w:top w:type="dxa" w:w="60"/>
              <w:left w:type="dxa" w:w="100"/>
              <w:bottom w:type="dxa" w:w="60"/>
              <w:right w:type="dxa" w:w="100"/>
            </w:tcMar>
          </w:tcPr>
          <w:p>
            <w:pPr>
              <w:spacing w:after="40"/>
            </w:pPr>
            <w:r>
              <w:rPr>
                <w:rFonts w:ascii="Calibri" w:cs="Calibri" w:eastAsia="Calibri" w:hAnsi="Calibri"/>
                <w:sz w:val="22"/>
                <w:szCs w:val="22"/>
              </w:rPr>
              <w:t xml:space="preserve">0%</w:t>
            </w:r>
          </w:p>
        </w:tc>
        <w:tc>
          <w:tcPr>
            <w:tcW w:type="dxa" w:w="7200"/>
            <w:tcMar>
              <w:top w:type="dxa" w:w="60"/>
              <w:left w:type="dxa" w:w="100"/>
              <w:bottom w:type="dxa" w:w="60"/>
              <w:right w:type="dxa" w:w="100"/>
            </w:tcMar>
          </w:tcPr>
          <w:p>
            <w:pPr>
              <w:spacing w:after="40"/>
            </w:pPr>
            <w:r>
              <w:rPr>
                <w:rFonts w:ascii="Calibri" w:cs="Calibri" w:eastAsia="Calibri" w:hAnsi="Calibri"/>
                <w:sz w:val="22"/>
                <w:szCs w:val="22"/>
              </w:rPr>
              <w:t xml:space="preserve">Response completely fails to address the criterion under consideration.</w:t>
            </w:r>
          </w:p>
        </w:tc>
      </w:tr>
    </w:tbl>
    <w:p>
      <w:pPr>
        <w:spacing w:after="120" w:line="276"/>
      </w:pPr>
      <w:r>
        <w:rPr>
          <w:rFonts w:ascii="Calibri" w:cs="Calibri" w:eastAsia="Calibri" w:hAnsi="Calibri"/>
          <w:sz w:val="22"/>
          <w:szCs w:val="22"/>
        </w:rPr>
        <w:t xml:space="preserve"/>
      </w:r>
    </w:p>
    <w:p>
      <w:pPr>
        <w:spacing w:after="120" w:before="160"/>
      </w:pPr>
      <w:r>
        <w:rPr>
          <w:rFonts w:ascii="Calibri" w:cs="Calibri" w:eastAsia="Calibri" w:hAnsi="Calibri"/>
          <w:b/>
          <w:bCs/>
          <w:sz w:val="22"/>
          <w:szCs w:val="22"/>
          <w:u w:val="single"/>
        </w:rPr>
        <w:t xml:space="preserve">Scoring Methodology for Cost Assessment</w:t>
      </w:r>
    </w:p>
    <w:p>
      <w:pPr>
        <w:spacing w:after="160" w:line="276"/>
      </w:pPr>
      <w:r>
        <w:rPr>
          <w:rFonts w:ascii="Calibri" w:cs="Calibri" w:eastAsia="Calibri" w:hAnsi="Calibri"/>
          <w:sz w:val="22"/>
          <w:szCs w:val="22"/>
        </w:rPr>
        <w:t xml:space="preserve">Tenderers are required to complete the Pricing Schedule (see Appendix 2 of this RFT document). Award criterion 4 (cost) will be determined using the following formula:</w:t>
      </w:r>
    </w:p>
    <w:p>
      <w:pPr>
        <w:spacing w:after="160" w:line="276"/>
        <w:jc w:val="center"/>
      </w:pPr>
      <w:r>
        <w:rPr>
          <w:rFonts w:ascii="Calibri" w:cs="Calibri" w:eastAsia="Calibri" w:hAnsi="Calibri"/>
          <w:b/>
          <w:bCs/>
          <w:sz w:val="22"/>
          <w:szCs w:val="22"/>
        </w:rPr>
        <w:t xml:space="preserve">Cost Score = (Lowest Tendered Rate ÷ Tendered Rate under evaluation) × Maximum Number of Marks Available</w:t>
      </w:r>
    </w:p>
    <w:p>
      <w:pPr>
        <w:pStyle w:val="Heading2"/>
        <w:spacing w:after="160" w:before="200"/>
      </w:pPr>
      <w:r>
        <w:rPr>
          <w:rFonts w:ascii="Calibri" w:cs="Calibri" w:eastAsia="Calibri" w:hAnsi="Calibri"/>
          <w:b/>
          <w:bCs/>
          <w:color w:val="2E5395"/>
          <w:sz w:val="26"/>
          <w:szCs w:val="26"/>
        </w:rPr>
        <w:t xml:space="preserve">3.3 Presentation of proposals</w:t>
      </w:r>
    </w:p>
    <w:p>
      <w:pPr>
        <w:spacing w:after="160" w:line="276"/>
      </w:pPr>
      <w:r>
        <w:rPr>
          <w:rFonts w:ascii="Calibri" w:cs="Calibri" w:eastAsia="Calibri" w:hAnsi="Calibri"/>
          <w:sz w:val="22"/>
          <w:szCs w:val="22"/>
        </w:rPr>
        <w:t xml:space="preserve">Tenderers may be required to make </w:t>
      </w:r>
      <w:r>
        <w:rPr>
          <w:rFonts w:ascii="Calibri" w:cs="Calibri" w:eastAsia="Calibri" w:hAnsi="Calibri"/>
          <w:b/>
          <w:bCs/>
          <w:sz w:val="22"/>
          <w:szCs w:val="22"/>
        </w:rPr>
        <w:t xml:space="preserve">an in-person</w:t>
      </w:r>
      <w:r>
        <w:rPr>
          <w:rFonts w:ascii="Calibri" w:cs="Calibri" w:eastAsia="Calibri" w:hAnsi="Calibri"/>
          <w:sz w:val="22"/>
          <w:szCs w:val="22"/>
        </w:rPr>
        <w:t xml:space="preserve"> presentation of the proposal contained in their Tender. The Contracting Authority will not be responsible for the cost of such presentations (in accordance with paragraph 4.8). </w:t>
      </w:r>
      <w:r>
        <w:rPr>
          <w:rFonts w:ascii="Calibri" w:cs="Calibri" w:eastAsia="Calibri" w:hAnsi="Calibri"/>
          <w:b/>
          <w:bCs/>
          <w:sz w:val="22"/>
          <w:szCs w:val="22"/>
          <w:u w:val="single"/>
        </w:rPr>
        <w:t xml:space="preserve">Performance at presentations will NOT be evaluated.</w:t>
      </w:r>
    </w:p>
    <w:p>
      <w:r>
        <w:br w:type="page"/>
      </w:r>
    </w:p>
    <w:p>
      <w:pPr>
        <w:pStyle w:val="Heading1"/>
        <w:spacing w:after="240" w:before="240"/>
      </w:pPr>
      <w:r>
        <w:rPr>
          <w:rFonts w:ascii="Calibri" w:cs="Calibri" w:eastAsia="Calibri" w:hAnsi="Calibri"/>
          <w:b/>
          <w:bCs/>
          <w:color w:val="1F3864"/>
          <w:sz w:val="32"/>
          <w:szCs w:val="32"/>
        </w:rPr>
        <w:t xml:space="preserve">Part 4: Instructions to Tenderers</w:t>
      </w:r>
    </w:p>
    <w:p>
      <w:pPr>
        <w:pStyle w:val="Heading2"/>
        <w:spacing w:after="160" w:before="200"/>
      </w:pPr>
      <w:r>
        <w:rPr>
          <w:rFonts w:ascii="Calibri" w:cs="Calibri" w:eastAsia="Calibri" w:hAnsi="Calibri"/>
          <w:b/>
          <w:bCs/>
          <w:color w:val="2E5395"/>
          <w:sz w:val="26"/>
          <w:szCs w:val="26"/>
        </w:rPr>
        <w:t xml:space="preserve">4.1 Important Notices</w:t>
      </w:r>
    </w:p>
    <w:p>
      <w:pPr>
        <w:spacing w:after="160" w:line="276"/>
      </w:pPr>
      <w:r>
        <w:rPr>
          <w:rFonts w:ascii="Calibri" w:cs="Calibri" w:eastAsia="Calibri" w:hAnsi="Calibri"/>
          <w:b/>
          <w:bCs/>
          <w:color w:val="2E5395"/>
          <w:sz w:val="22"/>
          <w:szCs w:val="22"/>
        </w:rPr>
        <w:t xml:space="preserve">4.1.1 </w:t>
      </w:r>
      <w:r>
        <w:rPr>
          <w:rFonts w:ascii="Calibri" w:cs="Calibri" w:eastAsia="Calibri" w:hAnsi="Calibri"/>
          <w:sz w:val="22"/>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p>
      <w:pPr>
        <w:spacing w:after="160" w:line="276"/>
      </w:pPr>
      <w:r>
        <w:rPr>
          <w:rFonts w:ascii="Calibri" w:cs="Calibri" w:eastAsia="Calibri" w:hAnsi="Calibri"/>
          <w:b/>
          <w:bCs/>
          <w:color w:val="2E5395"/>
          <w:sz w:val="22"/>
          <w:szCs w:val="22"/>
        </w:rPr>
        <w:t xml:space="preserve">4.1.2 </w:t>
      </w:r>
      <w:r>
        <w:rPr>
          <w:rFonts w:ascii="Calibri" w:cs="Calibri" w:eastAsia="Calibri" w:hAnsi="Calibri"/>
          <w:sz w:val="22"/>
          <w:szCs w:val="22"/>
        </w:rPr>
        <w:t xml:space="preserve">This RFT supersedes and replaces any and all previous documentation, communications and correspondence between the Contracting Authority and Tenderers, and Tenderers should place no reliance on such previous documentation and correspondence.</w:t>
      </w:r>
    </w:p>
    <w:p>
      <w:pPr>
        <w:spacing w:after="160" w:line="276"/>
      </w:pPr>
      <w:r>
        <w:rPr>
          <w:rFonts w:ascii="Calibri" w:cs="Calibri" w:eastAsia="Calibri" w:hAnsi="Calibri"/>
          <w:b/>
          <w:bCs/>
          <w:color w:val="2E5395"/>
          <w:sz w:val="22"/>
          <w:szCs w:val="22"/>
        </w:rPr>
        <w:t xml:space="preserve">4.1.3 </w:t>
      </w:r>
      <w:r>
        <w:rPr>
          <w:rFonts w:ascii="Calibri" w:cs="Calibri" w:eastAsia="Calibri" w:hAnsi="Calibri"/>
          <w:sz w:val="22"/>
          <w:szCs w:val="22"/>
        </w:rPr>
        <w:t xml:space="preserve">In this clause 4.1.3,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pPr>
        <w:spacing w:after="160" w:line="276"/>
      </w:pPr>
      <w:r>
        <w:rPr>
          <w:rFonts w:ascii="Calibri" w:cs="Calibri" w:eastAsia="Calibri" w:hAnsi="Calibri"/>
          <w:sz w:val="22"/>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pPr>
        <w:spacing w:after="160" w:line="276"/>
      </w:pPr>
      <w:r>
        <w:rPr>
          <w:rFonts w:ascii="Calibri" w:cs="Calibri" w:eastAsia="Calibri" w:hAnsi="Calibri"/>
          <w:sz w:val="22"/>
          <w:szCs w:val="22"/>
        </w:rPr>
        <w:t xml:space="preserve">The Tenderer, as Data Controller in respect of any Personal Data provided by it in its Tender, is required to confirm in the statement required under paragraph 4.4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pPr>
        <w:pStyle w:val="Heading2"/>
        <w:spacing w:after="160" w:before="200"/>
      </w:pPr>
      <w:r>
        <w:rPr>
          <w:rFonts w:ascii="Calibri" w:cs="Calibri" w:eastAsia="Calibri" w:hAnsi="Calibri"/>
          <w:b/>
          <w:bCs/>
          <w:color w:val="2E5395"/>
          <w:sz w:val="26"/>
          <w:szCs w:val="26"/>
        </w:rPr>
        <w:t xml:space="preserve">4.2 Compliant Tenders</w:t>
      </w:r>
    </w:p>
    <w:p>
      <w:pPr>
        <w:spacing w:after="160" w:line="276"/>
      </w:pPr>
      <w:r>
        <w:rPr>
          <w:rFonts w:ascii="Calibri" w:cs="Calibri" w:eastAsia="Calibri" w:hAnsi="Calibri"/>
          <w:b/>
          <w:bCs/>
          <w:color w:val="2E5395"/>
          <w:sz w:val="22"/>
          <w:szCs w:val="22"/>
        </w:rPr>
        <w:t xml:space="preserve">4.2.1 </w:t>
      </w:r>
      <w:r>
        <w:rPr>
          <w:rFonts w:ascii="Calibri" w:cs="Calibri" w:eastAsia="Calibri" w:hAnsi="Calibri"/>
          <w:sz w:val="22"/>
          <w:szCs w:val="22"/>
        </w:rPr>
        <w:t xml:space="preserve">If a Tenderer fails to comply in any respect with the requirements of this paragraph 4.2.1, the Contracting Authority reserves the right to reject the Tenderer’s Tender as non-compliant or, without prejudice to this right and subject to its obligations at law, to take any other action it considers appropriate including but not limited to:</w:t>
      </w:r>
    </w:p>
    <w:p>
      <w:pPr>
        <w:pStyle w:val="ListParagraph"/>
        <w:numPr>
          <w:ilvl w:val="0"/>
          <w:numId w:val="2"/>
        </w:numPr>
        <w:spacing w:after="60" w:line="276"/>
      </w:pPr>
      <w:r>
        <w:rPr>
          <w:rFonts w:ascii="Calibri" w:cs="Calibri" w:eastAsia="Calibri" w:hAnsi="Calibri"/>
          <w:sz w:val="22"/>
          <w:szCs w:val="22"/>
        </w:rPr>
        <w:t xml:space="preserve">seeking written clarification from the Tenderer;</w:t>
      </w:r>
    </w:p>
    <w:p>
      <w:pPr>
        <w:pStyle w:val="ListParagraph"/>
        <w:numPr>
          <w:ilvl w:val="0"/>
          <w:numId w:val="2"/>
        </w:numPr>
        <w:spacing w:after="60" w:line="276"/>
      </w:pPr>
      <w:r>
        <w:rPr>
          <w:rFonts w:ascii="Calibri" w:cs="Calibri" w:eastAsia="Calibri" w:hAnsi="Calibri"/>
          <w:sz w:val="22"/>
          <w:szCs w:val="22"/>
        </w:rPr>
        <w:t xml:space="preserve">seeking further information from the Tenderer; or</w:t>
      </w:r>
    </w:p>
    <w:p>
      <w:pPr>
        <w:pStyle w:val="ListParagraph"/>
        <w:numPr>
          <w:ilvl w:val="0"/>
          <w:numId w:val="2"/>
        </w:numPr>
        <w:spacing w:after="60" w:line="276"/>
      </w:pPr>
      <w:r>
        <w:rPr>
          <w:rFonts w:ascii="Calibri" w:cs="Calibri" w:eastAsia="Calibri" w:hAnsi="Calibri"/>
          <w:sz w:val="22"/>
          <w:szCs w:val="22"/>
        </w:rPr>
        <w:t xml:space="preserve">waiving a requirement, which in the Contracting Authority’s view, is non-material or procedural.</w:t>
      </w:r>
    </w:p>
    <w:p>
      <w:pPr>
        <w:spacing w:after="160" w:line="276"/>
      </w:pPr>
      <w:r>
        <w:rPr>
          <w:rFonts w:ascii="Calibri" w:cs="Calibri" w:eastAsia="Calibri" w:hAnsi="Calibri"/>
          <w:sz w:val="22"/>
          <w:szCs w:val="22"/>
        </w:rPr>
        <w:t xml:space="preserve">Tenderers are required:</w:t>
      </w:r>
    </w:p>
    <w:p>
      <w:pPr>
        <w:spacing w:after="100" w:line="276"/>
      </w:pPr>
      <w:r>
        <w:rPr>
          <w:rFonts w:ascii="Calibri" w:cs="Calibri" w:eastAsia="Calibri" w:hAnsi="Calibri"/>
          <w:sz w:val="22"/>
          <w:szCs w:val="22"/>
        </w:rPr>
        <w:t xml:space="preserve">(a) To complete and submit the Tender Response Document and Pricing Schedule that accompanies this RFT;</w:t>
      </w:r>
    </w:p>
    <w:p>
      <w:pPr>
        <w:spacing w:after="100" w:line="276"/>
      </w:pPr>
      <w:r>
        <w:rPr>
          <w:rFonts w:ascii="Calibri" w:cs="Calibri" w:eastAsia="Calibri" w:hAnsi="Calibri"/>
          <w:sz w:val="22"/>
          <w:szCs w:val="22"/>
        </w:rPr>
        <w:t xml:space="preserve">(b) To complete, sign and submit the declarations set out in the Tender Response Document that accompanies this RFT;</w:t>
      </w:r>
    </w:p>
    <w:p>
      <w:pPr>
        <w:spacing w:after="100" w:line="276"/>
      </w:pPr>
      <w:r>
        <w:rPr>
          <w:rFonts w:ascii="Calibri" w:cs="Calibri" w:eastAsia="Calibri" w:hAnsi="Calibri"/>
          <w:sz w:val="22"/>
          <w:szCs w:val="22"/>
        </w:rPr>
        <w:t xml:space="preserve">(c) To submit all documentation which this RFT requires to be submitted with their Tender;</w:t>
      </w:r>
    </w:p>
    <w:p>
      <w:pPr>
        <w:spacing w:after="100" w:line="276"/>
      </w:pPr>
      <w:r>
        <w:rPr>
          <w:rFonts w:ascii="Calibri" w:cs="Calibri" w:eastAsia="Calibri" w:hAnsi="Calibri"/>
          <w:sz w:val="22"/>
          <w:szCs w:val="22"/>
        </w:rPr>
        <w:t xml:space="preserve">(d) To conform to and comply with all instructions and requirements set out within this RFT;</w:t>
      </w:r>
    </w:p>
    <w:p>
      <w:pPr>
        <w:spacing w:after="100" w:line="276"/>
      </w:pPr>
      <w:r>
        <w:rPr>
          <w:rFonts w:ascii="Calibri" w:cs="Calibri" w:eastAsia="Calibri" w:hAnsi="Calibri"/>
          <w:sz w:val="22"/>
          <w:szCs w:val="22"/>
        </w:rPr>
        <w:t xml:space="preserve">(e) To submit the statement required under paragraph 4.4 below; and</w:t>
      </w:r>
    </w:p>
    <w:p>
      <w:pPr>
        <w:spacing w:after="100" w:line="276"/>
      </w:pPr>
      <w:r>
        <w:rPr>
          <w:rFonts w:ascii="Calibri" w:cs="Calibri" w:eastAsia="Calibri" w:hAnsi="Calibri"/>
          <w:sz w:val="22"/>
          <w:szCs w:val="22"/>
        </w:rPr>
        <w:t xml:space="preserve">(f) Not to alter or edit this RFT in any way.</w:t>
      </w:r>
    </w:p>
    <w:p>
      <w:pPr>
        <w:spacing w:after="160" w:line="276"/>
      </w:pPr>
      <w:r>
        <w:rPr>
          <w:rFonts w:ascii="Calibri" w:cs="Calibri" w:eastAsia="Calibri" w:hAnsi="Calibri"/>
          <w:b/>
          <w:bCs/>
          <w:color w:val="2E5395"/>
          <w:sz w:val="22"/>
          <w:szCs w:val="22"/>
        </w:rPr>
        <w:t xml:space="preserve">4.2.2 </w:t>
      </w:r>
      <w:r>
        <w:rPr>
          <w:rFonts w:ascii="Calibri" w:cs="Calibri" w:eastAsia="Calibri" w:hAnsi="Calibri"/>
          <w:sz w:val="22"/>
          <w:szCs w:val="22"/>
        </w:rPr>
        <w:t xml:space="preserve">Without prejudice to the generality of paragraph 4.2.1, failure to comply with paragraph 4.6.1, 4.6.2 or 4.6.3 below will render the Tender non-compliant and it will be rejected.</w:t>
      </w:r>
    </w:p>
    <w:p>
      <w:pPr>
        <w:spacing w:after="160" w:line="276"/>
      </w:pPr>
      <w:r>
        <w:rPr>
          <w:rFonts w:ascii="Calibri" w:cs="Calibri" w:eastAsia="Calibri" w:hAnsi="Calibri"/>
          <w:b/>
          <w:bCs/>
          <w:color w:val="2E5395"/>
          <w:sz w:val="22"/>
          <w:szCs w:val="22"/>
        </w:rPr>
        <w:t xml:space="preserve">4.2.3 </w:t>
      </w:r>
      <w:r>
        <w:rPr>
          <w:rFonts w:ascii="Calibri" w:cs="Calibri" w:eastAsia="Calibri" w:hAnsi="Calibri"/>
          <w:sz w:val="22"/>
          <w:szCs w:val="22"/>
        </w:rPr>
        <w:t xml:space="preserve">The Contracting Authority also reserves the right to exclude from evaluation a Tenderer to whom a discretionary ground for exclusion pursuant to Regulation 57 of the Regulations applies.</w:t>
      </w:r>
    </w:p>
    <w:p>
      <w:pPr>
        <w:spacing w:after="160" w:line="276"/>
      </w:pPr>
      <w:r>
        <w:rPr>
          <w:rFonts w:ascii="Calibri" w:cs="Calibri" w:eastAsia="Calibri" w:hAnsi="Calibri"/>
          <w:sz w:val="22"/>
          <w:szCs w:val="22"/>
        </w:rPr>
        <w:t xml:space="preserve">Tenderers should note that where a Tenderer is relying on the capacity of other entities (for example, Subcontractors) for the purposes of fulfilling any of the Selection Criteria in part 3.1 above it must ensure that each such entity when requested by the Contracting Authority, submit proof, to the satisfaction of the Contracting Authority to verify its bona fides and compliance with its statutory obligations, and that each such entity will place the necessary resources at the disposal of the Tenderer.</w:t>
      </w:r>
    </w:p>
    <w:p>
      <w:pPr>
        <w:spacing w:after="160" w:line="276"/>
      </w:pPr>
      <w:r>
        <w:rPr>
          <w:rFonts w:ascii="Calibri" w:cs="Calibri" w:eastAsia="Calibri" w:hAnsi="Calibri"/>
          <w:sz w:val="22"/>
          <w:szCs w:val="22"/>
        </w:rPr>
        <w:t xml:space="preserve">The Contracting Authority may decide to examine Tenders before verifying the absence of exclusion grounds in Regulation 57 of the Regulations (the “Exclusion Grounds”) and the fulfilment of the Selection Criteria.</w:t>
      </w:r>
    </w:p>
    <w:p>
      <w:pPr>
        <w:spacing w:after="160" w:line="276"/>
      </w:pPr>
      <w:r>
        <w:rPr>
          <w:rFonts w:ascii="Calibri" w:cs="Calibri" w:eastAsia="Calibri" w:hAnsi="Calibri"/>
          <w:sz w:val="22"/>
          <w:szCs w:val="22"/>
        </w:rPr>
        <w:t xml:space="preserve">However, notwithstanding anything to the contrary in this part 4.2, the Contracting Authority reserves the right to ask Tenderers at any moment during the Competition to submit any or all of the following for the purposes of verification of the status of the Tenderer (including the Prime Contractor and any Subcontractor):</w:t>
      </w:r>
    </w:p>
    <w:p>
      <w:pPr>
        <w:spacing w:after="160" w:line="276"/>
      </w:pPr>
      <w:r>
        <w:rPr>
          <w:rFonts w:ascii="Calibri" w:cs="Calibri" w:eastAsia="Calibri" w:hAnsi="Calibri"/>
          <w:sz w:val="22"/>
          <w:szCs w:val="22"/>
        </w:rPr>
        <w:t xml:space="preserve">(i) evidence to the effect that measures taken by the entity concerned are sufficient to demonstrate its reliability despite the existence of a relevant Exclusion Ground; and</w:t>
      </w:r>
    </w:p>
    <w:p>
      <w:pPr>
        <w:spacing w:after="160" w:line="276"/>
      </w:pPr>
      <w:r>
        <w:rPr>
          <w:rFonts w:ascii="Calibri" w:cs="Calibri" w:eastAsia="Calibri" w:hAnsi="Calibri"/>
          <w:sz w:val="22"/>
          <w:szCs w:val="22"/>
        </w:rPr>
        <w:t xml:space="preserve">(ii) in the case of the Prime Contractor and any Subcontractor on whose capacity the Prime Contractor relies, all or any of the supporting documents specified at paragraph 3.1 above.</w:t>
      </w:r>
    </w:p>
    <w:p>
      <w:pPr>
        <w:spacing w:after="160" w:line="276"/>
      </w:pPr>
      <w:r>
        <w:rPr>
          <w:rFonts w:ascii="Calibri" w:cs="Calibri" w:eastAsia="Calibri" w:hAnsi="Calibri"/>
          <w:sz w:val="22"/>
          <w:szCs w:val="22"/>
        </w:rPr>
        <w:t xml:space="preserve">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pPr>
        <w:spacing w:after="160" w:line="276"/>
      </w:pPr>
      <w:r>
        <w:rPr>
          <w:rFonts w:ascii="Calibri" w:cs="Calibri" w:eastAsia="Calibri" w:hAnsi="Calibri"/>
          <w:sz w:val="22"/>
          <w:szCs w:val="22"/>
        </w:rP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it shall be excluded from further participation in this Competition unless it replaces the Subcontractor with one which meets all relevant requirements of this RFT.</w:t>
      </w:r>
    </w:p>
    <w:p>
      <w:pPr>
        <w:pStyle w:val="Heading2"/>
        <w:spacing w:after="160" w:before="200"/>
      </w:pPr>
      <w:r>
        <w:rPr>
          <w:rFonts w:ascii="Calibri" w:cs="Calibri" w:eastAsia="Calibri" w:hAnsi="Calibri"/>
          <w:b/>
          <w:bCs/>
          <w:color w:val="2E5395"/>
          <w:sz w:val="26"/>
          <w:szCs w:val="26"/>
        </w:rPr>
        <w:t xml:space="preserve">4.3 Goods Contract</w:t>
      </w:r>
    </w:p>
    <w:p>
      <w:pPr>
        <w:spacing w:after="160" w:line="276"/>
      </w:pPr>
      <w:r>
        <w:rPr>
          <w:rFonts w:ascii="Calibri" w:cs="Calibri" w:eastAsia="Calibri" w:hAnsi="Calibri"/>
          <w:sz w:val="22"/>
          <w:szCs w:val="22"/>
        </w:rPr>
        <w:t xml:space="preserve">The successful Tenderer shall be required to enter into the Goods Contract at Appendix 4 to this RFT.</w:t>
      </w:r>
    </w:p>
    <w:p>
      <w:pPr>
        <w:spacing w:after="160" w:line="276"/>
      </w:pPr>
      <w:r>
        <w:rPr>
          <w:rFonts w:ascii="Calibri" w:cs="Calibri" w:eastAsia="Calibri" w:hAnsi="Calibri"/>
          <w:sz w:val="22"/>
          <w:szCs w:val="22"/>
        </w:rPr>
        <w:t xml:space="preserve">Tenderers should note the terms and conditions of the Goods Contract in the preparation of their tender.</w:t>
      </w:r>
    </w:p>
    <w:p>
      <w:pPr>
        <w:spacing w:after="160" w:line="276"/>
      </w:pPr>
      <w:r>
        <w:rPr>
          <w:rFonts w:ascii="Calibri" w:cs="Calibri" w:eastAsia="Calibri" w:hAnsi="Calibri"/>
          <w:sz w:val="22"/>
          <w:szCs w:val="22"/>
        </w:rPr>
        <w:t xml:space="preserve">The Contracting Authority does not bind itself to accept the lowest priced or any Tender.</w:t>
      </w:r>
    </w:p>
    <w:p>
      <w:pPr>
        <w:spacing w:after="160" w:line="276"/>
      </w:pPr>
      <w:r>
        <w:rPr>
          <w:rFonts w:ascii="Calibri" w:cs="Calibri" w:eastAsia="Calibri" w:hAnsi="Calibri"/>
          <w:sz w:val="22"/>
          <w:szCs w:val="22"/>
        </w:rPr>
        <w:t xml:space="preserve">This RFT does not constitute an offer or commitment to enter into a Goods Contract.</w:t>
      </w:r>
    </w:p>
    <w:p>
      <w:pPr>
        <w:spacing w:after="160" w:line="276"/>
      </w:pPr>
      <w:r>
        <w:rPr>
          <w:rFonts w:ascii="Calibri" w:cs="Calibri" w:eastAsia="Calibri" w:hAnsi="Calibri"/>
          <w:sz w:val="22"/>
          <w:szCs w:val="22"/>
        </w:rPr>
        <w:t xml:space="preserve">No contractual rights in relation to the Contracting Authority will exist unless and until a formal written Goods Contract has been executed by or on behalf of the Contracting Authority.</w:t>
      </w:r>
    </w:p>
    <w:p>
      <w:pPr>
        <w:spacing w:after="160" w:line="276"/>
      </w:pPr>
      <w:r>
        <w:rPr>
          <w:rFonts w:ascii="Calibri" w:cs="Calibri" w:eastAsia="Calibri" w:hAnsi="Calibri"/>
          <w:sz w:val="22"/>
          <w:szCs w:val="22"/>
        </w:rPr>
        <w:t xml:space="preserve">Any notification of preferred bidder status by the Contracting Authority shall not give rise to any enforceable rights by the Tenderer.</w:t>
      </w:r>
    </w:p>
    <w:p>
      <w:pPr>
        <w:spacing w:after="160" w:line="276"/>
      </w:pPr>
      <w:r>
        <w:rPr>
          <w:rFonts w:ascii="Calibri" w:cs="Calibri" w:eastAsia="Calibri" w:hAnsi="Calibri"/>
          <w:sz w:val="22"/>
          <w:szCs w:val="22"/>
        </w:rPr>
        <w:t xml:space="preserve">The award of a Goods Contract does not confer exclusivity on the successful Tenderer.</w:t>
      </w:r>
    </w:p>
    <w:p>
      <w:pPr>
        <w:spacing w:after="160" w:line="276"/>
      </w:pPr>
      <w:r>
        <w:rPr>
          <w:rFonts w:ascii="Calibri" w:cs="Calibri" w:eastAsia="Calibri" w:hAnsi="Calibri"/>
          <w:sz w:val="22"/>
          <w:szCs w:val="22"/>
        </w:rPr>
        <w:t xml:space="preserve">The Contracting Authority may cancel this Competition at any time prior to a formal written Goods Contract being executed by or on behalf of the Contracting Authority.</w:t>
      </w:r>
    </w:p>
    <w:p>
      <w:pPr>
        <w:pStyle w:val="Heading2"/>
        <w:spacing w:after="160" w:before="200"/>
      </w:pPr>
      <w:r>
        <w:rPr>
          <w:rFonts w:ascii="Calibri" w:cs="Calibri" w:eastAsia="Calibri" w:hAnsi="Calibri"/>
          <w:b/>
          <w:bCs/>
          <w:color w:val="2E5395"/>
          <w:sz w:val="26"/>
          <w:szCs w:val="26"/>
        </w:rPr>
        <w:t xml:space="preserve">4.4 Acceptance of RFT Requirements</w:t>
      </w:r>
    </w:p>
    <w:p>
      <w:pPr>
        <w:spacing w:after="160" w:line="276"/>
      </w:pPr>
      <w:r>
        <w:rPr>
          <w:rFonts w:ascii="Calibri" w:cs="Calibri" w:eastAsia="Calibri" w:hAnsi="Calibri"/>
          <w:sz w:val="22"/>
          <w:szCs w:val="22"/>
        </w:rPr>
        <w:t xml:space="preserve">Each Tenderer is required to accept the provisions of this RFT. Tenderers must complete and sign the Declaration Forms outlined in the Tender Response Document. If the Contracting Authority cannot read the signature(s), Tenderers may be requested to re-submit.</w:t>
      </w:r>
    </w:p>
    <w:p>
      <w:pPr>
        <w:pStyle w:val="Heading2"/>
        <w:spacing w:after="160" w:before="200"/>
      </w:pPr>
      <w:r>
        <w:rPr>
          <w:rFonts w:ascii="Calibri" w:cs="Calibri" w:eastAsia="Calibri" w:hAnsi="Calibri"/>
          <w:b/>
          <w:bCs/>
          <w:color w:val="2E5395"/>
          <w:sz w:val="26"/>
          <w:szCs w:val="26"/>
        </w:rPr>
        <w:t xml:space="preserve">4.5 Consortia and Prime/Subcontractors</w:t>
      </w:r>
    </w:p>
    <w:p>
      <w:pPr>
        <w:spacing w:after="160" w:line="276"/>
      </w:pPr>
      <w:r>
        <w:rPr>
          <w:rFonts w:ascii="Calibri" w:cs="Calibri" w:eastAsia="Calibri" w:hAnsi="Calibri"/>
          <w:sz w:val="22"/>
          <w:szCs w:val="22"/>
        </w:rPr>
        <w:t xml:space="preserve">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pPr>
        <w:spacing w:after="160" w:line="276"/>
      </w:pPr>
      <w:r>
        <w:rPr>
          <w:rFonts w:ascii="Calibri" w:cs="Calibri" w:eastAsia="Calibri" w:hAnsi="Calibri"/>
          <w:sz w:val="22"/>
          <w:szCs w:val="22"/>
        </w:rPr>
        <w:t xml:space="preserve">Prior to and as a condition of award of any Goods Contract, the successful Tenderer shall be required to designate a single entity who will carry overall responsibility for the Goods Contract (the “Prime Contractor”), irrespective of whether or not tasks are to be performed by a subcontractor or other consortium member (the “Subcontractor”).</w:t>
      </w:r>
    </w:p>
    <w:p>
      <w:pPr>
        <w:pStyle w:val="Heading2"/>
        <w:spacing w:after="160" w:before="200"/>
      </w:pPr>
      <w:r>
        <w:rPr>
          <w:rFonts w:ascii="Calibri" w:cs="Calibri" w:eastAsia="Calibri" w:hAnsi="Calibri"/>
          <w:b/>
          <w:bCs/>
          <w:color w:val="2E5395"/>
          <w:sz w:val="26"/>
          <w:szCs w:val="26"/>
        </w:rPr>
        <w:t xml:space="preserve">4.6 Tender Submission Requirements</w:t>
      </w:r>
    </w:p>
    <w:p>
      <w:pPr>
        <w:spacing w:after="160" w:line="276"/>
      </w:pPr>
      <w:r>
        <w:rPr>
          <w:rFonts w:ascii="Calibri" w:cs="Calibri" w:eastAsia="Calibri" w:hAnsi="Calibri"/>
          <w:b/>
          <w:bCs/>
          <w:color w:val="2E5395"/>
          <w:sz w:val="22"/>
          <w:szCs w:val="22"/>
        </w:rPr>
        <w:t xml:space="preserve">4.6.1 </w:t>
      </w:r>
      <w:r>
        <w:rPr>
          <w:rFonts w:ascii="Calibri" w:cs="Calibri" w:eastAsia="Calibri" w:hAnsi="Calibri"/>
          <w:sz w:val="22"/>
          <w:szCs w:val="22"/>
        </w:rPr>
        <w:t xml:space="preserve">Tenders must be submitted via the electronic postbox available on www.etenders.gov.ie. Only Tenders submitted to the electronic postbox will be accepted. Tenders submitted by any other means (including but not limited to by email, fax, post or hand delivery) will NOT be accepted.</w:t>
      </w:r>
    </w:p>
    <w:p>
      <w:pPr>
        <w:spacing w:after="160" w:line="276"/>
      </w:pPr>
      <w:r>
        <w:rPr>
          <w:rFonts w:ascii="Calibri" w:cs="Calibri" w:eastAsia="Calibri" w:hAnsi="Calibri"/>
          <w:sz w:val="22"/>
          <w:szCs w:val="22"/>
        </w:rPr>
        <w:t xml:space="preserve">Tenderers must ensure that they give themselves sufficient time to upload and submit all required tender documentation before the Tender Deadline (as defined in paragraph 4.6.2). Tenderers should take into account the fact that upload speeds vary. There is a maximum of 4GB for the total (combined) documents sent to the electronic postbox.</w:t>
      </w:r>
    </w:p>
    <w:p>
      <w:pPr>
        <w:spacing w:after="160" w:line="276"/>
      </w:pPr>
      <w:r>
        <w:rPr>
          <w:rFonts w:ascii="Calibri" w:cs="Calibri" w:eastAsia="Calibri" w:hAnsi="Calibri"/>
          <w:sz w:val="22"/>
          <w:szCs w:val="22"/>
        </w:rPr>
        <w:t xml:space="preserve">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pPr>
        <w:spacing w:after="160" w:line="276"/>
      </w:pPr>
      <w:r>
        <w:rPr>
          <w:rFonts w:ascii="Calibri" w:cs="Calibri" w:eastAsia="Calibri" w:hAnsi="Calibri"/>
          <w:b/>
          <w:bCs/>
          <w:color w:val="2E5395"/>
          <w:sz w:val="22"/>
          <w:szCs w:val="22"/>
        </w:rPr>
        <w:t xml:space="preserve">4.6.2 </w:t>
      </w:r>
      <w:r>
        <w:rPr>
          <w:rFonts w:ascii="Calibri" w:cs="Calibri" w:eastAsia="Calibri" w:hAnsi="Calibri"/>
          <w:sz w:val="22"/>
          <w:szCs w:val="22"/>
        </w:rPr>
        <w:t xml:space="preserve">Tenders must be received not later than 17.00 Hrs on 22 September 2026 (the “Tender Deadline”). Tenders that are received late WILL NOT be considered in this Competition.</w:t>
      </w:r>
    </w:p>
    <w:p>
      <w:pPr>
        <w:spacing w:after="160" w:line="276"/>
      </w:pPr>
      <w:r>
        <w:rPr>
          <w:rFonts w:ascii="Calibri" w:cs="Calibri" w:eastAsia="Calibri" w:hAnsi="Calibri"/>
          <w:b/>
          <w:bCs/>
          <w:color w:val="2E5395"/>
          <w:sz w:val="22"/>
          <w:szCs w:val="22"/>
        </w:rPr>
        <w:t xml:space="preserve">4.6.3 </w:t>
      </w:r>
      <w:r>
        <w:rPr>
          <w:rFonts w:ascii="Calibri" w:cs="Calibri" w:eastAsia="Calibri" w:hAnsi="Calibri"/>
          <w:sz w:val="22"/>
          <w:szCs w:val="22"/>
        </w:rPr>
        <w:t xml:space="preserve">Tenders must be submitted in English.</w:t>
      </w:r>
    </w:p>
    <w:p>
      <w:pPr>
        <w:spacing w:after="160" w:line="276"/>
      </w:pPr>
      <w:r>
        <w:rPr>
          <w:rFonts w:ascii="Calibri" w:cs="Calibri" w:eastAsia="Calibri" w:hAnsi="Calibri"/>
          <w:b/>
          <w:bCs/>
          <w:color w:val="2E5395"/>
          <w:sz w:val="22"/>
          <w:szCs w:val="22"/>
        </w:rPr>
        <w:t xml:space="preserve">4.6.4 </w:t>
      </w:r>
      <w:r>
        <w:rPr>
          <w:rFonts w:ascii="Calibri" w:cs="Calibri" w:eastAsia="Calibri" w:hAnsi="Calibri"/>
          <w:sz w:val="22"/>
          <w:szCs w:val="22"/>
        </w:rPr>
        <w:t xml:space="preserve">Subject to paragraph 4.14 and 4.18, each Tenderer is limited to submitting one Tender in its own capacity and one Tender as part of a consortium/group of undertakings under this RFT.</w:t>
      </w:r>
    </w:p>
    <w:p>
      <w:pPr>
        <w:spacing w:after="160" w:line="276"/>
      </w:pPr>
      <w:r>
        <w:rPr>
          <w:rFonts w:ascii="Calibri" w:cs="Calibri" w:eastAsia="Calibri" w:hAnsi="Calibri"/>
          <w:b/>
          <w:bCs/>
          <w:color w:val="2E5395"/>
          <w:sz w:val="22"/>
          <w:szCs w:val="22"/>
        </w:rPr>
        <w:t xml:space="preserve">4.6.5 </w:t>
      </w:r>
      <w:r>
        <w:rPr>
          <w:rFonts w:ascii="Calibri" w:cs="Calibri" w:eastAsia="Calibri" w:hAnsi="Calibri"/>
          <w:sz w:val="22"/>
          <w:szCs w:val="22"/>
        </w:rPr>
        <w:t xml:space="preserve">All Tenders submitted in soft copy must be compiled such that they can be read immediately using PDF. The Contracting Authority is not responsible for corruption in electronic documents. Tenderers must ensure electronic documents are not corrupt.</w:t>
      </w:r>
    </w:p>
    <w:p>
      <w:pPr>
        <w:pStyle w:val="Heading2"/>
        <w:spacing w:after="160" w:before="200"/>
      </w:pPr>
      <w:r>
        <w:rPr>
          <w:rFonts w:ascii="Calibri" w:cs="Calibri" w:eastAsia="Calibri" w:hAnsi="Calibri"/>
          <w:b/>
          <w:bCs/>
          <w:color w:val="2E5395"/>
          <w:sz w:val="26"/>
          <w:szCs w:val="26"/>
        </w:rPr>
        <w:t xml:space="preserve">4.7 Queries and Clarifications</w:t>
      </w:r>
    </w:p>
    <w:p>
      <w:pPr>
        <w:spacing w:after="160" w:line="276"/>
      </w:pPr>
      <w:r>
        <w:rPr>
          <w:rFonts w:ascii="Calibri" w:cs="Calibri" w:eastAsia="Calibri" w:hAnsi="Calibri"/>
          <w:b/>
          <w:bCs/>
          <w:color w:val="2E5395"/>
          <w:sz w:val="22"/>
          <w:szCs w:val="22"/>
        </w:rPr>
        <w:t xml:space="preserve">4.7.1 </w:t>
      </w:r>
      <w:r>
        <w:rPr>
          <w:rFonts w:ascii="Calibri" w:cs="Calibri" w:eastAsia="Calibri" w:hAnsi="Calibri"/>
          <w:sz w:val="22"/>
          <w:szCs w:val="22"/>
        </w:rPr>
        <w:t xml:space="preserve">All queries relating to any aspect of this Competition or of this RFT must be directed to the messaging facility on www.etenders.gov.ie. Queries will be accepted no later than 17.00 Hrs on 11 September 2026 unless otherwise published by the Contracting Authority. For the avoidance of doubt, Tenderers may not contact the Contracting Authority directly regarding any aspect of this Competition.</w:t>
      </w:r>
    </w:p>
    <w:p>
      <w:pPr>
        <w:spacing w:after="160" w:line="276"/>
      </w:pPr>
      <w:r>
        <w:rPr>
          <w:rFonts w:ascii="Calibri" w:cs="Calibri" w:eastAsia="Calibri" w:hAnsi="Calibri"/>
          <w:b/>
          <w:bCs/>
          <w:color w:val="2E5395"/>
          <w:sz w:val="22"/>
          <w:szCs w:val="22"/>
        </w:rPr>
        <w:t xml:space="preserve">4.7.2 </w:t>
      </w:r>
      <w:r>
        <w:rPr>
          <w:rFonts w:ascii="Calibri" w:cs="Calibri" w:eastAsia="Calibri" w:hAnsi="Calibri"/>
          <w:sz w:val="22"/>
          <w:szCs w:val="22"/>
        </w:rPr>
        <w:t xml:space="preserve">All responses to queries will be issued by the Contracting Authority via the messaging facility on www.etenders.gov.ie. Where appropriate, queries may be amalgamated. Tenderers should note that the Contracting Authority will not respond to individual Tenderers privately.</w:t>
      </w:r>
    </w:p>
    <w:p>
      <w:pPr>
        <w:spacing w:after="160" w:line="276"/>
      </w:pPr>
      <w:r>
        <w:rPr>
          <w:rFonts w:ascii="Calibri" w:cs="Calibri" w:eastAsia="Calibri" w:hAnsi="Calibri"/>
          <w:b/>
          <w:bCs/>
          <w:color w:val="2E5395"/>
          <w:sz w:val="22"/>
          <w:szCs w:val="22"/>
        </w:rPr>
        <w:t xml:space="preserve">4.7.3 </w:t>
      </w:r>
      <w:r>
        <w:rPr>
          <w:rFonts w:ascii="Calibri" w:cs="Calibri" w:eastAsia="Calibri" w:hAnsi="Calibri"/>
          <w:sz w:val="22"/>
          <w:szCs w:val="22"/>
        </w:rPr>
        <w:t xml:space="preserve">The Contracting Authority reserves the right to issue or seek written clarifications.</w:t>
      </w:r>
    </w:p>
    <w:p>
      <w:pPr>
        <w:spacing w:after="160" w:line="276"/>
      </w:pPr>
      <w:r>
        <w:rPr>
          <w:rFonts w:ascii="Calibri" w:cs="Calibri" w:eastAsia="Calibri" w:hAnsi="Calibri"/>
          <w:b/>
          <w:bCs/>
          <w:color w:val="2E5395"/>
          <w:sz w:val="22"/>
          <w:szCs w:val="22"/>
        </w:rPr>
        <w:t xml:space="preserve">4.7.4 </w:t>
      </w:r>
      <w:r>
        <w:rPr>
          <w:rFonts w:ascii="Calibri" w:cs="Calibri" w:eastAsia="Calibri" w:hAnsi="Calibri"/>
          <w:sz w:val="22"/>
          <w:szCs w:val="22"/>
        </w:rPr>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p>
      <w:pPr>
        <w:spacing w:after="160" w:line="276"/>
      </w:pPr>
      <w:r>
        <w:rPr>
          <w:rFonts w:ascii="Calibri" w:cs="Calibri" w:eastAsia="Calibri" w:hAnsi="Calibri"/>
          <w:b/>
          <w:bCs/>
          <w:color w:val="2E5395"/>
          <w:sz w:val="22"/>
          <w:szCs w:val="22"/>
        </w:rPr>
        <w:t xml:space="preserve">4.7.5 </w:t>
      </w:r>
      <w:r>
        <w:rPr>
          <w:rFonts w:ascii="Calibri" w:cs="Calibri" w:eastAsia="Calibri" w:hAnsi="Calibri"/>
          <w:sz w:val="22"/>
          <w:szCs w:val="22"/>
        </w:rPr>
        <w:t xml:space="preserve">Tenderers should ensure that they register their interest in this Competition, by clicking on the “Accept” button on www.etenders.gov.ie, in order to receive all responses to queries and other updates in relation to this Competition.</w:t>
      </w:r>
    </w:p>
    <w:p>
      <w:pPr>
        <w:pStyle w:val="Heading2"/>
        <w:spacing w:after="160" w:before="200"/>
      </w:pPr>
      <w:r>
        <w:rPr>
          <w:rFonts w:ascii="Calibri" w:cs="Calibri" w:eastAsia="Calibri" w:hAnsi="Calibri"/>
          <w:b/>
          <w:bCs/>
          <w:color w:val="2E5395"/>
          <w:sz w:val="26"/>
          <w:szCs w:val="26"/>
        </w:rPr>
        <w:t xml:space="preserve">4.8 Tendering Costs</w:t>
      </w:r>
    </w:p>
    <w:p>
      <w:pPr>
        <w:spacing w:after="160" w:line="276"/>
      </w:pPr>
      <w:r>
        <w:rPr>
          <w:rFonts w:ascii="Calibri" w:cs="Calibri" w:eastAsia="Calibri" w:hAnsi="Calibri"/>
          <w:b/>
          <w:bCs/>
          <w:color w:val="2E5395"/>
          <w:sz w:val="22"/>
          <w:szCs w:val="22"/>
        </w:rPr>
        <w:t xml:space="preserve">4.8.1 </w:t>
      </w:r>
      <w:r>
        <w:rPr>
          <w:rFonts w:ascii="Calibri" w:cs="Calibri" w:eastAsia="Calibri" w:hAnsi="Calibri"/>
          <w:sz w:val="22"/>
          <w:szCs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pPr>
        <w:spacing w:after="160" w:line="276"/>
      </w:pPr>
      <w:r>
        <w:rPr>
          <w:rFonts w:ascii="Calibri" w:cs="Calibri" w:eastAsia="Calibri" w:hAnsi="Calibri"/>
          <w:b/>
          <w:bCs/>
          <w:color w:val="2E5395"/>
          <w:sz w:val="22"/>
          <w:szCs w:val="22"/>
        </w:rPr>
        <w:t xml:space="preserve">4.8.2 </w:t>
      </w:r>
      <w:r>
        <w:rPr>
          <w:rFonts w:ascii="Calibri" w:cs="Calibri" w:eastAsia="Calibri" w:hAnsi="Calibri"/>
          <w:sz w:val="22"/>
          <w:szCs w:val="22"/>
        </w:rPr>
        <w:t xml:space="preserve">Without prejudice to the generality of paragraph 4.8.1, all costs and expenses relating to the supply of samples for purposes of tendering and their return after evaluation or participation in field trials (if any) will be borne exclusively by the Tenderer.</w:t>
      </w:r>
    </w:p>
    <w:p>
      <w:pPr>
        <w:pStyle w:val="Heading2"/>
        <w:spacing w:after="160" w:before="200"/>
      </w:pPr>
      <w:r>
        <w:rPr>
          <w:rFonts w:ascii="Calibri" w:cs="Calibri" w:eastAsia="Calibri" w:hAnsi="Calibri"/>
          <w:b/>
          <w:bCs/>
          <w:color w:val="2E5395"/>
          <w:sz w:val="26"/>
          <w:szCs w:val="26"/>
        </w:rPr>
        <w:t xml:space="preserve">4.9 Confidentiality</w:t>
      </w:r>
    </w:p>
    <w:p>
      <w:pPr>
        <w:spacing w:after="160" w:line="276"/>
      </w:pPr>
      <w:r>
        <w:rPr>
          <w:rFonts w:ascii="Calibri" w:cs="Calibri" w:eastAsia="Calibri" w:hAnsi="Calibri"/>
          <w:b/>
          <w:bCs/>
          <w:color w:val="2E5395"/>
          <w:sz w:val="22"/>
          <w:szCs w:val="22"/>
        </w:rPr>
        <w:t xml:space="preserve">4.9.1 </w:t>
      </w:r>
      <w:r>
        <w:rPr>
          <w:rFonts w:ascii="Calibri" w:cs="Calibri" w:eastAsia="Calibri" w:hAnsi="Calibri"/>
          <w:sz w:val="22"/>
          <w:szCs w:val="22"/>
        </w:rPr>
        <w:t xml:space="preserve">All documentation, data, statistics, drawings, information, patterns, samples or material disclosed or furnished by the Contracting Authority to Tenderers during the course of this Competition:</w:t>
      </w:r>
    </w:p>
    <w:p>
      <w:pPr>
        <w:spacing w:after="100" w:line="276"/>
      </w:pPr>
      <w:r>
        <w:rPr>
          <w:rFonts w:ascii="Calibri" w:cs="Calibri" w:eastAsia="Calibri" w:hAnsi="Calibri"/>
          <w:sz w:val="22"/>
          <w:szCs w:val="22"/>
        </w:rPr>
        <w:t xml:space="preserve">(a) are furnished for the sole purpose of replying to this RFT only;</w:t>
      </w:r>
    </w:p>
    <w:p>
      <w:pPr>
        <w:spacing w:after="100" w:line="276"/>
      </w:pPr>
      <w:r>
        <w:rPr>
          <w:rFonts w:ascii="Calibri" w:cs="Calibri" w:eastAsia="Calibri" w:hAnsi="Calibri"/>
          <w:sz w:val="22"/>
          <w:szCs w:val="22"/>
        </w:rPr>
        <w:t xml:space="preserve">(b) may not be used, communicated, reproduced or published for any other purpose without the prior written permission of the Contracting Authority;</w:t>
      </w:r>
    </w:p>
    <w:p>
      <w:pPr>
        <w:spacing w:after="100" w:line="276"/>
      </w:pPr>
      <w:r>
        <w:rPr>
          <w:rFonts w:ascii="Calibri" w:cs="Calibri" w:eastAsia="Calibri" w:hAnsi="Calibri"/>
          <w:sz w:val="22"/>
          <w:szCs w:val="22"/>
        </w:rPr>
        <w:t xml:space="preserve">(c) shall be treated as confidential by the Tenderer and by any third parties (including subcontractors) engaged or consulted by the Tenderer; and</w:t>
      </w:r>
    </w:p>
    <w:p>
      <w:pPr>
        <w:spacing w:after="100" w:line="276"/>
      </w:pPr>
      <w:r>
        <w:rPr>
          <w:rFonts w:ascii="Calibri" w:cs="Calibri" w:eastAsia="Calibri" w:hAnsi="Calibri"/>
          <w:sz w:val="22"/>
          <w:szCs w:val="22"/>
        </w:rPr>
        <w:t xml:space="preserve">(d) must be returned immediately to the Contracting Authority upon cancellation or completion of this Competition if so requested by the Contracting Authority.</w:t>
      </w:r>
    </w:p>
    <w:p>
      <w:pPr>
        <w:pStyle w:val="Heading2"/>
        <w:spacing w:after="160" w:before="200"/>
      </w:pPr>
      <w:r>
        <w:rPr>
          <w:rFonts w:ascii="Calibri" w:cs="Calibri" w:eastAsia="Calibri" w:hAnsi="Calibri"/>
          <w:b/>
          <w:bCs/>
          <w:color w:val="2E5395"/>
          <w:sz w:val="26"/>
          <w:szCs w:val="26"/>
        </w:rPr>
        <w:t xml:space="preserve">4.10 Pricing</w:t>
      </w:r>
    </w:p>
    <w:p>
      <w:pPr>
        <w:spacing w:after="160" w:line="276"/>
      </w:pPr>
      <w:r>
        <w:rPr>
          <w:rFonts w:ascii="Calibri" w:cs="Calibri" w:eastAsia="Calibri" w:hAnsi="Calibri"/>
          <w:b/>
          <w:bCs/>
          <w:color w:val="2E5395"/>
          <w:sz w:val="22"/>
          <w:szCs w:val="22"/>
        </w:rPr>
        <w:t xml:space="preserve">4.10.1 </w:t>
      </w:r>
      <w:r>
        <w:rPr>
          <w:rFonts w:ascii="Calibri" w:cs="Calibri" w:eastAsia="Calibri" w:hAnsi="Calibri"/>
          <w:sz w:val="22"/>
          <w:szCs w:val="22"/>
        </w:rPr>
        <w:t xml:space="preserve">All Tenderers must complete the Pricing Schedule at Appendix 2 to this RFT.</w:t>
      </w:r>
    </w:p>
    <w:p>
      <w:pPr>
        <w:spacing w:after="160" w:line="276"/>
      </w:pPr>
      <w:r>
        <w:rPr>
          <w:rFonts w:ascii="Calibri" w:cs="Calibri" w:eastAsia="Calibri" w:hAnsi="Calibri"/>
          <w:b/>
          <w:bCs/>
          <w:color w:val="2E5395"/>
          <w:sz w:val="22"/>
          <w:szCs w:val="22"/>
        </w:rPr>
        <w:t xml:space="preserve">4.10.2 </w:t>
      </w:r>
      <w:r>
        <w:rPr>
          <w:rFonts w:ascii="Calibri" w:cs="Calibri" w:eastAsia="Calibri" w:hAnsi="Calibri"/>
          <w:sz w:val="22"/>
          <w:szCs w:val="22"/>
        </w:rPr>
        <w:t xml:space="preserve">All prices quoted must be all-inclusive (i.e. including but not being limited to shipping, packaging, delivery, ancillary costs and all other costs/expenses), be expressed in Euro only and exclusive of VAT. The VAT rate(s) where applicable should be indicated separately.</w:t>
      </w:r>
    </w:p>
    <w:p>
      <w:pPr>
        <w:spacing w:after="160" w:line="276"/>
      </w:pPr>
      <w:r>
        <w:rPr>
          <w:rFonts w:ascii="Calibri" w:cs="Calibri" w:eastAsia="Calibri" w:hAnsi="Calibri"/>
          <w:b/>
          <w:bCs/>
          <w:color w:val="2E5395"/>
          <w:sz w:val="22"/>
          <w:szCs w:val="22"/>
        </w:rPr>
        <w:t xml:space="preserve">4.10.3 </w:t>
      </w:r>
      <w:r>
        <w:rPr>
          <w:rFonts w:ascii="Calibri" w:cs="Calibri" w:eastAsia="Calibri" w:hAnsi="Calibri"/>
          <w:sz w:val="22"/>
          <w:szCs w:val="22"/>
        </w:rPr>
        <w:t xml:space="preserve">Tenderers must confirm that all prices quoted in the Tender will remain valid for 6 months commencing from the Tender Deadline.</w:t>
      </w:r>
    </w:p>
    <w:p>
      <w:pPr>
        <w:spacing w:after="160" w:line="276"/>
      </w:pPr>
      <w:r>
        <w:rPr>
          <w:rFonts w:ascii="Calibri" w:cs="Calibri" w:eastAsia="Calibri" w:hAnsi="Calibri"/>
          <w:b/>
          <w:bCs/>
          <w:color w:val="2E5395"/>
          <w:sz w:val="22"/>
          <w:szCs w:val="22"/>
        </w:rPr>
        <w:t xml:space="preserve">4.10.4 </w:t>
      </w:r>
      <w:r>
        <w:rPr>
          <w:rFonts w:ascii="Calibri" w:cs="Calibri" w:eastAsia="Calibri" w:hAnsi="Calibri"/>
          <w:sz w:val="22"/>
          <w:szCs w:val="22"/>
        </w:rPr>
        <w:t xml:space="preserve">If the Contracting Authority considers the tendered price to be abnormally low or commercially unsustainable, the tenderer shall be invited to provide clarification to the Contracting Authority. Any failure to satisfactorily address the Contracting Authority’s concerns, may, at the discretion of the Contracting Authority, result in the elimination of the tender in question on the basis of it being considered abnormally low.</w:t>
      </w:r>
    </w:p>
    <w:p>
      <w:pPr>
        <w:pStyle w:val="Heading2"/>
        <w:spacing w:after="160" w:before="200"/>
      </w:pPr>
      <w:r>
        <w:rPr>
          <w:rFonts w:ascii="Calibri" w:cs="Calibri" w:eastAsia="Calibri" w:hAnsi="Calibri"/>
          <w:b/>
          <w:bCs/>
          <w:color w:val="2E5395"/>
          <w:sz w:val="26"/>
          <w:szCs w:val="26"/>
        </w:rPr>
        <w:t xml:space="preserve">4.11 Environmental, social and labour law</w:t>
      </w:r>
    </w:p>
    <w:p>
      <w:pPr>
        <w:spacing w:after="160" w:line="276"/>
      </w:pPr>
      <w:r>
        <w:rPr>
          <w:rFonts w:ascii="Calibri" w:cs="Calibri" w:eastAsia="Calibri" w:hAnsi="Calibri"/>
          <w:sz w:val="22"/>
          <w:szCs w:val="22"/>
        </w:rPr>
        <w:t xml:space="preserve">In the performance of any Goods Contract awarded, the successful Tenderer(s), and their Subcontractors (if any), shall be required to comply with all applicable obligations in the field of environmental, social and labour law that apply at the place where the goods are provided.</w:t>
      </w:r>
    </w:p>
    <w:p>
      <w:pPr>
        <w:pStyle w:val="Heading2"/>
        <w:spacing w:after="160" w:before="200"/>
      </w:pPr>
      <w:r>
        <w:rPr>
          <w:rFonts w:ascii="Calibri" w:cs="Calibri" w:eastAsia="Calibri" w:hAnsi="Calibri"/>
          <w:b/>
          <w:bCs/>
          <w:color w:val="2E5395"/>
          <w:sz w:val="26"/>
          <w:szCs w:val="26"/>
        </w:rPr>
        <w:t xml:space="preserve">4.12 Publicity</w:t>
      </w:r>
    </w:p>
    <w:p>
      <w:pPr>
        <w:spacing w:after="160" w:line="276"/>
      </w:pPr>
      <w:r>
        <w:rPr>
          <w:rFonts w:ascii="Calibri" w:cs="Calibri" w:eastAsia="Calibri" w:hAnsi="Calibri"/>
          <w:sz w:val="22"/>
          <w:szCs w:val="22"/>
        </w:rPr>
        <w:t xml:space="preserve">No publicity regarding this Competition or any Goods Contract pursuant to this Competition is permitted unless and until the Contracting Authority has given its prior written consent to the relevant communication.</w:t>
      </w:r>
    </w:p>
    <w:p>
      <w:pPr>
        <w:pStyle w:val="Heading2"/>
        <w:spacing w:after="160" w:before="200"/>
      </w:pPr>
      <w:r>
        <w:rPr>
          <w:rFonts w:ascii="Calibri" w:cs="Calibri" w:eastAsia="Calibri" w:hAnsi="Calibri"/>
          <w:b/>
          <w:bCs/>
          <w:color w:val="2E5395"/>
          <w:sz w:val="26"/>
          <w:szCs w:val="26"/>
        </w:rPr>
        <w:t xml:space="preserve">4.13 Registerable interest</w:t>
      </w:r>
    </w:p>
    <w:p>
      <w:pPr>
        <w:spacing w:after="160" w:line="276"/>
      </w:pPr>
      <w:r>
        <w:rPr>
          <w:rFonts w:ascii="Calibri" w:cs="Calibri" w:eastAsia="Calibri" w:hAnsi="Calibr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w:t>
      </w:r>
    </w:p>
    <w:p>
      <w:pPr>
        <w:spacing w:after="160" w:line="276"/>
      </w:pPr>
      <w:r>
        <w:rPr>
          <w:rFonts w:ascii="Calibri" w:cs="Calibri" w:eastAsia="Calibri" w:hAnsi="Calibri"/>
          <w:sz w:val="22"/>
          <w:szCs w:val="22"/>
        </w:rPr>
        <w:t xml:space="preserve">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a Tenderer from this Competition or terminating any Goods Contract entered into by a Tenderer.</w:t>
      </w:r>
    </w:p>
    <w:p>
      <w:pPr>
        <w:pStyle w:val="Heading2"/>
        <w:spacing w:after="160" w:before="200"/>
      </w:pPr>
      <w:r>
        <w:rPr>
          <w:rFonts w:ascii="Calibri" w:cs="Calibri" w:eastAsia="Calibri" w:hAnsi="Calibri"/>
          <w:b/>
          <w:bCs/>
          <w:color w:val="2E5395"/>
          <w:sz w:val="26"/>
          <w:szCs w:val="26"/>
        </w:rPr>
        <w:t xml:space="preserve">4.14 Anti-competitive conduct</w:t>
      </w:r>
    </w:p>
    <w:p>
      <w:pPr>
        <w:spacing w:after="160" w:line="276"/>
      </w:pPr>
      <w:r>
        <w:rPr>
          <w:rFonts w:ascii="Calibri" w:cs="Calibri" w:eastAsia="Calibri" w:hAnsi="Calibri"/>
          <w:sz w:val="22"/>
          <w:szCs w:val="22"/>
        </w:rPr>
        <w:t xml:space="preserve">Tenderers’ attention is drawn to the Competition Act 2002 (as amended, the “2002 Act”). The 2002 Act makes it a criminal offence for Tenderers to collude on prices or terms in a public procurement competition.</w:t>
      </w:r>
    </w:p>
    <w:p>
      <w:pPr>
        <w:pStyle w:val="Heading2"/>
        <w:spacing w:after="160" w:before="200"/>
      </w:pPr>
      <w:r>
        <w:rPr>
          <w:rFonts w:ascii="Calibri" w:cs="Calibri" w:eastAsia="Calibri" w:hAnsi="Calibri"/>
          <w:b/>
          <w:bCs/>
          <w:color w:val="2E5395"/>
          <w:sz w:val="26"/>
          <w:szCs w:val="26"/>
        </w:rPr>
        <w:t xml:space="preserve">4.15 Industry terms used in this RFT</w:t>
      </w:r>
    </w:p>
    <w:p>
      <w:pPr>
        <w:spacing w:after="160" w:line="276"/>
      </w:pPr>
      <w:r>
        <w:rPr>
          <w:rFonts w:ascii="Calibri" w:cs="Calibri" w:eastAsia="Calibri" w:hAnsi="Calibri"/>
          <w:sz w:val="22"/>
          <w:szCs w:val="22"/>
        </w:rPr>
        <w:t xml:space="preserve">Where reference is made to a particular item, source, process, trademark, or type in this RFT then all such references are to be given the meaning generally understood in the relevant industry and operational environment.</w:t>
      </w:r>
    </w:p>
    <w:p>
      <w:pPr>
        <w:pStyle w:val="Heading2"/>
        <w:spacing w:after="160" w:before="200"/>
      </w:pPr>
      <w:r>
        <w:rPr>
          <w:rFonts w:ascii="Calibri" w:cs="Calibri" w:eastAsia="Calibri" w:hAnsi="Calibri"/>
          <w:b/>
          <w:bCs/>
          <w:color w:val="2E5395"/>
          <w:sz w:val="26"/>
          <w:szCs w:val="26"/>
        </w:rPr>
        <w:t xml:space="preserve">4.16 Freedom of information</w:t>
      </w:r>
    </w:p>
    <w:p>
      <w:pPr>
        <w:spacing w:after="160" w:line="276"/>
      </w:pPr>
      <w:r>
        <w:rPr>
          <w:rFonts w:ascii="Calibri" w:cs="Calibri" w:eastAsia="Calibri" w:hAnsi="Calibri"/>
          <w:b/>
          <w:bCs/>
          <w:color w:val="2E5395"/>
          <w:sz w:val="22"/>
          <w:szCs w:val="22"/>
        </w:rPr>
        <w:t xml:space="preserve">4.16.1 </w:t>
      </w:r>
      <w:r>
        <w:rPr>
          <w:rFonts w:ascii="Calibri" w:cs="Calibri" w:eastAsia="Calibri" w:hAnsi="Calibri"/>
          <w:sz w:val="22"/>
          <w:szCs w:val="22"/>
        </w:rPr>
        <w:t xml:space="preserve">Tenderers should be aware that, under the Freedom of Information Act 2014 and the European Communities (Access to Information on the Environment) Regulations 2007 to 2014, information provided by them during this Competition may be liable to be disclosed.</w:t>
      </w:r>
    </w:p>
    <w:p>
      <w:pPr>
        <w:spacing w:after="160" w:line="276"/>
      </w:pPr>
      <w:r>
        <w:rPr>
          <w:rFonts w:ascii="Calibri" w:cs="Calibri" w:eastAsia="Calibri" w:hAnsi="Calibri"/>
          <w:b/>
          <w:bCs/>
          <w:color w:val="2E5395"/>
          <w:sz w:val="22"/>
          <w:szCs w:val="22"/>
        </w:rPr>
        <w:t xml:space="preserve">4.16.2 </w:t>
      </w:r>
      <w:r>
        <w:rPr>
          <w:rFonts w:ascii="Calibri" w:cs="Calibri" w:eastAsia="Calibri" w:hAnsi="Calibri"/>
          <w:sz w:val="22"/>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pPr>
        <w:pStyle w:val="Heading2"/>
        <w:spacing w:after="160" w:before="200"/>
      </w:pPr>
      <w:r>
        <w:rPr>
          <w:rFonts w:ascii="Calibri" w:cs="Calibri" w:eastAsia="Calibri" w:hAnsi="Calibri"/>
          <w:b/>
          <w:bCs/>
          <w:color w:val="2E5395"/>
          <w:sz w:val="26"/>
          <w:szCs w:val="26"/>
        </w:rPr>
        <w:t xml:space="preserve">4.17 Tax Clearance</w:t>
      </w:r>
    </w:p>
    <w:p>
      <w:pPr>
        <w:spacing w:after="160" w:line="276"/>
      </w:pPr>
      <w:r>
        <w:rPr>
          <w:rFonts w:ascii="Calibri" w:cs="Calibri" w:eastAsia="Calibri" w:hAnsi="Calibri"/>
          <w:sz w:val="22"/>
          <w:szCs w:val="22"/>
        </w:rPr>
        <w:t xml:space="preserve">It will be a condition of any Goods Contract pursuant to this Competition that the successful Tenderer(s) shall, for the term of such contract(s), comply with all EU and domestic tax laws. Tenderers are referred to www.revenue.ie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p>
      <w:pPr>
        <w:pStyle w:val="Heading2"/>
        <w:spacing w:after="160" w:before="200"/>
      </w:pPr>
      <w:r>
        <w:rPr>
          <w:rFonts w:ascii="Calibri" w:cs="Calibri" w:eastAsia="Calibri" w:hAnsi="Calibri"/>
          <w:b/>
          <w:bCs/>
          <w:color w:val="2E5395"/>
          <w:sz w:val="26"/>
          <w:szCs w:val="26"/>
        </w:rPr>
        <w:t xml:space="preserve">4.18 Conflicts of interest</w:t>
      </w:r>
    </w:p>
    <w:p>
      <w:pPr>
        <w:spacing w:after="160" w:line="276"/>
      </w:pPr>
      <w:r>
        <w:rPr>
          <w:rFonts w:ascii="Calibri" w:cs="Calibri" w:eastAsia="Calibri" w:hAnsi="Calibri"/>
          <w:sz w:val="22"/>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terminating any Goods Contract entered into by a Tenderer.</w:t>
      </w:r>
    </w:p>
    <w:p>
      <w:pPr>
        <w:pStyle w:val="Heading2"/>
        <w:spacing w:after="160" w:before="200"/>
      </w:pPr>
      <w:r>
        <w:rPr>
          <w:rFonts w:ascii="Calibri" w:cs="Calibri" w:eastAsia="Calibri" w:hAnsi="Calibri"/>
          <w:b/>
          <w:bCs/>
          <w:color w:val="2E5395"/>
          <w:sz w:val="26"/>
          <w:szCs w:val="26"/>
        </w:rPr>
        <w:t xml:space="preserve">4.19 Withdrawal from this competition</w:t>
      </w:r>
    </w:p>
    <w:p>
      <w:pPr>
        <w:spacing w:after="160" w:line="276"/>
      </w:pPr>
      <w:r>
        <w:rPr>
          <w:rFonts w:ascii="Calibri" w:cs="Calibri" w:eastAsia="Calibri" w:hAnsi="Calibri"/>
          <w:sz w:val="22"/>
          <w:szCs w:val="22"/>
        </w:rPr>
        <w:t xml:space="preserve">Tenderers are required to notify the Contracting Authority immediately via the e-tenders website, if at any stage they decide to withdraw from this Competition.</w:t>
      </w:r>
    </w:p>
    <w:p>
      <w:pPr>
        <w:pStyle w:val="Heading2"/>
        <w:spacing w:after="160" w:before="200"/>
      </w:pPr>
      <w:r>
        <w:rPr>
          <w:rFonts w:ascii="Calibri" w:cs="Calibri" w:eastAsia="Calibri" w:hAnsi="Calibri"/>
          <w:b/>
          <w:bCs/>
          <w:color w:val="2E5395"/>
          <w:sz w:val="26"/>
          <w:szCs w:val="26"/>
        </w:rPr>
        <w:t xml:space="preserve">4.20 Site visit</w:t>
      </w:r>
    </w:p>
    <w:p>
      <w:pPr>
        <w:spacing w:after="160" w:line="276"/>
      </w:pPr>
      <w:r>
        <w:rPr>
          <w:rFonts w:ascii="Calibri" w:cs="Calibri" w:eastAsia="Calibri" w:hAnsi="Calibri"/>
          <w:sz w:val="22"/>
          <w:szCs w:val="22"/>
        </w:rPr>
        <w:t xml:space="preserve">Site visits are recommended (see ‘Site Details and Visit’ in Part 2). Tenderers wishing to make an appointment to visit the site must submit their request through the eTenders messaging facility. Site visits are at the Tenderer’s own cost (see paragraph 4.8).</w:t>
      </w:r>
    </w:p>
    <w:p>
      <w:pPr>
        <w:pStyle w:val="Heading2"/>
        <w:spacing w:after="160" w:before="200"/>
      </w:pPr>
      <w:r>
        <w:rPr>
          <w:rFonts w:ascii="Calibri" w:cs="Calibri" w:eastAsia="Calibri" w:hAnsi="Calibri"/>
          <w:b/>
          <w:bCs/>
          <w:color w:val="2E5395"/>
          <w:sz w:val="26"/>
          <w:szCs w:val="26"/>
        </w:rPr>
        <w:t xml:space="preserve">4.21 Insurance</w:t>
      </w:r>
    </w:p>
    <w:p>
      <w:pPr>
        <w:spacing w:after="160" w:line="276"/>
      </w:pPr>
      <w:r>
        <w:rPr>
          <w:rFonts w:ascii="Calibri" w:cs="Calibri" w:eastAsia="Calibri" w:hAnsi="Calibri"/>
          <w:b/>
          <w:bCs/>
          <w:color w:val="2E5395"/>
          <w:sz w:val="22"/>
          <w:szCs w:val="22"/>
        </w:rPr>
        <w:t xml:space="preserve">4.21.1 </w:t>
      </w:r>
      <w:r>
        <w:rPr>
          <w:rFonts w:ascii="Calibri" w:cs="Calibri" w:eastAsia="Calibri" w:hAnsi="Calibri"/>
          <w:sz w:val="22"/>
          <w:szCs w:val="22"/>
        </w:rPr>
        <w:t xml:space="preserve">The successful Tenderer shall be required to hold for the term of the Goods Contract the following insurances: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5600"/>
      </w:tblGrid>
      <w:tr>
        <w:tc>
          <w:tcPr>
            <w:tcW w:type="dxa" w:w="34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Type of Insurance</w:t>
            </w:r>
          </w:p>
        </w:tc>
        <w:tc>
          <w:tcPr>
            <w:tcW w:type="dxa" w:w="5600"/>
            <w:shd w:fill="1F4E79" w:val="clear"/>
            <w:tcMar>
              <w:top w:type="dxa" w:w="60"/>
              <w:left w:type="dxa" w:w="100"/>
              <w:bottom w:type="dxa" w:w="60"/>
              <w:right w:type="dxa" w:w="100"/>
            </w:tcMar>
          </w:tcPr>
          <w:p>
            <w:pPr>
              <w:spacing w:after="40"/>
            </w:pPr>
            <w:r>
              <w:rPr>
                <w:rFonts w:ascii="Calibri" w:cs="Calibri" w:eastAsia="Calibri" w:hAnsi="Calibri"/>
                <w:b/>
                <w:bCs/>
                <w:color w:val="FFFFFF"/>
                <w:sz w:val="22"/>
                <w:szCs w:val="22"/>
              </w:rPr>
              <w:t xml:space="preserve">Indemnity Limit</w:t>
            </w:r>
          </w:p>
        </w:tc>
      </w:tr>
      <w:tr>
        <w:tc>
          <w:tcPr>
            <w:tcW w:type="dxa" w:w="34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Employer’s Liability</w:t>
            </w:r>
          </w:p>
          <w:p>
            <w:pPr>
              <w:spacing w:after="40"/>
            </w:pPr>
            <w:r>
              <w:rPr>
                <w:rFonts w:ascii="Calibri" w:cs="Calibri" w:eastAsia="Calibri" w:hAnsi="Calibri"/>
                <w:i/>
                <w:iCs/>
                <w:sz w:val="22"/>
                <w:szCs w:val="22"/>
              </w:rPr>
              <w:t xml:space="preserve">(applicable only if the tenderer is an Employer)</w:t>
            </w:r>
          </w:p>
        </w:tc>
        <w:tc>
          <w:tcPr>
            <w:tcW w:type="dxa" w:w="56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€12.7 million limit for any one claim or series of claims arising out of a single occurrence</w:t>
            </w:r>
          </w:p>
        </w:tc>
      </w:tr>
      <w:tr>
        <w:tc>
          <w:tcPr>
            <w:tcW w:type="dxa" w:w="3400"/>
            <w:tcMar>
              <w:top w:type="dxa" w:w="60"/>
              <w:left w:type="dxa" w:w="100"/>
              <w:bottom w:type="dxa" w:w="60"/>
              <w:right w:type="dxa" w:w="100"/>
            </w:tcMar>
          </w:tcPr>
          <w:p>
            <w:pPr>
              <w:spacing w:after="40"/>
            </w:pPr>
            <w:r>
              <w:rPr>
                <w:rFonts w:ascii="Calibri" w:cs="Calibri" w:eastAsia="Calibri" w:hAnsi="Calibri"/>
                <w:sz w:val="22"/>
                <w:szCs w:val="22"/>
              </w:rPr>
              <w:t xml:space="preserve">Public Liability</w:t>
            </w:r>
          </w:p>
        </w:tc>
        <w:tc>
          <w:tcPr>
            <w:tcW w:type="dxa" w:w="5600"/>
            <w:tcMar>
              <w:top w:type="dxa" w:w="60"/>
              <w:left w:type="dxa" w:w="100"/>
              <w:bottom w:type="dxa" w:w="60"/>
              <w:right w:type="dxa" w:w="100"/>
            </w:tcMar>
          </w:tcPr>
          <w:p>
            <w:pPr>
              <w:spacing w:after="40"/>
            </w:pPr>
            <w:r>
              <w:rPr>
                <w:rFonts w:ascii="Calibri" w:cs="Calibri" w:eastAsia="Calibri" w:hAnsi="Calibri"/>
                <w:sz w:val="22"/>
                <w:szCs w:val="22"/>
              </w:rPr>
              <w:t xml:space="preserve">€6.5 million limit for any one claim or series of claims arising out of a single occurrence</w:t>
            </w:r>
          </w:p>
        </w:tc>
      </w:tr>
      <w:tr>
        <w:tc>
          <w:tcPr>
            <w:tcW w:type="dxa" w:w="34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Product Liability</w:t>
            </w:r>
          </w:p>
        </w:tc>
        <w:tc>
          <w:tcPr>
            <w:tcW w:type="dxa" w:w="5600"/>
            <w:shd w:fill="BDD6EE" w:val="clear"/>
            <w:tcMar>
              <w:top w:type="dxa" w:w="60"/>
              <w:left w:type="dxa" w:w="100"/>
              <w:bottom w:type="dxa" w:w="60"/>
              <w:right w:type="dxa" w:w="100"/>
            </w:tcMar>
          </w:tcPr>
          <w:p>
            <w:pPr>
              <w:spacing w:after="40"/>
            </w:pPr>
            <w:r>
              <w:rPr>
                <w:rFonts w:ascii="Calibri" w:cs="Calibri" w:eastAsia="Calibri" w:hAnsi="Calibri"/>
                <w:sz w:val="22"/>
                <w:szCs w:val="22"/>
              </w:rPr>
              <w:t xml:space="preserve">€1.3 million limit for any one claim or series of claims arising out of a single occurrence</w:t>
            </w:r>
          </w:p>
        </w:tc>
      </w:tr>
    </w:tbl>
    <w:p>
      <w:pPr>
        <w:spacing w:after="120" w:line="276"/>
      </w:pPr>
      <w:r>
        <w:rPr>
          <w:rFonts w:ascii="Calibri" w:cs="Calibri" w:eastAsia="Calibri" w:hAnsi="Calibri"/>
          <w:sz w:val="22"/>
          <w:szCs w:val="22"/>
        </w:rPr>
        <w:t xml:space="preserve"/>
      </w:r>
    </w:p>
    <w:p>
      <w:pPr>
        <w:spacing w:after="160" w:line="276"/>
      </w:pPr>
      <w:r>
        <w:rPr>
          <w:rFonts w:ascii="Calibri" w:cs="Calibri" w:eastAsia="Calibri" w:hAnsi="Calibri"/>
          <w:b/>
          <w:bCs/>
          <w:color w:val="2E5395"/>
          <w:sz w:val="22"/>
          <w:szCs w:val="22"/>
        </w:rPr>
        <w:t xml:space="preserve">4.21.2 </w:t>
      </w:r>
      <w:r>
        <w:rPr>
          <w:rFonts w:ascii="Calibri" w:cs="Calibri" w:eastAsia="Calibri" w:hAnsi="Calibri"/>
          <w:sz w:val="22"/>
          <w:szCs w:val="22"/>
        </w:rPr>
        <w:t xml:space="preserve">By signing the Tenderer’s Statement in the Tender Response Document, Tenderers confirm, that if awarded a Goods Contract under this Competition, (i) they will, from the Effective Date of the Goods Contract (as defined in the Goods Contract), obtain and hold the types and levels of insurance as specified at paragraph 4.21.1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Goods Contract.</w:t>
      </w:r>
    </w:p>
    <w:p>
      <w:pPr>
        <w:spacing w:after="160" w:line="276"/>
      </w:pPr>
      <w:r>
        <w:rPr>
          <w:rFonts w:ascii="Calibri" w:cs="Calibri" w:eastAsia="Calibri" w:hAnsi="Calibri"/>
          <w:b/>
          <w:bCs/>
          <w:color w:val="2E5395"/>
          <w:sz w:val="22"/>
          <w:szCs w:val="22"/>
        </w:rPr>
        <w:t xml:space="preserve">4.21.3 </w:t>
      </w:r>
      <w:r>
        <w:rPr>
          <w:rFonts w:ascii="Calibri" w:cs="Calibri" w:eastAsia="Calibri" w:hAnsi="Calibri"/>
          <w:sz w:val="22"/>
          <w:szCs w:val="22"/>
        </w:rPr>
        <w:t xml:space="preserve">The successful Tenderer will, during the term of the Goods Contract, be required to:</w:t>
      </w:r>
    </w:p>
    <w:p>
      <w:pPr>
        <w:spacing w:after="100" w:line="276"/>
      </w:pPr>
      <w:r>
        <w:rPr>
          <w:rFonts w:ascii="Calibri" w:cs="Calibri" w:eastAsia="Calibri" w:hAnsi="Calibri"/>
          <w:sz w:val="22"/>
          <w:szCs w:val="22"/>
        </w:rPr>
        <w:t xml:space="preserve">(a) immediately advise the Contracting Authority of any material change to its insured status;</w:t>
      </w:r>
    </w:p>
    <w:p>
      <w:pPr>
        <w:spacing w:after="100" w:line="276"/>
      </w:pPr>
      <w:r>
        <w:rPr>
          <w:rFonts w:ascii="Calibri" w:cs="Calibri" w:eastAsia="Calibri" w:hAnsi="Calibri"/>
          <w:sz w:val="22"/>
          <w:szCs w:val="22"/>
        </w:rPr>
        <w:t xml:space="preserve">(b) produce proof of current premiums paid upon request;</w:t>
      </w:r>
    </w:p>
    <w:p>
      <w:pPr>
        <w:spacing w:after="100" w:line="276"/>
      </w:pPr>
      <w:r>
        <w:rPr>
          <w:rFonts w:ascii="Calibri" w:cs="Calibri" w:eastAsia="Calibri" w:hAnsi="Calibri"/>
          <w:sz w:val="22"/>
          <w:szCs w:val="22"/>
        </w:rPr>
        <w:t xml:space="preserve">(c) produce valid certificates of insurance upon request.</w:t>
      </w:r>
    </w:p>
    <w:p>
      <w:pPr>
        <w:pStyle w:val="Heading2"/>
        <w:spacing w:after="160" w:before="200"/>
      </w:pPr>
      <w:r>
        <w:rPr>
          <w:rFonts w:ascii="Calibri" w:cs="Calibri" w:eastAsia="Calibri" w:hAnsi="Calibri"/>
          <w:b/>
          <w:bCs/>
          <w:color w:val="2E5395"/>
          <w:sz w:val="26"/>
          <w:szCs w:val="26"/>
        </w:rPr>
        <w:t xml:space="preserve">4.22 Samples</w:t>
      </w:r>
    </w:p>
    <w:p>
      <w:pPr>
        <w:spacing w:after="160" w:line="276"/>
      </w:pPr>
      <w:r>
        <w:rPr>
          <w:rFonts w:ascii="Calibri" w:cs="Calibri" w:eastAsia="Calibri" w:hAnsi="Calibri"/>
          <w:sz w:val="22"/>
          <w:szCs w:val="22"/>
        </w:rPr>
        <w:t xml:space="preserve">Samples are not requested from Tenderers.</w:t>
      </w:r>
    </w:p>
    <w:p>
      <w:r>
        <w:br w:type="page"/>
      </w:r>
    </w:p>
    <w:p>
      <w:pPr>
        <w:pStyle w:val="Heading1"/>
        <w:spacing w:after="240" w:before="240"/>
      </w:pPr>
      <w:r>
        <w:rPr>
          <w:rFonts w:ascii="Calibri" w:cs="Calibri" w:eastAsia="Calibri" w:hAnsi="Calibri"/>
          <w:b/>
          <w:bCs/>
          <w:color w:val="1F3864"/>
          <w:sz w:val="32"/>
          <w:szCs w:val="32"/>
        </w:rPr>
        <w:t xml:space="preserve">Appendix 1: Specification</w:t>
      </w:r>
    </w:p>
    <w:p>
      <w:pPr>
        <w:spacing w:after="160" w:line="276"/>
      </w:pPr>
      <w:r>
        <w:rPr>
          <w:rFonts w:ascii="Calibri" w:cs="Calibri" w:eastAsia="Calibri" w:hAnsi="Calibri"/>
          <w:i/>
          <w:iCs/>
          <w:sz w:val="22"/>
          <w:szCs w:val="22"/>
        </w:rPr>
        <w:t xml:space="preserve">Tenderers must address each of the issues and requirements set out in part ‘2: Requirements and Specifications’ of the RFT. Tenderers are required to provide their responses in the Tender Response Document that accompanies this RFT. This specification is to be read with planning drawing 33-25 (Sheet 03) – Plan, Elevations &amp; Section of Cabin (Cabins 1–4), 32 m² (L. Colton Engineering &amp; Architectural Services, 16-03-2026) and the cabin construction details / U-value sheet, and any later versions issued through eTenders.</w:t>
      </w:r>
    </w:p>
    <w:p>
      <w:pPr>
        <w:pStyle w:val="Heading1"/>
        <w:spacing w:after="240" w:before="240"/>
      </w:pPr>
      <w:r>
        <w:rPr>
          <w:rFonts w:ascii="Calibri" w:cs="Calibri" w:eastAsia="Calibri" w:hAnsi="Calibri"/>
          <w:b/>
          <w:bCs/>
          <w:color w:val="1F3864"/>
          <w:sz w:val="32"/>
          <w:szCs w:val="32"/>
        </w:rPr>
        <w:t xml:space="preserve">Appendix 2: Pricing Schedule (see Tender Response Document)</w:t>
      </w:r>
    </w:p>
    <w:p>
      <w:pPr>
        <w:spacing w:after="160" w:line="276"/>
      </w:pPr>
      <w:r>
        <w:rPr>
          <w:rFonts w:ascii="Calibri" w:cs="Calibri" w:eastAsia="Calibri" w:hAnsi="Calibri"/>
          <w:i/>
          <w:iCs/>
          <w:sz w:val="22"/>
          <w:szCs w:val="22"/>
        </w:rPr>
        <w:t xml:space="preserve">Tenderers are required to complete the Pricing Schedule spreadsheet that accompanies this RFT.</w:t>
      </w:r>
    </w:p>
    <w:p>
      <w:pPr>
        <w:pStyle w:val="Heading1"/>
        <w:spacing w:after="240" w:before="240"/>
      </w:pPr>
      <w:r>
        <w:rPr>
          <w:rFonts w:ascii="Calibri" w:cs="Calibri" w:eastAsia="Calibri" w:hAnsi="Calibri"/>
          <w:b/>
          <w:bCs/>
          <w:color w:val="1F3864"/>
          <w:sz w:val="32"/>
          <w:szCs w:val="32"/>
        </w:rPr>
        <w:t xml:space="preserve">Appendix 3: Tenderer’s Statement</w:t>
      </w:r>
    </w:p>
    <w:p>
      <w:pPr>
        <w:spacing w:after="160" w:line="276"/>
      </w:pPr>
      <w:r>
        <w:rPr>
          <w:rFonts w:ascii="Calibri" w:cs="Calibri" w:eastAsia="Calibri" w:hAnsi="Calibri"/>
          <w:i/>
          <w:iCs/>
          <w:sz w:val="22"/>
          <w:szCs w:val="22"/>
        </w:rPr>
        <w:t xml:space="preserve">Tenderers are required to complete the Tenderer’s Statement in the Tender Response Document that accompanies this RFT.</w:t>
      </w:r>
    </w:p>
    <w:p>
      <w:pPr>
        <w:pStyle w:val="Heading1"/>
        <w:spacing w:after="240" w:before="240"/>
      </w:pPr>
      <w:r>
        <w:rPr>
          <w:rFonts w:ascii="Calibri" w:cs="Calibri" w:eastAsia="Calibri" w:hAnsi="Calibri"/>
          <w:b/>
          <w:bCs/>
          <w:color w:val="1F3864"/>
          <w:sz w:val="32"/>
          <w:szCs w:val="32"/>
        </w:rPr>
        <w:t xml:space="preserve">Appendix 4: Goods Contract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o"/>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2026-08-28T07:22:07.487Z</dcterms:created>
  <dcterms:modified xsi:type="dcterms:W3CDTF">2026-08-28T07:22:07.504Z</dcterms:modified>
</cp:coreProperties>
</file>

<file path=docProps/custom.xml><?xml version="1.0" encoding="utf-8"?>
<Properties xmlns="http://schemas.openxmlformats.org/officeDocument/2006/custom-properties" xmlns:vt="http://schemas.openxmlformats.org/officeDocument/2006/docPropsVTypes"/>
</file>