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7810711"/>
        <w:placeholder>
          <w:docPart w:val="0BEE2C81A39A4F81A63540EDCEDC59E9"/>
        </w:placeholder>
      </w:sdtPr>
      <w:sdtEndPr/>
      <w:sdtContent>
        <w:p w14:paraId="5ECC3B18" w14:textId="77777777" w:rsidR="001A23EE" w:rsidRDefault="001A23EE" w:rsidP="001A23EE">
          <w:r>
            <w:t>The Services Contract will be awarded using the Most Economically Advantageous Tender (MEAT) methodology. The award criteria are:</w:t>
          </w:r>
        </w:p>
        <w:p w14:paraId="5C03FF4E" w14:textId="77777777" w:rsidR="001A23EE" w:rsidRDefault="001A23EE" w:rsidP="001A23EE">
          <w:r>
            <w:t>Quality: 60 marks</w:t>
          </w:r>
        </w:p>
        <w:p w14:paraId="20662948" w14:textId="77777777" w:rsidR="001A23EE" w:rsidRDefault="001A23EE" w:rsidP="001A23EE">
          <w:r>
            <w:t>Sustainability: 10 marks</w:t>
          </w:r>
        </w:p>
        <w:p w14:paraId="0A4A6FBF" w14:textId="77777777" w:rsidR="001A23EE" w:rsidRDefault="001A23EE" w:rsidP="001A23EE">
          <w:r>
            <w:t>Cost: 30 marks</w:t>
          </w:r>
        </w:p>
        <w:p w14:paraId="64ADBBE4" w14:textId="77777777" w:rsidR="001A23EE" w:rsidRDefault="001A23EE" w:rsidP="001A23EE"/>
        <w:p w14:paraId="780DFAEF" w14:textId="77777777" w:rsidR="001A23EE" w:rsidRDefault="001A23EE" w:rsidP="001A23EE">
          <w:r>
            <w:t>Quality criteria (60 marks):</w:t>
          </w:r>
        </w:p>
        <w:p w14:paraId="4B608C3F" w14:textId="77777777" w:rsidR="001A23EE" w:rsidRDefault="001A23EE" w:rsidP="001A23EE">
          <w:r>
            <w:t>Q1 Organisational Capability, Relevant GMP &amp; Cleanroom Experience – 10 marks.</w:t>
          </w:r>
        </w:p>
        <w:p w14:paraId="51F13C9B" w14:textId="77777777" w:rsidR="001A23EE" w:rsidRDefault="001A23EE" w:rsidP="001A23EE">
          <w:r>
            <w:t>Q2 Application of EU GMP Annex 1, Contamination Control Strategy and Cleanroom Behaviour – 12 marks.</w:t>
          </w:r>
        </w:p>
        <w:p w14:paraId="2EAED97B" w14:textId="77777777" w:rsidR="001A23EE" w:rsidRDefault="001A23EE" w:rsidP="001A23EE">
          <w:r>
            <w:t>Q3 Tissue / Stem Cell Regulatory Environment and Inspection Readiness – 8 marks.</w:t>
          </w:r>
        </w:p>
        <w:p w14:paraId="04DA0EFE" w14:textId="77777777" w:rsidR="001A23EE" w:rsidRDefault="001A23EE" w:rsidP="001A23EE">
          <w:r>
            <w:t>Q4 Technical Cleaning Methodology, SOP Control and Records – 10 marks.</w:t>
          </w:r>
        </w:p>
        <w:p w14:paraId="3C7DC871" w14:textId="77777777" w:rsidR="001A23EE" w:rsidRDefault="001A23EE" w:rsidP="001A23EE">
          <w:r>
            <w:t>Q5 QMS, Deviation / CAPA, Environmental Monitoring Interface and Governance – 10 marks.</w:t>
          </w:r>
        </w:p>
        <w:p w14:paraId="407F6A4C" w14:textId="77777777" w:rsidR="001A23EE" w:rsidRDefault="001A23EE" w:rsidP="001A23EE">
          <w:r>
            <w:t>Q6 Personnel, Training, Supervision, Mobilisation and Business Continuity – 10 marks.</w:t>
          </w:r>
        </w:p>
        <w:p w14:paraId="731DB7E1" w14:textId="77777777" w:rsidR="001A23EE" w:rsidRDefault="001A23EE" w:rsidP="001A23EE">
          <w:r>
            <w:t>Innovation, continuous improvement and technology may be addressed within the relevant quality and sustainability responses but is not a separate scored criterion.</w:t>
          </w:r>
        </w:p>
        <w:p w14:paraId="56241D83" w14:textId="77777777" w:rsidR="001A23EE" w:rsidRDefault="001A23EE" w:rsidP="001A23EE">
          <w:r>
            <w:t>Sustainability criterion: Q8 Sustainability Compatible with GMP and Annex 1 – 10 marks (10% of overall tender scoring).</w:t>
          </w:r>
        </w:p>
        <w:p w14:paraId="428CFE49" w14:textId="77777777" w:rsidR="001A23EE" w:rsidRDefault="001A23EE" w:rsidP="001A23EE"/>
        <w:p w14:paraId="36040C3D" w14:textId="77777777" w:rsidR="001A23EE" w:rsidRDefault="001A23EE" w:rsidP="001A23EE">
          <w:r>
            <w:t>Tenderers must achieve greater than 50% in each scored Quality criterion and in the Sustainability criterion. A score of 50% or less in any scored criterion may result in exclusion, regardless of total score.</w:t>
          </w:r>
        </w:p>
        <w:p w14:paraId="54565235" w14:textId="77777777" w:rsidR="001A23EE" w:rsidRDefault="001A23EE" w:rsidP="001A23EE">
          <w:r>
            <w:t>Cost will be evaluated using the formula: Cost Score = (Lowest Compliant Evaluated Tender Price ÷ Tenderer’s Evaluated Tender Price) × 30. The Evaluated Tender Price will be calculated using the Pricing Schedule and may include the initial three-year fixed service cost, mobilisation cost and any priced evaluation assumptions stated in the Pricing Schedule.</w:t>
          </w:r>
        </w:p>
      </w:sdtContent>
    </w:sdt>
    <w:p w14:paraId="5B83FC3E" w14:textId="77777777" w:rsidR="001A23EE" w:rsidRDefault="001A23EE"/>
    <w:p w14:paraId="43BA0D8E" w14:textId="172992D2" w:rsidR="008A00CB" w:rsidRDefault="008A00CB" w:rsidP="008A00CB">
      <w:r>
        <w:t>Should the scoring result in a tie the tenderer with the highest functionality score will be successful</w:t>
      </w:r>
      <w:r w:rsidR="00734949">
        <w:t>.</w:t>
      </w:r>
    </w:p>
    <w:p w14:paraId="5D886524" w14:textId="71E3C936" w:rsidR="00734949" w:rsidRDefault="00E87C5E" w:rsidP="00734949">
      <w:pPr>
        <w:rPr>
          <w:lang w:val="en-US"/>
        </w:rPr>
      </w:pPr>
      <w:r>
        <w:rPr>
          <w:lang w:val="en-US"/>
        </w:rPr>
        <w:t>Lots</w:t>
      </w:r>
      <w:r w:rsidR="00734949">
        <w:rPr>
          <w:lang w:val="en-US"/>
        </w:rPr>
        <w:t xml:space="preserve"> will be scored separately.</w:t>
      </w:r>
    </w:p>
    <w:p w14:paraId="574A6EC5" w14:textId="77777777" w:rsidR="00734949" w:rsidRDefault="00734949" w:rsidP="008A00CB"/>
    <w:p w14:paraId="29CD4AC4" w14:textId="77777777" w:rsidR="008A00CB" w:rsidRDefault="008A00CB"/>
    <w:sectPr w:rsidR="008A00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EE"/>
    <w:rsid w:val="001A23EE"/>
    <w:rsid w:val="00734949"/>
    <w:rsid w:val="00735ED0"/>
    <w:rsid w:val="00751CA5"/>
    <w:rsid w:val="00846942"/>
    <w:rsid w:val="00893C66"/>
    <w:rsid w:val="008A00CB"/>
    <w:rsid w:val="00BB4B10"/>
    <w:rsid w:val="00E87C5E"/>
    <w:rsid w:val="00F6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3DD1B"/>
  <w15:chartTrackingRefBased/>
  <w15:docId w15:val="{55352485-6018-4356-966C-707D66955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3EE"/>
    <w:pPr>
      <w:spacing w:after="120" w:line="276" w:lineRule="auto"/>
    </w:pPr>
    <w:rPr>
      <w:rFonts w:ascii="Calibri" w:eastAsia="Times New Roman" w:hAnsi="Calibri" w:cs="Times New Roman"/>
      <w:kern w:val="0"/>
      <w:sz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3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3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3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3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3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3E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3E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3E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3E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3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3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A2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3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A2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3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A2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3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A2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3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EE2C81A39A4F81A63540EDCEDC5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7AD69-5FD7-42DF-975F-79C4E2CCFEA3}"/>
      </w:docPartPr>
      <w:docPartBody>
        <w:p w:rsidR="00DD0A1C" w:rsidRDefault="00C375E1" w:rsidP="00C375E1">
          <w:pPr>
            <w:pStyle w:val="0BEE2C81A39A4F81A63540EDCEDC59E9"/>
          </w:pPr>
          <w:r w:rsidRPr="0061474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5E1"/>
    <w:rsid w:val="002F15E4"/>
    <w:rsid w:val="004B7DCA"/>
    <w:rsid w:val="00735ED0"/>
    <w:rsid w:val="00751CA5"/>
    <w:rsid w:val="00C375E1"/>
    <w:rsid w:val="00D612E9"/>
    <w:rsid w:val="00DD0A1C"/>
    <w:rsid w:val="00F6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C375E1"/>
    <w:rPr>
      <w:color w:val="808080"/>
    </w:rPr>
  </w:style>
  <w:style w:type="paragraph" w:customStyle="1" w:styleId="0BEE2C81A39A4F81A63540EDCEDC59E9">
    <w:name w:val="0BEE2C81A39A4F81A63540EDCEDC59E9"/>
    <w:rsid w:val="00C375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Boland, Brian</dc:creator>
  <cp:keywords/>
  <dc:description/>
  <cp:lastModifiedBy>Boland, Brian</cp:lastModifiedBy>
  <cp:revision>4</cp:revision>
  <dcterms:created xsi:type="dcterms:W3CDTF">2026-08-18T14:16:00Z</dcterms:created>
  <dcterms:modified xsi:type="dcterms:W3CDTF">2026-08-20T11:02:00Z</dcterms:modified>
</cp:coreProperties>
</file>