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70828057"/>
        <w:placeholder>
          <w:docPart w:val="6548C85E1554446C8FE977E192552B11"/>
        </w:placeholder>
      </w:sdtPr>
      <w:sdtContent>
        <w:p w14:paraId="13765743" w14:textId="77777777" w:rsidR="001B3725" w:rsidRDefault="001B3725" w:rsidP="001B3725">
          <w:pPr>
            <w:rPr>
              <w:highlight w:val="lightGray"/>
            </w:rPr>
          </w:pPr>
          <w:r>
            <w:rPr>
              <w:b/>
            </w:rPr>
            <w:t>Scope of Services</w:t>
          </w:r>
        </w:p>
        <w:p w14:paraId="3DFE6B8C" w14:textId="77777777" w:rsidR="001B3725" w:rsidRDefault="001B3725" w:rsidP="001B3725">
          <w:pPr>
            <w:rPr>
              <w:highlight w:val="lightGray"/>
            </w:rPr>
          </w:pPr>
          <w:r>
            <w:t>The Services comprise specialist GMP and cleanroom cleaning services for GMP-classified cleanrooms, cleanroom support areas, controlled support areas, GMP laboratories, tissue processing facilities, stem cell laboratories, airlocks, gowning rooms, controlled corridors and associated GMP-support spaces at designated IBTS facilities. Cleaning of non-GMP office areas, welfare areas and general building areas is excluded from this GMP cleaning contract.</w:t>
          </w:r>
        </w:p>
        <w:p w14:paraId="6470BB44" w14:textId="77777777" w:rsidR="001B3725" w:rsidRDefault="001B3725" w:rsidP="001B3725">
          <w:pPr>
            <w:rPr>
              <w:highlight w:val="lightGray"/>
            </w:rPr>
          </w:pPr>
        </w:p>
        <w:p w14:paraId="53CCFEA3" w14:textId="77777777" w:rsidR="001B3725" w:rsidRDefault="001B3725" w:rsidP="001B3725">
          <w:pPr>
            <w:rPr>
              <w:highlight w:val="lightGray"/>
            </w:rPr>
          </w:pPr>
          <w:r>
            <w:rPr>
              <w:b/>
            </w:rPr>
            <w:t>Sites and Areas</w:t>
          </w:r>
        </w:p>
        <w:p w14:paraId="7A51925F" w14:textId="77777777" w:rsidR="001B3725" w:rsidRDefault="001B3725" w:rsidP="001B3725">
          <w:pPr>
            <w:rPr>
              <w:highlight w:val="lightGray"/>
            </w:rPr>
          </w:pPr>
          <w:r>
            <w:t>Services cover GMP-classified, cleanroom, controlled and regulated areas across the National Blood Centre where applicable to GMP and regulated processing activities. Tenderers must price and resource the Services in accordance with the Pricing Schedule and all information issued through the tender process.</w:t>
          </w:r>
        </w:p>
        <w:p w14:paraId="26693A94" w14:textId="77777777" w:rsidR="001B3725" w:rsidRDefault="001B3725" w:rsidP="001B3725">
          <w:pPr>
            <w:rPr>
              <w:highlight w:val="lightGray"/>
            </w:rPr>
          </w:pPr>
        </w:p>
        <w:p w14:paraId="2DF9012E" w14:textId="77777777" w:rsidR="001B3725" w:rsidRDefault="001B3725" w:rsidP="001B3725">
          <w:pPr>
            <w:rPr>
              <w:highlight w:val="lightGray"/>
            </w:rPr>
          </w:pPr>
          <w:r>
            <w:rPr>
              <w:b/>
            </w:rPr>
            <w:t>Regulatory and GMP Environment</w:t>
          </w:r>
        </w:p>
        <w:p w14:paraId="44AF0B24" w14:textId="77777777" w:rsidR="001B3725" w:rsidRDefault="001B3725" w:rsidP="001B3725">
          <w:pPr>
            <w:rPr>
              <w:highlight w:val="lightGray"/>
            </w:rPr>
          </w:pPr>
          <w:r>
            <w:t>The Services are a critical outsourced GMP activity. The successful Tenderer must operate in a manner that protects licensed tissue and stem cell operations, maintains the validated state of control and supports IBTS Quality, Environmental Monitoring, Facilities and operational governance arrangements. Tenderers must demonstrate practical application of EU GMP Annex 1 principles as they relate to contamination control, risk-based cleaning, disinfectant rotation, sporicidal application, cleanroom behaviour, gowning, intervention control, records, environmental monitoring response and maintenance of the validated state.</w:t>
          </w:r>
        </w:p>
        <w:p w14:paraId="0A4B3E38" w14:textId="77777777" w:rsidR="001B3725" w:rsidRDefault="001B3725" w:rsidP="001B3725">
          <w:pPr>
            <w:rPr>
              <w:highlight w:val="lightGray"/>
            </w:rPr>
          </w:pPr>
        </w:p>
        <w:p w14:paraId="039EB188" w14:textId="77777777" w:rsidR="001B3725" w:rsidRDefault="001B3725" w:rsidP="001B3725">
          <w:pPr>
            <w:rPr>
              <w:highlight w:val="lightGray"/>
            </w:rPr>
          </w:pPr>
          <w:r>
            <w:rPr>
              <w:b/>
            </w:rPr>
            <w:t>Mandatory Compliance</w:t>
          </w:r>
        </w:p>
        <w:p w14:paraId="7A0D50F2" w14:textId="77777777" w:rsidR="001B3725" w:rsidRDefault="001B3725" w:rsidP="001B3725">
          <w:pPr>
            <w:rPr>
              <w:highlight w:val="lightGray"/>
            </w:rPr>
          </w:pPr>
          <w:r>
            <w:t>Tenderers must complete and return the Mandatory Compliance Schedule. Failure to answer YES to all mandatory compliance requirements or failure to provide sufficient supporting evidence may result in exclusion. The Mandatory Compliance Schedule covers organisational capability and relevant experience; Annex 1, contamination control and cleaning methodology; QMS, SOPs and data integrity; personnel, training and GMP culture; environmental monitoring, governance, audit and inspection support; mobilisation, TUPE and business continuity; legal, data protection, information security and contractual commitments; and sustainability and innovation controls.</w:t>
          </w:r>
        </w:p>
        <w:p w14:paraId="6BE74A00" w14:textId="77777777" w:rsidR="001B3725" w:rsidRDefault="001B3725" w:rsidP="001B3725">
          <w:pPr>
            <w:rPr>
              <w:highlight w:val="lightGray"/>
            </w:rPr>
          </w:pPr>
        </w:p>
        <w:p w14:paraId="230EC608" w14:textId="77777777" w:rsidR="001B3725" w:rsidRDefault="001B3725" w:rsidP="001B3725">
          <w:pPr>
            <w:rPr>
              <w:highlight w:val="lightGray"/>
            </w:rPr>
          </w:pPr>
          <w:r>
            <w:rPr>
              <w:b/>
            </w:rPr>
            <w:t>Technical Cleaning Methodology</w:t>
          </w:r>
        </w:p>
        <w:p w14:paraId="08CFE745" w14:textId="77777777" w:rsidR="001B3725" w:rsidRDefault="001B3725" w:rsidP="001B3725">
          <w:pPr>
            <w:rPr>
              <w:highlight w:val="lightGray"/>
            </w:rPr>
          </w:pPr>
          <w:r>
            <w:t>Tenderers must provide a technical cleaning methodology covering cleaning methods, frequencies, sequencing, equipment, chemicals, materials, disinfection rotation, sporicidal use, contact times, residue management, room zoning, gowning, cleanroom behaviour, interventions, route control, equipment/consumable segregation, storage and live-regulated-environment working arrangements. The methodology must be specific to GMP, cleanroom and controlled areas and must not rely on generic office-cleaning practices.</w:t>
          </w:r>
        </w:p>
        <w:p w14:paraId="2AE7E4AF" w14:textId="77777777" w:rsidR="001B3725" w:rsidRDefault="001B3725" w:rsidP="001B3725">
          <w:pPr>
            <w:rPr>
              <w:highlight w:val="lightGray"/>
            </w:rPr>
          </w:pPr>
        </w:p>
        <w:p w14:paraId="1D3CE445" w14:textId="77777777" w:rsidR="001B3725" w:rsidRDefault="001B3725" w:rsidP="001B3725">
          <w:pPr>
            <w:rPr>
              <w:highlight w:val="lightGray"/>
            </w:rPr>
          </w:pPr>
          <w:r>
            <w:rPr>
              <w:b/>
            </w:rPr>
            <w:lastRenderedPageBreak/>
            <w:t>SOPs, Records and Data Integrity</w:t>
          </w:r>
        </w:p>
        <w:p w14:paraId="440DE49D" w14:textId="77777777" w:rsidR="001B3725" w:rsidRDefault="001B3725" w:rsidP="001B3725">
          <w:pPr>
            <w:rPr>
              <w:highlight w:val="lightGray"/>
            </w:rPr>
          </w:pPr>
          <w:r>
            <w:t>The successful Tenderer must operate under document-controlled SOPs approved through IBTS governance. Cleaning methods, disinfectants, equipment, frequencies, routes, personnel arrangements and records must not be changed without IBTS-approved change control. Cleaning records must be contemporaneous, attributable, legible, accurate, complete, traceable and retrievable. The successful Tenderer must make records, SOPs, training files and supporting evidence available for audit and inspection.</w:t>
          </w:r>
        </w:p>
        <w:p w14:paraId="640821B1" w14:textId="77777777" w:rsidR="001B3725" w:rsidRDefault="001B3725" w:rsidP="001B3725">
          <w:pPr>
            <w:rPr>
              <w:highlight w:val="lightGray"/>
            </w:rPr>
          </w:pPr>
        </w:p>
        <w:p w14:paraId="27016828" w14:textId="77777777" w:rsidR="001B3725" w:rsidRDefault="001B3725" w:rsidP="001B3725">
          <w:pPr>
            <w:rPr>
              <w:highlight w:val="lightGray"/>
            </w:rPr>
          </w:pPr>
          <w:r>
            <w:rPr>
              <w:b/>
            </w:rPr>
            <w:t>Quality Management and Governance</w:t>
          </w:r>
        </w:p>
        <w:p w14:paraId="7C058CBC" w14:textId="77777777" w:rsidR="001B3725" w:rsidRDefault="001B3725" w:rsidP="001B3725">
          <w:pPr>
            <w:rPr>
              <w:highlight w:val="lightGray"/>
            </w:rPr>
          </w:pPr>
          <w:r>
            <w:t>Tenderers must demonstrate a Quality Management System suitable for outsourced GMP services, including document control, training management, deviation/incident management, root cause analysis, CAPA, audit support, inspection readiness and monthly governance/KPI reporting. The successful Tenderer must support environmental monitoring investigations, OOS/OOT reviews, deviations, incidents, CAPAs, audits, inspections and monthly governance meetings.</w:t>
          </w:r>
        </w:p>
        <w:p w14:paraId="7BF51010" w14:textId="77777777" w:rsidR="001B3725" w:rsidRDefault="001B3725" w:rsidP="001B3725">
          <w:pPr>
            <w:rPr>
              <w:highlight w:val="lightGray"/>
            </w:rPr>
          </w:pPr>
        </w:p>
        <w:p w14:paraId="03763B1D" w14:textId="77777777" w:rsidR="001B3725" w:rsidRDefault="001B3725" w:rsidP="001B3725">
          <w:pPr>
            <w:rPr>
              <w:highlight w:val="lightGray"/>
            </w:rPr>
          </w:pPr>
          <w:r>
            <w:rPr>
              <w:b/>
            </w:rPr>
            <w:t>Personnel, Training and Supervision</w:t>
          </w:r>
        </w:p>
        <w:p w14:paraId="69C68067" w14:textId="77777777" w:rsidR="001B3725" w:rsidRDefault="001B3725" w:rsidP="001B3725">
          <w:pPr>
            <w:rPr>
              <w:highlight w:val="lightGray"/>
            </w:rPr>
          </w:pPr>
          <w:r>
            <w:t>All GMP cleaning personnel must receive GMP, cleanroom gowning, cleanroom behaviour, contamination awareness, SOP and task-specific training before independent working. Tenderers must provide a role-based training matrix, competency assessment/requalification arrangements, named supervision, absence cover and escalation/removal-from-service arrangements for personnel who do not meet GMP expectations.</w:t>
          </w:r>
        </w:p>
        <w:p w14:paraId="7F38EA72" w14:textId="77777777" w:rsidR="001B3725" w:rsidRDefault="001B3725" w:rsidP="001B3725">
          <w:pPr>
            <w:rPr>
              <w:highlight w:val="lightGray"/>
            </w:rPr>
          </w:pPr>
        </w:p>
        <w:p w14:paraId="4587215B" w14:textId="77777777" w:rsidR="001B3725" w:rsidRDefault="001B3725" w:rsidP="001B3725">
          <w:pPr>
            <w:rPr>
              <w:highlight w:val="lightGray"/>
            </w:rPr>
          </w:pPr>
          <w:r>
            <w:rPr>
              <w:b/>
            </w:rPr>
            <w:t>Mobilisation and Business Continuity</w:t>
          </w:r>
        </w:p>
        <w:p w14:paraId="6C178955" w14:textId="77777777" w:rsidR="001B3725" w:rsidRDefault="001B3725" w:rsidP="001B3725">
          <w:pPr>
            <w:rPr>
              <w:highlight w:val="lightGray"/>
            </w:rPr>
          </w:pPr>
          <w:r>
            <w:t>Tenderers must submit a controlled mobilisation plan with milestones, responsibilities, go-live controls, post-mobilisation review and contingency arrangements. SOPs, training, equipment, chemicals, approved materials and access arrangements must be in place before go-live. Tenderers must address TUPE/staff-transfer obligations where applicable and must maintain business continuity arrangements for staff absence, adverse events, supply disruption and emergency/reactive GMP cleaning support.</w:t>
          </w:r>
        </w:p>
        <w:p w14:paraId="5DFC6395" w14:textId="77777777" w:rsidR="001B3725" w:rsidRDefault="001B3725" w:rsidP="001B3725">
          <w:pPr>
            <w:rPr>
              <w:highlight w:val="lightGray"/>
            </w:rPr>
          </w:pPr>
        </w:p>
        <w:p w14:paraId="368545F0" w14:textId="77777777" w:rsidR="001B3725" w:rsidRDefault="001B3725" w:rsidP="001B3725">
          <w:pPr>
            <w:rPr>
              <w:highlight w:val="lightGray"/>
            </w:rPr>
          </w:pPr>
          <w:r>
            <w:rPr>
              <w:b/>
            </w:rPr>
            <w:t>Sustainability and Innovation</w:t>
          </w:r>
        </w:p>
        <w:p w14:paraId="31D8D6DD" w14:textId="77777777" w:rsidR="001B3725" w:rsidRDefault="001B3725" w:rsidP="001B3725">
          <w:pPr>
            <w:rPr>
              <w:highlight w:val="lightGray"/>
            </w:rPr>
          </w:pPr>
          <w:r>
            <w:t>Sustainability and innovation proposals must be compatible with GMP, EU GMP Annex 1, contamination control, validated cleaning effectiveness, cleanroom compatibility, approved disinfectants, contact times, disinfection strategy and the IBTS QMS. No substitution of chemicals, disinfectants, equipment, consumables or cleaning frequencies is permitted without risk assessment, training, change control and prior IBTS approval.</w:t>
          </w:r>
        </w:p>
        <w:p w14:paraId="66B7AB7B" w14:textId="77777777" w:rsidR="001B3725" w:rsidRDefault="001B3725" w:rsidP="001B3725">
          <w:pPr>
            <w:rPr>
              <w:highlight w:val="lightGray"/>
            </w:rPr>
          </w:pPr>
        </w:p>
        <w:p w14:paraId="2F3A8DAA" w14:textId="77777777" w:rsidR="001B3725" w:rsidRDefault="001B3725" w:rsidP="001B3725">
          <w:pPr>
            <w:rPr>
              <w:highlight w:val="lightGray"/>
            </w:rPr>
          </w:pPr>
          <w:r>
            <w:rPr>
              <w:b/>
            </w:rPr>
            <w:t>Tender Return Requirements</w:t>
          </w:r>
        </w:p>
        <w:p w14:paraId="74596F86" w14:textId="77777777" w:rsidR="001B3725" w:rsidRDefault="001B3725" w:rsidP="001B3725">
          <w:r>
            <w:lastRenderedPageBreak/>
            <w:t>Tenderers must complete the Tender Return Document, Mandatory Compliance Schedule and Pricing Schedule in full. Responses must be specific to IBTS, GMP, EU GMP Annex 1, tissue/stem cell regulated operations and the submitted Pricing Schedule. Generic, marketing-led or unsupported responses may be marked down.</w:t>
          </w:r>
        </w:p>
      </w:sdtContent>
    </w:sdt>
    <w:p w14:paraId="38A59A9F" w14:textId="77777777" w:rsidR="001B3725" w:rsidRDefault="001B3725"/>
    <w:sectPr w:rsidR="001B372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725"/>
    <w:rsid w:val="001B3725"/>
    <w:rsid w:val="00F64C2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CA3E1"/>
  <w15:chartTrackingRefBased/>
  <w15:docId w15:val="{66378F83-4212-40C4-8C8B-7C975A25E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725"/>
    <w:pPr>
      <w:spacing w:after="120" w:line="276" w:lineRule="auto"/>
    </w:pPr>
    <w:rPr>
      <w:rFonts w:ascii="Calibri" w:eastAsia="Times New Roman" w:hAnsi="Calibri" w:cs="Times New Roman"/>
      <w:kern w:val="0"/>
      <w:sz w:val="22"/>
      <w:lang w:val="en-GB"/>
      <w14:ligatures w14:val="none"/>
    </w:rPr>
  </w:style>
  <w:style w:type="paragraph" w:styleId="Heading1">
    <w:name w:val="heading 1"/>
    <w:basedOn w:val="Normal"/>
    <w:next w:val="Normal"/>
    <w:link w:val="Heading1Char"/>
    <w:uiPriority w:val="9"/>
    <w:qFormat/>
    <w:rsid w:val="001B3725"/>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IE"/>
      <w14:ligatures w14:val="standardContextual"/>
    </w:rPr>
  </w:style>
  <w:style w:type="paragraph" w:styleId="Heading2">
    <w:name w:val="heading 2"/>
    <w:basedOn w:val="Normal"/>
    <w:next w:val="Normal"/>
    <w:link w:val="Heading2Char"/>
    <w:uiPriority w:val="9"/>
    <w:semiHidden/>
    <w:unhideWhenUsed/>
    <w:qFormat/>
    <w:rsid w:val="001B3725"/>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IE"/>
      <w14:ligatures w14:val="standardContextual"/>
    </w:rPr>
  </w:style>
  <w:style w:type="paragraph" w:styleId="Heading3">
    <w:name w:val="heading 3"/>
    <w:basedOn w:val="Normal"/>
    <w:next w:val="Normal"/>
    <w:link w:val="Heading3Char"/>
    <w:uiPriority w:val="9"/>
    <w:semiHidden/>
    <w:unhideWhenUsed/>
    <w:qFormat/>
    <w:rsid w:val="001B3725"/>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IE"/>
      <w14:ligatures w14:val="standardContextual"/>
    </w:rPr>
  </w:style>
  <w:style w:type="paragraph" w:styleId="Heading4">
    <w:name w:val="heading 4"/>
    <w:basedOn w:val="Normal"/>
    <w:next w:val="Normal"/>
    <w:link w:val="Heading4Char"/>
    <w:uiPriority w:val="9"/>
    <w:semiHidden/>
    <w:unhideWhenUsed/>
    <w:qFormat/>
    <w:rsid w:val="001B3725"/>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lang w:val="en-IE"/>
      <w14:ligatures w14:val="standardContextual"/>
    </w:rPr>
  </w:style>
  <w:style w:type="paragraph" w:styleId="Heading5">
    <w:name w:val="heading 5"/>
    <w:basedOn w:val="Normal"/>
    <w:next w:val="Normal"/>
    <w:link w:val="Heading5Char"/>
    <w:uiPriority w:val="9"/>
    <w:semiHidden/>
    <w:unhideWhenUsed/>
    <w:qFormat/>
    <w:rsid w:val="001B3725"/>
    <w:pPr>
      <w:keepNext/>
      <w:keepLines/>
      <w:spacing w:before="80" w:after="40" w:line="278" w:lineRule="auto"/>
      <w:outlineLvl w:val="4"/>
    </w:pPr>
    <w:rPr>
      <w:rFonts w:asciiTheme="minorHAnsi" w:eastAsiaTheme="majorEastAsia" w:hAnsiTheme="minorHAnsi" w:cstheme="majorBidi"/>
      <w:color w:val="0F4761" w:themeColor="accent1" w:themeShade="BF"/>
      <w:kern w:val="2"/>
      <w:sz w:val="24"/>
      <w:lang w:val="en-IE"/>
      <w14:ligatures w14:val="standardContextual"/>
    </w:rPr>
  </w:style>
  <w:style w:type="paragraph" w:styleId="Heading6">
    <w:name w:val="heading 6"/>
    <w:basedOn w:val="Normal"/>
    <w:next w:val="Normal"/>
    <w:link w:val="Heading6Char"/>
    <w:uiPriority w:val="9"/>
    <w:semiHidden/>
    <w:unhideWhenUsed/>
    <w:qFormat/>
    <w:rsid w:val="001B3725"/>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lang w:val="en-IE"/>
      <w14:ligatures w14:val="standardContextual"/>
    </w:rPr>
  </w:style>
  <w:style w:type="paragraph" w:styleId="Heading7">
    <w:name w:val="heading 7"/>
    <w:basedOn w:val="Normal"/>
    <w:next w:val="Normal"/>
    <w:link w:val="Heading7Char"/>
    <w:uiPriority w:val="9"/>
    <w:semiHidden/>
    <w:unhideWhenUsed/>
    <w:qFormat/>
    <w:rsid w:val="001B3725"/>
    <w:pPr>
      <w:keepNext/>
      <w:keepLines/>
      <w:spacing w:before="40" w:after="0" w:line="278" w:lineRule="auto"/>
      <w:outlineLvl w:val="6"/>
    </w:pPr>
    <w:rPr>
      <w:rFonts w:asciiTheme="minorHAnsi" w:eastAsiaTheme="majorEastAsia" w:hAnsiTheme="minorHAnsi" w:cstheme="majorBidi"/>
      <w:color w:val="595959" w:themeColor="text1" w:themeTint="A6"/>
      <w:kern w:val="2"/>
      <w:sz w:val="24"/>
      <w:lang w:val="en-IE"/>
      <w14:ligatures w14:val="standardContextual"/>
    </w:rPr>
  </w:style>
  <w:style w:type="paragraph" w:styleId="Heading8">
    <w:name w:val="heading 8"/>
    <w:basedOn w:val="Normal"/>
    <w:next w:val="Normal"/>
    <w:link w:val="Heading8Char"/>
    <w:uiPriority w:val="9"/>
    <w:semiHidden/>
    <w:unhideWhenUsed/>
    <w:qFormat/>
    <w:rsid w:val="001B3725"/>
    <w:pPr>
      <w:keepNext/>
      <w:keepLines/>
      <w:spacing w:after="0" w:line="278" w:lineRule="auto"/>
      <w:outlineLvl w:val="7"/>
    </w:pPr>
    <w:rPr>
      <w:rFonts w:asciiTheme="minorHAnsi" w:eastAsiaTheme="majorEastAsia" w:hAnsiTheme="minorHAnsi" w:cstheme="majorBidi"/>
      <w:i/>
      <w:iCs/>
      <w:color w:val="272727" w:themeColor="text1" w:themeTint="D8"/>
      <w:kern w:val="2"/>
      <w:sz w:val="24"/>
      <w:lang w:val="en-IE"/>
      <w14:ligatures w14:val="standardContextual"/>
    </w:rPr>
  </w:style>
  <w:style w:type="paragraph" w:styleId="Heading9">
    <w:name w:val="heading 9"/>
    <w:basedOn w:val="Normal"/>
    <w:next w:val="Normal"/>
    <w:link w:val="Heading9Char"/>
    <w:uiPriority w:val="9"/>
    <w:semiHidden/>
    <w:unhideWhenUsed/>
    <w:qFormat/>
    <w:rsid w:val="001B3725"/>
    <w:pPr>
      <w:keepNext/>
      <w:keepLines/>
      <w:spacing w:after="0" w:line="278" w:lineRule="auto"/>
      <w:outlineLvl w:val="8"/>
    </w:pPr>
    <w:rPr>
      <w:rFonts w:asciiTheme="minorHAnsi" w:eastAsiaTheme="majorEastAsia" w:hAnsiTheme="minorHAnsi" w:cstheme="majorBidi"/>
      <w:color w:val="272727" w:themeColor="text1" w:themeTint="D8"/>
      <w:kern w:val="2"/>
      <w:sz w:val="24"/>
      <w:lang w:val="en-IE"/>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7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37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37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37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37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37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37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37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3725"/>
    <w:rPr>
      <w:rFonts w:eastAsiaTheme="majorEastAsia" w:cstheme="majorBidi"/>
      <w:color w:val="272727" w:themeColor="text1" w:themeTint="D8"/>
    </w:rPr>
  </w:style>
  <w:style w:type="paragraph" w:styleId="Title">
    <w:name w:val="Title"/>
    <w:basedOn w:val="Normal"/>
    <w:next w:val="Normal"/>
    <w:link w:val="TitleChar"/>
    <w:uiPriority w:val="10"/>
    <w:qFormat/>
    <w:rsid w:val="001B3725"/>
    <w:pPr>
      <w:spacing w:after="80" w:line="240" w:lineRule="auto"/>
      <w:contextualSpacing/>
    </w:pPr>
    <w:rPr>
      <w:rFonts w:asciiTheme="majorHAnsi" w:eastAsiaTheme="majorEastAsia" w:hAnsiTheme="majorHAnsi" w:cstheme="majorBidi"/>
      <w:spacing w:val="-10"/>
      <w:kern w:val="28"/>
      <w:sz w:val="56"/>
      <w:szCs w:val="56"/>
      <w:lang w:val="en-IE"/>
      <w14:ligatures w14:val="standardContextual"/>
    </w:rPr>
  </w:style>
  <w:style w:type="character" w:customStyle="1" w:styleId="TitleChar">
    <w:name w:val="Title Char"/>
    <w:basedOn w:val="DefaultParagraphFont"/>
    <w:link w:val="Title"/>
    <w:uiPriority w:val="10"/>
    <w:rsid w:val="001B37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3725"/>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IE"/>
      <w14:ligatures w14:val="standardContextual"/>
    </w:rPr>
  </w:style>
  <w:style w:type="character" w:customStyle="1" w:styleId="SubtitleChar">
    <w:name w:val="Subtitle Char"/>
    <w:basedOn w:val="DefaultParagraphFont"/>
    <w:link w:val="Subtitle"/>
    <w:uiPriority w:val="11"/>
    <w:rsid w:val="001B37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3725"/>
    <w:pPr>
      <w:spacing w:before="160" w:after="160" w:line="278" w:lineRule="auto"/>
      <w:jc w:val="center"/>
    </w:pPr>
    <w:rPr>
      <w:rFonts w:asciiTheme="minorHAnsi" w:eastAsiaTheme="minorHAnsi" w:hAnsiTheme="minorHAnsi" w:cstheme="minorBidi"/>
      <w:i/>
      <w:iCs/>
      <w:color w:val="404040" w:themeColor="text1" w:themeTint="BF"/>
      <w:kern w:val="2"/>
      <w:sz w:val="24"/>
      <w:lang w:val="en-IE"/>
      <w14:ligatures w14:val="standardContextual"/>
    </w:rPr>
  </w:style>
  <w:style w:type="character" w:customStyle="1" w:styleId="QuoteChar">
    <w:name w:val="Quote Char"/>
    <w:basedOn w:val="DefaultParagraphFont"/>
    <w:link w:val="Quote"/>
    <w:uiPriority w:val="29"/>
    <w:rsid w:val="001B3725"/>
    <w:rPr>
      <w:i/>
      <w:iCs/>
      <w:color w:val="404040" w:themeColor="text1" w:themeTint="BF"/>
    </w:rPr>
  </w:style>
  <w:style w:type="paragraph" w:styleId="ListParagraph">
    <w:name w:val="List Paragraph"/>
    <w:basedOn w:val="Normal"/>
    <w:uiPriority w:val="34"/>
    <w:qFormat/>
    <w:rsid w:val="001B3725"/>
    <w:pPr>
      <w:spacing w:after="160" w:line="278" w:lineRule="auto"/>
      <w:ind w:left="720"/>
      <w:contextualSpacing/>
    </w:pPr>
    <w:rPr>
      <w:rFonts w:asciiTheme="minorHAnsi" w:eastAsiaTheme="minorHAnsi" w:hAnsiTheme="minorHAnsi" w:cstheme="minorBidi"/>
      <w:kern w:val="2"/>
      <w:sz w:val="24"/>
      <w:lang w:val="en-IE"/>
      <w14:ligatures w14:val="standardContextual"/>
    </w:rPr>
  </w:style>
  <w:style w:type="character" w:styleId="IntenseEmphasis">
    <w:name w:val="Intense Emphasis"/>
    <w:basedOn w:val="DefaultParagraphFont"/>
    <w:uiPriority w:val="21"/>
    <w:qFormat/>
    <w:rsid w:val="001B3725"/>
    <w:rPr>
      <w:i/>
      <w:iCs/>
      <w:color w:val="0F4761" w:themeColor="accent1" w:themeShade="BF"/>
    </w:rPr>
  </w:style>
  <w:style w:type="paragraph" w:styleId="IntenseQuote">
    <w:name w:val="Intense Quote"/>
    <w:basedOn w:val="Normal"/>
    <w:next w:val="Normal"/>
    <w:link w:val="IntenseQuoteChar"/>
    <w:uiPriority w:val="30"/>
    <w:qFormat/>
    <w:rsid w:val="001B3725"/>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lang w:val="en-IE"/>
      <w14:ligatures w14:val="standardContextual"/>
    </w:rPr>
  </w:style>
  <w:style w:type="character" w:customStyle="1" w:styleId="IntenseQuoteChar">
    <w:name w:val="Intense Quote Char"/>
    <w:basedOn w:val="DefaultParagraphFont"/>
    <w:link w:val="IntenseQuote"/>
    <w:uiPriority w:val="30"/>
    <w:rsid w:val="001B3725"/>
    <w:rPr>
      <w:i/>
      <w:iCs/>
      <w:color w:val="0F4761" w:themeColor="accent1" w:themeShade="BF"/>
    </w:rPr>
  </w:style>
  <w:style w:type="character" w:styleId="IntenseReference">
    <w:name w:val="Intense Reference"/>
    <w:basedOn w:val="DefaultParagraphFont"/>
    <w:uiPriority w:val="32"/>
    <w:qFormat/>
    <w:rsid w:val="001B372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glossaryDocument" Target="glossary/document.xml"/><Relationship Id="rId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548C85E1554446C8FE977E192552B11"/>
        <w:category>
          <w:name w:val="General"/>
          <w:gallery w:val="placeholder"/>
        </w:category>
        <w:types>
          <w:type w:val="bbPlcHdr"/>
        </w:types>
        <w:behaviors>
          <w:behavior w:val="content"/>
        </w:behaviors>
        <w:guid w:val="{2FD6BFCB-0995-487B-AA8A-5FBED729E1E1}"/>
      </w:docPartPr>
      <w:docPartBody>
        <w:p w:rsidR="006730D3" w:rsidRDefault="00E120F2" w:rsidP="00E120F2">
          <w:pPr>
            <w:pStyle w:val="6548C85E1554446C8FE977E192552B11"/>
          </w:pPr>
          <w:r w:rsidRPr="00DC016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0F2"/>
    <w:rsid w:val="006730D3"/>
    <w:rsid w:val="00E120F2"/>
    <w:rsid w:val="00F64C2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120F2"/>
    <w:rPr>
      <w:color w:val="808080"/>
    </w:rPr>
  </w:style>
  <w:style w:type="paragraph" w:customStyle="1" w:styleId="6548C85E1554446C8FE977E192552B11">
    <w:name w:val="6548C85E1554446C8FE977E192552B11"/>
    <w:rsid w:val="00E120F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816</Words>
  <Characters>4653</Characters>
  <Application>Microsoft Office Word</Application>
  <DocSecurity>0</DocSecurity>
  <Lines>38</Lines>
  <Paragraphs>10</Paragraphs>
  <ScaleCrop>false</ScaleCrop>
  <Company/>
  <LinksUpToDate>false</LinksUpToDate>
  <CharactersWithSpaces>5459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Boland, Brian</dc:creator>
  <cp:keywords/>
  <dc:description/>
  <cp:lastModifiedBy>Boland, Brian</cp:lastModifiedBy>
  <cp:revision>1</cp:revision>
  <dcterms:created xsi:type="dcterms:W3CDTF">2026-08-18T14:24:00Z</dcterms:created>
  <dcterms:modified xsi:type="dcterms:W3CDTF">2026-08-18T14:25:00Z</dcterms:modified>
</cp:coreProperties>
</file>