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E1D6B" w14:textId="77777777" w:rsidR="00AA543E" w:rsidRPr="00AA543E" w:rsidRDefault="00AA543E" w:rsidP="00AA543E">
      <w:pPr>
        <w:rPr>
          <w:lang w:val="en-US"/>
        </w:rPr>
      </w:pPr>
      <w:r w:rsidRPr="00AA543E">
        <w:rPr>
          <w:lang w:val="en-US"/>
        </w:rPr>
        <w:t>The Quality submission will be evaluated out of 70 marks. Tenderers must answer each question in full. Responses should be project-specific and should address non-GMP / office / centre cleaning standards, staffing, supervision, quality assurance, health and safety, sustainability and delivery within a live critical healthcare organisation.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3"/>
        <w:gridCol w:w="2330"/>
        <w:gridCol w:w="1294"/>
        <w:gridCol w:w="4179"/>
      </w:tblGrid>
      <w:tr w:rsidR="00AA543E" w:rsidRPr="00AA543E" w14:paraId="6265E362" w14:textId="77777777">
        <w:trPr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hideMark/>
          </w:tcPr>
          <w:p w14:paraId="5C0B9BD0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b/>
                <w:lang w:val="en-US"/>
              </w:rPr>
              <w:t>Question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hideMark/>
          </w:tcPr>
          <w:p w14:paraId="446563D6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b/>
                <w:lang w:val="en-US"/>
              </w:rPr>
              <w:t>Quality Area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hideMark/>
          </w:tcPr>
          <w:p w14:paraId="00B3EA74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b/>
                <w:lang w:val="en-US"/>
              </w:rPr>
              <w:t>Maximum Marks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hideMark/>
          </w:tcPr>
          <w:p w14:paraId="1136123A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b/>
                <w:lang w:val="en-US"/>
              </w:rPr>
              <w:t>Response Focus</w:t>
            </w:r>
          </w:p>
        </w:tc>
      </w:tr>
      <w:tr w:rsidR="00AA543E" w:rsidRPr="00AA543E" w14:paraId="17A2F6CD" w14:textId="77777777">
        <w:trPr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1014D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Q1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CF45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Cleaning Specification, Methodology and Service Delivery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8446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20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5516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Routine and periodic non-GMP cleaning methodology, task frequencies, service model, hygiene controls, office/welfare cleaning standards and escalation. Include the required bi-weekly NBC external commercial hazardous clean, task controls and service records.</w:t>
            </w:r>
          </w:p>
        </w:tc>
      </w:tr>
      <w:tr w:rsidR="00AA543E" w:rsidRPr="00AA543E" w14:paraId="2C97C638" w14:textId="77777777">
        <w:trPr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C6BA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Q2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EA682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Staffing, Supervision, Training, TUPE / Staff Transfer and Mobilisation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6BA5F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15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88CA1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Staffing levels, rosters, supervision, absence cover, mobilisation, induction, training, TUPE / staff transfer assumptions, incumbent staff transition planning where applicable, continuity of service and escalation arrangements. Include staffing, supervision, absence cover and continuity controls for the bi-weekly NBC hazardous clean.</w:t>
            </w:r>
          </w:p>
        </w:tc>
      </w:tr>
      <w:tr w:rsidR="00AA543E" w:rsidRPr="00AA543E" w14:paraId="5A88DFE2" w14:textId="77777777">
        <w:trPr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C21FE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Q3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0EA55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Quality Assurance, Audits, KPI Reporting and Contract Management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AAFA6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12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134F1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Audit systems, KPI reporting, corrective actions, contract review, continuous improvement and communication.</w:t>
            </w:r>
          </w:p>
        </w:tc>
      </w:tr>
      <w:tr w:rsidR="00AA543E" w:rsidRPr="00AA543E" w14:paraId="291C2EF9" w14:textId="77777777">
        <w:trPr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1D53D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Q4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E73D4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Health &amp; Safety, Infection Prevention Awareness and Live Environment Controls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E70B8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10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217B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RAMS, manual handling, chemical safety, live site controls, cross-contamination prevention, access/security and incident reporting. Include task-specific RAMS, PPE, chemical safety, access control, segregation and incident reporting for the NBC bi-weekly hazardous clean.</w:t>
            </w:r>
          </w:p>
        </w:tc>
      </w:tr>
      <w:tr w:rsidR="00AA543E" w:rsidRPr="00AA543E" w14:paraId="566E0F5F" w14:textId="77777777">
        <w:trPr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2BE48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lastRenderedPageBreak/>
              <w:t>Q5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8FFF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Sustainability, Waste, Consumables and Environmental Management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2FA2F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8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C107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Waste segregation support, chemical/environmental approach, sustainable consumables, logistics efficiency, carbon reduction and reporting. Include safe chemical, consumable and waste/interface arrangements for the NBC bi-weekly hazardous clean.</w:t>
            </w:r>
          </w:p>
        </w:tc>
      </w:tr>
      <w:tr w:rsidR="00AA543E" w:rsidRPr="00AA543E" w14:paraId="1A36DFC4" w14:textId="77777777">
        <w:trPr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8395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Q6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BD53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Relevant Experience, Business Continuity and Aftercare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FFCF4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5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1ABE" w14:textId="77777777" w:rsidR="00AA543E" w:rsidRPr="00AA543E" w:rsidRDefault="00AA543E" w:rsidP="00AA543E">
            <w:pPr>
              <w:spacing w:after="160" w:line="278" w:lineRule="auto"/>
              <w:rPr>
                <w:lang w:val="en-US"/>
              </w:rPr>
            </w:pPr>
            <w:r w:rsidRPr="00AA543E">
              <w:rPr>
                <w:lang w:val="en-US"/>
              </w:rPr>
              <w:t>Comparable contract cleaning experience, public/healthcare/non-GMP environments, continuity planning, escalation and aftercare. Include comparable experience with specialist/higher-risk commercial cleaning in live healthcare, office or public environments.</w:t>
            </w:r>
          </w:p>
        </w:tc>
      </w:tr>
    </w:tbl>
    <w:p w14:paraId="49F72993" w14:textId="77777777" w:rsidR="00AA543E" w:rsidRDefault="00AA543E"/>
    <w:p w14:paraId="2C71B174" w14:textId="77777777" w:rsidR="003821E0" w:rsidRDefault="003821E0"/>
    <w:p w14:paraId="1A9A8050" w14:textId="77777777" w:rsidR="003821E0" w:rsidRDefault="003821E0" w:rsidP="003821E0">
      <w:r>
        <w:t>Tenderers must achieve greater than 50% in each scored Quality criterion and in the Sustainability criterion. A score of 50% or less in any scored criterion may result in exclusion, regardless of total score.</w:t>
      </w:r>
    </w:p>
    <w:p w14:paraId="51D60569" w14:textId="34393782" w:rsidR="003821E0" w:rsidRDefault="003821E0" w:rsidP="003821E0">
      <w:r>
        <w:t>Cost will be evaluated using the formula: Cost Score = (Lowest Compliant Evaluated Tender Price ÷ Tenderer’s Evaluated Tender Price) × 30. The Evaluated Tender Price will be calculated using the Pricing Schedule and may include the initial three-year fixed service cost, mobilisation cost and any priced evaluation assumptions stated in the Pricing Schedule</w:t>
      </w:r>
    </w:p>
    <w:p w14:paraId="2314B42A" w14:textId="73490BB7" w:rsidR="003821E0" w:rsidRDefault="003821E0" w:rsidP="003821E0">
      <w:r>
        <w:t>Should the scoring result in a tie the tenderer with the highest functionality score will be successful</w:t>
      </w:r>
      <w:r w:rsidR="0002517D">
        <w:t>.</w:t>
      </w:r>
    </w:p>
    <w:p w14:paraId="007E0254" w14:textId="24E46040" w:rsidR="0002517D" w:rsidRDefault="003F4587" w:rsidP="0002517D">
      <w:pPr>
        <w:rPr>
          <w:lang w:val="en-US"/>
        </w:rPr>
      </w:pPr>
      <w:r>
        <w:rPr>
          <w:lang w:val="en-US"/>
        </w:rPr>
        <w:t>Lot</w:t>
      </w:r>
      <w:r w:rsidR="0002517D">
        <w:rPr>
          <w:lang w:val="en-US"/>
        </w:rPr>
        <w:t>s will be scored separately.</w:t>
      </w:r>
    </w:p>
    <w:p w14:paraId="1C3D8E04" w14:textId="77777777" w:rsidR="0002517D" w:rsidRDefault="0002517D" w:rsidP="003821E0"/>
    <w:sectPr w:rsidR="000251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43E"/>
    <w:rsid w:val="0002517D"/>
    <w:rsid w:val="003821E0"/>
    <w:rsid w:val="003F4587"/>
    <w:rsid w:val="0054469F"/>
    <w:rsid w:val="00735ED0"/>
    <w:rsid w:val="00AA543E"/>
    <w:rsid w:val="00D26D76"/>
    <w:rsid w:val="00F6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432D8"/>
  <w15:chartTrackingRefBased/>
  <w15:docId w15:val="{43D0D429-CAC0-43CE-8D0A-E542C904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5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4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4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4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4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4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4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4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4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4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4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54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4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54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4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4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4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5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Boland, Brian</dc:creator>
  <cp:keywords/>
  <dc:description/>
  <cp:lastModifiedBy>Boland, Brian</cp:lastModifiedBy>
  <cp:revision>5</cp:revision>
  <dcterms:created xsi:type="dcterms:W3CDTF">2026-08-18T14:31:00Z</dcterms:created>
  <dcterms:modified xsi:type="dcterms:W3CDTF">2026-08-20T11:02:00Z</dcterms:modified>
</cp:coreProperties>
</file>