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A6DF38D"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8-21T00:00:00Z">
            <w:dateFormat w:val="dd/MM/yyyy"/>
            <w:lid w:val="en-IE"/>
            <w:storeMappedDataAs w:val="dateTime"/>
            <w:calendar w:val="gregorian"/>
          </w:date>
        </w:sdtPr>
        <w:sdtContent>
          <w:r w:rsidR="00B77526">
            <w:rPr>
              <w:rFonts w:ascii="Calibri" w:hAnsi="Calibri"/>
              <w:sz w:val="40"/>
              <w:szCs w:val="40"/>
              <w:highlight w:val="lightGray"/>
              <w:lang w:val="en-IE"/>
            </w:rPr>
            <w:t>21</w:t>
          </w:r>
          <w:r w:rsidR="00316FC5">
            <w:rPr>
              <w:rFonts w:ascii="Calibri" w:hAnsi="Calibri"/>
              <w:sz w:val="40"/>
              <w:szCs w:val="40"/>
              <w:highlight w:val="lightGray"/>
              <w:lang w:val="en-IE"/>
            </w:rPr>
            <w:t>/08/2026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316FC5" w:rsidRPr="00316FC5">
            <w:rPr>
              <w:rFonts w:ascii="Calibri" w:hAnsi="Calibri"/>
              <w:sz w:val="40"/>
              <w:szCs w:val="40"/>
            </w:rPr>
            <w:t>Energy Spatial Planning and Supporting Advisory Services - LEAP</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97D355E"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02T12:00:00Z">
            <w:dateFormat w:val="dd/MM/yyyy HH:mm"/>
            <w:lid w:val="en-IE"/>
            <w:storeMappedDataAs w:val="dateTime"/>
            <w:calendar w:val="gregorian"/>
          </w:date>
        </w:sdtPr>
        <w:sdtContent>
          <w:r w:rsidR="00B02169">
            <w:rPr>
              <w:rFonts w:ascii="Calibri" w:hAnsi="Calibri"/>
              <w:sz w:val="40"/>
              <w:szCs w:val="40"/>
              <w:highlight w:val="lightGray"/>
              <w:lang w:val="en-IE"/>
            </w:rPr>
            <w:t>02/10/2026 1</w:t>
          </w:r>
          <w:r w:rsidR="00310177">
            <w:rPr>
              <w:rFonts w:ascii="Calibri" w:hAnsi="Calibri"/>
              <w:sz w:val="40"/>
              <w:szCs w:val="40"/>
              <w:highlight w:val="lightGray"/>
              <w:lang w:val="en-IE"/>
            </w:rPr>
            <w:t>2</w:t>
          </w:r>
          <w:r w:rsidR="00B02169">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5C7A8644"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316FC5" w:rsidRPr="00316FC5">
                  <w:rPr>
                    <w:highlight w:val="lightGray"/>
                  </w:rPr>
                  <w:t>The Minister for the Climate, Energy and the Environment (the Contracting Authority)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C1F593D"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B02169">
              <w:t>spatial planning, locational assesment methodology and policy advisory services to support delivrey of LEAP action 7 and 2, including development of a methodology for a plan-led LEU development and broader policy framework for plan-led energy system development</w:t>
            </w:r>
            <w:r w:rsidR="00316FC5" w:rsidRPr="00316FC5">
              <w:rPr>
                <w:noProof/>
              </w:rPr>
              <w:t xml:space="preserve"> </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0060C63"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316FC5">
              <w:rPr>
                <w:i/>
                <w:iCs/>
                <w:color w:val="FF0000"/>
              </w:rPr>
              <w:t> </w:t>
            </w:r>
            <w:r w:rsidR="00316FC5">
              <w:rPr>
                <w:i/>
                <w:iCs/>
                <w:color w:val="FF0000"/>
              </w:rPr>
              <w:t> </w:t>
            </w:r>
            <w:r w:rsidR="00316FC5">
              <w:rPr>
                <w:i/>
                <w:iCs/>
                <w:color w:val="FF0000"/>
              </w:rPr>
              <w:t> </w:t>
            </w:r>
            <w:r w:rsidR="00316FC5">
              <w:rPr>
                <w:i/>
                <w:iCs/>
                <w:color w:val="FF0000"/>
              </w:rPr>
              <w:t> </w:t>
            </w:r>
            <w:r w:rsidR="00316FC5">
              <w:rPr>
                <w:i/>
                <w:iCs/>
                <w:color w:val="FF0000"/>
              </w:rPr>
              <w:t> </w:t>
            </w:r>
            <w:r>
              <w:rPr>
                <w:i/>
                <w:iCs/>
                <w:color w:val="FF0000"/>
              </w:rPr>
              <w:fldChar w:fldCharType="end"/>
            </w:r>
            <w:bookmarkEnd w:id="2"/>
          </w:p>
          <w:p w14:paraId="44A17398" w14:textId="09A49F0A"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316FC5">
              <w:rPr>
                <w:noProof/>
              </w:rPr>
              <w:t>1</w:t>
            </w:r>
            <w:r>
              <w:fldChar w:fldCharType="end"/>
            </w:r>
            <w:bookmarkEnd w:id="3"/>
            <w:r>
              <w:t xml:space="preserve"> </w:t>
            </w:r>
            <w:r w:rsidRPr="00E13A0D">
              <w:t>lots (each a “Lot”) as described below.  Each Lot will result in a separate contract.</w:t>
            </w:r>
          </w:p>
          <w:p w14:paraId="00DC7985" w14:textId="38708D92"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B02169">
              <w:t>Only one lot; d</w:t>
            </w:r>
            <w:r w:rsidR="00B0318F">
              <w:t>etailed description in appendix 1.</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C4EBFD4"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316FC5">
              <w:rPr>
                <w:noProof/>
              </w:rPr>
              <w:t>7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934C648"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316FC5">
              <w:rPr>
                <w:i/>
                <w:iCs/>
                <w:color w:val="FF0000"/>
              </w:rPr>
              <w:t> </w:t>
            </w:r>
            <w:r w:rsidR="00316FC5">
              <w:rPr>
                <w:i/>
                <w:iCs/>
                <w:color w:val="FF0000"/>
              </w:rPr>
              <w:t> </w:t>
            </w:r>
            <w:r w:rsidR="00316FC5">
              <w:rPr>
                <w:i/>
                <w:iCs/>
                <w:color w:val="FF0000"/>
              </w:rPr>
              <w:t> </w:t>
            </w:r>
            <w:r w:rsidR="00316FC5">
              <w:rPr>
                <w:i/>
                <w:iCs/>
                <w:color w:val="FF0000"/>
              </w:rPr>
              <w:t> </w:t>
            </w:r>
            <w:r w:rsidR="00316FC5">
              <w:rPr>
                <w:i/>
                <w:iCs/>
                <w:color w:val="FF0000"/>
              </w:rPr>
              <w:t> </w:t>
            </w:r>
            <w:r w:rsidRPr="003650CE">
              <w:rPr>
                <w:i/>
                <w:iCs/>
                <w:color w:val="FF0000"/>
              </w:rPr>
              <w:fldChar w:fldCharType="end"/>
            </w:r>
            <w:bookmarkEnd w:id="5"/>
          </w:p>
          <w:p w14:paraId="295B2DAB" w14:textId="2E92C92A"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16FC5">
              <w:rPr>
                <w:highlight w:val="lightGray"/>
              </w:rPr>
              <w:t>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316FC5">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2F46AEEC"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B0318F">
              <w:rPr>
                <w:highlight w:val="lightGray"/>
              </w:rPr>
              <w:t>C</w:t>
            </w:r>
            <w:r w:rsidR="000C0E11">
              <w:rPr>
                <w:noProof/>
                <w:highlight w:val="lightGray"/>
              </w:rPr>
              <w:t>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B0318F">
              <w:rPr>
                <w:i/>
                <w:color w:val="FF0000"/>
                <w:highlight w:val="lightGray"/>
              </w:rPr>
              <w:t> </w:t>
            </w:r>
            <w:r w:rsidR="00B0318F">
              <w:rPr>
                <w:i/>
                <w:color w:val="FF0000"/>
                <w:highlight w:val="lightGray"/>
              </w:rPr>
              <w:t> </w:t>
            </w:r>
            <w:r w:rsidR="00B0318F">
              <w:rPr>
                <w:i/>
                <w:color w:val="FF0000"/>
                <w:highlight w:val="lightGray"/>
              </w:rPr>
              <w:t> </w:t>
            </w:r>
            <w:r w:rsidR="00B0318F">
              <w:rPr>
                <w:i/>
                <w:color w:val="FF0000"/>
                <w:highlight w:val="lightGray"/>
              </w:rPr>
              <w:t> </w:t>
            </w:r>
            <w:r w:rsidR="00B0318F">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310177">
              <w:rPr>
                <w:szCs w:val="22"/>
              </w:rPr>
              <w:t>200</w:t>
            </w:r>
            <w:r w:rsidR="00316FC5">
              <w:rPr>
                <w:szCs w:val="22"/>
              </w:rPr>
              <w:t>,000 euro</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w:t>
            </w:r>
            <w:proofErr w:type="gramStart"/>
            <w:r w:rsidRPr="000E5DB7">
              <w:t>enter into</w:t>
            </w:r>
            <w:proofErr w:type="gramEnd"/>
            <w:r w:rsidRPr="000E5DB7">
              <w:t xml:space="preserve">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9B51B54"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0318F">
              <w:rPr>
                <w:i/>
                <w:color w:val="FF0000"/>
              </w:rPr>
              <w:t> </w:t>
            </w:r>
            <w:r w:rsidR="00B0318F">
              <w:rPr>
                <w:i/>
                <w:color w:val="FF0000"/>
              </w:rPr>
              <w:t> </w:t>
            </w:r>
            <w:r w:rsidR="00B0318F">
              <w:rPr>
                <w:i/>
                <w:color w:val="FF0000"/>
              </w:rPr>
              <w:t> </w:t>
            </w:r>
            <w:r w:rsidR="00B0318F">
              <w:rPr>
                <w:i/>
                <w:color w:val="FF0000"/>
              </w:rPr>
              <w:t> </w:t>
            </w:r>
            <w:r w:rsidR="00B0318F">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0318F">
              <w:rPr>
                <w:highlight w:val="lightGray"/>
              </w:rPr>
              <w:t> </w:t>
            </w:r>
            <w:r w:rsidR="00B0318F">
              <w:rPr>
                <w:highlight w:val="lightGray"/>
              </w:rPr>
              <w:t> </w:t>
            </w:r>
            <w:r w:rsidR="00B0318F">
              <w:rPr>
                <w:highlight w:val="lightGray"/>
              </w:rPr>
              <w:t> </w:t>
            </w:r>
            <w:r w:rsidR="00B0318F">
              <w:rPr>
                <w:highlight w:val="lightGray"/>
              </w:rPr>
              <w:t> </w:t>
            </w:r>
            <w:r w:rsidR="00B0318F">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xml:space="preserve">, irrespective of </w:t>
      </w:r>
      <w:proofErr w:type="gramStart"/>
      <w:r w:rsidRPr="003C4B88">
        <w:rPr>
          <w:szCs w:val="22"/>
        </w:rPr>
        <w:t>whether or not</w:t>
      </w:r>
      <w:proofErr w:type="gramEnd"/>
      <w:r w:rsidRPr="003C4B88">
        <w:rPr>
          <w:szCs w:val="22"/>
        </w:rPr>
        <w:t xml:space="preserve">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15B185EC"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42F0640E" w14:textId="77777777" w:rsidR="007B7D0E" w:rsidRPr="009476F2" w:rsidRDefault="007B7D0E" w:rsidP="007B7D0E">
                    <w:pPr>
                      <w:rPr>
                        <w:highlight w:val="lightGray"/>
                      </w:rPr>
                    </w:pPr>
                  </w:p>
                  <w:p w14:paraId="67E9F87A" w14:textId="77777777" w:rsidR="007B7D0E" w:rsidRDefault="007B7D0E" w:rsidP="007B7D0E"/>
                  <w:p w14:paraId="15EE4866" w14:textId="5A94B35B" w:rsidR="007B7D0E" w:rsidRPr="007207ED" w:rsidRDefault="007B7D0E" w:rsidP="007B7D0E">
                    <w:pPr>
                      <w:rPr>
                        <w:b/>
                        <w:color w:val="FF0000"/>
                        <w:highlight w:val="lightGray"/>
                      </w:rPr>
                    </w:pPr>
                  </w:p>
                  <w:p w14:paraId="1168D322" w14:textId="745FA823" w:rsidR="00977CC4" w:rsidRPr="007B7D0E" w:rsidRDefault="00000000"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3EF149AD"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5D23E0">
              <w:t>02</w:t>
            </w:r>
            <w:r w:rsidR="00316FC5">
              <w:rPr>
                <w:noProof/>
              </w:rPr>
              <w:t>/</w:t>
            </w:r>
            <w:r w:rsidR="005D23E0">
              <w:rPr>
                <w:noProof/>
              </w:rPr>
              <w:t>10</w:t>
            </w:r>
            <w:r w:rsidR="00316FC5">
              <w:rPr>
                <w:noProof/>
              </w:rPr>
              <w:t>/2026</w:t>
            </w:r>
            <w:r w:rsidRPr="000E5DB7">
              <w:rPr>
                <w:noProof/>
              </w:rPr>
              <w:t>]</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316FC5">
              <w:rPr>
                <w:noProof/>
              </w:rPr>
              <w:t>1</w:t>
            </w:r>
            <w:r w:rsidR="00310177">
              <w:rPr>
                <w:noProof/>
              </w:rPr>
              <w:t>2</w:t>
            </w:r>
            <w:r w:rsidR="00316FC5">
              <w:rPr>
                <w:noProof/>
              </w:rPr>
              <w:t>:00</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54E8C9EE"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316FC5">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FF3B31C"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A0961">
              <w:rPr>
                <w:noProof/>
              </w:rPr>
              <w:t>for each Lot</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316FC5">
              <w:rPr>
                <w:i/>
                <w:iCs/>
                <w:color w:val="FF0000"/>
              </w:rPr>
              <w:t> </w:t>
            </w:r>
            <w:r w:rsidR="00316FC5">
              <w:rPr>
                <w:i/>
                <w:iCs/>
                <w:color w:val="FF0000"/>
              </w:rPr>
              <w:t> </w:t>
            </w:r>
            <w:r w:rsidR="00316FC5">
              <w:rPr>
                <w:i/>
                <w:iCs/>
                <w:color w:val="FF0000"/>
              </w:rPr>
              <w:t> </w:t>
            </w:r>
            <w:r w:rsidR="00316FC5">
              <w:rPr>
                <w:i/>
                <w:iCs/>
                <w:color w:val="FF0000"/>
              </w:rPr>
              <w:t> </w:t>
            </w:r>
            <w:r w:rsidR="00316FC5">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2646140"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 xml:space="preserve">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7565FD95"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545FD7">
              <w:rPr>
                <w:noProof/>
              </w:rPr>
              <w:t>17:00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545FD7">
              <w:rPr>
                <w:noProof/>
              </w:rPr>
              <w:t>18/09/2026</w:t>
            </w:r>
            <w:r w:rsidRPr="000E5DB7">
              <w:rPr>
                <w:noProof/>
              </w:rPr>
              <w:t>]</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w:t>
            </w:r>
            <w:r w:rsidRPr="00507FE4">
              <w:lastRenderedPageBreak/>
              <w:t xml:space="preserve">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3A12B011"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D23E0">
              <w:rPr>
                <w:noProof/>
              </w:rPr>
              <w:t>3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65CEE64E"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5D23E0">
              <w:rPr>
                <w:i/>
                <w:iCs/>
                <w:color w:val="FF0000"/>
                <w:highlight w:val="lightGray"/>
              </w:rPr>
              <w:t>Not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w:t>
            </w:r>
            <w:r w:rsidRPr="00830A49">
              <w:rPr>
                <w:szCs w:val="22"/>
              </w:rPr>
              <w:lastRenderedPageBreak/>
              <w:t xml:space="preserve">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lastRenderedPageBreak/>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lastRenderedPageBreak/>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w:t>
      </w:r>
      <w:r w:rsidRPr="0001388F">
        <w:lastRenderedPageBreak/>
        <w:t xml:space="preserve">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0810EF79"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5D23E0">
                  <w:rPr>
                    <w:i/>
                    <w:noProof/>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w:t>
                </w:r>
                <w:proofErr w:type="gramStart"/>
                <w:r w:rsidRPr="000E5DB7">
                  <w:t>visit</w:t>
                </w:r>
                <w:proofErr w:type="gramEnd"/>
                <w:r w:rsidRPr="000E5DB7">
                  <w:t xml:space="preserve">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0831202"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5D23E0">
              <w:rPr>
                <w:i/>
                <w:iCs/>
                <w:noProof/>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36994304"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sidRPr="00605C0E">
                    <w:rPr>
                      <w:noProof/>
                      <w:sz w:val="22"/>
                      <w:szCs w:val="22"/>
                    </w:rPr>
                    <w:t xml:space="preserve">€12.7 limit for any one claim or series of claims arising out of a single occurrence. Employers liability is not required if self-employed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6A8E4411"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sidRPr="00605C0E">
                    <w:rPr>
                      <w:noProof/>
                      <w:sz w:val="22"/>
                      <w:szCs w:val="22"/>
                    </w:rPr>
                    <w:t xml:space="preserve">€6.5m limit for any one claim or series of claims arising out of a single occurrence. </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58C0DAD"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Pr>
                      <w:noProof/>
                      <w:sz w:val="22"/>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5DED3FFC"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sidRPr="00605C0E">
                    <w:rPr>
                      <w:szCs w:val="22"/>
                    </w:rPr>
                    <w:t xml:space="preserve">€0.5m limit in the aggregate per insurance year.  </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5AA47309"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sidRPr="00605C0E">
                    <w:rPr>
                      <w:noProof/>
                      <w:sz w:val="22"/>
                      <w:szCs w:val="22"/>
                    </w:rPr>
                    <w:t xml:space="preserve">Both the Employers Liability and Public Liability policies should include an </w:t>
                  </w:r>
                  <w:r w:rsidR="00605C0E" w:rsidRPr="00605C0E">
                    <w:rPr>
                      <w:noProof/>
                      <w:sz w:val="22"/>
                      <w:szCs w:val="22"/>
                    </w:rPr>
                    <w:lastRenderedPageBreak/>
                    <w:t xml:space="preserve">indemnity to principals clause and these documents should be made available to the Contracting Authority  </w:t>
                  </w:r>
                  <w:r w:rsidRPr="00CA3AF8">
                    <w:rPr>
                      <w:noProof/>
                      <w:sz w:val="22"/>
                      <w:szCs w:val="22"/>
                    </w:rPr>
                    <w:t>]</w:t>
                  </w:r>
                  <w:r w:rsidRPr="00CA3AF8">
                    <w:rPr>
                      <w:szCs w:val="22"/>
                    </w:rPr>
                    <w:fldChar w:fldCharType="end"/>
                  </w:r>
                </w:p>
              </w:tc>
              <w:tc>
                <w:tcPr>
                  <w:tcW w:w="2500" w:type="pct"/>
                  <w:vAlign w:val="center"/>
                </w:tcPr>
                <w:p w14:paraId="474CE49A" w14:textId="17B1A863"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lastRenderedPageBreak/>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5C0E">
                    <w:rPr>
                      <w:szCs w:val="22"/>
                    </w:rPr>
                    <w:t> </w:t>
                  </w:r>
                  <w:r w:rsidR="00605C0E">
                    <w:rPr>
                      <w:szCs w:val="22"/>
                    </w:rPr>
                    <w:t> </w:t>
                  </w:r>
                  <w:r w:rsidR="00605C0E">
                    <w:rPr>
                      <w:szCs w:val="22"/>
                    </w:rPr>
                    <w:t> </w:t>
                  </w:r>
                  <w:r w:rsidR="00605C0E">
                    <w:rPr>
                      <w:szCs w:val="22"/>
                    </w:rPr>
                    <w:t> </w:t>
                  </w:r>
                  <w:r w:rsidR="00605C0E">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lastRenderedPageBreak/>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332035E6"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605C0E">
              <w:rPr>
                <w:i/>
                <w:iCs/>
                <w:color w:val="FF0000"/>
              </w:rPr>
              <w:t> </w:t>
            </w:r>
            <w:r w:rsidR="00605C0E">
              <w:rPr>
                <w:i/>
                <w:iCs/>
                <w:color w:val="FF0000"/>
              </w:rPr>
              <w:t> </w:t>
            </w:r>
            <w:r w:rsidR="00605C0E">
              <w:rPr>
                <w:i/>
                <w:iCs/>
                <w:color w:val="FF0000"/>
              </w:rPr>
              <w:t> </w:t>
            </w:r>
            <w:r w:rsidR="00605C0E">
              <w:rPr>
                <w:i/>
                <w:iCs/>
                <w:color w:val="FF0000"/>
              </w:rPr>
              <w:t> </w:t>
            </w:r>
            <w:r w:rsidR="00605C0E">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605C0E">
              <w:t> </w:t>
            </w:r>
            <w:r w:rsidR="00605C0E">
              <w:t> </w:t>
            </w:r>
            <w:r w:rsidR="00605C0E">
              <w:t> </w:t>
            </w:r>
            <w:r w:rsidR="00605C0E">
              <w:t> </w:t>
            </w:r>
            <w:r w:rsidR="00605C0E">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7901AA86"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49B11556"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4E5D1F">
              <w:rPr>
                <w:i/>
                <w:iCs/>
                <w:color w:val="FF0000"/>
                <w:szCs w:val="22"/>
              </w:rPr>
              <w:t> </w:t>
            </w:r>
            <w:r w:rsidR="004E5D1F">
              <w:rPr>
                <w:i/>
                <w:iCs/>
                <w:color w:val="FF0000"/>
                <w:szCs w:val="22"/>
              </w:rPr>
              <w:t> </w:t>
            </w:r>
            <w:r w:rsidR="004E5D1F">
              <w:rPr>
                <w:i/>
                <w:iCs/>
                <w:color w:val="FF0000"/>
                <w:szCs w:val="22"/>
              </w:rPr>
              <w:t> </w:t>
            </w:r>
            <w:r w:rsidR="004E5D1F">
              <w:rPr>
                <w:i/>
                <w:iCs/>
                <w:color w:val="FF0000"/>
                <w:szCs w:val="22"/>
              </w:rPr>
              <w:t> </w:t>
            </w:r>
            <w:r w:rsidR="004E5D1F">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4E5D1F">
              <w:rPr>
                <w:szCs w:val="22"/>
              </w:rPr>
              <w:t> </w:t>
            </w:r>
            <w:r w:rsidR="004E5D1F">
              <w:rPr>
                <w:szCs w:val="22"/>
              </w:rPr>
              <w:t> </w:t>
            </w:r>
            <w:r w:rsidR="004E5D1F">
              <w:rPr>
                <w:szCs w:val="22"/>
              </w:rPr>
              <w:t> </w:t>
            </w:r>
            <w:r w:rsidR="004E5D1F">
              <w:rPr>
                <w:szCs w:val="22"/>
              </w:rPr>
              <w:t> </w:t>
            </w:r>
            <w:r w:rsidR="004E5D1F">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szCs w:val="22"/>
        </w:rPr>
      </w:sdtEndPr>
      <w:sdtContent>
        <w:p w14:paraId="3BE9F7EE" w14:textId="1778AE73" w:rsidR="00540F24" w:rsidRPr="00540F24" w:rsidRDefault="00540F24" w:rsidP="00540F24">
          <w:pPr>
            <w:spacing w:after="0"/>
            <w:rPr>
              <w:lang w:val="en-IE"/>
            </w:rPr>
          </w:pPr>
          <w:r w:rsidRPr="00540F24">
            <w:rPr>
              <w:lang w:val="en-IE"/>
            </w:rPr>
            <w:t>Tenderers must have sufficient economic and financial capacity to perform the Services for the duration of the Contract. The Contracting Authority may request appropriate supporting documentation to demonstrate such capacity.</w:t>
          </w:r>
          <w:r w:rsidR="00310177">
            <w:rPr>
              <w:lang w:val="en-IE"/>
            </w:rPr>
            <w:t xml:space="preserve"> A minimum turnover of 2x the value of the contract in each of the previous 3 years.</w:t>
          </w:r>
        </w:p>
        <w:p w14:paraId="38ADF811" w14:textId="19D93842" w:rsidR="00C3103B" w:rsidRDefault="00000000" w:rsidP="00540F24">
          <w:pPr>
            <w:spacing w:after="0"/>
            <w:rPr>
              <w:szCs w:val="22"/>
            </w:rPr>
          </w:pPr>
        </w:p>
      </w:sdtContent>
    </w:sdt>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28950FDE"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4E5D1F">
              <w:rPr>
                <w:i/>
                <w:iCs/>
                <w:color w:val="FF0000"/>
                <w:szCs w:val="22"/>
              </w:rPr>
              <w:t> </w:t>
            </w:r>
            <w:r w:rsidR="004E5D1F">
              <w:rPr>
                <w:i/>
                <w:iCs/>
                <w:color w:val="FF0000"/>
                <w:szCs w:val="22"/>
              </w:rPr>
              <w:t> </w:t>
            </w:r>
            <w:r w:rsidR="004E5D1F">
              <w:rPr>
                <w:i/>
                <w:iCs/>
                <w:color w:val="FF0000"/>
                <w:szCs w:val="22"/>
              </w:rPr>
              <w:t> </w:t>
            </w:r>
            <w:r w:rsidR="004E5D1F">
              <w:rPr>
                <w:i/>
                <w:iCs/>
                <w:color w:val="FF0000"/>
                <w:szCs w:val="22"/>
              </w:rPr>
              <w:t> </w:t>
            </w:r>
            <w:r w:rsidR="004E5D1F">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4E5D1F">
              <w:rPr>
                <w:szCs w:val="22"/>
              </w:rPr>
              <w:t> </w:t>
            </w:r>
            <w:r w:rsidR="004E5D1F">
              <w:rPr>
                <w:szCs w:val="22"/>
              </w:rPr>
              <w:t> </w:t>
            </w:r>
            <w:r w:rsidR="004E5D1F">
              <w:rPr>
                <w:szCs w:val="22"/>
              </w:rPr>
              <w:t> </w:t>
            </w:r>
            <w:r w:rsidR="004E5D1F">
              <w:rPr>
                <w:szCs w:val="22"/>
              </w:rPr>
              <w:t> </w:t>
            </w:r>
            <w:r w:rsidR="004E5D1F">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14A2EFF6" w14:textId="46F27302" w:rsidR="00C3103B" w:rsidRPr="00310EDC" w:rsidRDefault="004E5D1F" w:rsidP="004E5D1F">
          <w:pPr>
            <w:spacing w:after="0"/>
          </w:pPr>
          <w:r>
            <w:t xml:space="preserve">Tenderers may be asked to demonstrate that they have sufficient capacity to perform the services for the duration of the contract, and to provide appropriate supporting documentation to the satisfaction of the contracting authority. </w:t>
          </w:r>
          <w:r w:rsidR="00310177">
            <w:t>Specifically, a minimum of 3 previous consultancies with governmental agencies in the EU, UK or Ireland, of equivalent quantum and duration.</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Content>
        <w:p w14:paraId="2F82E95E" w14:textId="77777777" w:rsidR="0053684A" w:rsidRPr="0053684A" w:rsidRDefault="0053684A" w:rsidP="0053684A">
          <w:pPr>
            <w:rPr>
              <w:lang w:val="en-IE"/>
            </w:rPr>
          </w:pPr>
          <w:r w:rsidRPr="0053684A">
            <w:rPr>
              <w:lang w:val="en-IE"/>
            </w:rPr>
            <w:t xml:space="preserve">The contract will be awarded </w:t>
          </w:r>
          <w:proofErr w:type="gramStart"/>
          <w:r w:rsidRPr="0053684A">
            <w:rPr>
              <w:lang w:val="en-IE"/>
            </w:rPr>
            <w:t>on the basis of</w:t>
          </w:r>
          <w:proofErr w:type="gramEnd"/>
          <w:r w:rsidRPr="0053684A">
            <w:rPr>
              <w:lang w:val="en-IE"/>
            </w:rPr>
            <w:t xml:space="preserve"> the Most Economically Advantageous Tender as identified in accordance with the following criteria.  </w:t>
          </w:r>
        </w:p>
        <w:p w14:paraId="4C3F98E2" w14:textId="77777777" w:rsidR="0053684A" w:rsidRPr="0053684A" w:rsidRDefault="0053684A" w:rsidP="0053684A">
          <w:pPr>
            <w:rPr>
              <w:lang w:val="en-IE"/>
            </w:rPr>
          </w:pPr>
          <w:r w:rsidRPr="0053684A">
            <w:rPr>
              <w:lang w:val="en-IE"/>
            </w:rPr>
            <w:t> </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0"/>
            <w:gridCol w:w="2884"/>
            <w:gridCol w:w="2591"/>
          </w:tblGrid>
          <w:tr w:rsidR="0053684A" w:rsidRPr="0053684A" w14:paraId="23FA7B70"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C6D9F1"/>
                <w:hideMark/>
              </w:tcPr>
              <w:p w14:paraId="3ED8F8DC" w14:textId="77777777" w:rsidR="0053684A" w:rsidRPr="0053684A" w:rsidRDefault="0053684A" w:rsidP="0053684A">
                <w:pPr>
                  <w:rPr>
                    <w:lang w:val="en-IE"/>
                  </w:rPr>
                </w:pPr>
                <w:r w:rsidRPr="0053684A">
                  <w:rPr>
                    <w:b/>
                    <w:bCs/>
                    <w:lang w:val="en-IE"/>
                  </w:rPr>
                  <w:t>Award Criteria</w:t>
                </w:r>
                <w:r w:rsidRPr="0053684A">
                  <w:rPr>
                    <w:lang w:val="en-IE"/>
                  </w:rPr>
                  <w:t> </w:t>
                </w:r>
              </w:p>
            </w:tc>
            <w:tc>
              <w:tcPr>
                <w:tcW w:w="3180" w:type="dxa"/>
                <w:tcBorders>
                  <w:top w:val="single" w:sz="6" w:space="0" w:color="auto"/>
                  <w:left w:val="single" w:sz="6" w:space="0" w:color="auto"/>
                  <w:bottom w:val="single" w:sz="6" w:space="0" w:color="auto"/>
                  <w:right w:val="single" w:sz="6" w:space="0" w:color="auto"/>
                </w:tcBorders>
                <w:shd w:val="clear" w:color="auto" w:fill="C6D9F1"/>
                <w:hideMark/>
              </w:tcPr>
              <w:p w14:paraId="24CFD2D6" w14:textId="77777777" w:rsidR="0053684A" w:rsidRPr="0053684A" w:rsidRDefault="0053684A" w:rsidP="0053684A">
                <w:pPr>
                  <w:rPr>
                    <w:lang w:val="en-IE"/>
                  </w:rPr>
                </w:pPr>
                <w:r w:rsidRPr="0053684A">
                  <w:rPr>
                    <w:b/>
                    <w:bCs/>
                    <w:lang w:val="en-IE"/>
                  </w:rPr>
                  <w:t>Maximum Marks Available</w:t>
                </w:r>
                <w:r w:rsidRPr="0053684A">
                  <w:rPr>
                    <w:lang w:val="en-IE"/>
                  </w:rPr>
                  <w:t> </w:t>
                </w:r>
              </w:p>
            </w:tc>
            <w:tc>
              <w:tcPr>
                <w:tcW w:w="2865" w:type="dxa"/>
                <w:tcBorders>
                  <w:top w:val="single" w:sz="6" w:space="0" w:color="auto"/>
                  <w:left w:val="single" w:sz="6" w:space="0" w:color="auto"/>
                  <w:bottom w:val="single" w:sz="6" w:space="0" w:color="auto"/>
                  <w:right w:val="single" w:sz="6" w:space="0" w:color="auto"/>
                </w:tcBorders>
                <w:shd w:val="clear" w:color="auto" w:fill="C6D9F1"/>
                <w:hideMark/>
              </w:tcPr>
              <w:p w14:paraId="53D81716" w14:textId="77777777" w:rsidR="0053684A" w:rsidRPr="0053684A" w:rsidRDefault="0053684A" w:rsidP="0053684A">
                <w:pPr>
                  <w:rPr>
                    <w:lang w:val="en-IE"/>
                  </w:rPr>
                </w:pPr>
                <w:r w:rsidRPr="0053684A">
                  <w:rPr>
                    <w:b/>
                    <w:bCs/>
                    <w:lang w:val="en-IE"/>
                  </w:rPr>
                  <w:t xml:space="preserve">Minimum Marks Required (60% </w:t>
                </w:r>
                <w:proofErr w:type="gramStart"/>
                <w:r w:rsidRPr="0053684A">
                  <w:rPr>
                    <w:b/>
                    <w:bCs/>
                    <w:lang w:val="en-IE"/>
                  </w:rPr>
                  <w:t>Pass)  </w:t>
                </w:r>
                <w:r w:rsidRPr="0053684A">
                  <w:rPr>
                    <w:lang w:val="en-IE"/>
                  </w:rPr>
                  <w:t> </w:t>
                </w:r>
                <w:proofErr w:type="gramEnd"/>
              </w:p>
            </w:tc>
          </w:tr>
          <w:tr w:rsidR="0053684A" w:rsidRPr="0053684A" w14:paraId="69909D06"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FFFFF"/>
                <w:hideMark/>
              </w:tcPr>
              <w:p w14:paraId="5B5E465C" w14:textId="77777777" w:rsidR="0053684A" w:rsidRPr="0053684A" w:rsidRDefault="0053684A" w:rsidP="0053684A">
                <w:pPr>
                  <w:rPr>
                    <w:lang w:val="en-IE"/>
                  </w:rPr>
                </w:pPr>
                <w:r w:rsidRPr="0053684A">
                  <w:rPr>
                    <w:lang w:val="en-IE"/>
                  </w:rPr>
                  <w:t>A. Cost </w:t>
                </w:r>
              </w:p>
            </w:tc>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4ABE2CFC" w14:textId="1F8CE1C7" w:rsidR="0053684A" w:rsidRPr="0053684A" w:rsidRDefault="0053684A" w:rsidP="0053684A">
                <w:pPr>
                  <w:rPr>
                    <w:lang w:val="en-IE"/>
                  </w:rPr>
                </w:pPr>
                <w:r w:rsidRPr="0053684A">
                  <w:rPr>
                    <w:lang w:val="en-IE"/>
                  </w:rPr>
                  <w:t> </w:t>
                </w:r>
                <w:r w:rsidR="00310177">
                  <w:rPr>
                    <w:lang w:val="en-IE"/>
                  </w:rPr>
                  <w:t>275</w:t>
                </w:r>
              </w:p>
            </w:tc>
            <w:tc>
              <w:tcPr>
                <w:tcW w:w="2865" w:type="dxa"/>
                <w:tcBorders>
                  <w:top w:val="single" w:sz="6" w:space="0" w:color="auto"/>
                  <w:left w:val="single" w:sz="6" w:space="0" w:color="auto"/>
                  <w:bottom w:val="single" w:sz="6" w:space="0" w:color="auto"/>
                  <w:right w:val="single" w:sz="6" w:space="0" w:color="auto"/>
                </w:tcBorders>
                <w:shd w:val="clear" w:color="auto" w:fill="FFFFFF"/>
                <w:hideMark/>
              </w:tcPr>
              <w:p w14:paraId="7CD09928" w14:textId="77777777" w:rsidR="0053684A" w:rsidRPr="0053684A" w:rsidRDefault="0053684A" w:rsidP="0053684A">
                <w:pPr>
                  <w:rPr>
                    <w:lang w:val="en-IE"/>
                  </w:rPr>
                </w:pPr>
                <w:r w:rsidRPr="0053684A">
                  <w:rPr>
                    <w:lang w:val="en-IE"/>
                  </w:rPr>
                  <w:t>NA </w:t>
                </w:r>
              </w:p>
            </w:tc>
          </w:tr>
          <w:tr w:rsidR="0053684A" w:rsidRPr="0053684A" w14:paraId="2987F0E2"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FFFFF"/>
                <w:hideMark/>
              </w:tcPr>
              <w:p w14:paraId="6BE4D501" w14:textId="77777777" w:rsidR="0053684A" w:rsidRPr="0053684A" w:rsidRDefault="0053684A" w:rsidP="0053684A">
                <w:pPr>
                  <w:rPr>
                    <w:lang w:val="en-IE"/>
                  </w:rPr>
                </w:pPr>
                <w:r w:rsidRPr="0053684A">
                  <w:rPr>
                    <w:lang w:val="en-IE"/>
                  </w:rPr>
                  <w:t>B. Proposed Resources: Availability, quality and relevant experience  </w:t>
                </w:r>
              </w:p>
            </w:tc>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0A20F4BB" w14:textId="0320262E" w:rsidR="0053684A" w:rsidRDefault="00310177" w:rsidP="0053684A">
                <w:pPr>
                  <w:rPr>
                    <w:lang w:val="en-IE"/>
                  </w:rPr>
                </w:pPr>
                <w:r>
                  <w:rPr>
                    <w:lang w:val="en-IE"/>
                  </w:rPr>
                  <w:t>375</w:t>
                </w:r>
              </w:p>
              <w:p w14:paraId="6347BA09" w14:textId="4257EC3D" w:rsidR="00310177" w:rsidRDefault="00310177" w:rsidP="0053684A">
                <w:pPr>
                  <w:rPr>
                    <w:lang w:val="en-IE"/>
                  </w:rPr>
                </w:pPr>
                <w:r>
                  <w:rPr>
                    <w:lang w:val="en-IE"/>
                  </w:rPr>
                  <w:t>(125 Availability, 125 Quality, 125 relevant experience)</w:t>
                </w:r>
              </w:p>
              <w:p w14:paraId="44CC81CC" w14:textId="14E69221" w:rsidR="00310177" w:rsidRPr="0053684A" w:rsidRDefault="00310177" w:rsidP="0053684A">
                <w:pPr>
                  <w:rPr>
                    <w:lang w:val="en-IE"/>
                  </w:rPr>
                </w:pPr>
              </w:p>
            </w:tc>
            <w:tc>
              <w:tcPr>
                <w:tcW w:w="2865" w:type="dxa"/>
                <w:tcBorders>
                  <w:top w:val="single" w:sz="6" w:space="0" w:color="auto"/>
                  <w:left w:val="single" w:sz="6" w:space="0" w:color="auto"/>
                  <w:bottom w:val="single" w:sz="6" w:space="0" w:color="auto"/>
                  <w:right w:val="single" w:sz="6" w:space="0" w:color="auto"/>
                </w:tcBorders>
                <w:shd w:val="clear" w:color="auto" w:fill="FFFFFF"/>
                <w:hideMark/>
              </w:tcPr>
              <w:p w14:paraId="749C4174" w14:textId="025189DA" w:rsidR="0053684A" w:rsidRPr="0053684A" w:rsidRDefault="00310177" w:rsidP="0053684A">
                <w:pPr>
                  <w:rPr>
                    <w:lang w:val="en-IE"/>
                  </w:rPr>
                </w:pPr>
                <w:r>
                  <w:rPr>
                    <w:lang w:val="en-IE"/>
                  </w:rPr>
                  <w:t>250</w:t>
                </w:r>
              </w:p>
            </w:tc>
          </w:tr>
          <w:tr w:rsidR="0053684A" w:rsidRPr="0053684A" w14:paraId="1E6E6FCF"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FFFFF"/>
                <w:hideMark/>
              </w:tcPr>
              <w:p w14:paraId="5F30DDC0" w14:textId="77777777" w:rsidR="0053684A" w:rsidRPr="0053684A" w:rsidRDefault="0053684A" w:rsidP="0053684A">
                <w:pPr>
                  <w:rPr>
                    <w:lang w:val="en-IE"/>
                  </w:rPr>
                </w:pPr>
                <w:r w:rsidRPr="0053684A">
                  <w:rPr>
                    <w:lang w:val="en-IE"/>
                  </w:rPr>
                  <w:t>C. Approach and Methodology </w:t>
                </w:r>
              </w:p>
            </w:tc>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70B7EBCF" w14:textId="55336486" w:rsidR="0053684A" w:rsidRPr="0053684A" w:rsidRDefault="00310177" w:rsidP="0053684A">
                <w:pPr>
                  <w:rPr>
                    <w:lang w:val="en-IE"/>
                  </w:rPr>
                </w:pPr>
                <w:r>
                  <w:rPr>
                    <w:lang w:val="en-IE"/>
                  </w:rPr>
                  <w:t>250</w:t>
                </w:r>
              </w:p>
            </w:tc>
            <w:tc>
              <w:tcPr>
                <w:tcW w:w="2865" w:type="dxa"/>
                <w:tcBorders>
                  <w:top w:val="single" w:sz="6" w:space="0" w:color="auto"/>
                  <w:left w:val="single" w:sz="6" w:space="0" w:color="auto"/>
                  <w:bottom w:val="single" w:sz="6" w:space="0" w:color="auto"/>
                  <w:right w:val="single" w:sz="6" w:space="0" w:color="auto"/>
                </w:tcBorders>
                <w:shd w:val="clear" w:color="auto" w:fill="FFFFFF"/>
                <w:hideMark/>
              </w:tcPr>
              <w:p w14:paraId="5ADE54F7" w14:textId="678C0D23" w:rsidR="0053684A" w:rsidRPr="0053684A" w:rsidRDefault="00310177" w:rsidP="0053684A">
                <w:pPr>
                  <w:rPr>
                    <w:lang w:val="en-IE"/>
                  </w:rPr>
                </w:pPr>
                <w:r>
                  <w:rPr>
                    <w:lang w:val="en-IE"/>
                  </w:rPr>
                  <w:t>200</w:t>
                </w:r>
              </w:p>
            </w:tc>
          </w:tr>
          <w:tr w:rsidR="0053684A" w:rsidRPr="0053684A" w14:paraId="78538D00"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FFFFF"/>
                <w:hideMark/>
              </w:tcPr>
              <w:p w14:paraId="0DC41724" w14:textId="56BDD78F" w:rsidR="0053684A" w:rsidRPr="0053684A" w:rsidRDefault="0053684A" w:rsidP="0053684A">
                <w:pPr>
                  <w:rPr>
                    <w:lang w:val="en-IE"/>
                  </w:rPr>
                </w:pPr>
                <w:r w:rsidRPr="0053684A">
                  <w:rPr>
                    <w:lang w:val="en-IE"/>
                  </w:rPr>
                  <w:t> </w:t>
                </w:r>
                <w:r w:rsidR="00310177">
                  <w:rPr>
                    <w:lang w:val="en-IE"/>
                  </w:rPr>
                  <w:t>D. Green Criteria</w:t>
                </w:r>
              </w:p>
            </w:tc>
            <w:tc>
              <w:tcPr>
                <w:tcW w:w="3180" w:type="dxa"/>
                <w:tcBorders>
                  <w:top w:val="single" w:sz="6" w:space="0" w:color="auto"/>
                  <w:left w:val="single" w:sz="6" w:space="0" w:color="auto"/>
                  <w:bottom w:val="single" w:sz="6" w:space="0" w:color="auto"/>
                  <w:right w:val="single" w:sz="6" w:space="0" w:color="auto"/>
                </w:tcBorders>
                <w:shd w:val="clear" w:color="auto" w:fill="FFFFFF"/>
                <w:hideMark/>
              </w:tcPr>
              <w:p w14:paraId="36B889BC" w14:textId="1BD39F27" w:rsidR="0053684A" w:rsidRPr="0053684A" w:rsidRDefault="0053684A" w:rsidP="0053684A">
                <w:pPr>
                  <w:rPr>
                    <w:lang w:val="en-IE"/>
                  </w:rPr>
                </w:pPr>
                <w:r w:rsidRPr="0053684A">
                  <w:rPr>
                    <w:lang w:val="en-IE"/>
                  </w:rPr>
                  <w:t> </w:t>
                </w:r>
                <w:r w:rsidR="00310177">
                  <w:rPr>
                    <w:lang w:val="en-IE"/>
                  </w:rPr>
                  <w:t>100</w:t>
                </w:r>
              </w:p>
            </w:tc>
            <w:tc>
              <w:tcPr>
                <w:tcW w:w="2865" w:type="dxa"/>
                <w:tcBorders>
                  <w:top w:val="single" w:sz="6" w:space="0" w:color="auto"/>
                  <w:left w:val="single" w:sz="6" w:space="0" w:color="auto"/>
                  <w:bottom w:val="single" w:sz="6" w:space="0" w:color="auto"/>
                  <w:right w:val="single" w:sz="6" w:space="0" w:color="auto"/>
                </w:tcBorders>
                <w:shd w:val="clear" w:color="auto" w:fill="FFFFFF"/>
                <w:hideMark/>
              </w:tcPr>
              <w:p w14:paraId="6088B9FA" w14:textId="728609A1" w:rsidR="0053684A" w:rsidRPr="0053684A" w:rsidRDefault="00310177" w:rsidP="0053684A">
                <w:pPr>
                  <w:rPr>
                    <w:lang w:val="en-IE"/>
                  </w:rPr>
                </w:pPr>
                <w:r>
                  <w:rPr>
                    <w:lang w:val="en-IE"/>
                  </w:rPr>
                  <w:t>60</w:t>
                </w:r>
              </w:p>
            </w:tc>
          </w:tr>
          <w:tr w:rsidR="0053684A" w:rsidRPr="0053684A" w14:paraId="627DDED5" w14:textId="77777777">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C6D9F1"/>
                <w:hideMark/>
              </w:tcPr>
              <w:p w14:paraId="38552965" w14:textId="77777777" w:rsidR="0053684A" w:rsidRPr="0053684A" w:rsidRDefault="0053684A" w:rsidP="0053684A">
                <w:pPr>
                  <w:rPr>
                    <w:lang w:val="en-IE"/>
                  </w:rPr>
                </w:pPr>
                <w:r w:rsidRPr="0053684A">
                  <w:rPr>
                    <w:b/>
                    <w:bCs/>
                    <w:lang w:val="en-IE"/>
                  </w:rPr>
                  <w:t>Total</w:t>
                </w:r>
                <w:r w:rsidRPr="0053684A">
                  <w:rPr>
                    <w:lang w:val="en-IE"/>
                  </w:rPr>
                  <w:t> </w:t>
                </w:r>
              </w:p>
            </w:tc>
            <w:tc>
              <w:tcPr>
                <w:tcW w:w="3180" w:type="dxa"/>
                <w:tcBorders>
                  <w:top w:val="single" w:sz="6" w:space="0" w:color="auto"/>
                  <w:left w:val="single" w:sz="6" w:space="0" w:color="auto"/>
                  <w:bottom w:val="single" w:sz="6" w:space="0" w:color="auto"/>
                  <w:right w:val="single" w:sz="6" w:space="0" w:color="auto"/>
                </w:tcBorders>
                <w:shd w:val="clear" w:color="auto" w:fill="C6D9F1"/>
                <w:hideMark/>
              </w:tcPr>
              <w:p w14:paraId="3621CCDA" w14:textId="77777777" w:rsidR="0053684A" w:rsidRPr="0053684A" w:rsidRDefault="0053684A" w:rsidP="0053684A">
                <w:pPr>
                  <w:rPr>
                    <w:lang w:val="en-IE"/>
                  </w:rPr>
                </w:pPr>
                <w:r w:rsidRPr="0053684A">
                  <w:rPr>
                    <w:lang w:val="en-IE"/>
                  </w:rPr>
                  <w:t>1,000 </w:t>
                </w:r>
              </w:p>
            </w:tc>
            <w:tc>
              <w:tcPr>
                <w:tcW w:w="2865" w:type="dxa"/>
                <w:tcBorders>
                  <w:top w:val="single" w:sz="6" w:space="0" w:color="auto"/>
                  <w:left w:val="single" w:sz="6" w:space="0" w:color="auto"/>
                  <w:bottom w:val="single" w:sz="6" w:space="0" w:color="auto"/>
                  <w:right w:val="single" w:sz="6" w:space="0" w:color="auto"/>
                </w:tcBorders>
                <w:shd w:val="clear" w:color="auto" w:fill="C6D9F1"/>
                <w:hideMark/>
              </w:tcPr>
              <w:p w14:paraId="49BC93C6" w14:textId="77777777" w:rsidR="0053684A" w:rsidRPr="0053684A" w:rsidRDefault="0053684A" w:rsidP="0053684A">
                <w:pPr>
                  <w:rPr>
                    <w:lang w:val="en-IE"/>
                  </w:rPr>
                </w:pPr>
                <w:r w:rsidRPr="0053684A">
                  <w:rPr>
                    <w:lang w:val="en-IE"/>
                  </w:rPr>
                  <w:t> </w:t>
                </w:r>
              </w:p>
            </w:tc>
          </w:tr>
        </w:tbl>
        <w:p w14:paraId="11DA6B4C" w14:textId="77777777" w:rsidR="0053684A" w:rsidRPr="0053684A" w:rsidRDefault="0053684A" w:rsidP="0053684A">
          <w:pPr>
            <w:rPr>
              <w:lang w:val="en-IE"/>
            </w:rPr>
          </w:pPr>
          <w:r w:rsidRPr="0053684A">
            <w:rPr>
              <w:lang w:val="en-IE"/>
            </w:rPr>
            <w:t> </w:t>
          </w:r>
        </w:p>
        <w:p w14:paraId="0352F4E4" w14:textId="77777777" w:rsidR="0053684A" w:rsidRPr="0053684A" w:rsidRDefault="0053684A" w:rsidP="0053684A">
          <w:pPr>
            <w:rPr>
              <w:lang w:val="en-IE"/>
            </w:rPr>
          </w:pPr>
          <w:r w:rsidRPr="0053684A">
            <w:rPr>
              <w:lang w:val="en-IE"/>
            </w:rPr>
            <w:t> </w:t>
          </w:r>
        </w:p>
        <w:p w14:paraId="20897DBC" w14:textId="77777777" w:rsidR="0053684A" w:rsidRPr="0053684A" w:rsidRDefault="0053684A" w:rsidP="0053684A">
          <w:pPr>
            <w:rPr>
              <w:lang w:val="en-IE"/>
            </w:rPr>
          </w:pPr>
          <w:r w:rsidRPr="0053684A">
            <w:rPr>
              <w:lang w:val="en-IE"/>
            </w:rPr>
            <w:t>Marks for cost will be awarded using the below formula.  </w:t>
          </w:r>
        </w:p>
        <w:tbl>
          <w:tblPr>
            <w:tblW w:w="0" w:type="dxa"/>
            <w:tblInd w:w="9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555"/>
            <w:gridCol w:w="3540"/>
            <w:gridCol w:w="420"/>
            <w:gridCol w:w="1830"/>
          </w:tblGrid>
          <w:tr w:rsidR="0053684A" w:rsidRPr="0053684A" w14:paraId="0C969EBA" w14:textId="77777777">
            <w:trPr>
              <w:trHeight w:val="315"/>
            </w:trPr>
            <w:tc>
              <w:tcPr>
                <w:tcW w:w="1410" w:type="dxa"/>
                <w:vMerge w:val="restart"/>
                <w:tcBorders>
                  <w:top w:val="single" w:sz="6" w:space="0" w:color="auto"/>
                  <w:left w:val="single" w:sz="6" w:space="0" w:color="auto"/>
                  <w:bottom w:val="single" w:sz="6" w:space="0" w:color="auto"/>
                  <w:right w:val="nil"/>
                </w:tcBorders>
                <w:shd w:val="clear" w:color="auto" w:fill="FFFFFF"/>
                <w:vAlign w:val="center"/>
                <w:hideMark/>
              </w:tcPr>
              <w:p w14:paraId="55A963E6" w14:textId="77777777" w:rsidR="0053684A" w:rsidRPr="0053684A" w:rsidRDefault="0053684A" w:rsidP="0053684A">
                <w:pPr>
                  <w:rPr>
                    <w:lang w:val="en-IE"/>
                  </w:rPr>
                </w:pPr>
                <w:r w:rsidRPr="0053684A">
                  <w:rPr>
                    <w:b/>
                    <w:bCs/>
                    <w:lang w:val="en-IE"/>
                  </w:rPr>
                  <w:t>Cost Score</w:t>
                </w:r>
                <w:r w:rsidRPr="0053684A">
                  <w:rPr>
                    <w:lang w:val="en-IE"/>
                  </w:rPr>
                  <w:t> </w:t>
                </w:r>
              </w:p>
            </w:tc>
            <w:tc>
              <w:tcPr>
                <w:tcW w:w="555" w:type="dxa"/>
                <w:vMerge w:val="restart"/>
                <w:tcBorders>
                  <w:top w:val="single" w:sz="6" w:space="0" w:color="auto"/>
                  <w:left w:val="nil"/>
                  <w:bottom w:val="single" w:sz="6" w:space="0" w:color="auto"/>
                  <w:right w:val="nil"/>
                </w:tcBorders>
                <w:shd w:val="clear" w:color="auto" w:fill="FFFFFF"/>
                <w:vAlign w:val="center"/>
                <w:hideMark/>
              </w:tcPr>
              <w:p w14:paraId="5E6A4DC9" w14:textId="77777777" w:rsidR="0053684A" w:rsidRPr="0053684A" w:rsidRDefault="0053684A" w:rsidP="0053684A">
                <w:pPr>
                  <w:rPr>
                    <w:lang w:val="en-IE"/>
                  </w:rPr>
                </w:pPr>
                <w:r w:rsidRPr="0053684A">
                  <w:rPr>
                    <w:lang w:val="en-IE"/>
                  </w:rPr>
                  <w:t>= </w:t>
                </w:r>
              </w:p>
            </w:tc>
            <w:tc>
              <w:tcPr>
                <w:tcW w:w="3540" w:type="dxa"/>
                <w:tcBorders>
                  <w:top w:val="single" w:sz="6" w:space="0" w:color="auto"/>
                  <w:left w:val="nil"/>
                  <w:bottom w:val="single" w:sz="6" w:space="0" w:color="auto"/>
                  <w:right w:val="nil"/>
                </w:tcBorders>
                <w:shd w:val="clear" w:color="auto" w:fill="FFFFFF"/>
                <w:vAlign w:val="bottom"/>
                <w:hideMark/>
              </w:tcPr>
              <w:p w14:paraId="2F37130E" w14:textId="77777777" w:rsidR="0053684A" w:rsidRPr="0053684A" w:rsidRDefault="0053684A" w:rsidP="0053684A">
                <w:pPr>
                  <w:rPr>
                    <w:lang w:val="en-IE"/>
                  </w:rPr>
                </w:pPr>
                <w:r w:rsidRPr="0053684A">
                  <w:rPr>
                    <w:lang w:val="en-IE"/>
                  </w:rPr>
                  <w:t>Lowest Tendered Rate  </w:t>
                </w:r>
              </w:p>
            </w:tc>
            <w:tc>
              <w:tcPr>
                <w:tcW w:w="420" w:type="dxa"/>
                <w:vMerge w:val="restart"/>
                <w:tcBorders>
                  <w:top w:val="single" w:sz="6" w:space="0" w:color="auto"/>
                  <w:left w:val="nil"/>
                  <w:bottom w:val="single" w:sz="6" w:space="0" w:color="auto"/>
                  <w:right w:val="nil"/>
                </w:tcBorders>
                <w:shd w:val="clear" w:color="auto" w:fill="FFFFFF"/>
                <w:vAlign w:val="center"/>
                <w:hideMark/>
              </w:tcPr>
              <w:p w14:paraId="6EE2BD4D" w14:textId="77777777" w:rsidR="0053684A" w:rsidRPr="0053684A" w:rsidRDefault="0053684A" w:rsidP="0053684A">
                <w:pPr>
                  <w:rPr>
                    <w:lang w:val="en-IE"/>
                  </w:rPr>
                </w:pPr>
                <w:r w:rsidRPr="0053684A">
                  <w:rPr>
                    <w:lang w:val="en-IE"/>
                  </w:rPr>
                  <w:t>x </w:t>
                </w:r>
              </w:p>
            </w:tc>
            <w:tc>
              <w:tcPr>
                <w:tcW w:w="1830" w:type="dxa"/>
                <w:vMerge w:val="restart"/>
                <w:tcBorders>
                  <w:top w:val="single" w:sz="6" w:space="0" w:color="auto"/>
                  <w:left w:val="nil"/>
                  <w:bottom w:val="single" w:sz="6" w:space="0" w:color="auto"/>
                  <w:right w:val="single" w:sz="6" w:space="0" w:color="auto"/>
                </w:tcBorders>
                <w:shd w:val="clear" w:color="auto" w:fill="FFFFFF"/>
                <w:vAlign w:val="center"/>
                <w:hideMark/>
              </w:tcPr>
              <w:p w14:paraId="0B851C2D" w14:textId="77777777" w:rsidR="0053684A" w:rsidRPr="0053684A" w:rsidRDefault="0053684A" w:rsidP="0053684A">
                <w:pPr>
                  <w:rPr>
                    <w:lang w:val="en-IE"/>
                  </w:rPr>
                </w:pPr>
                <w:r w:rsidRPr="0053684A">
                  <w:rPr>
                    <w:lang w:val="en-IE"/>
                  </w:rPr>
                  <w:t>Maximum Marks Available </w:t>
                </w:r>
              </w:p>
            </w:tc>
          </w:tr>
          <w:tr w:rsidR="0053684A" w:rsidRPr="0053684A" w14:paraId="163B57CB" w14:textId="77777777">
            <w:trPr>
              <w:trHeight w:val="255"/>
            </w:trPr>
            <w:tc>
              <w:tcPr>
                <w:tcW w:w="0" w:type="auto"/>
                <w:vMerge/>
                <w:tcBorders>
                  <w:top w:val="single" w:sz="6" w:space="0" w:color="auto"/>
                  <w:left w:val="single" w:sz="6" w:space="0" w:color="auto"/>
                  <w:bottom w:val="single" w:sz="6" w:space="0" w:color="auto"/>
                  <w:right w:val="nil"/>
                </w:tcBorders>
                <w:vAlign w:val="center"/>
                <w:hideMark/>
              </w:tcPr>
              <w:p w14:paraId="0953F7C7" w14:textId="77777777" w:rsidR="0053684A" w:rsidRPr="0053684A" w:rsidRDefault="0053684A" w:rsidP="0053684A">
                <w:pPr>
                  <w:rPr>
                    <w:lang w:val="en-IE"/>
                  </w:rPr>
                </w:pPr>
              </w:p>
            </w:tc>
            <w:tc>
              <w:tcPr>
                <w:tcW w:w="0" w:type="auto"/>
                <w:vMerge/>
                <w:tcBorders>
                  <w:top w:val="single" w:sz="6" w:space="0" w:color="auto"/>
                  <w:left w:val="nil"/>
                  <w:bottom w:val="single" w:sz="6" w:space="0" w:color="auto"/>
                  <w:right w:val="nil"/>
                </w:tcBorders>
                <w:vAlign w:val="center"/>
                <w:hideMark/>
              </w:tcPr>
              <w:p w14:paraId="7555353A" w14:textId="77777777" w:rsidR="0053684A" w:rsidRPr="0053684A" w:rsidRDefault="0053684A" w:rsidP="0053684A">
                <w:pPr>
                  <w:rPr>
                    <w:lang w:val="en-IE"/>
                  </w:rPr>
                </w:pPr>
              </w:p>
            </w:tc>
            <w:tc>
              <w:tcPr>
                <w:tcW w:w="3540" w:type="dxa"/>
                <w:tcBorders>
                  <w:top w:val="single" w:sz="6" w:space="0" w:color="auto"/>
                  <w:left w:val="nil"/>
                  <w:bottom w:val="single" w:sz="6" w:space="0" w:color="auto"/>
                  <w:right w:val="nil"/>
                </w:tcBorders>
                <w:shd w:val="clear" w:color="auto" w:fill="FFFFFF"/>
                <w:vAlign w:val="center"/>
                <w:hideMark/>
              </w:tcPr>
              <w:p w14:paraId="60E7EB27" w14:textId="77777777" w:rsidR="0053684A" w:rsidRPr="0053684A" w:rsidRDefault="0053684A" w:rsidP="0053684A">
                <w:pPr>
                  <w:rPr>
                    <w:lang w:val="en-IE"/>
                  </w:rPr>
                </w:pPr>
                <w:r w:rsidRPr="0053684A">
                  <w:rPr>
                    <w:lang w:val="en-IE"/>
                  </w:rPr>
                  <w:t> </w:t>
                </w:r>
              </w:p>
              <w:p w14:paraId="3C352563" w14:textId="77777777" w:rsidR="0053684A" w:rsidRPr="0053684A" w:rsidRDefault="0053684A" w:rsidP="0053684A">
                <w:pPr>
                  <w:rPr>
                    <w:lang w:val="en-IE"/>
                  </w:rPr>
                </w:pPr>
                <w:r w:rsidRPr="0053684A">
                  <w:rPr>
                    <w:lang w:val="en-IE"/>
                  </w:rPr>
                  <w:t>Tendered Rate under evaluation  </w:t>
                </w:r>
              </w:p>
            </w:tc>
            <w:tc>
              <w:tcPr>
                <w:tcW w:w="0" w:type="auto"/>
                <w:vMerge/>
                <w:tcBorders>
                  <w:top w:val="single" w:sz="6" w:space="0" w:color="auto"/>
                  <w:left w:val="nil"/>
                  <w:bottom w:val="single" w:sz="6" w:space="0" w:color="auto"/>
                  <w:right w:val="nil"/>
                </w:tcBorders>
                <w:vAlign w:val="center"/>
                <w:hideMark/>
              </w:tcPr>
              <w:p w14:paraId="5DE82838" w14:textId="77777777" w:rsidR="0053684A" w:rsidRPr="0053684A" w:rsidRDefault="0053684A" w:rsidP="0053684A">
                <w:pPr>
                  <w:rPr>
                    <w:lang w:val="en-IE"/>
                  </w:rPr>
                </w:pPr>
              </w:p>
            </w:tc>
            <w:tc>
              <w:tcPr>
                <w:tcW w:w="0" w:type="auto"/>
                <w:vMerge/>
                <w:tcBorders>
                  <w:top w:val="single" w:sz="6" w:space="0" w:color="auto"/>
                  <w:left w:val="nil"/>
                  <w:bottom w:val="single" w:sz="6" w:space="0" w:color="auto"/>
                  <w:right w:val="single" w:sz="6" w:space="0" w:color="auto"/>
                </w:tcBorders>
                <w:vAlign w:val="center"/>
                <w:hideMark/>
              </w:tcPr>
              <w:p w14:paraId="2E5BE3B5" w14:textId="77777777" w:rsidR="0053684A" w:rsidRPr="0053684A" w:rsidRDefault="0053684A" w:rsidP="0053684A">
                <w:pPr>
                  <w:rPr>
                    <w:lang w:val="en-IE"/>
                  </w:rPr>
                </w:pPr>
              </w:p>
            </w:tc>
          </w:tr>
        </w:tbl>
        <w:p w14:paraId="7DA3D3B2" w14:textId="77777777" w:rsidR="0053684A" w:rsidRPr="0053684A" w:rsidRDefault="0053684A" w:rsidP="0053684A">
          <w:pPr>
            <w:rPr>
              <w:lang w:val="en-IE"/>
            </w:rPr>
          </w:pPr>
          <w:r w:rsidRPr="0053684A">
            <w:rPr>
              <w:lang w:val="en-IE"/>
            </w:rPr>
            <w:t>The other, qualitative, award sub -criteria will be weighted according to the Table below.   </w:t>
          </w:r>
        </w:p>
        <w:p w14:paraId="10FD4269" w14:textId="77777777" w:rsidR="0053684A" w:rsidRPr="0053684A" w:rsidRDefault="0053684A" w:rsidP="0053684A">
          <w:pPr>
            <w:rPr>
              <w:lang w:val="en-IE"/>
            </w:rPr>
          </w:pPr>
          <w:r w:rsidRPr="0053684A">
            <w:rPr>
              <w:lang w:val="en-IE"/>
            </w:rPr>
            <w:t> </w:t>
          </w:r>
        </w:p>
        <w:p w14:paraId="5EE97B9A" w14:textId="77777777" w:rsidR="0053684A" w:rsidRPr="0053684A" w:rsidRDefault="0053684A" w:rsidP="0053684A">
          <w:pPr>
            <w:rPr>
              <w:lang w:val="en-IE"/>
            </w:rPr>
          </w:pPr>
          <w:r w:rsidRPr="0053684A">
            <w:rPr>
              <w:b/>
              <w:bCs/>
              <w:lang w:val="en-IE"/>
            </w:rPr>
            <w:t>Qualitative Award Criteria will be assessed using the Scoring Methodology in the table below.</w:t>
          </w:r>
          <w:r w:rsidRPr="0053684A">
            <w:rPr>
              <w:lang w:val="en-IE"/>
            </w:rPr>
            <w:t> </w:t>
          </w:r>
        </w:p>
        <w:tbl>
          <w:tblPr>
            <w:tblW w:w="0" w:type="dxa"/>
            <w:tblInd w:w="6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5"/>
            <w:gridCol w:w="7230"/>
          </w:tblGrid>
          <w:tr w:rsidR="0053684A" w:rsidRPr="0053684A" w14:paraId="24D8B45F" w14:textId="77777777">
            <w:trPr>
              <w:trHeight w:val="315"/>
            </w:trPr>
            <w:tc>
              <w:tcPr>
                <w:tcW w:w="1155" w:type="dxa"/>
                <w:tcBorders>
                  <w:top w:val="single" w:sz="6" w:space="0" w:color="auto"/>
                  <w:left w:val="single" w:sz="6" w:space="0" w:color="auto"/>
                  <w:bottom w:val="single" w:sz="6" w:space="0" w:color="auto"/>
                  <w:right w:val="single" w:sz="6" w:space="0" w:color="auto"/>
                </w:tcBorders>
                <w:shd w:val="clear" w:color="auto" w:fill="95B3D7"/>
                <w:hideMark/>
              </w:tcPr>
              <w:p w14:paraId="3E37AB65" w14:textId="77777777" w:rsidR="0053684A" w:rsidRPr="0053684A" w:rsidRDefault="0053684A" w:rsidP="0053684A">
                <w:pPr>
                  <w:rPr>
                    <w:lang w:val="en-IE"/>
                  </w:rPr>
                </w:pPr>
                <w:r w:rsidRPr="0053684A">
                  <w:rPr>
                    <w:b/>
                    <w:bCs/>
                    <w:lang w:val="en-IE"/>
                  </w:rPr>
                  <w:t>Weighting</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95B3D7"/>
                <w:hideMark/>
              </w:tcPr>
              <w:p w14:paraId="78B72378" w14:textId="77777777" w:rsidR="0053684A" w:rsidRPr="0053684A" w:rsidRDefault="0053684A" w:rsidP="0053684A">
                <w:pPr>
                  <w:rPr>
                    <w:lang w:val="en-IE"/>
                  </w:rPr>
                </w:pPr>
                <w:r w:rsidRPr="0053684A">
                  <w:rPr>
                    <w:b/>
                    <w:bCs/>
                    <w:lang w:val="en-IE"/>
                  </w:rPr>
                  <w:t>Meaning</w:t>
                </w:r>
                <w:r w:rsidRPr="0053684A">
                  <w:rPr>
                    <w:lang w:val="en-IE"/>
                  </w:rPr>
                  <w:t> </w:t>
                </w:r>
              </w:p>
            </w:tc>
          </w:tr>
          <w:tr w:rsidR="0053684A" w:rsidRPr="0053684A" w14:paraId="0D7EADD9" w14:textId="77777777">
            <w:trPr>
              <w:trHeight w:val="60"/>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8C6B11" w14:textId="77777777" w:rsidR="0053684A" w:rsidRPr="0053684A" w:rsidRDefault="0053684A" w:rsidP="0053684A">
                <w:pPr>
                  <w:rPr>
                    <w:lang w:val="en-IE"/>
                  </w:rPr>
                </w:pPr>
                <w:r w:rsidRPr="0053684A">
                  <w:rPr>
                    <w:b/>
                    <w:bCs/>
                    <w:lang w:val="en-IE"/>
                  </w:rPr>
                  <w:t>90% to 100%</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F43AC0" w14:textId="77777777" w:rsidR="0053684A" w:rsidRPr="0053684A" w:rsidRDefault="0053684A" w:rsidP="0053684A">
                <w:pPr>
                  <w:rPr>
                    <w:lang w:val="en-IE"/>
                  </w:rPr>
                </w:pPr>
                <w:r w:rsidRPr="0053684A">
                  <w:rPr>
                    <w:lang w:val="en-IE"/>
                  </w:rPr>
                  <w:t>A response that demonstrates an excellent level of quality and understanding of requirements and provides comprehensive and convincing assurance that the Tenderer will deliver to an excellent standard. </w:t>
                </w:r>
              </w:p>
            </w:tc>
          </w:tr>
          <w:tr w:rsidR="0053684A" w:rsidRPr="0053684A" w14:paraId="62F20169" w14:textId="77777777">
            <w:trPr>
              <w:trHeight w:val="60"/>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E005FE" w14:textId="77777777" w:rsidR="0053684A" w:rsidRPr="0053684A" w:rsidRDefault="0053684A" w:rsidP="0053684A">
                <w:pPr>
                  <w:rPr>
                    <w:lang w:val="en-IE"/>
                  </w:rPr>
                </w:pPr>
                <w:r w:rsidRPr="0053684A">
                  <w:rPr>
                    <w:b/>
                    <w:bCs/>
                    <w:lang w:val="en-IE"/>
                  </w:rPr>
                  <w:t>80% to 89%</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52C8E6" w14:textId="77777777" w:rsidR="0053684A" w:rsidRPr="0053684A" w:rsidRDefault="0053684A" w:rsidP="0053684A">
                <w:pPr>
                  <w:rPr>
                    <w:lang w:val="en-IE"/>
                  </w:rPr>
                </w:pPr>
                <w:r w:rsidRPr="0053684A">
                  <w:rPr>
                    <w:lang w:val="en-IE"/>
                  </w:rPr>
                  <w:t>A response that demonstrates a very good level of quality and understanding of requirements and provides assurance that the Tenderer will deliver to a very good standard. </w:t>
                </w:r>
              </w:p>
            </w:tc>
          </w:tr>
          <w:tr w:rsidR="0053684A" w:rsidRPr="0053684A" w14:paraId="7AE28844" w14:textId="77777777">
            <w:trPr>
              <w:trHeight w:val="60"/>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2CFB86" w14:textId="77777777" w:rsidR="0053684A" w:rsidRPr="0053684A" w:rsidRDefault="0053684A" w:rsidP="0053684A">
                <w:pPr>
                  <w:rPr>
                    <w:lang w:val="en-IE"/>
                  </w:rPr>
                </w:pPr>
                <w:r w:rsidRPr="0053684A">
                  <w:rPr>
                    <w:b/>
                    <w:bCs/>
                    <w:lang w:val="en-IE"/>
                  </w:rPr>
                  <w:t>60% to 79%</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BA307A" w14:textId="77777777" w:rsidR="0053684A" w:rsidRPr="0053684A" w:rsidRDefault="0053684A" w:rsidP="0053684A">
                <w:pPr>
                  <w:rPr>
                    <w:lang w:val="en-IE"/>
                  </w:rPr>
                </w:pPr>
                <w:r w:rsidRPr="0053684A">
                  <w:rPr>
                    <w:lang w:val="en-IE"/>
                  </w:rPr>
                  <w:t>A response that demonstrates a satisfactory level of quality and understanding of requirements and gives reasonable assurance of delivery to an adequate standard but does not provide sufficiently convincing assurance to award a higher mark. </w:t>
                </w:r>
              </w:p>
            </w:tc>
          </w:tr>
          <w:tr w:rsidR="0053684A" w:rsidRPr="0053684A" w14:paraId="6F418360" w14:textId="77777777">
            <w:trPr>
              <w:trHeight w:val="60"/>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9291A3" w14:textId="77777777" w:rsidR="0053684A" w:rsidRPr="0053684A" w:rsidRDefault="0053684A" w:rsidP="0053684A">
                <w:pPr>
                  <w:rPr>
                    <w:lang w:val="en-IE"/>
                  </w:rPr>
                </w:pPr>
                <w:r w:rsidRPr="0053684A">
                  <w:rPr>
                    <w:b/>
                    <w:bCs/>
                    <w:lang w:val="en-IE"/>
                  </w:rPr>
                  <w:t>30% to 59%</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9FAA7" w14:textId="77777777" w:rsidR="0053684A" w:rsidRPr="0053684A" w:rsidRDefault="0053684A" w:rsidP="0053684A">
                <w:pPr>
                  <w:rPr>
                    <w:lang w:val="en-IE"/>
                  </w:rPr>
                </w:pPr>
                <w:r w:rsidRPr="0053684A">
                  <w:rPr>
                    <w:lang w:val="en-IE"/>
                  </w:rPr>
                  <w:t>A response where reservations exist. Lacks full credibility/convincing detail, and there is a significant risk that the required services would not be delivered to the necessary standard. </w:t>
                </w:r>
              </w:p>
            </w:tc>
          </w:tr>
          <w:tr w:rsidR="0053684A" w:rsidRPr="0053684A" w14:paraId="74931878" w14:textId="77777777">
            <w:trPr>
              <w:trHeight w:val="60"/>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59E83F" w14:textId="77777777" w:rsidR="0053684A" w:rsidRPr="0053684A" w:rsidRDefault="0053684A" w:rsidP="0053684A">
                <w:pPr>
                  <w:rPr>
                    <w:lang w:val="en-IE"/>
                  </w:rPr>
                </w:pPr>
                <w:r w:rsidRPr="0053684A">
                  <w:rPr>
                    <w:b/>
                    <w:bCs/>
                    <w:lang w:val="en-IE"/>
                  </w:rPr>
                  <w:t>1% to 29%</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2F81CA" w14:textId="77777777" w:rsidR="0053684A" w:rsidRPr="0053684A" w:rsidRDefault="0053684A" w:rsidP="0053684A">
                <w:pPr>
                  <w:rPr>
                    <w:lang w:val="en-IE"/>
                  </w:rPr>
                </w:pPr>
                <w:r w:rsidRPr="0053684A">
                  <w:rPr>
                    <w:lang w:val="en-IE"/>
                  </w:rPr>
                  <w:t xml:space="preserve">A response where serious reservations exist. This may be because, for example, insufficient detail is provided, and the response has fundamental flaws, or is </w:t>
                </w:r>
                <w:r w:rsidRPr="0053684A">
                  <w:rPr>
                    <w:lang w:val="en-IE"/>
                  </w:rPr>
                  <w:lastRenderedPageBreak/>
                  <w:t>seriously inadequate or seriously lacks credibility with a high risk of non-delivery. </w:t>
                </w:r>
              </w:p>
            </w:tc>
          </w:tr>
          <w:tr w:rsidR="0053684A" w:rsidRPr="0053684A" w14:paraId="5C78AD07" w14:textId="77777777">
            <w:trPr>
              <w:trHeight w:val="315"/>
            </w:trPr>
            <w:tc>
              <w:tcPr>
                <w:tcW w:w="11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1E979F" w14:textId="77777777" w:rsidR="0053684A" w:rsidRPr="0053684A" w:rsidRDefault="0053684A" w:rsidP="0053684A">
                <w:pPr>
                  <w:rPr>
                    <w:lang w:val="en-IE"/>
                  </w:rPr>
                </w:pPr>
                <w:r w:rsidRPr="0053684A">
                  <w:rPr>
                    <w:b/>
                    <w:bCs/>
                    <w:lang w:val="en-IE"/>
                  </w:rPr>
                  <w:lastRenderedPageBreak/>
                  <w:t>0%</w:t>
                </w:r>
                <w:r w:rsidRPr="0053684A">
                  <w:rPr>
                    <w:lang w:val="en-IE"/>
                  </w:rPr>
                  <w:t> </w:t>
                </w:r>
              </w:p>
            </w:tc>
            <w:tc>
              <w:tcPr>
                <w:tcW w:w="80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AB9B7C" w14:textId="77777777" w:rsidR="0053684A" w:rsidRPr="0053684A" w:rsidRDefault="0053684A" w:rsidP="0053684A">
                <w:pPr>
                  <w:rPr>
                    <w:lang w:val="en-IE"/>
                  </w:rPr>
                </w:pPr>
                <w:r w:rsidRPr="0053684A">
                  <w:rPr>
                    <w:lang w:val="en-IE"/>
                  </w:rPr>
                  <w:t>Response completely fails to address the criterion under consideration. </w:t>
                </w:r>
              </w:p>
            </w:tc>
          </w:tr>
        </w:tbl>
        <w:p w14:paraId="1C92BC3D" w14:textId="77777777" w:rsidR="0053684A" w:rsidRPr="0053684A" w:rsidRDefault="0053684A" w:rsidP="0053684A">
          <w:pPr>
            <w:rPr>
              <w:lang w:val="en-IE"/>
            </w:rPr>
          </w:pPr>
          <w:r w:rsidRPr="0053684A">
            <w:rPr>
              <w:lang w:val="en-IE"/>
            </w:rPr>
            <w:t> </w:t>
          </w:r>
        </w:p>
        <w:p w14:paraId="444C29B5" w14:textId="77777777" w:rsidR="0053684A" w:rsidRPr="0053684A" w:rsidRDefault="0053684A" w:rsidP="0053684A">
          <w:pPr>
            <w:rPr>
              <w:lang w:val="en-IE"/>
            </w:rPr>
          </w:pPr>
          <w:r w:rsidRPr="0053684A">
            <w:rPr>
              <w:lang w:val="en-IE"/>
            </w:rPr>
            <w:t>Minimum scoring for award criteria is included within this tender. If tenderers fail to meet the minimum score for any of the qualitative criteria (non-cost) they will be deemed unsuitable and disqualified from the competition.  </w:t>
          </w:r>
        </w:p>
        <w:p w14:paraId="38E8CB69" w14:textId="77777777" w:rsidR="0053684A" w:rsidRPr="0053684A" w:rsidRDefault="0053684A" w:rsidP="0053684A">
          <w:pPr>
            <w:rPr>
              <w:lang w:val="en-IE"/>
            </w:rPr>
          </w:pPr>
          <w:r w:rsidRPr="0053684A">
            <w:rPr>
              <w:lang w:val="en-IE"/>
            </w:rPr>
            <w:t> </w:t>
          </w:r>
        </w:p>
        <w:p w14:paraId="55D05FFF" w14:textId="77777777" w:rsidR="0053684A" w:rsidRPr="0053684A" w:rsidRDefault="0053684A" w:rsidP="0053684A">
          <w:pPr>
            <w:rPr>
              <w:lang w:val="en-IE"/>
            </w:rPr>
          </w:pPr>
          <w:r w:rsidRPr="0053684A">
            <w:rPr>
              <w:lang w:val="en-IE"/>
            </w:rPr>
            <w:t>Tenders will be evaluated using the Award Criteria outlined above and will be ranked in order from highest to lowest based on the highest total marks awarded to each Tenderer. The highest ranked Tenderer shall be judged to have submitted the most economically advantageous tender. </w:t>
          </w:r>
        </w:p>
        <w:p w14:paraId="000DA2D5" w14:textId="35FFA635" w:rsidR="00564F8A" w:rsidRDefault="00000000"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 xml:space="preserve">the day on which the Tenderers have been sent a notice informing them of the result of this Competition (“Standstill Period”) if such notice is sent by electronic means.  The Standstill Period shall be sixteen (16) calendar days </w:t>
            </w:r>
            <w:r>
              <w:lastRenderedPageBreak/>
              <w:t>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lastRenderedPageBreak/>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AF0E2CB"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4E5D1F">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Content>
        <w:sdt>
          <w:sdtPr>
            <w:id w:val="1406286"/>
            <w:placeholder>
              <w:docPart w:val="F4792B88E2D344CB88D77BF6152C06F7"/>
            </w:placeholder>
          </w:sdtPr>
          <w:sdtContent>
            <w:p w14:paraId="10637C8A" w14:textId="69AF49B5" w:rsidR="004E5D1F" w:rsidRPr="004E5D1F" w:rsidRDefault="004E5D1F" w:rsidP="004E5D1F">
              <w:pPr>
                <w:rPr>
                  <w:lang w:val="en-IE"/>
                </w:rPr>
              </w:pPr>
            </w:p>
            <w:p w14:paraId="53AD715B" w14:textId="77777777" w:rsidR="004E5D1F" w:rsidRPr="004E5D1F" w:rsidRDefault="004E5D1F" w:rsidP="004E5D1F">
              <w:pPr>
                <w:rPr>
                  <w:lang w:val="en-IE"/>
                </w:rPr>
              </w:pPr>
              <w:r w:rsidRPr="004E5D1F">
                <w:rPr>
                  <w:b/>
                  <w:bCs/>
                  <w:i/>
                  <w:iCs/>
                  <w:lang w:val="en-IE"/>
                </w:rPr>
                <w:t>Background</w:t>
              </w:r>
              <w:r w:rsidRPr="004E5D1F">
                <w:rPr>
                  <w:lang w:val="en-IE"/>
                </w:rPr>
                <w:t> </w:t>
              </w:r>
            </w:p>
            <w:p w14:paraId="3FE284E1" w14:textId="77777777" w:rsidR="004E5D1F" w:rsidRPr="004E5D1F" w:rsidRDefault="004E5D1F" w:rsidP="004E5D1F">
              <w:pPr>
                <w:rPr>
                  <w:lang w:val="en-IE"/>
                </w:rPr>
              </w:pPr>
              <w:r w:rsidRPr="004E5D1F">
                <w:rPr>
                  <w:lang w:val="en-IE"/>
                </w:rPr>
                <w:t>Government has placed competitiveness, digital growth and regional economic development as central pillars of its economic growth strategy, alongside its commitments to the delivery of a decarbonised energy system. The Large Energy-User Action Plan (LEAP), published in January 2026, sets out Government's approach to planning for sustainable new energy-intensive industrial developments through a plan-led approach, including the identification of Green Energy Parks that co-locate energy-intensive development with indigenous renewable energy supply. LEAP sets out 17 enabling actions to deliver this objective, to be progressed on a cross-Government basis. </w:t>
              </w:r>
            </w:p>
            <w:p w14:paraId="701076E4" w14:textId="77777777" w:rsidR="004E5D1F" w:rsidRPr="004E5D1F" w:rsidRDefault="004E5D1F" w:rsidP="004E5D1F">
              <w:pPr>
                <w:rPr>
                  <w:lang w:val="en-IE"/>
                </w:rPr>
              </w:pPr>
              <w:r w:rsidRPr="004E5D1F">
                <w:rPr>
                  <w:lang w:val="en-IE"/>
                </w:rPr>
                <w:t>In parallel, the Chief Technical Advisory (CTA) Section of the Department of Climate, Energy and the Environment (DCEE), working with DCEE's Grid Policy section, is seeking energy planning and policy advisory services to support two related requirements under LEAP: (</w:t>
              </w:r>
              <w:proofErr w:type="spellStart"/>
              <w:r w:rsidRPr="004E5D1F">
                <w:rPr>
                  <w:lang w:val="en-IE"/>
                </w:rPr>
                <w:t>i</w:t>
              </w:r>
              <w:proofErr w:type="spellEnd"/>
              <w:r w:rsidRPr="004E5D1F">
                <w:rPr>
                  <w:lang w:val="en-IE"/>
                </w:rPr>
                <w:t>) the core requirement set out in LEAP Action 7 in relation to plan-led LEU development - specifically how, and where, such development should be located; and (ii) consideration of policy options for broader plan-led energy system design under LEAP Action 2, including approaches comparable to models used in other jurisdictions (for example Great Britain's Strategic Spatial Energy Plan) or other appropriate options. </w:t>
              </w:r>
            </w:p>
            <w:p w14:paraId="42ADE9C9" w14:textId="77777777" w:rsidR="004E5D1F" w:rsidRPr="004E5D1F" w:rsidRDefault="004E5D1F" w:rsidP="004E5D1F">
              <w:pPr>
                <w:rPr>
                  <w:lang w:val="en-IE"/>
                </w:rPr>
              </w:pPr>
              <w:r w:rsidRPr="004E5D1F">
                <w:rPr>
                  <w:b/>
                  <w:bCs/>
                  <w:i/>
                  <w:iCs/>
                  <w:lang w:val="en-IE"/>
                </w:rPr>
                <w:t>Scope of Work:</w:t>
              </w:r>
              <w:r w:rsidRPr="004E5D1F">
                <w:rPr>
                  <w:lang w:val="en-IE"/>
                </w:rPr>
                <w:t> </w:t>
              </w:r>
            </w:p>
            <w:p w14:paraId="24EE9FA9" w14:textId="77777777" w:rsidR="004E5D1F" w:rsidRPr="004E5D1F" w:rsidRDefault="004E5D1F" w:rsidP="004E5D1F">
              <w:pPr>
                <w:rPr>
                  <w:lang w:val="en-IE"/>
                </w:rPr>
              </w:pPr>
              <w:r w:rsidRPr="004E5D1F">
                <w:rPr>
                  <w:lang w:val="en-IE"/>
                </w:rPr>
                <w:t xml:space="preserve">The scope of work is being led by the Chief Technical Advisory Section in the Department of Climate, Energy and the Environment, in conjunction with Grid Policy section, and with support from key policy areas across the Department, the system operators and including the Department of Enterprise, Tourism and Employment (DETE), where relevant. The objective is to carry out </w:t>
              </w:r>
              <w:proofErr w:type="spellStart"/>
              <w:r w:rsidRPr="004E5D1F">
                <w:rPr>
                  <w:lang w:val="en-IE"/>
                </w:rPr>
                <w:t>i</w:t>
              </w:r>
              <w:proofErr w:type="spellEnd"/>
              <w:r w:rsidRPr="004E5D1F">
                <w:rPr>
                  <w:lang w:val="en-IE"/>
                </w:rPr>
                <w:t>) locational and policy advisory services in respect of LEAP Action 7, and ii) policy development services in respect of LEAP Action 2, on the following key tasks: </w:t>
              </w:r>
            </w:p>
            <w:p w14:paraId="716FCF7D" w14:textId="77777777" w:rsidR="004E5D1F" w:rsidRPr="004E5D1F" w:rsidRDefault="004E5D1F" w:rsidP="004E5D1F">
              <w:pPr>
                <w:numPr>
                  <w:ilvl w:val="0"/>
                  <w:numId w:val="24"/>
                </w:numPr>
                <w:rPr>
                  <w:lang w:val="en-IE"/>
                </w:rPr>
              </w:pPr>
              <w:r w:rsidRPr="004E5D1F">
                <w:rPr>
                  <w:b/>
                  <w:bCs/>
                  <w:lang w:val="en-IE"/>
                </w:rPr>
                <w:t>Develop Agreed Methodology for Completion of LEAP Action 7</w:t>
              </w:r>
              <w:r w:rsidRPr="004E5D1F">
                <w:rPr>
                  <w:lang w:val="en-IE"/>
                </w:rPr>
                <w:t> </w:t>
              </w:r>
            </w:p>
            <w:p w14:paraId="6977D7FB" w14:textId="77777777" w:rsidR="004E5D1F" w:rsidRPr="004E5D1F" w:rsidRDefault="004E5D1F" w:rsidP="004E5D1F">
              <w:pPr>
                <w:numPr>
                  <w:ilvl w:val="0"/>
                  <w:numId w:val="25"/>
                </w:numPr>
                <w:rPr>
                  <w:lang w:val="en-IE"/>
                </w:rPr>
              </w:pPr>
              <w:r w:rsidRPr="004E5D1F">
                <w:rPr>
                  <w:lang w:val="en-IE"/>
                </w:rPr>
                <w:t>Work with DCEE, DETE and other relevant departments to set out a proposed instruction to EirGrid to complete a capacity expansion and locational assessment of LEU sites in line with LEAP Action 7. </w:t>
              </w:r>
            </w:p>
            <w:p w14:paraId="35A5B5D7" w14:textId="77777777" w:rsidR="004E5D1F" w:rsidRPr="004E5D1F" w:rsidRDefault="004E5D1F" w:rsidP="004E5D1F">
              <w:pPr>
                <w:numPr>
                  <w:ilvl w:val="0"/>
                  <w:numId w:val="26"/>
                </w:numPr>
                <w:rPr>
                  <w:lang w:val="en-IE"/>
                </w:rPr>
              </w:pPr>
              <w:r w:rsidRPr="004E5D1F">
                <w:rPr>
                  <w:lang w:val="en-IE"/>
                </w:rPr>
                <w:t>Complete a high-level impact assessment of the existing consenting and planning environment (including the new Planning Act) and how LEAP's locational options can be evaluated within it. </w:t>
              </w:r>
            </w:p>
            <w:p w14:paraId="313DC409" w14:textId="77777777" w:rsidR="004E5D1F" w:rsidRPr="004E5D1F" w:rsidRDefault="004E5D1F" w:rsidP="004E5D1F">
              <w:pPr>
                <w:numPr>
                  <w:ilvl w:val="0"/>
                  <w:numId w:val="27"/>
                </w:numPr>
                <w:rPr>
                  <w:lang w:val="en-IE"/>
                </w:rPr>
              </w:pPr>
              <w:r w:rsidRPr="004E5D1F">
                <w:rPr>
                  <w:lang w:val="en-IE"/>
                </w:rPr>
                <w:t>Present criteria and an approach to test comparative LEAP Energy Park options for consideration. </w:t>
              </w:r>
            </w:p>
            <w:p w14:paraId="29965953" w14:textId="77777777" w:rsidR="004E5D1F" w:rsidRPr="004E5D1F" w:rsidRDefault="004E5D1F" w:rsidP="004E5D1F">
              <w:pPr>
                <w:numPr>
                  <w:ilvl w:val="0"/>
                  <w:numId w:val="28"/>
                </w:numPr>
                <w:rPr>
                  <w:lang w:val="en-IE"/>
                </w:rPr>
              </w:pPr>
              <w:r w:rsidRPr="004E5D1F">
                <w:rPr>
                  <w:lang w:val="en-IE"/>
                </w:rPr>
                <w:t>Develop decision-making options on preferred locations. </w:t>
              </w:r>
            </w:p>
            <w:p w14:paraId="07ED86A5" w14:textId="77777777" w:rsidR="004E5D1F" w:rsidRPr="004E5D1F" w:rsidRDefault="004E5D1F" w:rsidP="004E5D1F">
              <w:pPr>
                <w:numPr>
                  <w:ilvl w:val="0"/>
                  <w:numId w:val="29"/>
                </w:numPr>
                <w:rPr>
                  <w:lang w:val="en-IE"/>
                </w:rPr>
              </w:pPr>
              <w:r w:rsidRPr="004E5D1F">
                <w:rPr>
                  <w:lang w:val="en-IE"/>
                </w:rPr>
                <w:lastRenderedPageBreak/>
                <w:t>Revisit the locational assessment methodology and approach used by DETE in identifying plan-led sites; benchmark this against international best practice in plan-led energy park design. </w:t>
              </w:r>
            </w:p>
            <w:p w14:paraId="3E5311FA" w14:textId="77777777" w:rsidR="004E5D1F" w:rsidRPr="004E5D1F" w:rsidRDefault="004E5D1F" w:rsidP="004E5D1F">
              <w:pPr>
                <w:numPr>
                  <w:ilvl w:val="0"/>
                  <w:numId w:val="30"/>
                </w:numPr>
                <w:rPr>
                  <w:lang w:val="en-IE"/>
                </w:rPr>
              </w:pPr>
              <w:r w:rsidRPr="004E5D1F">
                <w:rPr>
                  <w:lang w:val="en-IE"/>
                </w:rPr>
                <w:t>The consultant will meet with relevant Government Departments and agencies as required to fulfil the scope of this task. </w:t>
              </w:r>
            </w:p>
            <w:p w14:paraId="13E579D7" w14:textId="77777777" w:rsidR="004E5D1F" w:rsidRDefault="004E5D1F" w:rsidP="004E5D1F">
              <w:pPr>
                <w:numPr>
                  <w:ilvl w:val="0"/>
                  <w:numId w:val="31"/>
                </w:numPr>
              </w:pPr>
              <w:r w:rsidRPr="004E5D1F">
                <w:rPr>
                  <w:lang w:val="en-IE"/>
                </w:rPr>
                <w:t>Review relevant outputs produced in support of Action 7 and consider how these may inform the wider Action 7 and Action 2 work</w:t>
              </w:r>
              <w:r w:rsidRPr="004E5D1F">
                <w:t> </w:t>
              </w:r>
            </w:p>
            <w:p w14:paraId="5201A8A3" w14:textId="77777777" w:rsidR="004E5D1F" w:rsidRDefault="004E5D1F" w:rsidP="004E5D1F"/>
            <w:p w14:paraId="176E7A45" w14:textId="77777777" w:rsidR="004E5D1F" w:rsidRPr="004E5D1F" w:rsidRDefault="004E5D1F" w:rsidP="004E5D1F">
              <w:pPr>
                <w:numPr>
                  <w:ilvl w:val="0"/>
                  <w:numId w:val="32"/>
                </w:numPr>
                <w:rPr>
                  <w:lang w:val="en-IE"/>
                </w:rPr>
              </w:pPr>
              <w:r w:rsidRPr="004E5D1F">
                <w:rPr>
                  <w:b/>
                  <w:bCs/>
                  <w:lang w:val="en-IE"/>
                </w:rPr>
                <w:t>LEAP Action 2: Policy Roadmap and Options for Plan-Led Developments</w:t>
              </w:r>
              <w:r w:rsidRPr="004E5D1F">
                <w:rPr>
                  <w:lang w:val="en-IE"/>
                </w:rPr>
                <w:t> </w:t>
              </w:r>
            </w:p>
            <w:p w14:paraId="04555BDF" w14:textId="77777777" w:rsidR="004E5D1F" w:rsidRPr="004E5D1F" w:rsidRDefault="004E5D1F" w:rsidP="004E5D1F">
              <w:pPr>
                <w:numPr>
                  <w:ilvl w:val="0"/>
                  <w:numId w:val="33"/>
                </w:numPr>
                <w:rPr>
                  <w:lang w:val="en-IE"/>
                </w:rPr>
              </w:pPr>
              <w:r w:rsidRPr="004E5D1F">
                <w:rPr>
                  <w:lang w:val="en-IE"/>
                </w:rPr>
                <w:t>Develop a policy framework to address sustainable integrated plan-led energy development beyond Large Energy Users, including assessment of existing mechanisms (e.g. National Planning Statements) and new options (e.g. market signals, or plan-led rather than developer-led auctions). </w:t>
              </w:r>
            </w:p>
            <w:p w14:paraId="59B23355" w14:textId="77777777" w:rsidR="004E5D1F" w:rsidRPr="004E5D1F" w:rsidRDefault="004E5D1F" w:rsidP="004E5D1F">
              <w:pPr>
                <w:numPr>
                  <w:ilvl w:val="0"/>
                  <w:numId w:val="34"/>
                </w:numPr>
                <w:rPr>
                  <w:lang w:val="en-IE"/>
                </w:rPr>
              </w:pPr>
              <w:r w:rsidRPr="004E5D1F">
                <w:rPr>
                  <w:lang w:val="en-IE"/>
                </w:rPr>
                <w:t>Set out recommendations on the broader principles that should underpin a plan-led approach to integrated energy system design, and how locations for plan-led development should be decided. </w:t>
              </w:r>
            </w:p>
            <w:p w14:paraId="24681BFF" w14:textId="77777777" w:rsidR="004E5D1F" w:rsidRPr="004E5D1F" w:rsidRDefault="004E5D1F" w:rsidP="004E5D1F">
              <w:pPr>
                <w:numPr>
                  <w:ilvl w:val="0"/>
                  <w:numId w:val="35"/>
                </w:numPr>
                <w:rPr>
                  <w:lang w:val="en-IE"/>
                </w:rPr>
              </w:pPr>
              <w:r w:rsidRPr="004E5D1F">
                <w:rPr>
                  <w:lang w:val="en-IE"/>
                </w:rPr>
                <w:t>Prepare a recommendations paper for consideration by DCEE. </w:t>
              </w:r>
            </w:p>
            <w:p w14:paraId="4906D07D" w14:textId="77777777" w:rsidR="004E5D1F" w:rsidRPr="004E5D1F" w:rsidRDefault="004E5D1F" w:rsidP="004E5D1F">
              <w:pPr>
                <w:numPr>
                  <w:ilvl w:val="0"/>
                  <w:numId w:val="36"/>
                </w:numPr>
                <w:rPr>
                  <w:lang w:val="en-IE"/>
                </w:rPr>
              </w:pPr>
              <w:r w:rsidRPr="004E5D1F">
                <w:rPr>
                  <w:lang w:val="en-IE"/>
                </w:rPr>
                <w:t>Collaborative engagement with EirGrid to test emerging findings against EirGrid's own network planning perspective. </w:t>
              </w:r>
            </w:p>
            <w:p w14:paraId="257936DC" w14:textId="77777777" w:rsidR="004E5D1F" w:rsidRPr="004E5D1F" w:rsidRDefault="004E5D1F" w:rsidP="004E5D1F">
              <w:pPr>
                <w:numPr>
                  <w:ilvl w:val="0"/>
                  <w:numId w:val="37"/>
                </w:numPr>
              </w:pPr>
              <w:r w:rsidRPr="004E5D1F">
                <w:rPr>
                  <w:lang w:val="en-IE"/>
                </w:rPr>
                <w:t>In developing the Action 2 policy framework, consider the findings and relevant modelling outputs arising from Action 7, including any wider implications for the development of plan led developments.</w:t>
              </w:r>
              <w:r w:rsidRPr="004E5D1F">
                <w:t> </w:t>
              </w:r>
            </w:p>
            <w:p w14:paraId="363A5B88" w14:textId="77777777" w:rsidR="004E5D1F" w:rsidRPr="004E5D1F" w:rsidRDefault="004E5D1F" w:rsidP="004E5D1F">
              <w:pPr>
                <w:numPr>
                  <w:ilvl w:val="0"/>
                  <w:numId w:val="38"/>
                </w:numPr>
                <w:rPr>
                  <w:lang w:val="en-IE"/>
                </w:rPr>
              </w:pPr>
              <w:r w:rsidRPr="004E5D1F">
                <w:rPr>
                  <w:b/>
                  <w:bCs/>
                  <w:lang w:val="en-IE"/>
                </w:rPr>
                <w:t>Strategy White Paper Support [subject to confirmation]</w:t>
              </w:r>
              <w:r w:rsidRPr="004E5D1F">
                <w:rPr>
                  <w:lang w:val="en-IE"/>
                </w:rPr>
                <w:t> </w:t>
              </w:r>
            </w:p>
            <w:p w14:paraId="77D6406D" w14:textId="77777777" w:rsidR="004E5D1F" w:rsidRPr="004E5D1F" w:rsidRDefault="004E5D1F" w:rsidP="004E5D1F">
              <w:pPr>
                <w:numPr>
                  <w:ilvl w:val="0"/>
                  <w:numId w:val="39"/>
                </w:numPr>
                <w:rPr>
                  <w:lang w:val="en-IE"/>
                </w:rPr>
              </w:pPr>
              <w:r w:rsidRPr="004E5D1F">
                <w:rPr>
                  <w:lang w:val="en-IE"/>
                </w:rPr>
                <w:t>Provision of supporting services, to a maximum of 20 days, to support integration of the analysis under this RFQ into the recently proposed Power Sector White Paper.  </w:t>
              </w:r>
            </w:p>
            <w:p w14:paraId="7172957F" w14:textId="77777777" w:rsidR="004E5D1F" w:rsidRPr="004E5D1F" w:rsidRDefault="004E5D1F" w:rsidP="004E5D1F">
              <w:pPr>
                <w:rPr>
                  <w:lang w:val="en-IE"/>
                </w:rPr>
              </w:pPr>
              <w:r w:rsidRPr="004E5D1F">
                <w:rPr>
                  <w:lang w:val="en-IE"/>
                </w:rPr>
                <w:t> </w:t>
              </w:r>
            </w:p>
            <w:p w14:paraId="53DE2BBC" w14:textId="77777777" w:rsidR="004E5D1F" w:rsidRPr="004E5D1F" w:rsidRDefault="004E5D1F" w:rsidP="004E5D1F">
              <w:pPr>
                <w:rPr>
                  <w:lang w:val="en-IE"/>
                </w:rPr>
              </w:pPr>
              <w:r w:rsidRPr="004E5D1F">
                <w:rPr>
                  <w:b/>
                  <w:bCs/>
                  <w:i/>
                  <w:iCs/>
                  <w:lang w:val="en-IE"/>
                </w:rPr>
                <w:t>Key Objectives:</w:t>
              </w:r>
              <w:r w:rsidRPr="004E5D1F">
                <w:rPr>
                  <w:lang w:val="en-IE"/>
                </w:rPr>
                <w:t> </w:t>
              </w:r>
            </w:p>
            <w:p w14:paraId="0D40BC38" w14:textId="77777777" w:rsidR="004E5D1F" w:rsidRPr="004E5D1F" w:rsidRDefault="004E5D1F" w:rsidP="004E5D1F">
              <w:pPr>
                <w:numPr>
                  <w:ilvl w:val="0"/>
                  <w:numId w:val="40"/>
                </w:numPr>
                <w:rPr>
                  <w:lang w:val="en-IE"/>
                </w:rPr>
              </w:pPr>
              <w:r w:rsidRPr="004E5D1F">
                <w:rPr>
                  <w:lang w:val="en-IE"/>
                </w:rPr>
                <w:t>The consultant will work with DCEE and relevant agencies to agree a methodology for LEAP Action 7 and a policy framework for LEAP Action 2. </w:t>
              </w:r>
            </w:p>
            <w:p w14:paraId="0781598F" w14:textId="77777777" w:rsidR="004E5D1F" w:rsidRPr="004E5D1F" w:rsidRDefault="004E5D1F" w:rsidP="004E5D1F">
              <w:pPr>
                <w:numPr>
                  <w:ilvl w:val="0"/>
                  <w:numId w:val="41"/>
                </w:numPr>
                <w:rPr>
                  <w:lang w:val="en-IE"/>
                </w:rPr>
              </w:pPr>
              <w:r w:rsidRPr="004E5D1F">
                <w:rPr>
                  <w:lang w:val="en-IE"/>
                </w:rPr>
                <w:t>The consultant will then: </w:t>
              </w:r>
            </w:p>
            <w:p w14:paraId="085572AF" w14:textId="77777777" w:rsidR="004E5D1F" w:rsidRPr="004E5D1F" w:rsidRDefault="004E5D1F" w:rsidP="004E5D1F">
              <w:pPr>
                <w:numPr>
                  <w:ilvl w:val="0"/>
                  <w:numId w:val="42"/>
                </w:numPr>
                <w:rPr>
                  <w:lang w:val="en-IE"/>
                </w:rPr>
              </w:pPr>
              <w:r w:rsidRPr="004E5D1F">
                <w:rPr>
                  <w:lang w:val="en-IE"/>
                </w:rPr>
                <w:t>provide a methodology to complete the locational and capacity expansion assessment for LEU sites under Action 7; </w:t>
              </w:r>
            </w:p>
            <w:p w14:paraId="511D4BBC" w14:textId="77777777" w:rsidR="004E5D1F" w:rsidRPr="004E5D1F" w:rsidRDefault="004E5D1F" w:rsidP="004E5D1F">
              <w:pPr>
                <w:numPr>
                  <w:ilvl w:val="0"/>
                  <w:numId w:val="43"/>
                </w:numPr>
                <w:rPr>
                  <w:lang w:val="en-IE"/>
                </w:rPr>
              </w:pPr>
              <w:r w:rsidRPr="004E5D1F">
                <w:rPr>
                  <w:lang w:val="en-IE"/>
                </w:rPr>
                <w:t>support engagement with EirGrid, GNI and other agencies who will complete supporting capacity expansion studies.  </w:t>
              </w:r>
            </w:p>
            <w:p w14:paraId="6BEF52EC" w14:textId="77777777" w:rsidR="004E5D1F" w:rsidRPr="004E5D1F" w:rsidRDefault="004E5D1F" w:rsidP="004E5D1F">
              <w:pPr>
                <w:numPr>
                  <w:ilvl w:val="0"/>
                  <w:numId w:val="44"/>
                </w:numPr>
                <w:rPr>
                  <w:lang w:val="en-IE"/>
                </w:rPr>
              </w:pPr>
              <w:r w:rsidRPr="004E5D1F">
                <w:rPr>
                  <w:lang w:val="en-IE"/>
                </w:rPr>
                <w:t>prepare a decision-making framework and options assessment of preferred locations; </w:t>
              </w:r>
            </w:p>
            <w:p w14:paraId="574D0997" w14:textId="77777777" w:rsidR="004E5D1F" w:rsidRPr="004E5D1F" w:rsidRDefault="004E5D1F" w:rsidP="004E5D1F">
              <w:pPr>
                <w:numPr>
                  <w:ilvl w:val="0"/>
                  <w:numId w:val="45"/>
                </w:numPr>
                <w:rPr>
                  <w:lang w:val="en-IE"/>
                </w:rPr>
              </w:pPr>
              <w:r w:rsidRPr="004E5D1F">
                <w:rPr>
                  <w:lang w:val="en-IE"/>
                </w:rPr>
                <w:t>develop the Action 2 policy framework and options paper for plan-led development beyond LEUs; </w:t>
              </w:r>
            </w:p>
            <w:p w14:paraId="4175C863" w14:textId="77777777" w:rsidR="004E5D1F" w:rsidRPr="004E5D1F" w:rsidRDefault="004E5D1F" w:rsidP="004E5D1F">
              <w:pPr>
                <w:numPr>
                  <w:ilvl w:val="0"/>
                  <w:numId w:val="46"/>
                </w:numPr>
                <w:rPr>
                  <w:lang w:val="en-IE"/>
                </w:rPr>
              </w:pPr>
              <w:r w:rsidRPr="004E5D1F">
                <w:rPr>
                  <w:lang w:val="en-IE"/>
                </w:rPr>
                <w:t>prepare a recommendations paper covering both Actions. </w:t>
              </w:r>
            </w:p>
            <w:p w14:paraId="5E955255" w14:textId="77777777" w:rsidR="004E5D1F" w:rsidRPr="004E5D1F" w:rsidRDefault="004E5D1F" w:rsidP="004E5D1F">
              <w:pPr>
                <w:numPr>
                  <w:ilvl w:val="0"/>
                  <w:numId w:val="47"/>
                </w:numPr>
                <w:rPr>
                  <w:lang w:val="en-IE"/>
                </w:rPr>
              </w:pPr>
              <w:r w:rsidRPr="004E5D1F">
                <w:rPr>
                  <w:lang w:val="en-IE"/>
                </w:rPr>
                <w:lastRenderedPageBreak/>
                <w:t>Work with DCEE, the System Operators and other key stakeholders, as required, to support delivery of both Actions. </w:t>
              </w:r>
            </w:p>
            <w:p w14:paraId="218474F3" w14:textId="77777777" w:rsidR="004E5D1F" w:rsidRPr="004E5D1F" w:rsidRDefault="004E5D1F" w:rsidP="004E5D1F">
              <w:pPr>
                <w:numPr>
                  <w:ilvl w:val="0"/>
                  <w:numId w:val="48"/>
                </w:numPr>
                <w:rPr>
                  <w:lang w:val="en-IE"/>
                </w:rPr>
              </w:pPr>
              <w:r w:rsidRPr="004E5D1F">
                <w:rPr>
                  <w:lang w:val="en-IE"/>
                </w:rPr>
                <w:t>Provide supporting services to the Department's energy Strategy White Paper, where confirmed as in scope. </w:t>
              </w:r>
            </w:p>
            <w:p w14:paraId="71876198" w14:textId="77777777" w:rsidR="004E5D1F" w:rsidRPr="004E5D1F" w:rsidRDefault="004E5D1F" w:rsidP="004E5D1F">
              <w:pPr>
                <w:rPr>
                  <w:lang w:val="en-IE"/>
                </w:rPr>
              </w:pPr>
              <w:r w:rsidRPr="004E5D1F">
                <w:rPr>
                  <w:lang w:val="en-IE"/>
                </w:rPr>
                <w:t> </w:t>
              </w:r>
            </w:p>
            <w:p w14:paraId="71B803D2" w14:textId="77777777" w:rsidR="004E5D1F" w:rsidRPr="004E5D1F" w:rsidRDefault="004E5D1F" w:rsidP="004E5D1F">
              <w:pPr>
                <w:rPr>
                  <w:lang w:val="en-IE"/>
                </w:rPr>
              </w:pPr>
              <w:r w:rsidRPr="004E5D1F">
                <w:rPr>
                  <w:b/>
                  <w:bCs/>
                  <w:i/>
                  <w:iCs/>
                  <w:lang w:val="en-IE"/>
                </w:rPr>
                <w:t>              Timelines:</w:t>
              </w:r>
              <w:r w:rsidRPr="004E5D1F">
                <w:rPr>
                  <w:lang w:val="en-IE"/>
                </w:rPr>
                <w:t> </w:t>
              </w:r>
            </w:p>
            <w:p w14:paraId="70F7527D" w14:textId="5F55D19F" w:rsidR="004E5D1F" w:rsidRPr="004E5D1F" w:rsidRDefault="004E5D1F" w:rsidP="004E5D1F">
              <w:pPr>
                <w:numPr>
                  <w:ilvl w:val="0"/>
                  <w:numId w:val="50"/>
                </w:numPr>
                <w:rPr>
                  <w:lang w:val="en-IE"/>
                </w:rPr>
              </w:pPr>
              <w:r w:rsidRPr="004E5D1F">
                <w:rPr>
                  <w:lang w:val="en-IE"/>
                </w:rPr>
                <w:t>Project Kick Off Meeting - October </w:t>
              </w:r>
              <w:r w:rsidR="008D4B5B">
                <w:rPr>
                  <w:lang w:val="en-IE"/>
                </w:rPr>
                <w:t>2026</w:t>
              </w:r>
            </w:p>
            <w:p w14:paraId="5B2479D9" w14:textId="77777777" w:rsidR="004E5D1F" w:rsidRPr="004E5D1F" w:rsidRDefault="004E5D1F" w:rsidP="004E5D1F">
              <w:pPr>
                <w:numPr>
                  <w:ilvl w:val="0"/>
                  <w:numId w:val="51"/>
                </w:numPr>
                <w:rPr>
                  <w:lang w:val="en-IE"/>
                </w:rPr>
              </w:pPr>
              <w:r w:rsidRPr="004E5D1F">
                <w:rPr>
                  <w:lang w:val="en-IE"/>
                </w:rPr>
                <w:t>LEAP Action 7 methodology and locational criteria - Q4 2026 </w:t>
              </w:r>
            </w:p>
            <w:p w14:paraId="21635E2A" w14:textId="77777777" w:rsidR="004E5D1F" w:rsidRPr="004E5D1F" w:rsidRDefault="004E5D1F" w:rsidP="004E5D1F">
              <w:pPr>
                <w:numPr>
                  <w:ilvl w:val="0"/>
                  <w:numId w:val="52"/>
                </w:numPr>
                <w:rPr>
                  <w:lang w:val="en-IE"/>
                </w:rPr>
              </w:pPr>
              <w:r w:rsidRPr="004E5D1F">
                <w:rPr>
                  <w:lang w:val="en-IE"/>
                </w:rPr>
                <w:t>Collaborative engagement with EirGrid - Q4 2026 </w:t>
              </w:r>
            </w:p>
            <w:p w14:paraId="7C202D0C" w14:textId="412CF69F" w:rsidR="004E5D1F" w:rsidRPr="004E5D1F" w:rsidRDefault="004E5D1F" w:rsidP="004E5D1F">
              <w:pPr>
                <w:numPr>
                  <w:ilvl w:val="0"/>
                  <w:numId w:val="53"/>
                </w:numPr>
                <w:rPr>
                  <w:lang w:val="en-IE"/>
                </w:rPr>
              </w:pPr>
              <w:r w:rsidRPr="004E5D1F">
                <w:rPr>
                  <w:lang w:val="en-IE"/>
                </w:rPr>
                <w:t xml:space="preserve">LEAP Action 2 policy framework and recommendations paper </w:t>
              </w:r>
              <w:r w:rsidR="0080030A">
                <w:rPr>
                  <w:lang w:val="en-IE"/>
                </w:rPr>
                <w:t>–</w:t>
              </w:r>
              <w:r w:rsidRPr="004E5D1F">
                <w:rPr>
                  <w:lang w:val="en-IE"/>
                </w:rPr>
                <w:t xml:space="preserve"> </w:t>
              </w:r>
              <w:r w:rsidR="0080030A">
                <w:rPr>
                  <w:lang w:val="en-IE"/>
                </w:rPr>
                <w:t xml:space="preserve">start </w:t>
              </w:r>
              <w:r w:rsidRPr="004E5D1F">
                <w:rPr>
                  <w:lang w:val="en-IE"/>
                </w:rPr>
                <w:t>Q1 2027 </w:t>
              </w:r>
            </w:p>
            <w:p w14:paraId="796D239C" w14:textId="37382148" w:rsidR="004E5D1F" w:rsidRPr="004E5D1F" w:rsidRDefault="004E5D1F" w:rsidP="004E5D1F">
              <w:pPr>
                <w:numPr>
                  <w:ilvl w:val="0"/>
                  <w:numId w:val="54"/>
                </w:numPr>
                <w:rPr>
                  <w:lang w:val="en-IE"/>
                </w:rPr>
              </w:pPr>
              <w:r w:rsidRPr="004E5D1F">
                <w:rPr>
                  <w:lang w:val="en-IE"/>
                </w:rPr>
                <w:t xml:space="preserve">Final report and recommendations </w:t>
              </w:r>
              <w:r w:rsidR="008D4B5B">
                <w:rPr>
                  <w:lang w:val="en-IE"/>
                </w:rPr>
                <w:t>–</w:t>
              </w:r>
              <w:r w:rsidRPr="004E5D1F">
                <w:rPr>
                  <w:lang w:val="en-IE"/>
                </w:rPr>
                <w:t xml:space="preserve"> </w:t>
              </w:r>
              <w:r w:rsidR="0080030A">
                <w:rPr>
                  <w:lang w:val="en-IE"/>
                </w:rPr>
                <w:t xml:space="preserve">end </w:t>
              </w:r>
              <w:r w:rsidR="008D4B5B">
                <w:rPr>
                  <w:lang w:val="en-IE"/>
                </w:rPr>
                <w:t>Q1 2027</w:t>
              </w:r>
              <w:r w:rsidRPr="004E5D1F">
                <w:rPr>
                  <w:lang w:val="en-IE"/>
                </w:rPr>
                <w:t> </w:t>
              </w:r>
            </w:p>
            <w:p w14:paraId="6AFC1A6B" w14:textId="77777777" w:rsidR="004E5D1F" w:rsidRPr="004E5D1F" w:rsidRDefault="004E5D1F" w:rsidP="004E5D1F">
              <w:pPr>
                <w:rPr>
                  <w:lang w:val="en-IE"/>
                </w:rPr>
              </w:pPr>
              <w:r w:rsidRPr="004E5D1F">
                <w:rPr>
                  <w:lang w:val="en-IE"/>
                </w:rPr>
                <w:t> </w:t>
              </w:r>
            </w:p>
            <w:p w14:paraId="6BCCA3A1" w14:textId="77777777" w:rsidR="004E5D1F" w:rsidRPr="004E5D1F" w:rsidRDefault="004E5D1F" w:rsidP="004E5D1F">
              <w:pPr>
                <w:rPr>
                  <w:lang w:val="en-IE"/>
                </w:rPr>
              </w:pPr>
              <w:r w:rsidRPr="004E5D1F">
                <w:rPr>
                  <w:lang w:val="en-IE"/>
                </w:rPr>
                <w:t> </w:t>
              </w:r>
            </w:p>
            <w:p w14:paraId="24AE4137" w14:textId="77777777" w:rsidR="004E5D1F" w:rsidRPr="004E5D1F" w:rsidRDefault="004E5D1F" w:rsidP="004E5D1F">
              <w:pPr>
                <w:rPr>
                  <w:lang w:val="en-IE"/>
                </w:rPr>
              </w:pPr>
              <w:r w:rsidRPr="004E5D1F">
                <w:rPr>
                  <w:lang w:val="en-IE"/>
                </w:rPr>
                <w:t>Tenderers are asked to quote as per nature of services outlined in Appendix 1.  </w:t>
              </w:r>
            </w:p>
            <w:p w14:paraId="3EF4D1CA" w14:textId="77777777" w:rsidR="004E5D1F" w:rsidRPr="004E5D1F" w:rsidRDefault="004E5D1F" w:rsidP="004E5D1F">
              <w:pPr>
                <w:rPr>
                  <w:lang w:val="en-IE"/>
                </w:rPr>
              </w:pPr>
            </w:p>
            <w:p w14:paraId="18B9C077" w14:textId="657FF4A9" w:rsidR="00B1490E" w:rsidRPr="00310EDC" w:rsidRDefault="00000000"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Content>
            <w:p w14:paraId="299F2C08" w14:textId="77777777" w:rsidR="002143F2" w:rsidRDefault="002143F2" w:rsidP="00CC7906">
              <w:r>
                <w:t>Tenderers are required to provide a fixed total price for delivery of the core services specified in Appendix 1, together with a daily rate for any optional additional advisory services commissioned by the contracting authority. All prices must be inclusive of all costs and expenses and expressed in euro, exclusive of vat.</w:t>
              </w:r>
            </w:p>
            <w:p w14:paraId="6ABDD45B" w14:textId="77777777" w:rsidR="00E2143C" w:rsidRDefault="00E2143C" w:rsidP="00CC7906"/>
            <w:tbl>
              <w:tblPr>
                <w:tblStyle w:val="TableGrid"/>
                <w:tblW w:w="0" w:type="auto"/>
                <w:jc w:val="center"/>
                <w:tblLook w:val="04A0" w:firstRow="1" w:lastRow="0" w:firstColumn="1" w:lastColumn="0" w:noHBand="0" w:noVBand="1"/>
              </w:tblPr>
              <w:tblGrid>
                <w:gridCol w:w="6902"/>
                <w:gridCol w:w="2159"/>
              </w:tblGrid>
              <w:tr w:rsidR="00E2143C" w14:paraId="723B6A24" w14:textId="77777777" w:rsidTr="00B02169">
                <w:trPr>
                  <w:jc w:val="center"/>
                </w:trPr>
                <w:tc>
                  <w:tcPr>
                    <w:tcW w:w="6902" w:type="dxa"/>
                  </w:tcPr>
                  <w:p w14:paraId="12F1B922" w14:textId="77777777" w:rsidR="00E2143C" w:rsidRDefault="00E2143C" w:rsidP="0034527A">
                    <w:r>
                      <w:rPr>
                        <w:b/>
                      </w:rPr>
                      <w:t>Pricing item</w:t>
                    </w:r>
                  </w:p>
                </w:tc>
                <w:tc>
                  <w:tcPr>
                    <w:tcW w:w="2159" w:type="dxa"/>
                  </w:tcPr>
                  <w:p w14:paraId="5E580818" w14:textId="77777777" w:rsidR="00E2143C" w:rsidRDefault="00E2143C" w:rsidP="0034527A">
                    <w:r>
                      <w:rPr>
                        <w:b/>
                      </w:rPr>
                      <w:t>Tenderer to complete</w:t>
                    </w:r>
                  </w:p>
                </w:tc>
              </w:tr>
              <w:tr w:rsidR="00E2143C" w14:paraId="75F9A262" w14:textId="77777777" w:rsidTr="00B02169">
                <w:trPr>
                  <w:jc w:val="center"/>
                </w:trPr>
                <w:tc>
                  <w:tcPr>
                    <w:tcW w:w="6902" w:type="dxa"/>
                    <w:vAlign w:val="center"/>
                  </w:tcPr>
                  <w:p w14:paraId="5B6449B5" w14:textId="77777777" w:rsidR="00E2143C" w:rsidRDefault="00E2143C" w:rsidP="0034527A">
                    <w:r>
                      <w:t>Fixed price for delivery of the core Services under Appendix 1 – LEAP Actions 2 and 7</w:t>
                    </w:r>
                    <w:r w:rsidR="0080030A">
                      <w:t>.</w:t>
                    </w:r>
                  </w:p>
                  <w:p w14:paraId="6C63D6B8" w14:textId="4CAF3F3F" w:rsidR="0080030A" w:rsidRDefault="0080030A" w:rsidP="0034527A"/>
                </w:tc>
                <w:tc>
                  <w:tcPr>
                    <w:tcW w:w="2159" w:type="dxa"/>
                    <w:vAlign w:val="center"/>
                  </w:tcPr>
                  <w:p w14:paraId="4D31438F" w14:textId="77777777" w:rsidR="00E2143C" w:rsidRDefault="00E2143C" w:rsidP="0034527A">
                    <w:r>
                      <w:t>€</w:t>
                    </w:r>
                  </w:p>
                </w:tc>
              </w:tr>
              <w:tr w:rsidR="00E2143C" w14:paraId="1EEDEF06" w14:textId="77777777" w:rsidTr="00B02169">
                <w:trPr>
                  <w:jc w:val="center"/>
                </w:trPr>
                <w:tc>
                  <w:tcPr>
                    <w:tcW w:w="6902" w:type="dxa"/>
                    <w:vAlign w:val="center"/>
                  </w:tcPr>
                  <w:p w14:paraId="3E0492FB" w14:textId="77777777" w:rsidR="00E2143C" w:rsidRDefault="00310177" w:rsidP="0034527A">
                    <w:r>
                      <w:t>Tenderer required to quote for an additional 10 days of ad hoc support to be provided as part of the terms of the contract – for a period of 3 months from the end of the final deliverable.</w:t>
                    </w:r>
                  </w:p>
                  <w:p w14:paraId="5F4912D0" w14:textId="77777777" w:rsidR="00310177" w:rsidRDefault="00310177" w:rsidP="0034527A">
                    <w:r>
                      <w:t>Please provide details of the specific staff that will be made available and their applicable day rate.</w:t>
                    </w:r>
                  </w:p>
                  <w:p w14:paraId="04D776DA" w14:textId="70A9B498" w:rsidR="00310177" w:rsidRDefault="00310177" w:rsidP="0034527A">
                    <w:r>
                      <w:t>Tenderer can forgo pricing this – however, it will still be within the remit of the contract</w:t>
                    </w:r>
                  </w:p>
                </w:tc>
                <w:tc>
                  <w:tcPr>
                    <w:tcW w:w="2159" w:type="dxa"/>
                    <w:vAlign w:val="center"/>
                  </w:tcPr>
                  <w:p w14:paraId="58F73660" w14:textId="17914456" w:rsidR="00E2143C" w:rsidRDefault="00E2143C" w:rsidP="0034527A">
                    <w:r>
                      <w:t xml:space="preserve">€ </w:t>
                    </w:r>
                  </w:p>
                </w:tc>
              </w:tr>
              <w:tr w:rsidR="00B02169" w14:paraId="1A4F6020" w14:textId="77777777" w:rsidTr="009C4F95">
                <w:trPr>
                  <w:jc w:val="center"/>
                </w:trPr>
                <w:tc>
                  <w:tcPr>
                    <w:tcW w:w="6902" w:type="dxa"/>
                    <w:vAlign w:val="center"/>
                  </w:tcPr>
                  <w:p w14:paraId="28F76D1B" w14:textId="501AD1CA" w:rsidR="00B02169" w:rsidRDefault="00B02169" w:rsidP="0034527A">
                    <w:r>
                      <w:t>Total tendered price excluding VAT</w:t>
                    </w:r>
                  </w:p>
                </w:tc>
                <w:tc>
                  <w:tcPr>
                    <w:tcW w:w="2159" w:type="dxa"/>
                    <w:vAlign w:val="center"/>
                  </w:tcPr>
                  <w:p w14:paraId="372179EE" w14:textId="03389B6A" w:rsidR="00B02169" w:rsidRDefault="00B02169" w:rsidP="0034527A">
                    <w:r>
                      <w:t>€</w:t>
                    </w:r>
                  </w:p>
                </w:tc>
              </w:tr>
              <w:tr w:rsidR="00B02169" w14:paraId="32CC7E0D" w14:textId="77777777" w:rsidTr="009C4F95">
                <w:trPr>
                  <w:jc w:val="center"/>
                </w:trPr>
                <w:tc>
                  <w:tcPr>
                    <w:tcW w:w="6902" w:type="dxa"/>
                    <w:vAlign w:val="center"/>
                  </w:tcPr>
                  <w:p w14:paraId="72277C18" w14:textId="25DEB076" w:rsidR="00B02169" w:rsidRPr="00912C22" w:rsidRDefault="00B02169" w:rsidP="0034527A">
                    <w:pPr>
                      <w:rPr>
                        <w:strike/>
                      </w:rPr>
                    </w:pPr>
                  </w:p>
                </w:tc>
                <w:tc>
                  <w:tcPr>
                    <w:tcW w:w="2159" w:type="dxa"/>
                    <w:vAlign w:val="center"/>
                  </w:tcPr>
                  <w:p w14:paraId="6FD0A811" w14:textId="7D97066E" w:rsidR="00B02169" w:rsidRPr="00912C22" w:rsidRDefault="00B02169" w:rsidP="0034527A">
                    <w:pPr>
                      <w:rPr>
                        <w:strike/>
                      </w:rPr>
                    </w:pPr>
                  </w:p>
                </w:tc>
              </w:tr>
              <w:tr w:rsidR="00B02169" w14:paraId="177BF6F7" w14:textId="77777777" w:rsidTr="009C4F95">
                <w:trPr>
                  <w:jc w:val="center"/>
                </w:trPr>
                <w:tc>
                  <w:tcPr>
                    <w:tcW w:w="6902" w:type="dxa"/>
                    <w:vAlign w:val="center"/>
                  </w:tcPr>
                  <w:p w14:paraId="6A0C8586" w14:textId="6BBCC889" w:rsidR="00B02169" w:rsidRPr="00912C22" w:rsidRDefault="00B02169" w:rsidP="0034527A">
                    <w:pPr>
                      <w:rPr>
                        <w:strike/>
                      </w:rPr>
                    </w:pPr>
                  </w:p>
                </w:tc>
                <w:tc>
                  <w:tcPr>
                    <w:tcW w:w="2159" w:type="dxa"/>
                    <w:vAlign w:val="center"/>
                  </w:tcPr>
                  <w:p w14:paraId="7D6B467C" w14:textId="6B245424" w:rsidR="00B02169" w:rsidRPr="00912C22" w:rsidRDefault="00B02169" w:rsidP="0034527A">
                    <w:pPr>
                      <w:rPr>
                        <w:strike/>
                      </w:rPr>
                    </w:pPr>
                  </w:p>
                </w:tc>
              </w:tr>
              <w:tr w:rsidR="00B02169" w14:paraId="2D46547D" w14:textId="77777777" w:rsidTr="009C4F95">
                <w:trPr>
                  <w:jc w:val="center"/>
                </w:trPr>
                <w:tc>
                  <w:tcPr>
                    <w:tcW w:w="6902" w:type="dxa"/>
                    <w:vAlign w:val="center"/>
                  </w:tcPr>
                  <w:p w14:paraId="09BE1536" w14:textId="1BECDC01" w:rsidR="00B02169" w:rsidRPr="00912C22" w:rsidRDefault="00B02169" w:rsidP="0034527A">
                    <w:pPr>
                      <w:rPr>
                        <w:strike/>
                      </w:rPr>
                    </w:pPr>
                  </w:p>
                </w:tc>
                <w:tc>
                  <w:tcPr>
                    <w:tcW w:w="2159" w:type="dxa"/>
                    <w:vAlign w:val="center"/>
                  </w:tcPr>
                  <w:p w14:paraId="5C4063ED" w14:textId="4466197E" w:rsidR="00B02169" w:rsidRPr="00912C22" w:rsidRDefault="00B02169" w:rsidP="0034527A">
                    <w:pPr>
                      <w:rPr>
                        <w:strike/>
                      </w:rPr>
                    </w:pPr>
                  </w:p>
                </w:tc>
              </w:tr>
              <w:tr w:rsidR="00B02169" w14:paraId="58EE8325" w14:textId="77777777" w:rsidTr="009C4F95">
                <w:trPr>
                  <w:jc w:val="center"/>
                </w:trPr>
                <w:tc>
                  <w:tcPr>
                    <w:tcW w:w="6902" w:type="dxa"/>
                    <w:vAlign w:val="center"/>
                  </w:tcPr>
                  <w:p w14:paraId="7E240DA2" w14:textId="3D4C4A70" w:rsidR="00B02169" w:rsidRDefault="00B02169" w:rsidP="0034527A"/>
                </w:tc>
                <w:tc>
                  <w:tcPr>
                    <w:tcW w:w="2159" w:type="dxa"/>
                    <w:vAlign w:val="center"/>
                  </w:tcPr>
                  <w:p w14:paraId="482BF1F8" w14:textId="4AF1E789" w:rsidR="00B02169" w:rsidRDefault="00B02169" w:rsidP="0034527A"/>
                </w:tc>
              </w:tr>
            </w:tbl>
            <w:p w14:paraId="5C96741F" w14:textId="77777777" w:rsidR="00E2143C" w:rsidRDefault="00E2143C" w:rsidP="00CC7906"/>
            <w:p w14:paraId="11D069C5" w14:textId="77777777" w:rsidR="002143F2" w:rsidRDefault="002143F2" w:rsidP="00CC7906"/>
            <w:p w14:paraId="6DD7C21E" w14:textId="77777777" w:rsidR="002143F2" w:rsidRDefault="002143F2" w:rsidP="00CC7906"/>
            <w:p w14:paraId="4F771129" w14:textId="77777777" w:rsidR="002143F2" w:rsidRDefault="002143F2" w:rsidP="00CC7906"/>
            <w:p w14:paraId="3CFF4575" w14:textId="093EF62F" w:rsidR="003C0FB1" w:rsidRPr="00310EDC" w:rsidRDefault="002143F2" w:rsidP="00CC7906">
              <w:r>
                <w:t xml:space="preserve"> </w:t>
              </w:r>
              <w:r w:rsidR="003C0FB1" w:rsidRPr="00310EDC">
                <w:t xml:space="preserve">    </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2390DF33"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316FC5">
            <w:rPr>
              <w:highlight w:val="lightGray"/>
            </w:rPr>
            <w:t>The Minister for the Climate, Energy and the Environment (the Contracting Authority)</w:t>
          </w:r>
        </w:sdtContent>
      </w:sdt>
      <w:r w:rsidR="003F3EE7">
        <w:t xml:space="preserve"> </w:t>
      </w:r>
      <w:r w:rsidR="003F3EE7" w:rsidRPr="00CC568F">
        <w:t>(the “Contracting Authority”)</w:t>
      </w:r>
    </w:p>
    <w:p w14:paraId="46FC351B" w14:textId="34EDA10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316FC5">
            <w:rPr>
              <w:szCs w:val="22"/>
              <w:highlight w:val="lightGray"/>
            </w:rPr>
            <w:t>Energy Spatial Planning and Supporting Advisory Services - LEAP</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831FFFD"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316FC5">
            <w:rPr>
              <w:highlight w:val="lightGray"/>
            </w:rPr>
            <w:t>The Minister for the Climate, Energy and the Environment (the Contracting Authority)</w:t>
          </w:r>
        </w:sdtContent>
      </w:sdt>
      <w:r>
        <w:t xml:space="preserve"> </w:t>
      </w:r>
      <w:r w:rsidRPr="00CC568F">
        <w:t>(the “Contracting Authority”)</w:t>
      </w:r>
    </w:p>
    <w:p w14:paraId="1D1A8B25" w14:textId="0E5E02DA"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316FC5">
            <w:rPr>
              <w:szCs w:val="22"/>
              <w:highlight w:val="lightGray"/>
            </w:rPr>
            <w:t>Energy Spatial Planning and Supporting Advisory Services - LEAP</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r>
      <w:proofErr w:type="gramStart"/>
      <w:r>
        <w:t>In order to</w:t>
      </w:r>
      <w:proofErr w:type="gramEnd"/>
      <w: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0C8A9AE"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316FC5">
            <w:rPr>
              <w:szCs w:val="22"/>
              <w:highlight w:val="lightGray"/>
            </w:rPr>
            <w:t>Energy Spatial Planning and Supporting Advisory Services - LEAP</w:t>
          </w:r>
        </w:sdtContent>
      </w:sdt>
      <w:r w:rsidRPr="00527368">
        <w:t xml:space="preserve"> </w:t>
      </w:r>
    </w:p>
    <w:p w14:paraId="7395CBA3" w14:textId="04665CAF"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0053684A">
        <w:rPr>
          <w:rFonts w:cs="Calibri"/>
          <w:u w:val="single"/>
        </w:rPr>
        <w:t> </w:t>
      </w:r>
      <w:r w:rsidR="0053684A">
        <w:rPr>
          <w:rFonts w:cs="Calibri"/>
          <w:u w:val="single"/>
        </w:rPr>
        <w:t> </w:t>
      </w:r>
      <w:r w:rsidR="0053684A">
        <w:rPr>
          <w:rFonts w:cs="Calibri"/>
          <w:u w:val="single"/>
        </w:rPr>
        <w:t> </w:t>
      </w:r>
      <w:r w:rsidR="0053684A">
        <w:rPr>
          <w:rFonts w:cs="Calibri"/>
          <w:u w:val="single"/>
        </w:rPr>
        <w:t> </w:t>
      </w:r>
      <w:r w:rsidR="0053684A">
        <w:rPr>
          <w:rFonts w:cs="Calibri"/>
          <w:u w:val="single"/>
        </w:rPr>
        <w:t> </w:t>
      </w:r>
      <w:r w:rsidRPr="006A0C51">
        <w:rPr>
          <w:rFonts w:cs="Calibri"/>
          <w:u w:val="single"/>
        </w:rPr>
        <w:fldChar w:fldCharType="end"/>
      </w:r>
    </w:p>
    <w:p w14:paraId="54B21FD4" w14:textId="65FE5D8C"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006A7074"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316FC5">
            <w:rPr>
              <w:highlight w:val="lightGray"/>
            </w:rPr>
            <w:t>The Minister for the Climate, Energy and the Environment (the Contracting Authority)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0D0D3DDC"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316FC5">
            <w:rPr>
              <w:szCs w:val="22"/>
              <w:highlight w:val="lightGray"/>
            </w:rPr>
            <w:t>Energy Spatial Planning and Supporting Advisory Services - LEAP</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32720082"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316FC5">
            <w:rPr>
              <w:highlight w:val="lightGray"/>
            </w:rPr>
            <w:t>The Minister for the Climate, Energy and the Environment (the Contracting Authority)</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2361F3F8"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sidR="0053684A">
              <w:rPr>
                <w:noProof/>
                <w:szCs w:val="22"/>
              </w:rPr>
              <w:t>2</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53684A">
              <w:rPr>
                <w:noProof/>
                <w:szCs w:val="22"/>
              </w:rPr>
              <w:t>2</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proofErr w:type="gramStart"/>
            <w:r>
              <w:rPr>
                <w:szCs w:val="22"/>
              </w:rPr>
              <w:t>In the event that</w:t>
            </w:r>
            <w:proofErr w:type="gramEnd"/>
            <w:r>
              <w:rPr>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0C5E9748"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53684A">
              <w:rPr>
                <w:i/>
                <w:iCs/>
                <w:noProof/>
                <w:color w:val="FF0000"/>
                <w:highlight w:val="lightGray"/>
              </w:rPr>
              <w:t>not used</w:t>
            </w:r>
            <w:r w:rsidRPr="00FC5923">
              <w:rPr>
                <w:i/>
                <w:iCs/>
                <w:noProof/>
                <w:color w:val="FF0000"/>
                <w:highlight w:val="lightGray"/>
              </w:rPr>
              <w:t>:</w:t>
            </w:r>
            <w:r w:rsidRPr="00FC5923">
              <w:rPr>
                <w:i/>
                <w:iCs/>
                <w:color w:val="FF0000"/>
                <w:highlight w:val="lightGray"/>
              </w:rPr>
              <w:fldChar w:fldCharType="end"/>
            </w:r>
            <w:bookmarkEnd w:id="25"/>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23123B00" w:rsidR="001F7FC2" w:rsidRPr="001F7FC2" w:rsidRDefault="00000000"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53684A"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3B0DEA2F"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53684A">
              <w:rPr>
                <w:i/>
                <w:iCs/>
                <w:noProof/>
                <w:color w:val="FF0000"/>
                <w:highlight w:val="lightGray"/>
              </w:rPr>
              <w:t>not used</w:t>
            </w:r>
            <w:r w:rsidRPr="00FC5923">
              <w:rPr>
                <w:i/>
                <w:iCs/>
                <w:noProof/>
                <w:color w:val="FF0000"/>
                <w:highlight w:val="lightGray"/>
              </w:rPr>
              <w:t>:</w:t>
            </w:r>
            <w:r w:rsidRPr="00FC5923">
              <w:rPr>
                <w:i/>
                <w:iCs/>
                <w:color w:val="FF0000"/>
                <w:highlight w:val="lightGray"/>
              </w:rPr>
              <w:fldChar w:fldCharType="end"/>
            </w:r>
          </w:p>
          <w:p w14:paraId="49654599" w14:textId="7C0F724B"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53684A">
              <w:t> </w:t>
            </w:r>
            <w:r w:rsidR="0053684A">
              <w:t> </w:t>
            </w:r>
            <w:r w:rsidR="0053684A">
              <w:t> </w:t>
            </w:r>
            <w:r w:rsidR="0053684A">
              <w:t> </w:t>
            </w:r>
            <w:r w:rsidR="0053684A">
              <w:t> </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144B95DC"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53684A">
              <w:rPr>
                <w:noProof/>
                <w:szCs w:val="22"/>
              </w:rPr>
              <w:t>10,000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sidR="0053684A">
              <w:rPr>
                <w:noProof/>
              </w:rPr>
              <w:t>10</w:t>
            </w:r>
            <w:r>
              <w:fldChar w:fldCharType="end"/>
            </w:r>
            <w:bookmarkEnd w:id="27"/>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w:t>
            </w:r>
            <w:r w:rsidR="00394603" w:rsidRPr="000E5DB7">
              <w:lastRenderedPageBreak/>
              <w:t>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3BDEE4FE"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05F8FBC2"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53684A">
              <w:rPr>
                <w:i/>
                <w:iCs/>
                <w:noProof/>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0E5DB7">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 xml:space="preserve">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68456D8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4A43EB">
              <w:rPr>
                <w:noProof/>
              </w:rPr>
              <w:t xml:space="preserve">30 </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0D8115B4"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4A43EB">
              <w:rPr>
                <w:noProof/>
              </w:rPr>
              <w:t>one month</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4A43EB">
              <w:t>one month</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 xml:space="preserve">if the other Party becomes insolvent, becomes bankrupt, </w:t>
            </w:r>
            <w:proofErr w:type="gramStart"/>
            <w:r w:rsidRPr="00507FE4">
              <w:t>enters into</w:t>
            </w:r>
            <w:proofErr w:type="gramEnd"/>
            <w:r w:rsidRPr="00507FE4">
              <w:t xml:space="preserve"> examinership, is wound up, commences winding up, has a receiving order made against it, makes any arrangement with its creditors generally or takes or suffers any similar action </w:t>
            </w:r>
            <w:proofErr w:type="gramStart"/>
            <w:r w:rsidRPr="00507FE4">
              <w:t>as a result of</w:t>
            </w:r>
            <w:proofErr w:type="gramEnd"/>
            <w:r w:rsidRPr="00507FE4">
              <w:t xml:space="preserve">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w:t>
      </w:r>
      <w:proofErr w:type="gramStart"/>
      <w:r w:rsidRPr="000E5DB7">
        <w:t>severed</w:t>
      </w:r>
      <w:proofErr w:type="gramEnd"/>
      <w:r w:rsidRPr="000E5DB7">
        <w:t xml:space="preserve">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CFA14" w14:textId="77777777" w:rsidR="00B8200B" w:rsidRDefault="00B8200B" w:rsidP="003C0FB1">
      <w:r>
        <w:separator/>
      </w:r>
    </w:p>
  </w:endnote>
  <w:endnote w:type="continuationSeparator" w:id="0">
    <w:p w14:paraId="00CE318D" w14:textId="77777777" w:rsidR="00B8200B" w:rsidRDefault="00B8200B" w:rsidP="003C0FB1">
      <w:r>
        <w:continuationSeparator/>
      </w:r>
    </w:p>
  </w:endnote>
  <w:endnote w:type="continuationNotice" w:id="1">
    <w:p w14:paraId="6634CA9F" w14:textId="77777777" w:rsidR="00B8200B" w:rsidRDefault="00B820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2BCC" w14:textId="77777777" w:rsidR="00B8200B" w:rsidRDefault="00B8200B" w:rsidP="003C0FB1">
      <w:r>
        <w:separator/>
      </w:r>
    </w:p>
  </w:footnote>
  <w:footnote w:type="continuationSeparator" w:id="0">
    <w:p w14:paraId="1ED565EB" w14:textId="77777777" w:rsidR="00B8200B" w:rsidRDefault="00B8200B" w:rsidP="003C0FB1">
      <w:r>
        <w:continuationSeparator/>
      </w:r>
    </w:p>
  </w:footnote>
  <w:footnote w:type="continuationNotice" w:id="1">
    <w:p w14:paraId="35F2B40C" w14:textId="77777777" w:rsidR="00B8200B" w:rsidRDefault="00B820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45862B6"/>
    <w:multiLevelType w:val="multilevel"/>
    <w:tmpl w:val="7E1C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2264AB"/>
    <w:multiLevelType w:val="multilevel"/>
    <w:tmpl w:val="985C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4F3531"/>
    <w:multiLevelType w:val="multilevel"/>
    <w:tmpl w:val="BC12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370A16"/>
    <w:multiLevelType w:val="multilevel"/>
    <w:tmpl w:val="24067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5D1027"/>
    <w:multiLevelType w:val="multilevel"/>
    <w:tmpl w:val="D9D0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F042BC"/>
    <w:multiLevelType w:val="multilevel"/>
    <w:tmpl w:val="B53656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D5475B"/>
    <w:multiLevelType w:val="multilevel"/>
    <w:tmpl w:val="74C4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FF55532"/>
    <w:multiLevelType w:val="multilevel"/>
    <w:tmpl w:val="4288B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54E05E9"/>
    <w:multiLevelType w:val="multilevel"/>
    <w:tmpl w:val="D0CCA7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6626DC0"/>
    <w:multiLevelType w:val="multilevel"/>
    <w:tmpl w:val="6A7C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241423D"/>
    <w:multiLevelType w:val="multilevel"/>
    <w:tmpl w:val="C0AE4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D44890"/>
    <w:multiLevelType w:val="multilevel"/>
    <w:tmpl w:val="158C02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BEF2B87"/>
    <w:multiLevelType w:val="multilevel"/>
    <w:tmpl w:val="3F58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2924FD1"/>
    <w:multiLevelType w:val="multilevel"/>
    <w:tmpl w:val="75CA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3752049D"/>
    <w:multiLevelType w:val="multilevel"/>
    <w:tmpl w:val="3FDC56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3E9515A4"/>
    <w:multiLevelType w:val="multilevel"/>
    <w:tmpl w:val="AF1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EC468E"/>
    <w:multiLevelType w:val="multilevel"/>
    <w:tmpl w:val="E6D2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1" w15:restartNumberingAfterBreak="0">
    <w:nsid w:val="43B66775"/>
    <w:multiLevelType w:val="multilevel"/>
    <w:tmpl w:val="74DC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8B238E"/>
    <w:multiLevelType w:val="multilevel"/>
    <w:tmpl w:val="7278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59360BC"/>
    <w:multiLevelType w:val="multilevel"/>
    <w:tmpl w:val="A420D5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C0815C5"/>
    <w:multiLevelType w:val="multilevel"/>
    <w:tmpl w:val="92A8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4F46566"/>
    <w:multiLevelType w:val="multilevel"/>
    <w:tmpl w:val="A5DC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5B372AE"/>
    <w:multiLevelType w:val="multilevel"/>
    <w:tmpl w:val="B78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D960225"/>
    <w:multiLevelType w:val="multilevel"/>
    <w:tmpl w:val="CF081E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0A26F79"/>
    <w:multiLevelType w:val="multilevel"/>
    <w:tmpl w:val="7324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4C3497A"/>
    <w:multiLevelType w:val="multilevel"/>
    <w:tmpl w:val="FCCA72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66C731C4"/>
    <w:multiLevelType w:val="multilevel"/>
    <w:tmpl w:val="E310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8B6548A"/>
    <w:multiLevelType w:val="multilevel"/>
    <w:tmpl w:val="EC3C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7D38F3"/>
    <w:multiLevelType w:val="multilevel"/>
    <w:tmpl w:val="1E423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ECD0D62"/>
    <w:multiLevelType w:val="multilevel"/>
    <w:tmpl w:val="16E0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10568C"/>
    <w:multiLevelType w:val="multilevel"/>
    <w:tmpl w:val="1CF8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7C1A3C33"/>
    <w:multiLevelType w:val="multilevel"/>
    <w:tmpl w:val="4B7A1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CDF5712"/>
    <w:multiLevelType w:val="multilevel"/>
    <w:tmpl w:val="076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1380449">
    <w:abstractNumId w:val="40"/>
  </w:num>
  <w:num w:numId="2" w16cid:durableId="1709603367">
    <w:abstractNumId w:val="56"/>
  </w:num>
  <w:num w:numId="3" w16cid:durableId="158548051">
    <w:abstractNumId w:val="43"/>
  </w:num>
  <w:num w:numId="4" w16cid:durableId="2087653977">
    <w:abstractNumId w:val="12"/>
  </w:num>
  <w:num w:numId="5" w16cid:durableId="354575460">
    <w:abstractNumId w:val="54"/>
  </w:num>
  <w:num w:numId="6" w16cid:durableId="1755399046">
    <w:abstractNumId w:val="18"/>
  </w:num>
  <w:num w:numId="7" w16cid:durableId="357003811">
    <w:abstractNumId w:val="3"/>
  </w:num>
  <w:num w:numId="8" w16cid:durableId="115879441">
    <w:abstractNumId w:val="7"/>
  </w:num>
  <w:num w:numId="9" w16cid:durableId="1678772795">
    <w:abstractNumId w:val="16"/>
  </w:num>
  <w:num w:numId="10" w16cid:durableId="1165589818">
    <w:abstractNumId w:val="53"/>
  </w:num>
  <w:num w:numId="11" w16cid:durableId="1010060563">
    <w:abstractNumId w:val="19"/>
  </w:num>
  <w:num w:numId="12" w16cid:durableId="1561357366">
    <w:abstractNumId w:val="35"/>
  </w:num>
  <w:num w:numId="13" w16cid:durableId="1232732967">
    <w:abstractNumId w:val="37"/>
  </w:num>
  <w:num w:numId="14" w16cid:durableId="1618758347">
    <w:abstractNumId w:val="30"/>
  </w:num>
  <w:num w:numId="15" w16cid:durableId="1510372242">
    <w:abstractNumId w:val="51"/>
  </w:num>
  <w:num w:numId="16" w16cid:durableId="12028583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79763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0834375">
    <w:abstractNumId w:val="17"/>
  </w:num>
  <w:num w:numId="19" w16cid:durableId="2069181983">
    <w:abstractNumId w:val="44"/>
  </w:num>
  <w:num w:numId="20" w16cid:durableId="1389842780">
    <w:abstractNumId w:val="34"/>
  </w:num>
  <w:num w:numId="21" w16cid:durableId="1167206042">
    <w:abstractNumId w:val="26"/>
  </w:num>
  <w:num w:numId="22" w16cid:durableId="1128553614">
    <w:abstractNumId w:val="47"/>
  </w:num>
  <w:num w:numId="23" w16cid:durableId="1114787221">
    <w:abstractNumId w:val="2"/>
  </w:num>
  <w:num w:numId="24" w16cid:durableId="1512178219">
    <w:abstractNumId w:val="20"/>
  </w:num>
  <w:num w:numId="25" w16cid:durableId="1025130432">
    <w:abstractNumId w:val="36"/>
  </w:num>
  <w:num w:numId="26" w16cid:durableId="1309482035">
    <w:abstractNumId w:val="46"/>
  </w:num>
  <w:num w:numId="27" w16cid:durableId="2102289691">
    <w:abstractNumId w:val="6"/>
  </w:num>
  <w:num w:numId="28" w16cid:durableId="792099194">
    <w:abstractNumId w:val="55"/>
  </w:num>
  <w:num w:numId="29" w16cid:durableId="381294842">
    <w:abstractNumId w:val="10"/>
  </w:num>
  <w:num w:numId="30" w16cid:durableId="1474561105">
    <w:abstractNumId w:val="52"/>
  </w:num>
  <w:num w:numId="31" w16cid:durableId="435565974">
    <w:abstractNumId w:val="31"/>
  </w:num>
  <w:num w:numId="32" w16cid:durableId="445462583">
    <w:abstractNumId w:val="33"/>
  </w:num>
  <w:num w:numId="33" w16cid:durableId="639581095">
    <w:abstractNumId w:val="42"/>
  </w:num>
  <w:num w:numId="34" w16cid:durableId="1158232298">
    <w:abstractNumId w:val="29"/>
  </w:num>
  <w:num w:numId="35" w16cid:durableId="2075473058">
    <w:abstractNumId w:val="14"/>
  </w:num>
  <w:num w:numId="36" w16cid:durableId="620695345">
    <w:abstractNumId w:val="48"/>
  </w:num>
  <w:num w:numId="37" w16cid:durableId="1194801529">
    <w:abstractNumId w:val="4"/>
  </w:num>
  <w:num w:numId="38" w16cid:durableId="822936474">
    <w:abstractNumId w:val="9"/>
  </w:num>
  <w:num w:numId="39" w16cid:durableId="441388213">
    <w:abstractNumId w:val="39"/>
  </w:num>
  <w:num w:numId="40" w16cid:durableId="1758555651">
    <w:abstractNumId w:val="23"/>
  </w:num>
  <w:num w:numId="41" w16cid:durableId="331566753">
    <w:abstractNumId w:val="32"/>
  </w:num>
  <w:num w:numId="42" w16cid:durableId="598561597">
    <w:abstractNumId w:val="27"/>
  </w:num>
  <w:num w:numId="43" w16cid:durableId="1870028533">
    <w:abstractNumId w:val="21"/>
  </w:num>
  <w:num w:numId="44" w16cid:durableId="282736241">
    <w:abstractNumId w:val="13"/>
  </w:num>
  <w:num w:numId="45" w16cid:durableId="2081369877">
    <w:abstractNumId w:val="41"/>
  </w:num>
  <w:num w:numId="46" w16cid:durableId="84226144">
    <w:abstractNumId w:val="45"/>
  </w:num>
  <w:num w:numId="47" w16cid:durableId="1700231817">
    <w:abstractNumId w:val="1"/>
  </w:num>
  <w:num w:numId="48" w16cid:durableId="1418480046">
    <w:abstractNumId w:val="25"/>
  </w:num>
  <w:num w:numId="49" w16cid:durableId="957758273">
    <w:abstractNumId w:val="38"/>
  </w:num>
  <w:num w:numId="50" w16cid:durableId="2021620179">
    <w:abstractNumId w:val="49"/>
  </w:num>
  <w:num w:numId="51" w16cid:durableId="888032117">
    <w:abstractNumId w:val="50"/>
  </w:num>
  <w:num w:numId="52" w16cid:durableId="742065875">
    <w:abstractNumId w:val="11"/>
  </w:num>
  <w:num w:numId="53" w16cid:durableId="1382023177">
    <w:abstractNumId w:val="5"/>
  </w:num>
  <w:num w:numId="54" w16cid:durableId="1357078547">
    <w:abstractNumId w:val="8"/>
  </w:num>
  <w:num w:numId="55" w16cid:durableId="2060281587">
    <w:abstractNumId w:val="57"/>
  </w:num>
  <w:num w:numId="56" w16cid:durableId="1395853378">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9134B"/>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C7C"/>
    <w:rsid w:val="001B602E"/>
    <w:rsid w:val="001C3A95"/>
    <w:rsid w:val="001C3D44"/>
    <w:rsid w:val="001D1C4C"/>
    <w:rsid w:val="001E59E6"/>
    <w:rsid w:val="001F6360"/>
    <w:rsid w:val="001F68D2"/>
    <w:rsid w:val="001F7FC2"/>
    <w:rsid w:val="00206CC8"/>
    <w:rsid w:val="002143F2"/>
    <w:rsid w:val="00220248"/>
    <w:rsid w:val="00234C8E"/>
    <w:rsid w:val="0023618E"/>
    <w:rsid w:val="002418DA"/>
    <w:rsid w:val="00241925"/>
    <w:rsid w:val="00245488"/>
    <w:rsid w:val="00246362"/>
    <w:rsid w:val="002628DF"/>
    <w:rsid w:val="00272107"/>
    <w:rsid w:val="0028250A"/>
    <w:rsid w:val="00292437"/>
    <w:rsid w:val="00296C52"/>
    <w:rsid w:val="002A1879"/>
    <w:rsid w:val="002B2535"/>
    <w:rsid w:val="002B60D2"/>
    <w:rsid w:val="002C08E8"/>
    <w:rsid w:val="002C70EC"/>
    <w:rsid w:val="002C7140"/>
    <w:rsid w:val="002C72C0"/>
    <w:rsid w:val="002D062E"/>
    <w:rsid w:val="002E273D"/>
    <w:rsid w:val="002F0288"/>
    <w:rsid w:val="0030399F"/>
    <w:rsid w:val="003073E6"/>
    <w:rsid w:val="00310177"/>
    <w:rsid w:val="0031024C"/>
    <w:rsid w:val="00310EDC"/>
    <w:rsid w:val="00311BCB"/>
    <w:rsid w:val="00316FC5"/>
    <w:rsid w:val="00321AC6"/>
    <w:rsid w:val="00325955"/>
    <w:rsid w:val="00325B4F"/>
    <w:rsid w:val="003270FE"/>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C7C17"/>
    <w:rsid w:val="003D35B0"/>
    <w:rsid w:val="003E08C5"/>
    <w:rsid w:val="003E7CC4"/>
    <w:rsid w:val="003F3CA9"/>
    <w:rsid w:val="003F3EE7"/>
    <w:rsid w:val="004101AD"/>
    <w:rsid w:val="00430EA8"/>
    <w:rsid w:val="00441796"/>
    <w:rsid w:val="00443976"/>
    <w:rsid w:val="00444730"/>
    <w:rsid w:val="0046000A"/>
    <w:rsid w:val="00474043"/>
    <w:rsid w:val="00483B81"/>
    <w:rsid w:val="004939B5"/>
    <w:rsid w:val="00496C17"/>
    <w:rsid w:val="004A0961"/>
    <w:rsid w:val="004A15F8"/>
    <w:rsid w:val="004A43EB"/>
    <w:rsid w:val="004A7D33"/>
    <w:rsid w:val="004B2AF8"/>
    <w:rsid w:val="004B4771"/>
    <w:rsid w:val="004B576C"/>
    <w:rsid w:val="004B65A0"/>
    <w:rsid w:val="004C7F6E"/>
    <w:rsid w:val="004D3248"/>
    <w:rsid w:val="004E00BE"/>
    <w:rsid w:val="004E5D1F"/>
    <w:rsid w:val="004F3DDB"/>
    <w:rsid w:val="00503F93"/>
    <w:rsid w:val="0050484C"/>
    <w:rsid w:val="00514DFD"/>
    <w:rsid w:val="0051673A"/>
    <w:rsid w:val="00522DF9"/>
    <w:rsid w:val="005239E4"/>
    <w:rsid w:val="00533484"/>
    <w:rsid w:val="00534A1C"/>
    <w:rsid w:val="0053684A"/>
    <w:rsid w:val="00540F24"/>
    <w:rsid w:val="00541969"/>
    <w:rsid w:val="00542982"/>
    <w:rsid w:val="00545FD7"/>
    <w:rsid w:val="0054610F"/>
    <w:rsid w:val="00550821"/>
    <w:rsid w:val="00550B2B"/>
    <w:rsid w:val="005520E5"/>
    <w:rsid w:val="005635BE"/>
    <w:rsid w:val="005637A5"/>
    <w:rsid w:val="00564F8A"/>
    <w:rsid w:val="00580AF7"/>
    <w:rsid w:val="0058336E"/>
    <w:rsid w:val="005A41B0"/>
    <w:rsid w:val="005A564A"/>
    <w:rsid w:val="005B2A6D"/>
    <w:rsid w:val="005C1535"/>
    <w:rsid w:val="005D23E0"/>
    <w:rsid w:val="005D60C5"/>
    <w:rsid w:val="005E3864"/>
    <w:rsid w:val="005F2191"/>
    <w:rsid w:val="005F67F0"/>
    <w:rsid w:val="005F7E00"/>
    <w:rsid w:val="00601E78"/>
    <w:rsid w:val="00605C0E"/>
    <w:rsid w:val="0061100A"/>
    <w:rsid w:val="00646B48"/>
    <w:rsid w:val="006535A0"/>
    <w:rsid w:val="006565BD"/>
    <w:rsid w:val="00662F78"/>
    <w:rsid w:val="00663B2A"/>
    <w:rsid w:val="00671010"/>
    <w:rsid w:val="006761DC"/>
    <w:rsid w:val="00684357"/>
    <w:rsid w:val="006955D1"/>
    <w:rsid w:val="006A1D74"/>
    <w:rsid w:val="006A7016"/>
    <w:rsid w:val="006C6715"/>
    <w:rsid w:val="006C71B4"/>
    <w:rsid w:val="006F2299"/>
    <w:rsid w:val="00702C39"/>
    <w:rsid w:val="0073644F"/>
    <w:rsid w:val="007368CF"/>
    <w:rsid w:val="00746EFF"/>
    <w:rsid w:val="00756CA9"/>
    <w:rsid w:val="00757561"/>
    <w:rsid w:val="007704DA"/>
    <w:rsid w:val="007712DD"/>
    <w:rsid w:val="007746D2"/>
    <w:rsid w:val="007831B0"/>
    <w:rsid w:val="00785B01"/>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030A"/>
    <w:rsid w:val="00803D16"/>
    <w:rsid w:val="0080489A"/>
    <w:rsid w:val="00810B05"/>
    <w:rsid w:val="0081510A"/>
    <w:rsid w:val="0081621E"/>
    <w:rsid w:val="0081730C"/>
    <w:rsid w:val="0082552F"/>
    <w:rsid w:val="0083112F"/>
    <w:rsid w:val="008347C3"/>
    <w:rsid w:val="00837A39"/>
    <w:rsid w:val="00854C0D"/>
    <w:rsid w:val="00861561"/>
    <w:rsid w:val="00867EDE"/>
    <w:rsid w:val="0088594E"/>
    <w:rsid w:val="00891A74"/>
    <w:rsid w:val="008A1C6D"/>
    <w:rsid w:val="008B6B20"/>
    <w:rsid w:val="008C07AC"/>
    <w:rsid w:val="008C69A3"/>
    <w:rsid w:val="008D3DD6"/>
    <w:rsid w:val="008D4B5B"/>
    <w:rsid w:val="008E235A"/>
    <w:rsid w:val="008F5874"/>
    <w:rsid w:val="008F637D"/>
    <w:rsid w:val="00904FCA"/>
    <w:rsid w:val="00912C22"/>
    <w:rsid w:val="009147DA"/>
    <w:rsid w:val="00916113"/>
    <w:rsid w:val="00921E8E"/>
    <w:rsid w:val="00926F67"/>
    <w:rsid w:val="00927A61"/>
    <w:rsid w:val="00931121"/>
    <w:rsid w:val="009340FB"/>
    <w:rsid w:val="00934BC4"/>
    <w:rsid w:val="00951854"/>
    <w:rsid w:val="009528C8"/>
    <w:rsid w:val="0095374A"/>
    <w:rsid w:val="009608C5"/>
    <w:rsid w:val="00977CC4"/>
    <w:rsid w:val="009840F9"/>
    <w:rsid w:val="0099533F"/>
    <w:rsid w:val="00997226"/>
    <w:rsid w:val="009A0BAB"/>
    <w:rsid w:val="009B0FE7"/>
    <w:rsid w:val="009B1FA7"/>
    <w:rsid w:val="009B6F44"/>
    <w:rsid w:val="009B745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93C84"/>
    <w:rsid w:val="00A94316"/>
    <w:rsid w:val="00AA5D03"/>
    <w:rsid w:val="00AA6837"/>
    <w:rsid w:val="00AB3391"/>
    <w:rsid w:val="00AB5697"/>
    <w:rsid w:val="00AC44B0"/>
    <w:rsid w:val="00AC4D66"/>
    <w:rsid w:val="00AD44D1"/>
    <w:rsid w:val="00B02169"/>
    <w:rsid w:val="00B0318F"/>
    <w:rsid w:val="00B12CE7"/>
    <w:rsid w:val="00B1490E"/>
    <w:rsid w:val="00B35085"/>
    <w:rsid w:val="00B402FB"/>
    <w:rsid w:val="00B421F3"/>
    <w:rsid w:val="00B6057A"/>
    <w:rsid w:val="00B61934"/>
    <w:rsid w:val="00B61AEE"/>
    <w:rsid w:val="00B61DAD"/>
    <w:rsid w:val="00B625AA"/>
    <w:rsid w:val="00B66734"/>
    <w:rsid w:val="00B66FE4"/>
    <w:rsid w:val="00B77526"/>
    <w:rsid w:val="00B809C4"/>
    <w:rsid w:val="00B8200B"/>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42E06"/>
    <w:rsid w:val="00C43945"/>
    <w:rsid w:val="00C43DF2"/>
    <w:rsid w:val="00C4598F"/>
    <w:rsid w:val="00C57446"/>
    <w:rsid w:val="00C652FF"/>
    <w:rsid w:val="00C7189F"/>
    <w:rsid w:val="00C723E3"/>
    <w:rsid w:val="00C93669"/>
    <w:rsid w:val="00CA3AF8"/>
    <w:rsid w:val="00CC568F"/>
    <w:rsid w:val="00CC7906"/>
    <w:rsid w:val="00CE52AE"/>
    <w:rsid w:val="00CE7EE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F26D3"/>
    <w:rsid w:val="00E03583"/>
    <w:rsid w:val="00E2143C"/>
    <w:rsid w:val="00E2701F"/>
    <w:rsid w:val="00E42FF2"/>
    <w:rsid w:val="00E438E8"/>
    <w:rsid w:val="00E551F2"/>
    <w:rsid w:val="00E80B01"/>
    <w:rsid w:val="00E92FAE"/>
    <w:rsid w:val="00E93694"/>
    <w:rsid w:val="00E97A42"/>
    <w:rsid w:val="00EA1632"/>
    <w:rsid w:val="00EA39AD"/>
    <w:rsid w:val="00EB1547"/>
    <w:rsid w:val="00EB444F"/>
    <w:rsid w:val="00EB5352"/>
    <w:rsid w:val="00EC3227"/>
    <w:rsid w:val="00EC7568"/>
    <w:rsid w:val="00ED08A1"/>
    <w:rsid w:val="00ED1993"/>
    <w:rsid w:val="00EE08AA"/>
    <w:rsid w:val="00F27C91"/>
    <w:rsid w:val="00F36615"/>
    <w:rsid w:val="00F54F8B"/>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568F"/>
    <w:rsid w:val="00220248"/>
    <w:rsid w:val="002411F6"/>
    <w:rsid w:val="00243E81"/>
    <w:rsid w:val="002954EC"/>
    <w:rsid w:val="002B4D30"/>
    <w:rsid w:val="00342601"/>
    <w:rsid w:val="003C47B8"/>
    <w:rsid w:val="003C7C17"/>
    <w:rsid w:val="003D0F6C"/>
    <w:rsid w:val="003F7A40"/>
    <w:rsid w:val="00416790"/>
    <w:rsid w:val="00423548"/>
    <w:rsid w:val="004368B4"/>
    <w:rsid w:val="00461DA6"/>
    <w:rsid w:val="004631ED"/>
    <w:rsid w:val="0048189C"/>
    <w:rsid w:val="004D3DF9"/>
    <w:rsid w:val="005005BD"/>
    <w:rsid w:val="00520CC8"/>
    <w:rsid w:val="00550BBC"/>
    <w:rsid w:val="00573282"/>
    <w:rsid w:val="00593781"/>
    <w:rsid w:val="005F0348"/>
    <w:rsid w:val="00636340"/>
    <w:rsid w:val="00653685"/>
    <w:rsid w:val="006B1429"/>
    <w:rsid w:val="00752271"/>
    <w:rsid w:val="00790A85"/>
    <w:rsid w:val="007A46E0"/>
    <w:rsid w:val="00831B7E"/>
    <w:rsid w:val="0085602E"/>
    <w:rsid w:val="009041FA"/>
    <w:rsid w:val="00943A53"/>
    <w:rsid w:val="00975DA6"/>
    <w:rsid w:val="009B3FDC"/>
    <w:rsid w:val="009D7763"/>
    <w:rsid w:val="009F5929"/>
    <w:rsid w:val="00A33272"/>
    <w:rsid w:val="00A37992"/>
    <w:rsid w:val="00A62CC7"/>
    <w:rsid w:val="00A70F35"/>
    <w:rsid w:val="00A90020"/>
    <w:rsid w:val="00A93C84"/>
    <w:rsid w:val="00A96FA1"/>
    <w:rsid w:val="00AA15E9"/>
    <w:rsid w:val="00AB4676"/>
    <w:rsid w:val="00B64619"/>
    <w:rsid w:val="00C0248A"/>
    <w:rsid w:val="00C22A3B"/>
    <w:rsid w:val="00C43F9A"/>
    <w:rsid w:val="00C61719"/>
    <w:rsid w:val="00C7052B"/>
    <w:rsid w:val="00C723E3"/>
    <w:rsid w:val="00CC6B57"/>
    <w:rsid w:val="00D3147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C43F9A"/>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the Climate, Energy and the Environment (the Contracting Authority)</Abstract>
  <CompanyAddress/>
  <CompanyPhone/>
  <CompanyFax>Energy Spatial Planning and Supporting Advisory Services - LEAP</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75</Pages>
  <Words>23697</Words>
  <Characters>135077</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Tarek Qunber (DCEE)</cp:lastModifiedBy>
  <cp:revision>2</cp:revision>
  <dcterms:created xsi:type="dcterms:W3CDTF">2026-08-21T17:19:00Z</dcterms:created>
  <dcterms:modified xsi:type="dcterms:W3CDTF">2026-08-21T17:19:00Z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