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74"/>
        <w:gridCol w:w="4936"/>
      </w:tblGrid>
      <w:tr w:rsidR="00DC4DDE" w:rsidRPr="00DC4DDE" w14:paraId="5E142AA9" w14:textId="77777777" w:rsidTr="003F399A">
        <w:trPr>
          <w:trHeight w:val="300"/>
        </w:trPr>
        <w:tc>
          <w:tcPr>
            <w:tcW w:w="9010"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3B08DD07" w14:textId="0D339C2D" w:rsidR="00DC4DDE" w:rsidRPr="00DC4DDE" w:rsidRDefault="00DC4DDE" w:rsidP="00DC4DDE">
            <w:pPr>
              <w:rPr>
                <w:b/>
                <w:bCs/>
                <w:lang w:val="en-IE"/>
              </w:rPr>
            </w:pPr>
            <w:r w:rsidRPr="00DC4DDE">
              <w:rPr>
                <w:b/>
                <w:bCs/>
                <w:lang w:val="en-IE"/>
              </w:rPr>
              <w:t> </w:t>
            </w:r>
            <w:r w:rsidR="008064AB">
              <w:rPr>
                <w:b/>
                <w:bCs/>
                <w:lang w:val="en-IE"/>
              </w:rPr>
              <w:t xml:space="preserve">E Tenders </w:t>
            </w:r>
            <w:r w:rsidR="008064AB" w:rsidRPr="008064AB">
              <w:rPr>
                <w:b/>
                <w:bCs/>
                <w:lang w:val="en-IE"/>
              </w:rPr>
              <w:t>CFT: 8878529</w:t>
            </w:r>
          </w:p>
        </w:tc>
      </w:tr>
      <w:tr w:rsidR="00DC4DDE" w:rsidRPr="00DC4DDE" w14:paraId="3B730BB5" w14:textId="77777777" w:rsidTr="003F399A">
        <w:trPr>
          <w:trHeight w:val="300"/>
        </w:trPr>
        <w:tc>
          <w:tcPr>
            <w:tcW w:w="901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6B57C6C" w14:textId="77777777" w:rsidR="00DC4DDE" w:rsidRPr="00DC4DDE" w:rsidRDefault="00DC4DDE" w:rsidP="00DC4DDE">
            <w:pPr>
              <w:rPr>
                <w:b/>
                <w:bCs/>
                <w:lang w:val="en-IE"/>
              </w:rPr>
            </w:pPr>
            <w:r w:rsidRPr="00DC4DDE">
              <w:rPr>
                <w:b/>
                <w:bCs/>
              </w:rPr>
              <w:t>Provision of services for the redevelopment of the CARO.ie website, including hosting, security and maintenance. </w:t>
            </w:r>
            <w:r w:rsidRPr="00DC4DDE">
              <w:rPr>
                <w:b/>
                <w:bCs/>
                <w:lang w:val="en-IE"/>
              </w:rPr>
              <w:t> </w:t>
            </w:r>
          </w:p>
        </w:tc>
      </w:tr>
      <w:tr w:rsidR="00DC4DDE" w:rsidRPr="00DC4DDE" w14:paraId="7893EF65" w14:textId="77777777" w:rsidTr="003F399A">
        <w:trPr>
          <w:trHeight w:val="300"/>
        </w:trPr>
        <w:tc>
          <w:tcPr>
            <w:tcW w:w="4074" w:type="dxa"/>
            <w:tcBorders>
              <w:top w:val="single" w:sz="6" w:space="0" w:color="auto"/>
              <w:left w:val="single" w:sz="6" w:space="0" w:color="auto"/>
              <w:bottom w:val="single" w:sz="6" w:space="0" w:color="auto"/>
              <w:right w:val="single" w:sz="6" w:space="0" w:color="auto"/>
            </w:tcBorders>
            <w:shd w:val="clear" w:color="auto" w:fill="D9D9D9"/>
            <w:hideMark/>
          </w:tcPr>
          <w:p w14:paraId="2BBA5594" w14:textId="77777777" w:rsidR="00DC4DDE" w:rsidRPr="00DC4DDE" w:rsidRDefault="00DC4DDE" w:rsidP="00DC4DDE">
            <w:pPr>
              <w:rPr>
                <w:b/>
                <w:bCs/>
                <w:lang w:val="en-IE"/>
              </w:rPr>
            </w:pPr>
            <w:r w:rsidRPr="00DC4DDE">
              <w:rPr>
                <w:b/>
                <w:bCs/>
              </w:rPr>
              <w:t>Issue Date</w:t>
            </w:r>
            <w:r w:rsidRPr="00DC4DDE">
              <w:rPr>
                <w:b/>
                <w:bCs/>
                <w:lang w:val="en-IE"/>
              </w:rPr>
              <w:t> </w:t>
            </w:r>
          </w:p>
        </w:tc>
        <w:tc>
          <w:tcPr>
            <w:tcW w:w="4936" w:type="dxa"/>
            <w:tcBorders>
              <w:top w:val="single" w:sz="6" w:space="0" w:color="auto"/>
              <w:left w:val="single" w:sz="6" w:space="0" w:color="auto"/>
              <w:bottom w:val="single" w:sz="6" w:space="0" w:color="auto"/>
              <w:right w:val="single" w:sz="6" w:space="0" w:color="auto"/>
            </w:tcBorders>
            <w:shd w:val="clear" w:color="auto" w:fill="FFFFFF"/>
            <w:hideMark/>
          </w:tcPr>
          <w:p w14:paraId="2671D8B9" w14:textId="77777777" w:rsidR="00DC4DDE" w:rsidRPr="00DC4DDE" w:rsidRDefault="00DC4DDE" w:rsidP="00DC4DDE">
            <w:pPr>
              <w:rPr>
                <w:b/>
                <w:bCs/>
                <w:lang w:val="en-IE"/>
              </w:rPr>
            </w:pPr>
            <w:r w:rsidRPr="00DC4DDE">
              <w:rPr>
                <w:b/>
                <w:bCs/>
              </w:rPr>
              <w:t>Wednesday 19 August 2026</w:t>
            </w:r>
            <w:r w:rsidRPr="00DC4DDE">
              <w:rPr>
                <w:b/>
                <w:bCs/>
                <w:lang w:val="en-IE"/>
              </w:rPr>
              <w:t> </w:t>
            </w:r>
          </w:p>
        </w:tc>
      </w:tr>
      <w:tr w:rsidR="00DC4DDE" w:rsidRPr="00DC4DDE" w14:paraId="439A17E2" w14:textId="77777777" w:rsidTr="003F399A">
        <w:trPr>
          <w:trHeight w:val="300"/>
        </w:trPr>
        <w:tc>
          <w:tcPr>
            <w:tcW w:w="4074" w:type="dxa"/>
            <w:tcBorders>
              <w:top w:val="single" w:sz="6" w:space="0" w:color="auto"/>
              <w:left w:val="single" w:sz="6" w:space="0" w:color="auto"/>
              <w:bottom w:val="single" w:sz="6" w:space="0" w:color="auto"/>
              <w:right w:val="single" w:sz="6" w:space="0" w:color="auto"/>
            </w:tcBorders>
            <w:shd w:val="clear" w:color="auto" w:fill="D9D9D9"/>
            <w:hideMark/>
          </w:tcPr>
          <w:p w14:paraId="5E53ECC0" w14:textId="77777777" w:rsidR="00DC4DDE" w:rsidRPr="00DC4DDE" w:rsidRDefault="00DC4DDE" w:rsidP="00DC4DDE">
            <w:pPr>
              <w:rPr>
                <w:b/>
                <w:bCs/>
                <w:lang w:val="en-IE"/>
              </w:rPr>
            </w:pPr>
            <w:r w:rsidRPr="00DC4DDE">
              <w:rPr>
                <w:b/>
                <w:bCs/>
              </w:rPr>
              <w:t>Closing Date for Queries</w:t>
            </w:r>
            <w:r w:rsidRPr="00DC4DDE">
              <w:rPr>
                <w:b/>
                <w:bCs/>
                <w:lang w:val="en-IE"/>
              </w:rPr>
              <w:t> </w:t>
            </w:r>
          </w:p>
        </w:tc>
        <w:tc>
          <w:tcPr>
            <w:tcW w:w="4936" w:type="dxa"/>
            <w:tcBorders>
              <w:top w:val="single" w:sz="6" w:space="0" w:color="auto"/>
              <w:left w:val="single" w:sz="6" w:space="0" w:color="auto"/>
              <w:bottom w:val="single" w:sz="6" w:space="0" w:color="auto"/>
              <w:right w:val="single" w:sz="6" w:space="0" w:color="auto"/>
            </w:tcBorders>
            <w:shd w:val="clear" w:color="auto" w:fill="FFFFFF"/>
            <w:hideMark/>
          </w:tcPr>
          <w:p w14:paraId="54AE73B7" w14:textId="77777777" w:rsidR="00DC4DDE" w:rsidRPr="00DC4DDE" w:rsidRDefault="00DC4DDE" w:rsidP="00DC4DDE">
            <w:pPr>
              <w:rPr>
                <w:b/>
                <w:bCs/>
                <w:lang w:val="en-IE"/>
              </w:rPr>
            </w:pPr>
            <w:r w:rsidRPr="00DC4DDE">
              <w:rPr>
                <w:b/>
                <w:bCs/>
              </w:rPr>
              <w:t>17.00 (local time), Monday 24 August 2026</w:t>
            </w:r>
            <w:r w:rsidRPr="00DC4DDE">
              <w:rPr>
                <w:b/>
                <w:bCs/>
                <w:lang w:val="en-IE"/>
              </w:rPr>
              <w:t> </w:t>
            </w:r>
          </w:p>
        </w:tc>
      </w:tr>
      <w:tr w:rsidR="00DC4DDE" w:rsidRPr="00DC4DDE" w14:paraId="2635BACB" w14:textId="77777777" w:rsidTr="003F399A">
        <w:trPr>
          <w:trHeight w:val="300"/>
        </w:trPr>
        <w:tc>
          <w:tcPr>
            <w:tcW w:w="4074" w:type="dxa"/>
            <w:tcBorders>
              <w:top w:val="single" w:sz="6" w:space="0" w:color="auto"/>
              <w:left w:val="single" w:sz="6" w:space="0" w:color="auto"/>
              <w:bottom w:val="single" w:sz="6" w:space="0" w:color="auto"/>
              <w:right w:val="single" w:sz="6" w:space="0" w:color="auto"/>
            </w:tcBorders>
            <w:shd w:val="clear" w:color="auto" w:fill="D9D9D9"/>
            <w:hideMark/>
          </w:tcPr>
          <w:p w14:paraId="0993223B" w14:textId="77777777" w:rsidR="00DC4DDE" w:rsidRPr="00DC4DDE" w:rsidRDefault="00DC4DDE" w:rsidP="00DC4DDE">
            <w:pPr>
              <w:rPr>
                <w:b/>
                <w:bCs/>
                <w:lang w:val="en-IE"/>
              </w:rPr>
            </w:pPr>
            <w:r w:rsidRPr="00DC4DDE">
              <w:rPr>
                <w:b/>
                <w:bCs/>
              </w:rPr>
              <w:t>Closing Date for Tender Submissions</w:t>
            </w:r>
            <w:r w:rsidRPr="00DC4DDE">
              <w:rPr>
                <w:b/>
                <w:bCs/>
                <w:lang w:val="en-IE"/>
              </w:rPr>
              <w:t> </w:t>
            </w:r>
          </w:p>
        </w:tc>
        <w:tc>
          <w:tcPr>
            <w:tcW w:w="4936" w:type="dxa"/>
            <w:tcBorders>
              <w:top w:val="single" w:sz="6" w:space="0" w:color="auto"/>
              <w:left w:val="single" w:sz="6" w:space="0" w:color="auto"/>
              <w:bottom w:val="single" w:sz="6" w:space="0" w:color="auto"/>
              <w:right w:val="single" w:sz="6" w:space="0" w:color="auto"/>
            </w:tcBorders>
            <w:shd w:val="clear" w:color="auto" w:fill="FFFFFF"/>
            <w:hideMark/>
          </w:tcPr>
          <w:p w14:paraId="6C94DED6" w14:textId="77777777" w:rsidR="00DC4DDE" w:rsidRPr="00DC4DDE" w:rsidRDefault="00DC4DDE" w:rsidP="00DC4DDE">
            <w:pPr>
              <w:rPr>
                <w:b/>
                <w:bCs/>
                <w:lang w:val="en-IE"/>
              </w:rPr>
            </w:pPr>
            <w:r w:rsidRPr="00DC4DDE">
              <w:rPr>
                <w:b/>
                <w:bCs/>
              </w:rPr>
              <w:t>17:00 (local time), Monday 7 September 2026</w:t>
            </w:r>
            <w:r w:rsidRPr="00DC4DDE">
              <w:rPr>
                <w:b/>
                <w:bCs/>
                <w:lang w:val="en-IE"/>
              </w:rPr>
              <w:t> </w:t>
            </w:r>
          </w:p>
        </w:tc>
      </w:tr>
      <w:tr w:rsidR="00EE28B4" w:rsidRPr="00DC4DDE" w14:paraId="765644DA" w14:textId="77777777">
        <w:trPr>
          <w:trHeight w:val="300"/>
        </w:trPr>
        <w:tc>
          <w:tcPr>
            <w:tcW w:w="9010" w:type="dxa"/>
            <w:gridSpan w:val="2"/>
            <w:tcBorders>
              <w:top w:val="single" w:sz="6" w:space="0" w:color="auto"/>
              <w:left w:val="single" w:sz="6" w:space="0" w:color="auto"/>
              <w:bottom w:val="single" w:sz="6" w:space="0" w:color="auto"/>
              <w:right w:val="single" w:sz="6" w:space="0" w:color="auto"/>
            </w:tcBorders>
            <w:shd w:val="clear" w:color="auto" w:fill="D9D9D9"/>
          </w:tcPr>
          <w:p w14:paraId="7D245823" w14:textId="38D284CA" w:rsidR="00EE28B4" w:rsidRPr="00EE28B4" w:rsidRDefault="00EE28B4" w:rsidP="00DC4DDE">
            <w:pPr>
              <w:rPr>
                <w:b/>
                <w:bCs/>
                <w:lang w:val="en-IE"/>
              </w:rPr>
            </w:pPr>
            <w:r>
              <w:rPr>
                <w:b/>
                <w:bCs/>
                <w:lang w:val="en-IE"/>
              </w:rPr>
              <w:t>Responses to Messages Received</w:t>
            </w:r>
          </w:p>
        </w:tc>
      </w:tr>
    </w:tbl>
    <w:p w14:paraId="03373B95" w14:textId="77777777" w:rsidR="003F399A" w:rsidRDefault="003F399A" w:rsidP="002F1631">
      <w:pPr>
        <w:rPr>
          <w:b/>
          <w:bCs/>
          <w:lang w:val="en-IE"/>
        </w:rPr>
      </w:pPr>
    </w:p>
    <w:p w14:paraId="7840F69A" w14:textId="6E4ADEB1" w:rsidR="002F1631" w:rsidRPr="00EF0B7D" w:rsidRDefault="00137FA4" w:rsidP="00F96474">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en-IE"/>
        </w:rPr>
      </w:pPr>
      <w:r>
        <w:rPr>
          <w:b/>
          <w:bCs/>
          <w:lang w:val="en-IE"/>
        </w:rPr>
        <w:t xml:space="preserve">Message </w:t>
      </w:r>
      <w:r w:rsidR="002F1631">
        <w:rPr>
          <w:b/>
          <w:bCs/>
          <w:lang w:val="en-IE"/>
        </w:rPr>
        <w:t xml:space="preserve">Received </w:t>
      </w:r>
      <w:r w:rsidR="002F1631" w:rsidRPr="00EF0B7D">
        <w:rPr>
          <w:b/>
          <w:bCs/>
          <w:lang w:val="en-IE"/>
        </w:rPr>
        <w:t>2026</w:t>
      </w:r>
      <w:r w:rsidR="002F1631">
        <w:rPr>
          <w:b/>
          <w:bCs/>
          <w:lang w:val="en-IE"/>
        </w:rPr>
        <w:t>-</w:t>
      </w:r>
      <w:r w:rsidR="002F1631" w:rsidRPr="00EF0B7D">
        <w:rPr>
          <w:b/>
          <w:bCs/>
          <w:lang w:val="en-IE"/>
        </w:rPr>
        <w:t>08</w:t>
      </w:r>
      <w:r w:rsidR="002F1631">
        <w:rPr>
          <w:b/>
          <w:bCs/>
          <w:lang w:val="en-IE"/>
        </w:rPr>
        <w:t>-</w:t>
      </w:r>
      <w:r w:rsidR="002F1631" w:rsidRPr="00EF0B7D">
        <w:rPr>
          <w:b/>
          <w:bCs/>
          <w:lang w:val="en-IE"/>
        </w:rPr>
        <w:t>20</w:t>
      </w:r>
      <w:r w:rsidR="002F1631">
        <w:rPr>
          <w:b/>
          <w:bCs/>
          <w:lang w:val="en-IE"/>
        </w:rPr>
        <w:t>-12.29</w:t>
      </w:r>
    </w:p>
    <w:p w14:paraId="30EEB649" w14:textId="56E817B3" w:rsidR="00693D6D" w:rsidRDefault="001A7A1E" w:rsidP="00F40498">
      <w:pPr>
        <w:rPr>
          <w:b/>
          <w:bCs/>
        </w:rPr>
      </w:pPr>
      <w:r>
        <w:rPr>
          <w:b/>
          <w:bCs/>
        </w:rPr>
        <w:t>Subject</w:t>
      </w:r>
      <w:r w:rsidR="002F1631">
        <w:rPr>
          <w:b/>
          <w:bCs/>
        </w:rPr>
        <w:t xml:space="preserve">: </w:t>
      </w:r>
      <w:r w:rsidRPr="001A7A1E">
        <w:rPr>
          <w:b/>
          <w:bCs/>
        </w:rPr>
        <w:t>LA CAP Reporting / Power BI and SharePoint</w:t>
      </w:r>
    </w:p>
    <w:p w14:paraId="54C0DD32" w14:textId="4131AA10" w:rsidR="00137FA4" w:rsidRDefault="00137FA4" w:rsidP="00F40498">
      <w:pPr>
        <w:rPr>
          <w:b/>
          <w:bCs/>
        </w:rPr>
      </w:pPr>
      <w:r>
        <w:rPr>
          <w:b/>
          <w:bCs/>
        </w:rPr>
        <w:t>Query:</w:t>
      </w:r>
    </w:p>
    <w:p w14:paraId="0B1EAF12" w14:textId="77777777" w:rsidR="00F40498" w:rsidRPr="00F40498" w:rsidRDefault="00F40498" w:rsidP="00F40498">
      <w:pPr>
        <w:rPr>
          <w:lang w:val="en-IE"/>
        </w:rPr>
      </w:pPr>
      <w:r w:rsidRPr="00F40498">
        <w:rPr>
          <w:lang w:val="en-IE"/>
        </w:rPr>
        <w:t>“The RFT states that the LA CAP action data is to be viewed using Power BI (or similar) working with SharePoint lists hosted by another Local Authority, and further states that the business-intelligence/Power BI reporting integration and associated licensing are to be owned and provided by the Contracting Authority.</w:t>
      </w:r>
    </w:p>
    <w:p w14:paraId="332EE9F5" w14:textId="77777777" w:rsidR="00F40498" w:rsidRPr="00F40498" w:rsidRDefault="00F40498" w:rsidP="00F40498">
      <w:pPr>
        <w:rPr>
          <w:lang w:val="en-IE"/>
        </w:rPr>
      </w:pPr>
      <w:r w:rsidRPr="00F40498">
        <w:rPr>
          <w:lang w:val="en-IE"/>
        </w:rPr>
        <w:t>Can the Contracting Authority please clarify the scope of work expected from the successful website supplier in relation to this requirement? In particular, is the requirement to provide the website functionality necessary to display, link to or integrate with a Power BI reporting solution and SharePoint data source supplied by the Contracting Authority/another Local Authority, or is the successful tenderer expected to design, configure or develop any element of the Power BI or SharePoint solution itself?”</w:t>
      </w:r>
    </w:p>
    <w:p w14:paraId="5E5787A5" w14:textId="2955EED9" w:rsidR="004E4DBC" w:rsidRPr="00EF0B7D" w:rsidRDefault="00EF0B7D">
      <w:pPr>
        <w:rPr>
          <w:b/>
          <w:bCs/>
        </w:rPr>
      </w:pPr>
      <w:r w:rsidRPr="00EF0B7D">
        <w:rPr>
          <w:b/>
          <w:bCs/>
        </w:rPr>
        <w:t>Response</w:t>
      </w:r>
      <w:r w:rsidR="00137FA4">
        <w:rPr>
          <w:b/>
          <w:bCs/>
        </w:rPr>
        <w:t>:</w:t>
      </w:r>
    </w:p>
    <w:p w14:paraId="50375D49" w14:textId="77777777" w:rsidR="00EF0B7D" w:rsidRPr="000B1A24" w:rsidRDefault="00EF0B7D" w:rsidP="00EF0B7D">
      <w:pPr>
        <w:rPr>
          <w:color w:val="215E99" w:themeColor="text2" w:themeTint="BF"/>
          <w:lang w:val="en-IE"/>
        </w:rPr>
      </w:pPr>
      <w:r w:rsidRPr="000B1A24">
        <w:rPr>
          <w:color w:val="215E99" w:themeColor="text2" w:themeTint="BF"/>
          <w:lang w:val="en-IE"/>
        </w:rPr>
        <w:t xml:space="preserve">The supplier's scope is the website side only and relates </w:t>
      </w:r>
      <w:proofErr w:type="gramStart"/>
      <w:r w:rsidRPr="000B1A24">
        <w:rPr>
          <w:color w:val="215E99" w:themeColor="text2" w:themeTint="BF"/>
          <w:lang w:val="en-IE"/>
        </w:rPr>
        <w:t>to  linking</w:t>
      </w:r>
      <w:proofErr w:type="gramEnd"/>
      <w:r w:rsidRPr="000B1A24">
        <w:rPr>
          <w:color w:val="215E99" w:themeColor="text2" w:themeTint="BF"/>
          <w:lang w:val="en-IE"/>
        </w:rPr>
        <w:t xml:space="preserve"> to or embedding a Power BI (or similar) report that the Contracting Authority owns, configures and licenses, and ensuring the platform can expose the underlying data via export or API.</w:t>
      </w:r>
    </w:p>
    <w:p w14:paraId="77029D3F" w14:textId="77777777" w:rsidR="00EF0B7D" w:rsidRPr="000B1A24" w:rsidRDefault="00EF0B7D" w:rsidP="00EF0B7D">
      <w:pPr>
        <w:pBdr>
          <w:bottom w:val="single" w:sz="12" w:space="1" w:color="auto"/>
        </w:pBdr>
        <w:rPr>
          <w:color w:val="215E99" w:themeColor="text2" w:themeTint="BF"/>
          <w:lang w:val="en-IE"/>
        </w:rPr>
      </w:pPr>
      <w:r w:rsidRPr="000B1A24">
        <w:rPr>
          <w:color w:val="215E99" w:themeColor="text2" w:themeTint="BF"/>
          <w:lang w:val="en-IE"/>
        </w:rPr>
        <w:t xml:space="preserve">The supplier is </w:t>
      </w:r>
      <w:r w:rsidRPr="000B1A24">
        <w:rPr>
          <w:b/>
          <w:bCs/>
          <w:color w:val="215E99" w:themeColor="text2" w:themeTint="BF"/>
          <w:lang w:val="en-IE"/>
        </w:rPr>
        <w:t>not</w:t>
      </w:r>
      <w:r w:rsidRPr="000B1A24">
        <w:rPr>
          <w:color w:val="215E99" w:themeColor="text2" w:themeTint="BF"/>
          <w:lang w:val="en-IE"/>
        </w:rPr>
        <w:t xml:space="preserve"> required to design, configure, develop or license any element of the Power BI report, the SharePoint lists or the data source. These are provided by elsewhere as noted </w:t>
      </w:r>
      <w:proofErr w:type="gramStart"/>
      <w:r w:rsidRPr="000B1A24">
        <w:rPr>
          <w:color w:val="215E99" w:themeColor="text2" w:themeTint="BF"/>
          <w:lang w:val="en-IE"/>
        </w:rPr>
        <w:t>in  (</w:t>
      </w:r>
      <w:proofErr w:type="gramEnd"/>
      <w:r w:rsidRPr="000B1A24">
        <w:rPr>
          <w:color w:val="215E99" w:themeColor="text2" w:themeTint="BF"/>
          <w:lang w:val="en-IE"/>
        </w:rPr>
        <w:t>Appendix 1, A1.5.1–A1.5.2). The only related build requirement is that the platform can accommodate a future reporting integration for the Q1 2029 LA CAPs without major redevelopment.</w:t>
      </w:r>
    </w:p>
    <w:p w14:paraId="309450B2" w14:textId="77777777" w:rsidR="00071DF3" w:rsidRDefault="00071DF3" w:rsidP="00EF0B7D">
      <w:pPr>
        <w:pBdr>
          <w:bottom w:val="single" w:sz="12" w:space="1" w:color="auto"/>
        </w:pBdr>
        <w:rPr>
          <w:lang w:val="en-IE"/>
        </w:rPr>
      </w:pPr>
    </w:p>
    <w:p w14:paraId="569DBDF0" w14:textId="7321F268" w:rsidR="00071DF3" w:rsidRPr="00EF0B7D" w:rsidRDefault="00071DF3" w:rsidP="00071DF3">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en-IE"/>
        </w:rPr>
      </w:pPr>
      <w:r>
        <w:rPr>
          <w:b/>
          <w:bCs/>
          <w:lang w:val="en-IE"/>
        </w:rPr>
        <w:lastRenderedPageBreak/>
        <w:t xml:space="preserve">Message Received </w:t>
      </w:r>
      <w:r w:rsidRPr="00EF0B7D">
        <w:rPr>
          <w:b/>
          <w:bCs/>
          <w:lang w:val="en-IE"/>
        </w:rPr>
        <w:t>2026</w:t>
      </w:r>
      <w:r>
        <w:rPr>
          <w:b/>
          <w:bCs/>
          <w:lang w:val="en-IE"/>
        </w:rPr>
        <w:t>-</w:t>
      </w:r>
      <w:r w:rsidRPr="00EF0B7D">
        <w:rPr>
          <w:b/>
          <w:bCs/>
          <w:lang w:val="en-IE"/>
        </w:rPr>
        <w:t>08</w:t>
      </w:r>
      <w:r>
        <w:rPr>
          <w:b/>
          <w:bCs/>
          <w:lang w:val="en-IE"/>
        </w:rPr>
        <w:t>-</w:t>
      </w:r>
      <w:r w:rsidRPr="00EF0B7D">
        <w:rPr>
          <w:b/>
          <w:bCs/>
          <w:lang w:val="en-IE"/>
        </w:rPr>
        <w:t>20</w:t>
      </w:r>
      <w:r>
        <w:rPr>
          <w:b/>
          <w:bCs/>
          <w:lang w:val="en-IE"/>
        </w:rPr>
        <w:t>-</w:t>
      </w:r>
      <w:r w:rsidR="00D74771">
        <w:rPr>
          <w:b/>
          <w:bCs/>
          <w:lang w:val="en-IE"/>
        </w:rPr>
        <w:t>00.07</w:t>
      </w:r>
    </w:p>
    <w:p w14:paraId="1089036A" w14:textId="77777777" w:rsidR="009B127A" w:rsidRPr="001A197D" w:rsidRDefault="009B127A" w:rsidP="009664C5">
      <w:pPr>
        <w:pBdr>
          <w:bottom w:val="single" w:sz="12" w:space="1" w:color="auto"/>
        </w:pBdr>
        <w:rPr>
          <w:b/>
          <w:bCs/>
        </w:rPr>
      </w:pPr>
      <w:r w:rsidRPr="0096550B">
        <w:rPr>
          <w:b/>
          <w:bCs/>
        </w:rPr>
        <w:t>Query regarding Financial Capacity Requirement (Turnover</w:t>
      </w:r>
    </w:p>
    <w:p w14:paraId="75105F1C" w14:textId="6B0DEEA4" w:rsidR="009664C5" w:rsidRPr="009664C5" w:rsidRDefault="009664C5" w:rsidP="009664C5">
      <w:pPr>
        <w:pBdr>
          <w:bottom w:val="single" w:sz="12" w:space="1" w:color="auto"/>
        </w:pBdr>
        <w:rPr>
          <w:lang w:val="en-IE"/>
        </w:rPr>
      </w:pPr>
      <w:r w:rsidRPr="009664C5">
        <w:rPr>
          <w:lang w:val="en-IE"/>
        </w:rPr>
        <w:t>We are currently preparing our submission for the CARO.ie website redevelopment and would like to request a clarification regarding the €210,000 annual turnover requirement outlined in Section 4.3. Given the Contracting Authority’s policy to promote SME participation, would you be open to waiving or adjusting this threshold?</w:t>
      </w:r>
    </w:p>
    <w:p w14:paraId="1BD3CDDF" w14:textId="77777777" w:rsidR="00E86AAF" w:rsidRPr="00EF0B7D" w:rsidRDefault="00E86AAF" w:rsidP="00E86AAF">
      <w:pPr>
        <w:rPr>
          <w:b/>
          <w:bCs/>
        </w:rPr>
      </w:pPr>
      <w:r w:rsidRPr="00EF0B7D">
        <w:rPr>
          <w:b/>
          <w:bCs/>
        </w:rPr>
        <w:t>Response</w:t>
      </w:r>
      <w:r>
        <w:rPr>
          <w:b/>
          <w:bCs/>
        </w:rPr>
        <w:t>:</w:t>
      </w:r>
    </w:p>
    <w:p w14:paraId="528C228F" w14:textId="13ADCFDF" w:rsidR="00071DF3" w:rsidRPr="000C0B09" w:rsidRDefault="00D00CA6" w:rsidP="00EF0B7D">
      <w:pPr>
        <w:pBdr>
          <w:bottom w:val="single" w:sz="12" w:space="1" w:color="auto"/>
        </w:pBdr>
        <w:rPr>
          <w:color w:val="215E99" w:themeColor="text2" w:themeTint="BF"/>
          <w:lang w:val="en-IE"/>
        </w:rPr>
      </w:pPr>
      <w:r w:rsidRPr="000C0B09">
        <w:rPr>
          <w:color w:val="215E99" w:themeColor="text2" w:themeTint="BF"/>
          <w:lang w:val="en-IE"/>
        </w:rPr>
        <w:t>The an</w:t>
      </w:r>
      <w:r w:rsidR="0065678C" w:rsidRPr="000C0B09">
        <w:rPr>
          <w:color w:val="215E99" w:themeColor="text2" w:themeTint="BF"/>
          <w:lang w:val="en-IE"/>
        </w:rPr>
        <w:t xml:space="preserve">nual </w:t>
      </w:r>
      <w:r w:rsidR="004F62B7" w:rsidRPr="000C0B09">
        <w:rPr>
          <w:color w:val="215E99" w:themeColor="text2" w:themeTint="BF"/>
          <w:lang w:val="en-IE"/>
        </w:rPr>
        <w:t>turn</w:t>
      </w:r>
      <w:r w:rsidR="007C251C" w:rsidRPr="000C0B09">
        <w:rPr>
          <w:color w:val="215E99" w:themeColor="text2" w:themeTint="BF"/>
          <w:lang w:val="en-IE"/>
        </w:rPr>
        <w:t>over</w:t>
      </w:r>
      <w:r w:rsidR="007D4310" w:rsidRPr="000C0B09">
        <w:rPr>
          <w:color w:val="215E99" w:themeColor="text2" w:themeTint="BF"/>
          <w:lang w:val="en-IE"/>
        </w:rPr>
        <w:t xml:space="preserve"> req</w:t>
      </w:r>
      <w:r w:rsidR="00666002" w:rsidRPr="000C0B09">
        <w:rPr>
          <w:color w:val="215E99" w:themeColor="text2" w:themeTint="BF"/>
          <w:lang w:val="en-IE"/>
        </w:rPr>
        <w:t>uire</w:t>
      </w:r>
      <w:r w:rsidR="0057408F" w:rsidRPr="000C0B09">
        <w:rPr>
          <w:color w:val="215E99" w:themeColor="text2" w:themeTint="BF"/>
          <w:lang w:val="en-IE"/>
        </w:rPr>
        <w:t xml:space="preserve">ment </w:t>
      </w:r>
      <w:r w:rsidR="001D0791" w:rsidRPr="000C0B09">
        <w:rPr>
          <w:color w:val="215E99" w:themeColor="text2" w:themeTint="BF"/>
          <w:lang w:val="en-IE"/>
        </w:rPr>
        <w:t>will</w:t>
      </w:r>
      <w:r w:rsidR="00C16DDD" w:rsidRPr="000C0B09">
        <w:rPr>
          <w:color w:val="215E99" w:themeColor="text2" w:themeTint="BF"/>
          <w:lang w:val="en-IE"/>
        </w:rPr>
        <w:t xml:space="preserve"> not b</w:t>
      </w:r>
      <w:r w:rsidR="00253BA7" w:rsidRPr="000C0B09">
        <w:rPr>
          <w:color w:val="215E99" w:themeColor="text2" w:themeTint="BF"/>
          <w:lang w:val="en-IE"/>
        </w:rPr>
        <w:t>e adj</w:t>
      </w:r>
      <w:r w:rsidR="00B566CF" w:rsidRPr="000C0B09">
        <w:rPr>
          <w:color w:val="215E99" w:themeColor="text2" w:themeTint="BF"/>
          <w:lang w:val="en-IE"/>
        </w:rPr>
        <w:t>usted</w:t>
      </w:r>
      <w:r w:rsidR="00852F16" w:rsidRPr="000C0B09">
        <w:rPr>
          <w:color w:val="215E99" w:themeColor="text2" w:themeTint="BF"/>
          <w:lang w:val="en-IE"/>
        </w:rPr>
        <w:t>.</w:t>
      </w:r>
    </w:p>
    <w:p w14:paraId="0A6BD10B" w14:textId="483DEF9E" w:rsidR="000B4E8F" w:rsidRPr="00EF0B7D" w:rsidRDefault="000B4E8F" w:rsidP="000B4E8F">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en-IE"/>
        </w:rPr>
      </w:pPr>
      <w:r>
        <w:rPr>
          <w:b/>
          <w:bCs/>
          <w:lang w:val="en-IE"/>
        </w:rPr>
        <w:t xml:space="preserve">Message Received </w:t>
      </w:r>
      <w:r w:rsidRPr="00EF0B7D">
        <w:rPr>
          <w:b/>
          <w:bCs/>
          <w:lang w:val="en-IE"/>
        </w:rPr>
        <w:t>2026</w:t>
      </w:r>
      <w:r>
        <w:rPr>
          <w:b/>
          <w:bCs/>
          <w:lang w:val="en-IE"/>
        </w:rPr>
        <w:t>-</w:t>
      </w:r>
      <w:r w:rsidRPr="00EF0B7D">
        <w:rPr>
          <w:b/>
          <w:bCs/>
          <w:lang w:val="en-IE"/>
        </w:rPr>
        <w:t>08</w:t>
      </w:r>
      <w:r>
        <w:rPr>
          <w:b/>
          <w:bCs/>
          <w:lang w:val="en-IE"/>
        </w:rPr>
        <w:t>-</w:t>
      </w:r>
      <w:r w:rsidRPr="00EF0B7D">
        <w:rPr>
          <w:b/>
          <w:bCs/>
          <w:lang w:val="en-IE"/>
        </w:rPr>
        <w:t>2</w:t>
      </w:r>
      <w:r>
        <w:rPr>
          <w:b/>
          <w:bCs/>
          <w:lang w:val="en-IE"/>
        </w:rPr>
        <w:t>1-10.56</w:t>
      </w:r>
    </w:p>
    <w:p w14:paraId="5B5BCB1F" w14:textId="7098BCF7" w:rsidR="004F46C5" w:rsidRPr="004F46C5" w:rsidRDefault="004F46C5" w:rsidP="004F46C5">
      <w:pPr>
        <w:rPr>
          <w:lang w:val="en-IE"/>
        </w:rPr>
      </w:pPr>
      <w:r w:rsidRPr="00752CEB">
        <w:rPr>
          <w:b/>
          <w:bCs/>
          <w:lang w:val="en-IE"/>
        </w:rPr>
        <w:t>Eligibility of EU-based tenderers / Tax Clearance</w:t>
      </w:r>
    </w:p>
    <w:p w14:paraId="6B8C58D9" w14:textId="77777777" w:rsidR="004F46C5" w:rsidRPr="004F46C5" w:rsidRDefault="004F46C5" w:rsidP="004F46C5">
      <w:pPr>
        <w:rPr>
          <w:lang w:val="en-IE"/>
        </w:rPr>
      </w:pPr>
      <w:r w:rsidRPr="004F46C5">
        <w:rPr>
          <w:lang w:val="en-IE"/>
        </w:rPr>
        <w:t>Are economic operators established in EU Member States outside Ireland eligible to tender for this contract?</w:t>
      </w:r>
    </w:p>
    <w:p w14:paraId="3A640FBA" w14:textId="77777777" w:rsidR="00991643" w:rsidRPr="00EF0B7D" w:rsidRDefault="00991643" w:rsidP="00991643">
      <w:pPr>
        <w:rPr>
          <w:b/>
          <w:bCs/>
        </w:rPr>
      </w:pPr>
      <w:r w:rsidRPr="00EF0B7D">
        <w:rPr>
          <w:b/>
          <w:bCs/>
        </w:rPr>
        <w:t>Response</w:t>
      </w:r>
      <w:r>
        <w:rPr>
          <w:b/>
          <w:bCs/>
        </w:rPr>
        <w:t>:</w:t>
      </w:r>
    </w:p>
    <w:p w14:paraId="31ACBB4C" w14:textId="50D94D53" w:rsidR="009752FE" w:rsidRPr="005D5BB6" w:rsidRDefault="000B7E5C" w:rsidP="004F46C5">
      <w:pPr>
        <w:rPr>
          <w:color w:val="215E99" w:themeColor="text2" w:themeTint="BF"/>
          <w:lang w:val="en-IE"/>
        </w:rPr>
      </w:pPr>
      <w:r w:rsidRPr="005D5BB6">
        <w:rPr>
          <w:color w:val="215E99" w:themeColor="text2" w:themeTint="BF"/>
          <w:lang w:val="en-IE"/>
        </w:rPr>
        <w:t>Yes</w:t>
      </w:r>
      <w:r w:rsidR="00CA6DC5" w:rsidRPr="005D5BB6">
        <w:rPr>
          <w:color w:val="215E99" w:themeColor="text2" w:themeTint="BF"/>
          <w:lang w:val="en-IE"/>
        </w:rPr>
        <w:t xml:space="preserve">. </w:t>
      </w:r>
      <w:r w:rsidR="00151527" w:rsidRPr="005D5BB6">
        <w:rPr>
          <w:color w:val="215E99" w:themeColor="text2" w:themeTint="BF"/>
          <w:lang w:val="en-IE"/>
        </w:rPr>
        <w:t>Op</w:t>
      </w:r>
      <w:r w:rsidR="00D118B8" w:rsidRPr="005D5BB6">
        <w:rPr>
          <w:color w:val="215E99" w:themeColor="text2" w:themeTint="BF"/>
          <w:lang w:val="en-IE"/>
        </w:rPr>
        <w:t>erato</w:t>
      </w:r>
      <w:r w:rsidR="00192AA5" w:rsidRPr="005D5BB6">
        <w:rPr>
          <w:color w:val="215E99" w:themeColor="text2" w:themeTint="BF"/>
          <w:lang w:val="en-IE"/>
        </w:rPr>
        <w:t>r</w:t>
      </w:r>
      <w:r w:rsidR="007D0E82" w:rsidRPr="005D5BB6">
        <w:rPr>
          <w:color w:val="215E99" w:themeColor="text2" w:themeTint="BF"/>
          <w:lang w:val="en-IE"/>
        </w:rPr>
        <w:t>s</w:t>
      </w:r>
      <w:r w:rsidR="00506AA8" w:rsidRPr="005D5BB6">
        <w:rPr>
          <w:color w:val="215E99" w:themeColor="text2" w:themeTint="BF"/>
          <w:lang w:val="en-IE"/>
        </w:rPr>
        <w:t xml:space="preserve"> </w:t>
      </w:r>
      <w:r w:rsidR="003A3887" w:rsidRPr="005D5BB6">
        <w:rPr>
          <w:color w:val="215E99" w:themeColor="text2" w:themeTint="BF"/>
          <w:lang w:val="en-IE"/>
        </w:rPr>
        <w:t>withi</w:t>
      </w:r>
      <w:r w:rsidR="00802E79" w:rsidRPr="005D5BB6">
        <w:rPr>
          <w:color w:val="215E99" w:themeColor="text2" w:themeTint="BF"/>
          <w:lang w:val="en-IE"/>
        </w:rPr>
        <w:t xml:space="preserve">n the </w:t>
      </w:r>
      <w:r w:rsidR="00B140D8" w:rsidRPr="002015B7">
        <w:rPr>
          <w:color w:val="215E99" w:themeColor="text2" w:themeTint="BF"/>
          <w:lang w:val="en-IE"/>
        </w:rPr>
        <w:t xml:space="preserve">EU </w:t>
      </w:r>
      <w:r w:rsidR="00627FE3" w:rsidRPr="002015B7">
        <w:rPr>
          <w:color w:val="215E99" w:themeColor="text2" w:themeTint="BF"/>
          <w:lang w:val="en-IE"/>
        </w:rPr>
        <w:t xml:space="preserve">Member States </w:t>
      </w:r>
      <w:r w:rsidR="00B140D8" w:rsidRPr="005D5BB6">
        <w:rPr>
          <w:color w:val="215E99" w:themeColor="text2" w:themeTint="BF"/>
          <w:lang w:val="en-IE"/>
        </w:rPr>
        <w:t>a</w:t>
      </w:r>
      <w:r w:rsidR="000F5C70" w:rsidRPr="005D5BB6">
        <w:rPr>
          <w:color w:val="215E99" w:themeColor="text2" w:themeTint="BF"/>
          <w:lang w:val="en-IE"/>
        </w:rPr>
        <w:t>re eligi</w:t>
      </w:r>
      <w:r w:rsidR="004A7C97" w:rsidRPr="005D5BB6">
        <w:rPr>
          <w:color w:val="215E99" w:themeColor="text2" w:themeTint="BF"/>
          <w:lang w:val="en-IE"/>
        </w:rPr>
        <w:t>ble t</w:t>
      </w:r>
      <w:r w:rsidR="00FB2099" w:rsidRPr="005D5BB6">
        <w:rPr>
          <w:color w:val="215E99" w:themeColor="text2" w:themeTint="BF"/>
          <w:lang w:val="en-IE"/>
        </w:rPr>
        <w:t>o ten</w:t>
      </w:r>
      <w:r w:rsidR="00B92CDE" w:rsidRPr="005D5BB6">
        <w:rPr>
          <w:color w:val="215E99" w:themeColor="text2" w:themeTint="BF"/>
          <w:lang w:val="en-IE"/>
        </w:rPr>
        <w:t>der.</w:t>
      </w:r>
    </w:p>
    <w:p w14:paraId="02396EF4" w14:textId="3404A7F9" w:rsidR="004F46C5" w:rsidRPr="004F46C5" w:rsidRDefault="004F46C5" w:rsidP="004F46C5">
      <w:pPr>
        <w:rPr>
          <w:lang w:val="en-IE"/>
        </w:rPr>
      </w:pPr>
      <w:r w:rsidRPr="004F46C5">
        <w:rPr>
          <w:lang w:val="en-IE"/>
        </w:rPr>
        <w:t>If so, could you please confirm how a non-Irish tenderer should complete the </w:t>
      </w:r>
      <w:r w:rsidRPr="004F46C5">
        <w:rPr>
          <w:b/>
          <w:bCs/>
          <w:lang w:val="en-IE"/>
        </w:rPr>
        <w:t xml:space="preserve">Pass/Fail </w:t>
      </w:r>
      <w:r w:rsidRPr="00880B3C">
        <w:rPr>
          <w:b/>
          <w:bCs/>
          <w:lang w:val="en-IE"/>
        </w:rPr>
        <w:t>Financial Information – Tax Clearance</w:t>
      </w:r>
      <w:r w:rsidRPr="004F46C5">
        <w:rPr>
          <w:lang w:val="en-IE"/>
        </w:rPr>
        <w:t> section of the Tender Response Document, including what equivalent tax clearance information or documentation should be provided?</w:t>
      </w:r>
    </w:p>
    <w:p w14:paraId="28F67D7D" w14:textId="77777777" w:rsidR="005B0F32" w:rsidRPr="00EF0B7D" w:rsidRDefault="005B0F32" w:rsidP="005B0F32">
      <w:pPr>
        <w:rPr>
          <w:b/>
          <w:bCs/>
        </w:rPr>
      </w:pPr>
      <w:r w:rsidRPr="00EF0B7D">
        <w:rPr>
          <w:b/>
          <w:bCs/>
        </w:rPr>
        <w:t>Response</w:t>
      </w:r>
      <w:r>
        <w:rPr>
          <w:b/>
          <w:bCs/>
        </w:rPr>
        <w:t>:</w:t>
      </w:r>
    </w:p>
    <w:p w14:paraId="43336FFC" w14:textId="635EB3CE" w:rsidR="00D14BE2" w:rsidRPr="007F05B3" w:rsidRDefault="00A31A4D" w:rsidP="004F46C5">
      <w:pPr>
        <w:rPr>
          <w:color w:val="215E99" w:themeColor="text2" w:themeTint="BF"/>
          <w:lang w:val="en-IE"/>
        </w:rPr>
      </w:pPr>
      <w:r>
        <w:rPr>
          <w:color w:val="215E99" w:themeColor="text2" w:themeTint="BF"/>
          <w:lang w:val="en-IE"/>
        </w:rPr>
        <w:t>Co</w:t>
      </w:r>
      <w:r w:rsidR="00DD6EE4">
        <w:rPr>
          <w:color w:val="215E99" w:themeColor="text2" w:themeTint="BF"/>
          <w:lang w:val="en-IE"/>
        </w:rPr>
        <w:t>nfir</w:t>
      </w:r>
      <w:r w:rsidR="00777B4F">
        <w:rPr>
          <w:color w:val="215E99" w:themeColor="text2" w:themeTint="BF"/>
          <w:lang w:val="en-IE"/>
        </w:rPr>
        <w:t>mation</w:t>
      </w:r>
      <w:r w:rsidR="0061119B">
        <w:rPr>
          <w:color w:val="215E99" w:themeColor="text2" w:themeTint="BF"/>
          <w:lang w:val="en-IE"/>
        </w:rPr>
        <w:t xml:space="preserve"> </w:t>
      </w:r>
      <w:r w:rsidR="00B7583F">
        <w:rPr>
          <w:color w:val="215E99" w:themeColor="text2" w:themeTint="BF"/>
          <w:lang w:val="en-IE"/>
        </w:rPr>
        <w:t>of</w:t>
      </w:r>
      <w:r w:rsidR="00B67D0E">
        <w:rPr>
          <w:color w:val="215E99" w:themeColor="text2" w:themeTint="BF"/>
          <w:lang w:val="en-IE"/>
        </w:rPr>
        <w:t xml:space="preserve"> </w:t>
      </w:r>
      <w:r w:rsidR="009535BD">
        <w:rPr>
          <w:color w:val="215E99" w:themeColor="text2" w:themeTint="BF"/>
          <w:lang w:val="en-IE"/>
        </w:rPr>
        <w:t>Tax c</w:t>
      </w:r>
      <w:r w:rsidR="001021F0">
        <w:rPr>
          <w:color w:val="215E99" w:themeColor="text2" w:themeTint="BF"/>
          <w:lang w:val="en-IE"/>
        </w:rPr>
        <w:t>leara</w:t>
      </w:r>
      <w:r w:rsidR="00983BEF">
        <w:rPr>
          <w:color w:val="215E99" w:themeColor="text2" w:themeTint="BF"/>
          <w:lang w:val="en-IE"/>
        </w:rPr>
        <w:t>nce</w:t>
      </w:r>
      <w:r w:rsidR="004A272F">
        <w:rPr>
          <w:color w:val="215E99" w:themeColor="text2" w:themeTint="BF"/>
          <w:lang w:val="en-IE"/>
        </w:rPr>
        <w:t xml:space="preserve"> do</w:t>
      </w:r>
      <w:r w:rsidR="000606B8">
        <w:rPr>
          <w:color w:val="215E99" w:themeColor="text2" w:themeTint="BF"/>
          <w:lang w:val="en-IE"/>
        </w:rPr>
        <w:t>cumen</w:t>
      </w:r>
      <w:r w:rsidR="00017E24">
        <w:rPr>
          <w:color w:val="215E99" w:themeColor="text2" w:themeTint="BF"/>
          <w:lang w:val="en-IE"/>
        </w:rPr>
        <w:t>tation</w:t>
      </w:r>
      <w:r w:rsidR="00220031">
        <w:rPr>
          <w:color w:val="215E99" w:themeColor="text2" w:themeTint="BF"/>
          <w:lang w:val="en-IE"/>
        </w:rPr>
        <w:t xml:space="preserve"> fr</w:t>
      </w:r>
      <w:r w:rsidR="004D43E6">
        <w:rPr>
          <w:color w:val="215E99" w:themeColor="text2" w:themeTint="BF"/>
          <w:lang w:val="en-IE"/>
        </w:rPr>
        <w:t>om wi</w:t>
      </w:r>
      <w:r w:rsidR="00D8033B">
        <w:rPr>
          <w:color w:val="215E99" w:themeColor="text2" w:themeTint="BF"/>
          <w:lang w:val="en-IE"/>
        </w:rPr>
        <w:t>thin t</w:t>
      </w:r>
      <w:r w:rsidR="001F18EA">
        <w:rPr>
          <w:color w:val="215E99" w:themeColor="text2" w:themeTint="BF"/>
          <w:lang w:val="en-IE"/>
        </w:rPr>
        <w:t>he rele</w:t>
      </w:r>
      <w:r w:rsidR="00C654CB">
        <w:rPr>
          <w:color w:val="215E99" w:themeColor="text2" w:themeTint="BF"/>
          <w:lang w:val="en-IE"/>
        </w:rPr>
        <w:t>vant m</w:t>
      </w:r>
      <w:r w:rsidR="00C774C7">
        <w:rPr>
          <w:color w:val="215E99" w:themeColor="text2" w:themeTint="BF"/>
          <w:lang w:val="en-IE"/>
        </w:rPr>
        <w:t>emb</w:t>
      </w:r>
      <w:r w:rsidR="00176E4B">
        <w:rPr>
          <w:color w:val="215E99" w:themeColor="text2" w:themeTint="BF"/>
          <w:lang w:val="en-IE"/>
        </w:rPr>
        <w:t>er stat</w:t>
      </w:r>
      <w:r w:rsidR="00C92779">
        <w:rPr>
          <w:color w:val="215E99" w:themeColor="text2" w:themeTint="BF"/>
          <w:lang w:val="en-IE"/>
        </w:rPr>
        <w:t>e will be</w:t>
      </w:r>
      <w:r w:rsidR="006431D3">
        <w:rPr>
          <w:color w:val="215E99" w:themeColor="text2" w:themeTint="BF"/>
          <w:lang w:val="en-IE"/>
        </w:rPr>
        <w:t xml:space="preserve"> </w:t>
      </w:r>
      <w:r w:rsidR="0050370A">
        <w:rPr>
          <w:color w:val="215E99" w:themeColor="text2" w:themeTint="BF"/>
          <w:lang w:val="en-IE"/>
        </w:rPr>
        <w:t>acc</w:t>
      </w:r>
      <w:r w:rsidR="00485B1C">
        <w:rPr>
          <w:color w:val="215E99" w:themeColor="text2" w:themeTint="BF"/>
          <w:lang w:val="en-IE"/>
        </w:rPr>
        <w:t>epted</w:t>
      </w:r>
      <w:r w:rsidR="00F133AA">
        <w:rPr>
          <w:color w:val="215E99" w:themeColor="text2" w:themeTint="BF"/>
          <w:lang w:val="en-IE"/>
        </w:rPr>
        <w:t xml:space="preserve"> </w:t>
      </w:r>
      <w:r w:rsidR="00F22D9B">
        <w:rPr>
          <w:color w:val="215E99" w:themeColor="text2" w:themeTint="BF"/>
          <w:lang w:val="en-IE"/>
        </w:rPr>
        <w:t>pro</w:t>
      </w:r>
      <w:r w:rsidR="006C73F6">
        <w:rPr>
          <w:color w:val="215E99" w:themeColor="text2" w:themeTint="BF"/>
          <w:lang w:val="en-IE"/>
        </w:rPr>
        <w:t>vide</w:t>
      </w:r>
      <w:r w:rsidR="009A6736">
        <w:rPr>
          <w:color w:val="215E99" w:themeColor="text2" w:themeTint="BF"/>
          <w:lang w:val="en-IE"/>
        </w:rPr>
        <w:t>d i</w:t>
      </w:r>
      <w:r w:rsidR="00FA1B5B">
        <w:rPr>
          <w:color w:val="215E99" w:themeColor="text2" w:themeTint="BF"/>
          <w:lang w:val="en-IE"/>
        </w:rPr>
        <w:t xml:space="preserve">t </w:t>
      </w:r>
      <w:r w:rsidR="00F900E1">
        <w:rPr>
          <w:color w:val="215E99" w:themeColor="text2" w:themeTint="BF"/>
          <w:lang w:val="en-IE"/>
        </w:rPr>
        <w:t>align</w:t>
      </w:r>
      <w:r w:rsidR="004B44A1">
        <w:rPr>
          <w:color w:val="215E99" w:themeColor="text2" w:themeTint="BF"/>
          <w:lang w:val="en-IE"/>
        </w:rPr>
        <w:t xml:space="preserve">s with </w:t>
      </w:r>
      <w:proofErr w:type="spellStart"/>
      <w:r w:rsidR="00715928">
        <w:rPr>
          <w:color w:val="215E99" w:themeColor="text2" w:themeTint="BF"/>
          <w:lang w:val="en-IE"/>
        </w:rPr>
        <w:t>ir</w:t>
      </w:r>
      <w:r w:rsidR="00962D07">
        <w:rPr>
          <w:color w:val="215E99" w:themeColor="text2" w:themeTint="BF"/>
          <w:lang w:val="en-IE"/>
        </w:rPr>
        <w:t>ish</w:t>
      </w:r>
      <w:proofErr w:type="spellEnd"/>
      <w:r w:rsidR="00962D07">
        <w:rPr>
          <w:color w:val="215E99" w:themeColor="text2" w:themeTint="BF"/>
          <w:lang w:val="en-IE"/>
        </w:rPr>
        <w:t xml:space="preserve"> t</w:t>
      </w:r>
      <w:r w:rsidR="00A7723C">
        <w:rPr>
          <w:color w:val="215E99" w:themeColor="text2" w:themeTint="BF"/>
          <w:lang w:val="en-IE"/>
        </w:rPr>
        <w:t>ax c</w:t>
      </w:r>
      <w:r w:rsidR="002E3C35">
        <w:rPr>
          <w:color w:val="215E99" w:themeColor="text2" w:themeTint="BF"/>
          <w:lang w:val="en-IE"/>
        </w:rPr>
        <w:t>learan</w:t>
      </w:r>
      <w:r w:rsidR="00D34A77">
        <w:rPr>
          <w:color w:val="215E99" w:themeColor="text2" w:themeTint="BF"/>
          <w:lang w:val="en-IE"/>
        </w:rPr>
        <w:t>ce requi</w:t>
      </w:r>
      <w:r w:rsidR="00607D6E">
        <w:rPr>
          <w:color w:val="215E99" w:themeColor="text2" w:themeTint="BF"/>
          <w:lang w:val="en-IE"/>
        </w:rPr>
        <w:t>reme</w:t>
      </w:r>
      <w:r w:rsidR="00D67E55">
        <w:rPr>
          <w:color w:val="215E99" w:themeColor="text2" w:themeTint="BF"/>
          <w:lang w:val="en-IE"/>
        </w:rPr>
        <w:t>nts</w:t>
      </w:r>
      <w:r w:rsidR="004868D4">
        <w:rPr>
          <w:color w:val="215E99" w:themeColor="text2" w:themeTint="BF"/>
          <w:lang w:val="en-IE"/>
        </w:rPr>
        <w:t>.</w:t>
      </w:r>
    </w:p>
    <w:p w14:paraId="70622C54" w14:textId="711163ED" w:rsidR="004F46C5" w:rsidRPr="004F46C5" w:rsidRDefault="004F46C5" w:rsidP="004F46C5">
      <w:pPr>
        <w:rPr>
          <w:lang w:val="en-IE"/>
        </w:rPr>
      </w:pPr>
      <w:r w:rsidRPr="004F46C5">
        <w:rPr>
          <w:b/>
          <w:bCs/>
          <w:lang w:val="en-IE"/>
        </w:rPr>
        <w:t xml:space="preserve">2. </w:t>
      </w:r>
      <w:r w:rsidRPr="009661CB">
        <w:rPr>
          <w:b/>
          <w:bCs/>
          <w:lang w:val="en-IE"/>
        </w:rPr>
        <w:t>Previous Contracts / Comparable Experience</w:t>
      </w:r>
    </w:p>
    <w:p w14:paraId="014B7A5F" w14:textId="77777777" w:rsidR="004F46C5" w:rsidRPr="004F46C5" w:rsidRDefault="004F46C5" w:rsidP="004F46C5">
      <w:pPr>
        <w:rPr>
          <w:lang w:val="en-IE"/>
        </w:rPr>
      </w:pPr>
      <w:r w:rsidRPr="004F46C5">
        <w:rPr>
          <w:lang w:val="en-IE"/>
        </w:rPr>
        <w:t>The RFT requires tenderers to provide two previous comparable contracts demonstrating experience in the design and build of a content-managed, public-facing website with restricted-access functionality delivered to WCAG 2.1 AA.</w:t>
      </w:r>
    </w:p>
    <w:p w14:paraId="47A24FA0" w14:textId="77777777" w:rsidR="004F46C5" w:rsidRPr="004F46C5" w:rsidRDefault="004F46C5" w:rsidP="004F46C5">
      <w:r w:rsidRPr="004F46C5">
        <w:rPr>
          <w:lang w:val="en-IE"/>
        </w:rPr>
        <w:t>Could you please confirm whether </w:t>
      </w:r>
      <w:r w:rsidRPr="004F46C5">
        <w:rPr>
          <w:b/>
          <w:bCs/>
          <w:lang w:val="en-IE"/>
        </w:rPr>
        <w:t>each of the two reference contracts must individually demonstrate all of these elements</w:t>
      </w:r>
      <w:r w:rsidRPr="004F46C5">
        <w:rPr>
          <w:lang w:val="en-IE"/>
        </w:rPr>
        <w:t> — CMS/public-facing website, restricted-access functionality and WCAG 2.1 AA — or whether the required experience may be demonstrated collectively across the two references?</w:t>
      </w:r>
    </w:p>
    <w:p w14:paraId="53EE5DE5" w14:textId="49D747BD" w:rsidR="044C3137" w:rsidRPr="00FF528A" w:rsidRDefault="044C3137" w:rsidP="749912DA">
      <w:pPr>
        <w:spacing w:after="120"/>
        <w:rPr>
          <w:lang w:val="en-IE"/>
        </w:rPr>
      </w:pPr>
      <w:r w:rsidRPr="00FF528A">
        <w:rPr>
          <w:b/>
          <w:bCs/>
          <w:lang w:val="en-IE"/>
        </w:rPr>
        <w:t>Response:</w:t>
      </w:r>
      <w:r w:rsidRPr="00FF528A">
        <w:rPr>
          <w:lang w:val="en-IE"/>
        </w:rPr>
        <w:t xml:space="preserve"> </w:t>
      </w:r>
    </w:p>
    <w:p w14:paraId="7C9C6011" w14:textId="40187B64" w:rsidR="044C3137" w:rsidRPr="0024766E" w:rsidRDefault="044C3137" w:rsidP="72CE27FA">
      <w:pPr>
        <w:spacing w:after="120"/>
        <w:rPr>
          <w:color w:val="215E99" w:themeColor="text2" w:themeTint="BF"/>
          <w:lang w:val="en-IE"/>
        </w:rPr>
      </w:pPr>
      <w:r w:rsidRPr="0024766E">
        <w:rPr>
          <w:color w:val="215E99" w:themeColor="text2" w:themeTint="BF"/>
          <w:lang w:val="en-IE"/>
        </w:rPr>
        <w:t xml:space="preserve">Each of the two reference contracts must individually be for the design and build of a content-managed, public-facing website, and must be comparable in scope, scale and </w:t>
      </w:r>
      <w:r w:rsidRPr="0024766E">
        <w:rPr>
          <w:color w:val="215E99" w:themeColor="text2" w:themeTint="BF"/>
          <w:lang w:val="en-IE"/>
        </w:rPr>
        <w:lastRenderedPageBreak/>
        <w:t xml:space="preserve">complexity to this requirement. The restricted-access functionality and WCAG 2.1 AA elements may be demonstrated across the two references collectively rather than being present in both, provided the tenderer clearly identifies which reference </w:t>
      </w:r>
      <w:proofErr w:type="gramStart"/>
      <w:r w:rsidRPr="0024766E">
        <w:rPr>
          <w:color w:val="215E99" w:themeColor="text2" w:themeTint="BF"/>
          <w:lang w:val="en-IE"/>
        </w:rPr>
        <w:t>evidences</w:t>
      </w:r>
      <w:proofErr w:type="gramEnd"/>
      <w:r w:rsidRPr="0024766E">
        <w:rPr>
          <w:color w:val="215E99" w:themeColor="text2" w:themeTint="BF"/>
          <w:lang w:val="en-IE"/>
        </w:rPr>
        <w:t xml:space="preserve"> each element.</w:t>
      </w:r>
    </w:p>
    <w:p w14:paraId="6B3A1125" w14:textId="543FDFDD" w:rsidR="5E06008D" w:rsidRDefault="5E06008D" w:rsidP="5E06008D">
      <w:pPr>
        <w:rPr>
          <w:lang w:val="en-IE"/>
        </w:rPr>
      </w:pPr>
    </w:p>
    <w:p w14:paraId="38D5810C" w14:textId="77777777" w:rsidR="004F46C5" w:rsidRPr="004F46C5" w:rsidRDefault="004F46C5" w:rsidP="004F46C5">
      <w:pPr>
        <w:rPr>
          <w:lang w:val="en-IE"/>
        </w:rPr>
      </w:pPr>
      <w:r w:rsidRPr="004F46C5">
        <w:rPr>
          <w:b/>
          <w:bCs/>
          <w:lang w:val="en-IE"/>
        </w:rPr>
        <w:t xml:space="preserve">3. </w:t>
      </w:r>
      <w:r w:rsidRPr="001C7DDA">
        <w:rPr>
          <w:b/>
          <w:bCs/>
          <w:lang w:val="en-IE"/>
        </w:rPr>
        <w:t>Insurance Requirements</w:t>
      </w:r>
    </w:p>
    <w:p w14:paraId="71C47915" w14:textId="77777777" w:rsidR="004F46C5" w:rsidRPr="004F46C5" w:rsidRDefault="004F46C5" w:rsidP="004F46C5">
      <w:pPr>
        <w:rPr>
          <w:lang w:val="en-IE"/>
        </w:rPr>
      </w:pPr>
      <w:r w:rsidRPr="004F46C5">
        <w:rPr>
          <w:lang w:val="en-IE"/>
        </w:rPr>
        <w:t>Could you please confirm that where a tenderer does not currently hold all of the insurance limits specified in the Tender Response Document, it is acceptable at tender stage to confirm that the required levels will be put in place if the tenderer is successful, supported by confirmation from an insurance broker if requested?</w:t>
      </w:r>
    </w:p>
    <w:p w14:paraId="08A0CC89" w14:textId="77777777" w:rsidR="00D503DE" w:rsidRPr="00FF528A" w:rsidRDefault="00D503DE" w:rsidP="00D503DE">
      <w:pPr>
        <w:spacing w:after="120"/>
        <w:rPr>
          <w:lang w:val="en-IE"/>
        </w:rPr>
      </w:pPr>
      <w:r w:rsidRPr="00FF528A">
        <w:rPr>
          <w:b/>
          <w:bCs/>
          <w:lang w:val="en-IE"/>
        </w:rPr>
        <w:t>Response:</w:t>
      </w:r>
      <w:r w:rsidRPr="00FF528A">
        <w:rPr>
          <w:lang w:val="en-IE"/>
        </w:rPr>
        <w:t xml:space="preserve"> </w:t>
      </w:r>
    </w:p>
    <w:p w14:paraId="41D5E122" w14:textId="560A68CD" w:rsidR="00FF500E" w:rsidRPr="00624A40" w:rsidRDefault="00B70EC4" w:rsidP="004F46C5">
      <w:pPr>
        <w:rPr>
          <w:color w:val="215E99" w:themeColor="text2" w:themeTint="BF"/>
          <w:lang w:val="en-IE"/>
        </w:rPr>
      </w:pPr>
      <w:proofErr w:type="gramStart"/>
      <w:r w:rsidRPr="00624A40">
        <w:rPr>
          <w:color w:val="215E99" w:themeColor="text2" w:themeTint="BF"/>
          <w:lang w:val="en-IE"/>
        </w:rPr>
        <w:t>Ye</w:t>
      </w:r>
      <w:r w:rsidR="00034F19" w:rsidRPr="00624A40">
        <w:rPr>
          <w:color w:val="215E99" w:themeColor="text2" w:themeTint="BF"/>
          <w:lang w:val="en-IE"/>
        </w:rPr>
        <w:t>s</w:t>
      </w:r>
      <w:proofErr w:type="gramEnd"/>
      <w:r w:rsidR="00034F19" w:rsidRPr="00624A40">
        <w:rPr>
          <w:color w:val="215E99" w:themeColor="text2" w:themeTint="BF"/>
          <w:lang w:val="en-IE"/>
        </w:rPr>
        <w:t xml:space="preserve"> this</w:t>
      </w:r>
      <w:r w:rsidR="00DC348C" w:rsidRPr="00624A40">
        <w:rPr>
          <w:color w:val="215E99" w:themeColor="text2" w:themeTint="BF"/>
          <w:lang w:val="en-IE"/>
        </w:rPr>
        <w:t xml:space="preserve"> is ac</w:t>
      </w:r>
      <w:r w:rsidR="00917C9D" w:rsidRPr="00624A40">
        <w:rPr>
          <w:color w:val="215E99" w:themeColor="text2" w:themeTint="BF"/>
          <w:lang w:val="en-IE"/>
        </w:rPr>
        <w:t>cepta</w:t>
      </w:r>
      <w:r w:rsidR="005E0DB2" w:rsidRPr="00624A40">
        <w:rPr>
          <w:color w:val="215E99" w:themeColor="text2" w:themeTint="BF"/>
          <w:lang w:val="en-IE"/>
        </w:rPr>
        <w:t>ble.</w:t>
      </w:r>
      <w:r w:rsidR="00473E60" w:rsidRPr="00624A40">
        <w:rPr>
          <w:color w:val="215E99" w:themeColor="text2" w:themeTint="BF"/>
          <w:lang w:val="en-IE"/>
        </w:rPr>
        <w:t xml:space="preserve"> All </w:t>
      </w:r>
      <w:r w:rsidR="00CE1082" w:rsidRPr="00624A40">
        <w:rPr>
          <w:color w:val="215E99" w:themeColor="text2" w:themeTint="BF"/>
          <w:lang w:val="en-IE"/>
        </w:rPr>
        <w:t>ins</w:t>
      </w:r>
      <w:r w:rsidR="0080514A" w:rsidRPr="00624A40">
        <w:rPr>
          <w:color w:val="215E99" w:themeColor="text2" w:themeTint="BF"/>
          <w:lang w:val="en-IE"/>
        </w:rPr>
        <w:t>uran</w:t>
      </w:r>
      <w:r w:rsidR="00884A59" w:rsidRPr="00624A40">
        <w:rPr>
          <w:color w:val="215E99" w:themeColor="text2" w:themeTint="BF"/>
          <w:lang w:val="en-IE"/>
        </w:rPr>
        <w:t>ces m</w:t>
      </w:r>
      <w:r w:rsidR="005A358B" w:rsidRPr="00624A40">
        <w:rPr>
          <w:color w:val="215E99" w:themeColor="text2" w:themeTint="BF"/>
          <w:lang w:val="en-IE"/>
        </w:rPr>
        <w:t xml:space="preserve">ust </w:t>
      </w:r>
      <w:r w:rsidR="008F1CE2" w:rsidRPr="00624A40">
        <w:rPr>
          <w:color w:val="215E99" w:themeColor="text2" w:themeTint="BF"/>
          <w:lang w:val="en-IE"/>
        </w:rPr>
        <w:t xml:space="preserve">be in </w:t>
      </w:r>
      <w:r w:rsidR="00091E6B" w:rsidRPr="00624A40">
        <w:rPr>
          <w:color w:val="215E99" w:themeColor="text2" w:themeTint="BF"/>
          <w:lang w:val="en-IE"/>
        </w:rPr>
        <w:t xml:space="preserve">place </w:t>
      </w:r>
      <w:r w:rsidR="00122700" w:rsidRPr="00624A40">
        <w:rPr>
          <w:color w:val="215E99" w:themeColor="text2" w:themeTint="BF"/>
          <w:lang w:val="en-IE"/>
        </w:rPr>
        <w:t>befo</w:t>
      </w:r>
      <w:r w:rsidR="00994B22" w:rsidRPr="00624A40">
        <w:rPr>
          <w:color w:val="215E99" w:themeColor="text2" w:themeTint="BF"/>
          <w:lang w:val="en-IE"/>
        </w:rPr>
        <w:t>re the s</w:t>
      </w:r>
      <w:r w:rsidR="003A3DCF" w:rsidRPr="00624A40">
        <w:rPr>
          <w:color w:val="215E99" w:themeColor="text2" w:themeTint="BF"/>
          <w:lang w:val="en-IE"/>
        </w:rPr>
        <w:t>tart of the con</w:t>
      </w:r>
      <w:r w:rsidR="00C934CC" w:rsidRPr="00624A40">
        <w:rPr>
          <w:color w:val="215E99" w:themeColor="text2" w:themeTint="BF"/>
          <w:lang w:val="en-IE"/>
        </w:rPr>
        <w:t>tract.</w:t>
      </w:r>
    </w:p>
    <w:p w14:paraId="1965FEA9" w14:textId="6A61B7D2" w:rsidR="004F46C5" w:rsidRPr="004F46C5" w:rsidRDefault="004F46C5" w:rsidP="004F46C5">
      <w:pPr>
        <w:rPr>
          <w:lang w:val="en-IE"/>
        </w:rPr>
      </w:pPr>
      <w:r w:rsidRPr="004F46C5">
        <w:rPr>
          <w:b/>
          <w:bCs/>
          <w:lang w:val="en-IE"/>
        </w:rPr>
        <w:t>4</w:t>
      </w:r>
      <w:r w:rsidRPr="00393B70">
        <w:rPr>
          <w:b/>
          <w:bCs/>
          <w:lang w:val="en-IE"/>
        </w:rPr>
        <w:t>. Contract Liability, Retention and Liquidated Damages</w:t>
      </w:r>
    </w:p>
    <w:p w14:paraId="78E75FC0" w14:textId="77777777" w:rsidR="004F46C5" w:rsidRPr="004F46C5" w:rsidRDefault="004F46C5" w:rsidP="004F46C5">
      <w:pPr>
        <w:rPr>
          <w:lang w:val="en-IE"/>
        </w:rPr>
      </w:pPr>
      <w:r w:rsidRPr="004F46C5">
        <w:rPr>
          <w:lang w:val="en-IE"/>
        </w:rPr>
        <w:t>Appendix 4 contains placeholders in relation to certain contractual provisions, including the Contractor’s aggregate liability cap, retention amount and liquidated damages.</w:t>
      </w:r>
    </w:p>
    <w:p w14:paraId="5F513818" w14:textId="77777777" w:rsidR="004F46C5" w:rsidRPr="004F46C5" w:rsidRDefault="004F46C5" w:rsidP="004F46C5">
      <w:pPr>
        <w:rPr>
          <w:lang w:val="en-IE"/>
        </w:rPr>
      </w:pPr>
      <w:r w:rsidRPr="004F46C5">
        <w:rPr>
          <w:lang w:val="en-IE"/>
        </w:rPr>
        <w:t>Could you please confirm the applicable values/percentages that are intended to apply under the final contract?</w:t>
      </w:r>
    </w:p>
    <w:p w14:paraId="2A1AF73B" w14:textId="77777777" w:rsidR="00B556BC" w:rsidRPr="00FF528A" w:rsidRDefault="00B556BC" w:rsidP="00B556BC">
      <w:pPr>
        <w:spacing w:after="120"/>
        <w:rPr>
          <w:lang w:val="en-IE"/>
        </w:rPr>
      </w:pPr>
      <w:r w:rsidRPr="00FF528A">
        <w:rPr>
          <w:b/>
          <w:bCs/>
          <w:lang w:val="en-IE"/>
        </w:rPr>
        <w:t>Response:</w:t>
      </w:r>
      <w:r w:rsidRPr="00FF528A">
        <w:rPr>
          <w:lang w:val="en-IE"/>
        </w:rPr>
        <w:t xml:space="preserve"> </w:t>
      </w:r>
    </w:p>
    <w:p w14:paraId="31AA291B" w14:textId="2D6D2607" w:rsidR="00E752C1" w:rsidRPr="00626932" w:rsidRDefault="00716C8A" w:rsidP="004F46C5">
      <w:pPr>
        <w:rPr>
          <w:color w:val="215E99" w:themeColor="text2" w:themeTint="BF"/>
          <w:lang w:val="en-IE"/>
        </w:rPr>
      </w:pPr>
      <w:r w:rsidRPr="00626932">
        <w:rPr>
          <w:color w:val="215E99" w:themeColor="text2" w:themeTint="BF"/>
          <w:lang w:val="en-IE"/>
        </w:rPr>
        <w:t>T</w:t>
      </w:r>
      <w:r w:rsidR="00F62773" w:rsidRPr="00626932">
        <w:rPr>
          <w:color w:val="215E99" w:themeColor="text2" w:themeTint="BF"/>
          <w:lang w:val="en-IE"/>
        </w:rPr>
        <w:t>bc</w:t>
      </w:r>
      <w:r w:rsidRPr="00626932">
        <w:rPr>
          <w:color w:val="215E99" w:themeColor="text2" w:themeTint="BF"/>
          <w:lang w:val="en-IE"/>
        </w:rPr>
        <w:t xml:space="preserve"> at c</w:t>
      </w:r>
      <w:r w:rsidR="00571674" w:rsidRPr="00626932">
        <w:rPr>
          <w:color w:val="215E99" w:themeColor="text2" w:themeTint="BF"/>
          <w:lang w:val="en-IE"/>
        </w:rPr>
        <w:t>ontract stag</w:t>
      </w:r>
      <w:r w:rsidR="00E27AC5" w:rsidRPr="00626932">
        <w:rPr>
          <w:color w:val="215E99" w:themeColor="text2" w:themeTint="BF"/>
          <w:lang w:val="en-IE"/>
        </w:rPr>
        <w:t>e</w:t>
      </w:r>
    </w:p>
    <w:p w14:paraId="1E8D2B5B" w14:textId="125CB19E" w:rsidR="004F46C5" w:rsidRPr="004F46C5" w:rsidRDefault="00972E40" w:rsidP="004F46C5">
      <w:pPr>
        <w:rPr>
          <w:lang w:val="en-IE"/>
        </w:rPr>
      </w:pPr>
      <w:r>
        <w:rPr>
          <w:b/>
          <w:bCs/>
          <w:lang w:val="en-IE"/>
        </w:rPr>
        <w:t>5.</w:t>
      </w:r>
      <w:r w:rsidR="00843C90">
        <w:rPr>
          <w:b/>
          <w:bCs/>
          <w:lang w:val="en-IE"/>
        </w:rPr>
        <w:t xml:space="preserve"> </w:t>
      </w:r>
      <w:r w:rsidR="004F46C5" w:rsidRPr="00FA015F">
        <w:rPr>
          <w:b/>
          <w:bCs/>
          <w:lang w:val="en-IE"/>
        </w:rPr>
        <w:t xml:space="preserve"> Independent Penetration Testing</w:t>
      </w:r>
    </w:p>
    <w:p w14:paraId="28C4F1A4" w14:textId="77777777" w:rsidR="004F46C5" w:rsidRPr="004F46C5" w:rsidRDefault="004F46C5" w:rsidP="004F46C5">
      <w:pPr>
        <w:rPr>
          <w:lang w:val="en-IE"/>
        </w:rPr>
      </w:pPr>
      <w:r w:rsidRPr="004F46C5">
        <w:rPr>
          <w:lang w:val="en-IE"/>
        </w:rPr>
        <w:t>The RFT refers to independent penetration testing being undertaken by a party other than the build supplier.</w:t>
      </w:r>
    </w:p>
    <w:p w14:paraId="2676E12B" w14:textId="77777777" w:rsidR="004F46C5" w:rsidRPr="004F46C5" w:rsidRDefault="004F46C5" w:rsidP="004F46C5">
      <w:r w:rsidRPr="004F46C5">
        <w:rPr>
          <w:lang w:val="en-IE"/>
        </w:rPr>
        <w:t>Could you please confirm whether the successful tenderer is expected to appoint and fund the independent penetration-testing provider, with this cost included within the tender price, or whether this will be arranged separately by the Contracting Authority?</w:t>
      </w:r>
    </w:p>
    <w:p w14:paraId="3805308C" w14:textId="77777777" w:rsidR="008D4E11" w:rsidRPr="00FF7829" w:rsidRDefault="008D4E11" w:rsidP="008D4E11">
      <w:pPr>
        <w:rPr>
          <w:b/>
          <w:bCs/>
          <w:color w:val="215E99" w:themeColor="text2" w:themeTint="BF"/>
        </w:rPr>
      </w:pPr>
      <w:r w:rsidRPr="00FF7829">
        <w:rPr>
          <w:b/>
          <w:bCs/>
          <w:color w:val="215E99" w:themeColor="text2" w:themeTint="BF"/>
        </w:rPr>
        <w:t>Response:</w:t>
      </w:r>
    </w:p>
    <w:p w14:paraId="1387D63A" w14:textId="12A96AFE" w:rsidR="47B724A5" w:rsidRPr="00FF7829" w:rsidRDefault="0086213F" w:rsidP="47B724A5">
      <w:pPr>
        <w:rPr>
          <w:color w:val="215E99" w:themeColor="text2" w:themeTint="BF"/>
          <w:lang w:val="en-IE"/>
        </w:rPr>
      </w:pPr>
      <w:r w:rsidRPr="00FF7829">
        <w:rPr>
          <w:color w:val="215E99" w:themeColor="text2" w:themeTint="BF"/>
          <w:lang w:val="en-IE"/>
        </w:rPr>
        <w:t>The</w:t>
      </w:r>
      <w:r w:rsidR="5D6A8E9B" w:rsidRPr="00FF7829">
        <w:rPr>
          <w:color w:val="215E99" w:themeColor="text2" w:themeTint="BF"/>
          <w:lang w:val="en-IE"/>
        </w:rPr>
        <w:t xml:space="preserve"> penetration test </w:t>
      </w:r>
      <w:r w:rsidR="00690493" w:rsidRPr="00FF7829">
        <w:rPr>
          <w:color w:val="215E99" w:themeColor="text2" w:themeTint="BF"/>
          <w:lang w:val="en-IE"/>
        </w:rPr>
        <w:t>will b</w:t>
      </w:r>
      <w:r w:rsidR="008B0C50" w:rsidRPr="00FF7829">
        <w:rPr>
          <w:color w:val="215E99" w:themeColor="text2" w:themeTint="BF"/>
          <w:lang w:val="en-IE"/>
        </w:rPr>
        <w:t>e</w:t>
      </w:r>
      <w:r w:rsidR="0042546C" w:rsidRPr="00FF7829">
        <w:rPr>
          <w:color w:val="215E99" w:themeColor="text2" w:themeTint="BF"/>
          <w:lang w:val="en-IE"/>
        </w:rPr>
        <w:t xml:space="preserve"> </w:t>
      </w:r>
      <w:r w:rsidR="009C4ED8" w:rsidRPr="00FF7829">
        <w:rPr>
          <w:color w:val="215E99" w:themeColor="text2" w:themeTint="BF"/>
          <w:lang w:val="en-IE"/>
        </w:rPr>
        <w:t>ar</w:t>
      </w:r>
      <w:r w:rsidR="004B13BC" w:rsidRPr="00FF7829">
        <w:rPr>
          <w:color w:val="215E99" w:themeColor="text2" w:themeTint="BF"/>
          <w:lang w:val="en-IE"/>
        </w:rPr>
        <w:t>ranged</w:t>
      </w:r>
      <w:r w:rsidR="5D6A8E9B" w:rsidRPr="00FF7829">
        <w:rPr>
          <w:color w:val="215E99" w:themeColor="text2" w:themeTint="BF"/>
          <w:lang w:val="en-IE"/>
        </w:rPr>
        <w:t xml:space="preserve"> independent</w:t>
      </w:r>
      <w:r w:rsidR="00744D1E" w:rsidRPr="00FF7829">
        <w:rPr>
          <w:color w:val="215E99" w:themeColor="text2" w:themeTint="BF"/>
          <w:lang w:val="en-IE"/>
        </w:rPr>
        <w:t>l</w:t>
      </w:r>
      <w:r w:rsidR="00D72513" w:rsidRPr="00FF7829">
        <w:rPr>
          <w:color w:val="215E99" w:themeColor="text2" w:themeTint="BF"/>
          <w:lang w:val="en-IE"/>
        </w:rPr>
        <w:t xml:space="preserve">y and </w:t>
      </w:r>
      <w:r w:rsidR="00C37BBD" w:rsidRPr="00FF7829">
        <w:rPr>
          <w:color w:val="215E99" w:themeColor="text2" w:themeTint="BF"/>
          <w:lang w:val="en-IE"/>
        </w:rPr>
        <w:t>pai</w:t>
      </w:r>
      <w:r w:rsidR="00891E9D" w:rsidRPr="00FF7829">
        <w:rPr>
          <w:color w:val="215E99" w:themeColor="text2" w:themeTint="BF"/>
          <w:lang w:val="en-IE"/>
        </w:rPr>
        <w:t>d f</w:t>
      </w:r>
      <w:r w:rsidR="00020E63" w:rsidRPr="00FF7829">
        <w:rPr>
          <w:color w:val="215E99" w:themeColor="text2" w:themeTint="BF"/>
          <w:lang w:val="en-IE"/>
        </w:rPr>
        <w:t>or by</w:t>
      </w:r>
      <w:r w:rsidR="00193C49" w:rsidRPr="00FF7829">
        <w:rPr>
          <w:color w:val="215E99" w:themeColor="text2" w:themeTint="BF"/>
          <w:lang w:val="en-IE"/>
        </w:rPr>
        <w:t xml:space="preserve"> the C</w:t>
      </w:r>
      <w:r w:rsidR="00080214" w:rsidRPr="00FF7829">
        <w:rPr>
          <w:color w:val="215E99" w:themeColor="text2" w:themeTint="BF"/>
          <w:lang w:val="en-IE"/>
        </w:rPr>
        <w:t>ontrac</w:t>
      </w:r>
      <w:r w:rsidR="0066267A" w:rsidRPr="00FF7829">
        <w:rPr>
          <w:color w:val="215E99" w:themeColor="text2" w:themeTint="BF"/>
          <w:lang w:val="en-IE"/>
        </w:rPr>
        <w:t>ting</w:t>
      </w:r>
      <w:r w:rsidR="004F7358" w:rsidRPr="00FF7829">
        <w:rPr>
          <w:color w:val="215E99" w:themeColor="text2" w:themeTint="BF"/>
          <w:lang w:val="en-IE"/>
        </w:rPr>
        <w:t xml:space="preserve"> Auth</w:t>
      </w:r>
      <w:r w:rsidR="0055583F" w:rsidRPr="00FF7829">
        <w:rPr>
          <w:color w:val="215E99" w:themeColor="text2" w:themeTint="BF"/>
          <w:lang w:val="en-IE"/>
        </w:rPr>
        <w:t>ority</w:t>
      </w:r>
      <w:r w:rsidR="00CF371D" w:rsidRPr="00FF7829">
        <w:rPr>
          <w:color w:val="215E99" w:themeColor="text2" w:themeTint="BF"/>
          <w:lang w:val="en-IE"/>
        </w:rPr>
        <w:t>.</w:t>
      </w:r>
      <w:r w:rsidR="00CF3777" w:rsidRPr="00FF7829">
        <w:rPr>
          <w:color w:val="215E99" w:themeColor="text2" w:themeTint="BF"/>
          <w:lang w:val="en-IE"/>
        </w:rPr>
        <w:t xml:space="preserve"> </w:t>
      </w:r>
      <w:proofErr w:type="gramStart"/>
      <w:r w:rsidR="006F43C4" w:rsidRPr="00FF7829">
        <w:rPr>
          <w:color w:val="215E99" w:themeColor="text2" w:themeTint="BF"/>
          <w:lang w:val="en-IE"/>
        </w:rPr>
        <w:t>Ho</w:t>
      </w:r>
      <w:r w:rsidR="00D63F48" w:rsidRPr="00FF7829">
        <w:rPr>
          <w:color w:val="215E99" w:themeColor="text2" w:themeTint="BF"/>
          <w:lang w:val="en-IE"/>
        </w:rPr>
        <w:t>wever</w:t>
      </w:r>
      <w:proofErr w:type="gramEnd"/>
      <w:r w:rsidR="00B87399" w:rsidRPr="00FF7829">
        <w:rPr>
          <w:color w:val="215E99" w:themeColor="text2" w:themeTint="BF"/>
          <w:lang w:val="en-IE"/>
        </w:rPr>
        <w:t xml:space="preserve"> </w:t>
      </w:r>
      <w:r w:rsidR="001C0507" w:rsidRPr="00FF7829">
        <w:rPr>
          <w:color w:val="215E99" w:themeColor="text2" w:themeTint="BF"/>
          <w:lang w:val="en-IE"/>
        </w:rPr>
        <w:t>t</w:t>
      </w:r>
      <w:r w:rsidR="5D6A8E9B" w:rsidRPr="00FF7829">
        <w:rPr>
          <w:color w:val="215E99" w:themeColor="text2" w:themeTint="BF"/>
          <w:lang w:val="en-IE"/>
        </w:rPr>
        <w:t>he</w:t>
      </w:r>
      <w:r w:rsidR="00DF1ECF" w:rsidRPr="00FF7829">
        <w:rPr>
          <w:color w:val="215E99" w:themeColor="text2" w:themeTint="BF"/>
          <w:lang w:val="en-IE"/>
        </w:rPr>
        <w:t xml:space="preserve"> s</w:t>
      </w:r>
      <w:r w:rsidR="00B92D80" w:rsidRPr="00FF7829">
        <w:rPr>
          <w:color w:val="215E99" w:themeColor="text2" w:themeTint="BF"/>
          <w:lang w:val="en-IE"/>
        </w:rPr>
        <w:t>uccess</w:t>
      </w:r>
      <w:r w:rsidR="00A91F8C" w:rsidRPr="00FF7829">
        <w:rPr>
          <w:color w:val="215E99" w:themeColor="text2" w:themeTint="BF"/>
          <w:lang w:val="en-IE"/>
        </w:rPr>
        <w:t>ful</w:t>
      </w:r>
      <w:r w:rsidR="5D6A8E9B" w:rsidRPr="00FF7829">
        <w:rPr>
          <w:color w:val="215E99" w:themeColor="text2" w:themeTint="BF"/>
          <w:lang w:val="en-IE"/>
        </w:rPr>
        <w:t xml:space="preserve"> tenderer</w:t>
      </w:r>
      <w:r w:rsidR="00266CE6" w:rsidRPr="00FF7829">
        <w:rPr>
          <w:color w:val="215E99" w:themeColor="text2" w:themeTint="BF"/>
          <w:lang w:val="en-IE"/>
        </w:rPr>
        <w:t xml:space="preserve"> w</w:t>
      </w:r>
      <w:r w:rsidR="00240C48" w:rsidRPr="00FF7829">
        <w:rPr>
          <w:color w:val="215E99" w:themeColor="text2" w:themeTint="BF"/>
          <w:lang w:val="en-IE"/>
        </w:rPr>
        <w:t>ill be</w:t>
      </w:r>
      <w:r w:rsidR="00A21C68" w:rsidRPr="00FF7829">
        <w:rPr>
          <w:color w:val="215E99" w:themeColor="text2" w:themeTint="BF"/>
          <w:lang w:val="en-IE"/>
        </w:rPr>
        <w:t xml:space="preserve"> expected</w:t>
      </w:r>
      <w:r w:rsidR="5D6A8E9B" w:rsidRPr="00FF7829">
        <w:rPr>
          <w:color w:val="215E99" w:themeColor="text2" w:themeTint="BF"/>
          <w:lang w:val="en-IE"/>
        </w:rPr>
        <w:t xml:space="preserve"> to implement any recommendations.</w:t>
      </w:r>
    </w:p>
    <w:p w14:paraId="39A8F820" w14:textId="0BFFAFD3" w:rsidR="004F46C5" w:rsidRPr="004F46C5" w:rsidRDefault="00D86D01" w:rsidP="004F46C5">
      <w:pPr>
        <w:rPr>
          <w:lang w:val="en-IE"/>
        </w:rPr>
      </w:pPr>
      <w:r>
        <w:rPr>
          <w:b/>
          <w:bCs/>
          <w:lang w:val="en-IE"/>
        </w:rPr>
        <w:t>6</w:t>
      </w:r>
      <w:r w:rsidR="004F46C5" w:rsidRPr="005842B6">
        <w:rPr>
          <w:b/>
          <w:bCs/>
          <w:lang w:val="en-IE"/>
        </w:rPr>
        <w:t>. LA CAP / SharePoint / Power BI Integration</w:t>
      </w:r>
    </w:p>
    <w:p w14:paraId="2243C4BC" w14:textId="77777777" w:rsidR="004F46C5" w:rsidRPr="004F46C5" w:rsidRDefault="004F46C5" w:rsidP="004F46C5">
      <w:r w:rsidRPr="004F46C5">
        <w:rPr>
          <w:lang w:val="en-IE"/>
        </w:rPr>
        <w:t xml:space="preserve">Could you please provide further detail on the expected integration with the LA CAP reporting environment, including the available SharePoint/Power BI interfaces, API or </w:t>
      </w:r>
      <w:r w:rsidRPr="004F46C5">
        <w:rPr>
          <w:lang w:val="en-IE"/>
        </w:rPr>
        <w:lastRenderedPageBreak/>
        <w:t>other access arrangements, and whether the necessary technical access and permissions will be provided by the Contracting Authority and/or the Local Authority hosting the relevant systems?</w:t>
      </w:r>
    </w:p>
    <w:p w14:paraId="23685265" w14:textId="3D1317AB" w:rsidR="64E5A425" w:rsidRPr="00F12ECD" w:rsidRDefault="64E5A425" w:rsidP="7082E42C">
      <w:pPr>
        <w:spacing w:after="120"/>
        <w:rPr>
          <w:lang w:val="en-IE"/>
        </w:rPr>
      </w:pPr>
      <w:r w:rsidRPr="00F12ECD">
        <w:rPr>
          <w:b/>
          <w:bCs/>
          <w:lang w:val="en-IE"/>
        </w:rPr>
        <w:t>Response:</w:t>
      </w:r>
      <w:r w:rsidRPr="00F12ECD">
        <w:rPr>
          <w:lang w:val="en-IE"/>
        </w:rPr>
        <w:t xml:space="preserve"> </w:t>
      </w:r>
    </w:p>
    <w:p w14:paraId="0470832D" w14:textId="111DEE61" w:rsidR="64E5A425" w:rsidRPr="00B34FBE" w:rsidRDefault="64E5A425" w:rsidP="79B39DA3">
      <w:pPr>
        <w:spacing w:after="120"/>
        <w:rPr>
          <w:color w:val="215E99" w:themeColor="text2" w:themeTint="BF"/>
          <w:lang w:val="en-IE"/>
        </w:rPr>
      </w:pPr>
      <w:r w:rsidRPr="00B34FBE">
        <w:rPr>
          <w:color w:val="215E99" w:themeColor="text2" w:themeTint="BF"/>
          <w:lang w:val="en-IE"/>
        </w:rPr>
        <w:t>The successful supplier's scope is the website side only: within a page template, linking to or embedding a Power BI (or similar) report owned, configured and licensed by the Contracting Authority, and ensuring the platform can expose the relevant underlying data via export or API. The supplier is not required to design, configure, develop or license any element of the Power BI report, the SharePoint lists or the data source, which are provided by the Contracting Authority / relevant local authority. The necessary technical access and permissions for the agreed website-side integration will be provided by the Contracting Authority and/or the hosting local authority. Detailed interface and access arrangements will be confirmed with the successful supplier at the design/kick-off stage.</w:t>
      </w:r>
    </w:p>
    <w:p w14:paraId="5C6F652C" w14:textId="392A9498" w:rsidR="5508A645" w:rsidRDefault="5508A645" w:rsidP="5508A645">
      <w:pPr>
        <w:rPr>
          <w:lang w:val="en-IE"/>
        </w:rPr>
      </w:pPr>
    </w:p>
    <w:p w14:paraId="1CDF235C" w14:textId="3DBBF132" w:rsidR="004F46C5" w:rsidRPr="004F46C5" w:rsidRDefault="005878A9" w:rsidP="004F46C5">
      <w:pPr>
        <w:rPr>
          <w:lang w:val="en-IE"/>
        </w:rPr>
      </w:pPr>
      <w:r>
        <w:rPr>
          <w:b/>
          <w:bCs/>
          <w:lang w:val="en-IE"/>
        </w:rPr>
        <w:t>7</w:t>
      </w:r>
      <w:r w:rsidR="004F46C5" w:rsidRPr="004F46C5">
        <w:rPr>
          <w:b/>
          <w:bCs/>
          <w:lang w:val="en-IE"/>
        </w:rPr>
        <w:t xml:space="preserve">. </w:t>
      </w:r>
      <w:r w:rsidR="004F46C5" w:rsidRPr="00C34CAB">
        <w:rPr>
          <w:b/>
          <w:bCs/>
          <w:lang w:val="en-IE"/>
        </w:rPr>
        <w:t>Implementation Timetable and Contracting Authority Dependencies</w:t>
      </w:r>
    </w:p>
    <w:p w14:paraId="375C49B4" w14:textId="77777777" w:rsidR="004F46C5" w:rsidRPr="004F46C5" w:rsidRDefault="004F46C5" w:rsidP="004F46C5">
      <w:r w:rsidRPr="004F46C5">
        <w:rPr>
          <w:lang w:val="en-IE"/>
        </w:rPr>
        <w:t>Could you please confirm how delays arising from dependencies outside the successful tenderer’s control — including content provision/approval, Irish-language approval, access to third-party systems, UAT and Contracting Authority sign-off — will be treated where they impact the agreed implementation timetable or go-live date?</w:t>
      </w:r>
    </w:p>
    <w:p w14:paraId="4DB2757B" w14:textId="1C387B24" w:rsidR="036D408C" w:rsidRPr="00D00605" w:rsidRDefault="036D408C" w:rsidP="6ABBC64F">
      <w:pPr>
        <w:spacing w:after="120"/>
        <w:rPr>
          <w:lang w:val="en-IE"/>
        </w:rPr>
      </w:pPr>
      <w:r w:rsidRPr="00D00605">
        <w:rPr>
          <w:b/>
          <w:bCs/>
          <w:lang w:val="en-IE"/>
        </w:rPr>
        <w:t>Response:</w:t>
      </w:r>
      <w:r w:rsidRPr="00D00605">
        <w:rPr>
          <w:lang w:val="en-IE"/>
        </w:rPr>
        <w:t xml:space="preserve"> </w:t>
      </w:r>
    </w:p>
    <w:p w14:paraId="21F05DC1" w14:textId="77F9D9D3" w:rsidR="036D408C" w:rsidRPr="004526DA" w:rsidRDefault="036D408C" w:rsidP="6ABBC64F">
      <w:pPr>
        <w:spacing w:after="120"/>
        <w:rPr>
          <w:color w:val="215E99" w:themeColor="text2" w:themeTint="BF"/>
          <w:lang w:val="en-IE"/>
        </w:rPr>
      </w:pPr>
      <w:r w:rsidRPr="004526DA">
        <w:rPr>
          <w:color w:val="215E99" w:themeColor="text2" w:themeTint="BF"/>
          <w:lang w:val="en-IE"/>
        </w:rPr>
        <w:t>Where a delay is caused by a dependency outside the successful tenderer's control — including content provision and approval, Irish-language approval, access to third-party systems, user-acceptance testing and Contracting Authority sign-off — and the tenderer has given timely written notice, the affected milestone dates, including go-live, will be adjusted by agreement to reflect the delay, and the tenderer will not be held in default for that period. The mechanism for managing such dependencies will be set out in the project plan and governed under the contract's change-control and governance provisions.</w:t>
      </w:r>
      <w:r w:rsidR="00A96222" w:rsidRPr="004526DA">
        <w:rPr>
          <w:color w:val="215E99" w:themeColor="text2" w:themeTint="BF"/>
          <w:lang w:val="en-IE"/>
        </w:rPr>
        <w:t xml:space="preserve"> </w:t>
      </w:r>
      <w:r w:rsidR="00B97647" w:rsidRPr="004526DA">
        <w:rPr>
          <w:color w:val="215E99" w:themeColor="text2" w:themeTint="BF"/>
          <w:lang w:val="en-IE"/>
        </w:rPr>
        <w:t>No</w:t>
      </w:r>
      <w:r w:rsidR="004E1059" w:rsidRPr="004526DA">
        <w:rPr>
          <w:color w:val="215E99" w:themeColor="text2" w:themeTint="BF"/>
          <w:lang w:val="en-IE"/>
        </w:rPr>
        <w:t xml:space="preserve"> addi</w:t>
      </w:r>
      <w:r w:rsidR="00E979EB" w:rsidRPr="004526DA">
        <w:rPr>
          <w:color w:val="215E99" w:themeColor="text2" w:themeTint="BF"/>
          <w:lang w:val="en-IE"/>
        </w:rPr>
        <w:t>tion</w:t>
      </w:r>
      <w:r w:rsidR="007E2747" w:rsidRPr="004526DA">
        <w:rPr>
          <w:color w:val="215E99" w:themeColor="text2" w:themeTint="BF"/>
          <w:lang w:val="en-IE"/>
        </w:rPr>
        <w:t>al co</w:t>
      </w:r>
      <w:r w:rsidR="005715F7" w:rsidRPr="004526DA">
        <w:rPr>
          <w:color w:val="215E99" w:themeColor="text2" w:themeTint="BF"/>
          <w:lang w:val="en-IE"/>
        </w:rPr>
        <w:t xml:space="preserve">sts </w:t>
      </w:r>
      <w:r w:rsidR="002A1BEE" w:rsidRPr="004526DA">
        <w:rPr>
          <w:color w:val="215E99" w:themeColor="text2" w:themeTint="BF"/>
          <w:lang w:val="en-IE"/>
        </w:rPr>
        <w:t>wi</w:t>
      </w:r>
      <w:r w:rsidR="00EB22E5" w:rsidRPr="004526DA">
        <w:rPr>
          <w:color w:val="215E99" w:themeColor="text2" w:themeTint="BF"/>
          <w:lang w:val="en-IE"/>
        </w:rPr>
        <w:t>ll appl</w:t>
      </w:r>
      <w:r w:rsidR="00AF354B" w:rsidRPr="004526DA">
        <w:rPr>
          <w:color w:val="215E99" w:themeColor="text2" w:themeTint="BF"/>
          <w:lang w:val="en-IE"/>
        </w:rPr>
        <w:t>y.</w:t>
      </w:r>
    </w:p>
    <w:p w14:paraId="0A5D2C20" w14:textId="2269F717" w:rsidR="306A5EB9" w:rsidRDefault="306A5EB9" w:rsidP="306A5EB9">
      <w:pPr>
        <w:rPr>
          <w:lang w:val="en-IE"/>
        </w:rPr>
      </w:pPr>
    </w:p>
    <w:p w14:paraId="6A844A97" w14:textId="2EBC39BA" w:rsidR="004F46C5" w:rsidRPr="004F46C5" w:rsidRDefault="003E58E0" w:rsidP="004F46C5">
      <w:pPr>
        <w:rPr>
          <w:lang w:val="en-IE"/>
        </w:rPr>
      </w:pPr>
      <w:r>
        <w:rPr>
          <w:b/>
          <w:bCs/>
          <w:lang w:val="en-IE"/>
        </w:rPr>
        <w:t>8</w:t>
      </w:r>
      <w:r w:rsidR="004F46C5" w:rsidRPr="00252925">
        <w:rPr>
          <w:b/>
          <w:bCs/>
          <w:lang w:val="en-IE"/>
        </w:rPr>
        <w:t>. TUPE</w:t>
      </w:r>
    </w:p>
    <w:p w14:paraId="702E78A4" w14:textId="77777777" w:rsidR="004F46C5" w:rsidRPr="004F46C5" w:rsidRDefault="004F46C5" w:rsidP="004F46C5">
      <w:pPr>
        <w:rPr>
          <w:lang w:val="en-IE"/>
        </w:rPr>
      </w:pPr>
      <w:r w:rsidRPr="004F46C5">
        <w:rPr>
          <w:lang w:val="en-IE"/>
        </w:rPr>
        <w:t>Appendix 4 contains provisions relating to the European Communities (Protection of Employees’ Rights on Transfer of Undertakings) Regulations 2003.</w:t>
      </w:r>
    </w:p>
    <w:p w14:paraId="41D71A19" w14:textId="77777777" w:rsidR="004F46C5" w:rsidRPr="004F46C5" w:rsidRDefault="004F46C5" w:rsidP="004F46C5">
      <w:r w:rsidRPr="004F46C5">
        <w:rPr>
          <w:lang w:val="en-IE"/>
        </w:rPr>
        <w:t>Could you please confirm whether the Contracting Authority currently anticipates that TUPE will apply to this contract and, if so, whether the relevant employee liability information will be made available to tenderers?</w:t>
      </w:r>
    </w:p>
    <w:p w14:paraId="001B5B5C" w14:textId="5A7F0D27" w:rsidR="407A4BCF" w:rsidRPr="004F606D" w:rsidRDefault="407A4BCF">
      <w:pPr>
        <w:rPr>
          <w:b/>
          <w:bCs/>
          <w:lang w:val="en-IE"/>
        </w:rPr>
      </w:pPr>
      <w:r w:rsidRPr="004F606D">
        <w:rPr>
          <w:b/>
          <w:bCs/>
          <w:lang w:val="en-IE"/>
        </w:rPr>
        <w:lastRenderedPageBreak/>
        <w:t>Response:</w:t>
      </w:r>
    </w:p>
    <w:p w14:paraId="7291F9C8" w14:textId="4176DF7C" w:rsidR="24FDB1A1" w:rsidRPr="00664711" w:rsidRDefault="407A4BCF" w:rsidP="24FDB1A1">
      <w:pPr>
        <w:spacing w:after="120"/>
        <w:rPr>
          <w:color w:val="215E99" w:themeColor="text2" w:themeTint="BF"/>
          <w:lang w:val="en-IE"/>
        </w:rPr>
      </w:pPr>
      <w:r w:rsidRPr="00664711">
        <w:rPr>
          <w:color w:val="215E99" w:themeColor="text2" w:themeTint="BF"/>
          <w:lang w:val="en-IE"/>
        </w:rPr>
        <w:t xml:space="preserve">The Contracting Authority does not currently anticipate that the European Communities (Protection of Employees' Rights on Transfer of Undertakings) Regulations 2003 will apply to this contract. </w:t>
      </w:r>
    </w:p>
    <w:p w14:paraId="6B8CB872" w14:textId="672358FA" w:rsidR="44AF8324" w:rsidRDefault="44AF8324" w:rsidP="44AF8324">
      <w:pPr>
        <w:rPr>
          <w:lang w:val="en-IE"/>
        </w:rPr>
      </w:pPr>
    </w:p>
    <w:p w14:paraId="741107EC" w14:textId="517960E3" w:rsidR="004F46C5" w:rsidRPr="004F46C5" w:rsidRDefault="009973C3" w:rsidP="004F46C5">
      <w:pPr>
        <w:rPr>
          <w:lang w:val="en-IE"/>
        </w:rPr>
      </w:pPr>
      <w:r>
        <w:rPr>
          <w:b/>
          <w:bCs/>
          <w:lang w:val="en-IE"/>
        </w:rPr>
        <w:t>9</w:t>
      </w:r>
      <w:r w:rsidR="004F46C5" w:rsidRPr="00143C59">
        <w:rPr>
          <w:b/>
          <w:bCs/>
          <w:lang w:val="en-IE"/>
        </w:rPr>
        <w:t>. Existing CMS and Migration Access</w:t>
      </w:r>
    </w:p>
    <w:p w14:paraId="4C69D694" w14:textId="77777777" w:rsidR="004F46C5" w:rsidRPr="004F46C5" w:rsidRDefault="004F46C5" w:rsidP="004F46C5">
      <w:pPr>
        <w:rPr>
          <w:lang w:val="en-IE"/>
        </w:rPr>
      </w:pPr>
      <w:r w:rsidRPr="004F46C5">
        <w:rPr>
          <w:lang w:val="en-IE"/>
        </w:rPr>
        <w:t>Could you please confirm the name and version of the proprietary CMS currently used for CARO.ie?</w:t>
      </w:r>
    </w:p>
    <w:p w14:paraId="1359D0B2" w14:textId="77777777" w:rsidR="004F46C5" w:rsidRPr="004F46C5" w:rsidRDefault="004F46C5" w:rsidP="004F46C5">
      <w:pPr>
        <w:rPr>
          <w:lang w:val="en-IE"/>
        </w:rPr>
      </w:pPr>
      <w:r w:rsidRPr="004F46C5">
        <w:rPr>
          <w:lang w:val="en-IE"/>
        </w:rPr>
        <w:t>In addition, for the purposes of content migration, could you please confirm what access and/or export facilities will be made available to the successful tenderer, including where applicable:</w:t>
      </w:r>
    </w:p>
    <w:p w14:paraId="77A809D6" w14:textId="77777777" w:rsidR="004F46C5" w:rsidRPr="004F46C5" w:rsidRDefault="004F46C5" w:rsidP="004F46C5">
      <w:pPr>
        <w:numPr>
          <w:ilvl w:val="0"/>
          <w:numId w:val="5"/>
        </w:numPr>
        <w:rPr>
          <w:lang w:val="en-IE"/>
        </w:rPr>
      </w:pPr>
      <w:r w:rsidRPr="004F46C5">
        <w:rPr>
          <w:lang w:val="en-IE"/>
        </w:rPr>
        <w:t>CMS administrative access;</w:t>
      </w:r>
    </w:p>
    <w:p w14:paraId="048E5A65" w14:textId="77777777" w:rsidR="004F46C5" w:rsidRPr="004F46C5" w:rsidRDefault="004F46C5" w:rsidP="004F46C5">
      <w:pPr>
        <w:numPr>
          <w:ilvl w:val="0"/>
          <w:numId w:val="1"/>
        </w:numPr>
        <w:rPr>
          <w:lang w:val="en-IE"/>
        </w:rPr>
      </w:pPr>
      <w:r w:rsidRPr="004F46C5">
        <w:rPr>
          <w:lang w:val="en-IE"/>
        </w:rPr>
        <w:t>database access or database export;</w:t>
      </w:r>
    </w:p>
    <w:p w14:paraId="642E8DB6" w14:textId="77777777" w:rsidR="004F46C5" w:rsidRPr="004F46C5" w:rsidRDefault="004F46C5" w:rsidP="004F46C5">
      <w:pPr>
        <w:numPr>
          <w:ilvl w:val="0"/>
          <w:numId w:val="10"/>
        </w:numPr>
        <w:rPr>
          <w:lang w:val="en-IE"/>
        </w:rPr>
      </w:pPr>
      <w:r w:rsidRPr="004F46C5">
        <w:rPr>
          <w:lang w:val="en-IE"/>
        </w:rPr>
        <w:t>structured content/data exports;</w:t>
      </w:r>
    </w:p>
    <w:p w14:paraId="68FF61B8" w14:textId="77777777" w:rsidR="004F46C5" w:rsidRPr="004F46C5" w:rsidRDefault="004F46C5" w:rsidP="004F46C5">
      <w:pPr>
        <w:numPr>
          <w:ilvl w:val="0"/>
          <w:numId w:val="6"/>
        </w:numPr>
        <w:rPr>
          <w:lang w:val="en-IE"/>
        </w:rPr>
      </w:pPr>
      <w:r w:rsidRPr="004F46C5">
        <w:rPr>
          <w:lang w:val="en-IE"/>
        </w:rPr>
        <w:t>media/document library access;</w:t>
      </w:r>
    </w:p>
    <w:p w14:paraId="2854D18C" w14:textId="77777777" w:rsidR="004F46C5" w:rsidRPr="004F46C5" w:rsidRDefault="004F46C5" w:rsidP="004F46C5">
      <w:pPr>
        <w:numPr>
          <w:ilvl w:val="0"/>
          <w:numId w:val="9"/>
        </w:numPr>
        <w:rPr>
          <w:lang w:val="en-IE"/>
        </w:rPr>
      </w:pPr>
      <w:r w:rsidRPr="004F46C5">
        <w:rPr>
          <w:lang w:val="en-IE"/>
        </w:rPr>
        <w:t>existing URL data and redirect information; and</w:t>
      </w:r>
    </w:p>
    <w:p w14:paraId="58F7AB72" w14:textId="77777777" w:rsidR="004F46C5" w:rsidRPr="004F46C5" w:rsidRDefault="004F46C5" w:rsidP="004F46C5">
      <w:pPr>
        <w:numPr>
          <w:ilvl w:val="0"/>
          <w:numId w:val="3"/>
        </w:numPr>
        <w:rPr>
          <w:lang w:val="en-IE"/>
        </w:rPr>
      </w:pPr>
      <w:r w:rsidRPr="004F46C5">
        <w:rPr>
          <w:lang w:val="en-IE"/>
        </w:rPr>
        <w:t>reasonable technical cooperation from the incumbent hosting/CMS supplier during the migration and cut-over period.</w:t>
      </w:r>
    </w:p>
    <w:p w14:paraId="3FD94CD7" w14:textId="77777777" w:rsidR="00C14576" w:rsidRDefault="00C14576" w:rsidP="0067509A">
      <w:pPr>
        <w:rPr>
          <w:b/>
          <w:bCs/>
        </w:rPr>
      </w:pPr>
    </w:p>
    <w:p w14:paraId="38E94C65" w14:textId="1341013D" w:rsidR="001A4EB0" w:rsidRPr="009F401C" w:rsidRDefault="001A4EB0" w:rsidP="0067509A">
      <w:pPr>
        <w:rPr>
          <w:b/>
          <w:bCs/>
        </w:rPr>
      </w:pPr>
      <w:r w:rsidRPr="009F401C">
        <w:rPr>
          <w:b/>
          <w:bCs/>
        </w:rPr>
        <w:t>Response:</w:t>
      </w:r>
    </w:p>
    <w:p w14:paraId="7E8F5137" w14:textId="6505442A" w:rsidR="004F46C5" w:rsidRPr="00B14E12" w:rsidRDefault="379F9CA9" w:rsidP="688369AD">
      <w:pPr>
        <w:spacing w:after="120"/>
        <w:rPr>
          <w:color w:val="215E99" w:themeColor="text2" w:themeTint="BF"/>
        </w:rPr>
      </w:pPr>
      <w:r w:rsidRPr="00B14E12">
        <w:rPr>
          <w:rFonts w:eastAsia="Times New Roman" w:cs="Times New Roman"/>
          <w:color w:val="215E99" w:themeColor="text2" w:themeTint="BF"/>
        </w:rPr>
        <w:t xml:space="preserve">The existing CARO.ie was procured in 2019/2020 on a proprietary content management system that has reached end-of-life, hosted and maintained by an external supplier. </w:t>
      </w:r>
      <w:r w:rsidR="000641F8" w:rsidRPr="00B14E12">
        <w:rPr>
          <w:rFonts w:eastAsia="Times New Roman" w:cs="Times New Roman"/>
          <w:color w:val="215E99" w:themeColor="text2" w:themeTint="BF"/>
        </w:rPr>
        <w:t>(</w:t>
      </w:r>
      <w:r w:rsidR="00F31AC3" w:rsidRPr="00B14E12">
        <w:rPr>
          <w:rFonts w:eastAsia="Times New Roman" w:cs="Times New Roman"/>
          <w:color w:val="215E99" w:themeColor="text2" w:themeTint="BF"/>
          <w:lang w:val="en-IE"/>
        </w:rPr>
        <w:t>Kentico CMS version 12 SP</w:t>
      </w:r>
      <w:r w:rsidR="00B8206A" w:rsidRPr="00B14E12">
        <w:rPr>
          <w:rFonts w:eastAsia="Times New Roman" w:cs="Times New Roman"/>
          <w:color w:val="215E99" w:themeColor="text2" w:themeTint="BF"/>
          <w:lang w:val="en-IE"/>
        </w:rPr>
        <w:t>)</w:t>
      </w:r>
      <w:r w:rsidRPr="00B14E12">
        <w:rPr>
          <w:rFonts w:eastAsia="Times New Roman" w:cs="Times New Roman"/>
          <w:color w:val="215E99" w:themeColor="text2" w:themeTint="BF"/>
        </w:rPr>
        <w:t xml:space="preserve">. For migration, the Contracting Authority will facilitate reasonable access and </w:t>
      </w:r>
      <w:proofErr w:type="gramStart"/>
      <w:r w:rsidRPr="00B14E12">
        <w:rPr>
          <w:rFonts w:eastAsia="Times New Roman" w:cs="Times New Roman"/>
          <w:color w:val="215E99" w:themeColor="text2" w:themeTint="BF"/>
        </w:rPr>
        <w:t>cooperation, and</w:t>
      </w:r>
      <w:proofErr w:type="gramEnd"/>
      <w:r w:rsidRPr="00B14E12">
        <w:rPr>
          <w:rFonts w:eastAsia="Times New Roman" w:cs="Times New Roman"/>
          <w:color w:val="215E99" w:themeColor="text2" w:themeTint="BF"/>
        </w:rPr>
        <w:t xml:space="preserve"> will use its best endeavours to secure reasonable technical cooperation from the incumbent supplier during migration and </w:t>
      </w:r>
      <w:proofErr w:type="gramStart"/>
      <w:r w:rsidRPr="00B14E12">
        <w:rPr>
          <w:rFonts w:eastAsia="Times New Roman" w:cs="Times New Roman"/>
          <w:color w:val="215E99" w:themeColor="text2" w:themeTint="BF"/>
        </w:rPr>
        <w:t>cut-over</w:t>
      </w:r>
      <w:proofErr w:type="gramEnd"/>
      <w:r w:rsidRPr="00B14E12">
        <w:rPr>
          <w:rFonts w:eastAsia="Times New Roman" w:cs="Times New Roman"/>
          <w:color w:val="215E99" w:themeColor="text2" w:themeTint="BF"/>
        </w:rPr>
        <w:t>.</w:t>
      </w:r>
    </w:p>
    <w:p w14:paraId="78733A9A" w14:textId="492C2AB8" w:rsidR="004F46C5" w:rsidRPr="00B14E12" w:rsidRDefault="004F46C5"/>
    <w:sectPr w:rsidR="004F46C5" w:rsidRPr="00B14E1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8259B"/>
    <w:multiLevelType w:val="multilevel"/>
    <w:tmpl w:val="C6B8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0302436"/>
    <w:multiLevelType w:val="multilevel"/>
    <w:tmpl w:val="DDCEC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4269391">
    <w:abstractNumId w:val="1"/>
    <w:lvlOverride w:ilvl="0">
      <w:lvl w:ilvl="0">
        <w:numFmt w:val="bullet"/>
        <w:lvlText w:val=""/>
        <w:lvlJc w:val="left"/>
        <w:pPr>
          <w:tabs>
            <w:tab w:val="num" w:pos="720"/>
          </w:tabs>
          <w:ind w:left="720" w:hanging="360"/>
        </w:pPr>
        <w:rPr>
          <w:rFonts w:ascii="Symbol" w:hAnsi="Symbol" w:hint="default"/>
          <w:sz w:val="20"/>
        </w:rPr>
      </w:lvl>
    </w:lvlOverride>
  </w:num>
  <w:num w:numId="2" w16cid:durableId="1375929637">
    <w:abstractNumId w:val="0"/>
    <w:lvlOverride w:ilvl="0">
      <w:lvl w:ilvl="0">
        <w:numFmt w:val="bullet"/>
        <w:lvlText w:val=""/>
        <w:lvlJc w:val="left"/>
        <w:pPr>
          <w:tabs>
            <w:tab w:val="num" w:pos="720"/>
          </w:tabs>
          <w:ind w:left="720" w:hanging="360"/>
        </w:pPr>
        <w:rPr>
          <w:rFonts w:ascii="Symbol" w:hAnsi="Symbol" w:hint="default"/>
          <w:sz w:val="20"/>
        </w:rPr>
      </w:lvl>
    </w:lvlOverride>
  </w:num>
  <w:num w:numId="3" w16cid:durableId="1387022721">
    <w:abstractNumId w:val="1"/>
    <w:lvlOverride w:ilvl="0">
      <w:lvl w:ilvl="0">
        <w:numFmt w:val="bullet"/>
        <w:lvlText w:val=""/>
        <w:lvlJc w:val="left"/>
        <w:pPr>
          <w:tabs>
            <w:tab w:val="num" w:pos="720"/>
          </w:tabs>
          <w:ind w:left="720" w:hanging="360"/>
        </w:pPr>
        <w:rPr>
          <w:rFonts w:ascii="Symbol" w:hAnsi="Symbol" w:hint="default"/>
          <w:sz w:val="20"/>
        </w:rPr>
      </w:lvl>
    </w:lvlOverride>
  </w:num>
  <w:num w:numId="4" w16cid:durableId="1569463786">
    <w:abstractNumId w:val="0"/>
    <w:lvlOverride w:ilvl="0">
      <w:lvl w:ilvl="0">
        <w:numFmt w:val="bullet"/>
        <w:lvlText w:val=""/>
        <w:lvlJc w:val="left"/>
        <w:pPr>
          <w:tabs>
            <w:tab w:val="num" w:pos="720"/>
          </w:tabs>
          <w:ind w:left="720" w:hanging="360"/>
        </w:pPr>
        <w:rPr>
          <w:rFonts w:ascii="Symbol" w:hAnsi="Symbol" w:hint="default"/>
          <w:sz w:val="20"/>
        </w:rPr>
      </w:lvl>
    </w:lvlOverride>
  </w:num>
  <w:num w:numId="5" w16cid:durableId="1578514333">
    <w:abstractNumId w:val="1"/>
    <w:lvlOverride w:ilvl="0">
      <w:lvl w:ilvl="0">
        <w:numFmt w:val="bullet"/>
        <w:lvlText w:val=""/>
        <w:lvlJc w:val="left"/>
        <w:pPr>
          <w:tabs>
            <w:tab w:val="num" w:pos="720"/>
          </w:tabs>
          <w:ind w:left="720" w:hanging="360"/>
        </w:pPr>
        <w:rPr>
          <w:rFonts w:ascii="Symbol" w:hAnsi="Symbol" w:hint="default"/>
          <w:sz w:val="20"/>
        </w:rPr>
      </w:lvl>
    </w:lvlOverride>
  </w:num>
  <w:num w:numId="6" w16cid:durableId="1896550175">
    <w:abstractNumId w:val="1"/>
    <w:lvlOverride w:ilvl="0">
      <w:lvl w:ilvl="0">
        <w:numFmt w:val="bullet"/>
        <w:lvlText w:val=""/>
        <w:lvlJc w:val="left"/>
        <w:pPr>
          <w:tabs>
            <w:tab w:val="num" w:pos="720"/>
          </w:tabs>
          <w:ind w:left="720" w:hanging="360"/>
        </w:pPr>
        <w:rPr>
          <w:rFonts w:ascii="Symbol" w:hAnsi="Symbol" w:hint="default"/>
          <w:sz w:val="20"/>
        </w:rPr>
      </w:lvl>
    </w:lvlOverride>
  </w:num>
  <w:num w:numId="7" w16cid:durableId="1992249985">
    <w:abstractNumId w:val="0"/>
    <w:lvlOverride w:ilvl="0">
      <w:lvl w:ilvl="0">
        <w:numFmt w:val="bullet"/>
        <w:lvlText w:val=""/>
        <w:lvlJc w:val="left"/>
        <w:pPr>
          <w:tabs>
            <w:tab w:val="num" w:pos="720"/>
          </w:tabs>
          <w:ind w:left="720" w:hanging="360"/>
        </w:pPr>
        <w:rPr>
          <w:rFonts w:ascii="Symbol" w:hAnsi="Symbol" w:hint="default"/>
          <w:sz w:val="20"/>
        </w:rPr>
      </w:lvl>
    </w:lvlOverride>
  </w:num>
  <w:num w:numId="8" w16cid:durableId="2133206360">
    <w:abstractNumId w:val="0"/>
    <w:lvlOverride w:ilvl="0">
      <w:lvl w:ilvl="0">
        <w:numFmt w:val="bullet"/>
        <w:lvlText w:val=""/>
        <w:lvlJc w:val="left"/>
        <w:pPr>
          <w:tabs>
            <w:tab w:val="num" w:pos="720"/>
          </w:tabs>
          <w:ind w:left="720" w:hanging="360"/>
        </w:pPr>
        <w:rPr>
          <w:rFonts w:ascii="Symbol" w:hAnsi="Symbol" w:hint="default"/>
          <w:sz w:val="20"/>
        </w:rPr>
      </w:lvl>
    </w:lvlOverride>
  </w:num>
  <w:num w:numId="9" w16cid:durableId="290865275">
    <w:abstractNumId w:val="1"/>
    <w:lvlOverride w:ilvl="0">
      <w:lvl w:ilvl="0">
        <w:numFmt w:val="bullet"/>
        <w:lvlText w:val=""/>
        <w:lvlJc w:val="left"/>
        <w:pPr>
          <w:tabs>
            <w:tab w:val="num" w:pos="720"/>
          </w:tabs>
          <w:ind w:left="720" w:hanging="360"/>
        </w:pPr>
        <w:rPr>
          <w:rFonts w:ascii="Symbol" w:hAnsi="Symbol" w:hint="default"/>
          <w:sz w:val="20"/>
        </w:rPr>
      </w:lvl>
    </w:lvlOverride>
  </w:num>
  <w:num w:numId="10" w16cid:durableId="665598181">
    <w:abstractNumId w:val="1"/>
    <w:lvlOverride w:ilvl="0">
      <w:lvl w:ilvl="0">
        <w:numFmt w:val="bullet"/>
        <w:lvlText w:val=""/>
        <w:lvlJc w:val="left"/>
        <w:pPr>
          <w:tabs>
            <w:tab w:val="num" w:pos="720"/>
          </w:tabs>
          <w:ind w:left="72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2162C8F"/>
    <w:rsid w:val="000159D4"/>
    <w:rsid w:val="00017E24"/>
    <w:rsid w:val="00020E63"/>
    <w:rsid w:val="00027411"/>
    <w:rsid w:val="00034F19"/>
    <w:rsid w:val="0003645C"/>
    <w:rsid w:val="000606B8"/>
    <w:rsid w:val="000641F8"/>
    <w:rsid w:val="00071DF3"/>
    <w:rsid w:val="00072678"/>
    <w:rsid w:val="00080214"/>
    <w:rsid w:val="00081C12"/>
    <w:rsid w:val="00084C7D"/>
    <w:rsid w:val="00084E4D"/>
    <w:rsid w:val="00091E6B"/>
    <w:rsid w:val="00094CD7"/>
    <w:rsid w:val="00097213"/>
    <w:rsid w:val="00097278"/>
    <w:rsid w:val="000A41B3"/>
    <w:rsid w:val="000B1A24"/>
    <w:rsid w:val="000B4E8F"/>
    <w:rsid w:val="000B5240"/>
    <w:rsid w:val="000B7E5C"/>
    <w:rsid w:val="000C0B09"/>
    <w:rsid w:val="000C4E6E"/>
    <w:rsid w:val="000C6EFD"/>
    <w:rsid w:val="000E2FC0"/>
    <w:rsid w:val="000F5C70"/>
    <w:rsid w:val="000F6E67"/>
    <w:rsid w:val="000F7B30"/>
    <w:rsid w:val="001021F0"/>
    <w:rsid w:val="0011552E"/>
    <w:rsid w:val="00122700"/>
    <w:rsid w:val="00137FA4"/>
    <w:rsid w:val="00143C59"/>
    <w:rsid w:val="00151527"/>
    <w:rsid w:val="00153A15"/>
    <w:rsid w:val="00153B73"/>
    <w:rsid w:val="00155996"/>
    <w:rsid w:val="001576DC"/>
    <w:rsid w:val="00164815"/>
    <w:rsid w:val="00176E4B"/>
    <w:rsid w:val="00192AA5"/>
    <w:rsid w:val="00193C49"/>
    <w:rsid w:val="001A197D"/>
    <w:rsid w:val="001A4EB0"/>
    <w:rsid w:val="001A7A1E"/>
    <w:rsid w:val="001C0507"/>
    <w:rsid w:val="001C7371"/>
    <w:rsid w:val="001C7DDA"/>
    <w:rsid w:val="001D0791"/>
    <w:rsid w:val="001D6E72"/>
    <w:rsid w:val="001F18EA"/>
    <w:rsid w:val="001F3DB3"/>
    <w:rsid w:val="001F7D48"/>
    <w:rsid w:val="002015B7"/>
    <w:rsid w:val="00201A09"/>
    <w:rsid w:val="00220031"/>
    <w:rsid w:val="00240C48"/>
    <w:rsid w:val="0024766E"/>
    <w:rsid w:val="00252925"/>
    <w:rsid w:val="00253BA7"/>
    <w:rsid w:val="00254911"/>
    <w:rsid w:val="002620DC"/>
    <w:rsid w:val="00266CE6"/>
    <w:rsid w:val="002909A2"/>
    <w:rsid w:val="00296644"/>
    <w:rsid w:val="002A1333"/>
    <w:rsid w:val="002A1BEE"/>
    <w:rsid w:val="002E3C35"/>
    <w:rsid w:val="002F1631"/>
    <w:rsid w:val="002F184D"/>
    <w:rsid w:val="003026D3"/>
    <w:rsid w:val="0031564B"/>
    <w:rsid w:val="003270BE"/>
    <w:rsid w:val="003637A2"/>
    <w:rsid w:val="0036580A"/>
    <w:rsid w:val="003807F2"/>
    <w:rsid w:val="00387833"/>
    <w:rsid w:val="00387B24"/>
    <w:rsid w:val="00393B70"/>
    <w:rsid w:val="003958DB"/>
    <w:rsid w:val="003961D8"/>
    <w:rsid w:val="003A3887"/>
    <w:rsid w:val="003A3DCF"/>
    <w:rsid w:val="003C02B9"/>
    <w:rsid w:val="003D520F"/>
    <w:rsid w:val="003E58E0"/>
    <w:rsid w:val="003F399A"/>
    <w:rsid w:val="00413FB6"/>
    <w:rsid w:val="00414E9B"/>
    <w:rsid w:val="004167C2"/>
    <w:rsid w:val="00420387"/>
    <w:rsid w:val="00420A00"/>
    <w:rsid w:val="00421859"/>
    <w:rsid w:val="00421D33"/>
    <w:rsid w:val="0042546C"/>
    <w:rsid w:val="0043258D"/>
    <w:rsid w:val="00451491"/>
    <w:rsid w:val="004526DA"/>
    <w:rsid w:val="00473E60"/>
    <w:rsid w:val="00485B1C"/>
    <w:rsid w:val="004868D4"/>
    <w:rsid w:val="004A272F"/>
    <w:rsid w:val="004A7C97"/>
    <w:rsid w:val="004B13BC"/>
    <w:rsid w:val="004B44A1"/>
    <w:rsid w:val="004B7D02"/>
    <w:rsid w:val="004C4F64"/>
    <w:rsid w:val="004C5DAE"/>
    <w:rsid w:val="004D43E6"/>
    <w:rsid w:val="004D5331"/>
    <w:rsid w:val="004E1059"/>
    <w:rsid w:val="004E47E1"/>
    <w:rsid w:val="004E4DBC"/>
    <w:rsid w:val="004F46C5"/>
    <w:rsid w:val="004F606D"/>
    <w:rsid w:val="004F62B7"/>
    <w:rsid w:val="004F7358"/>
    <w:rsid w:val="0050370A"/>
    <w:rsid w:val="00506AA8"/>
    <w:rsid w:val="00520567"/>
    <w:rsid w:val="00544ABB"/>
    <w:rsid w:val="0055583F"/>
    <w:rsid w:val="00556D15"/>
    <w:rsid w:val="00562FC9"/>
    <w:rsid w:val="005715F7"/>
    <w:rsid w:val="00571674"/>
    <w:rsid w:val="0057408F"/>
    <w:rsid w:val="00574962"/>
    <w:rsid w:val="005815E7"/>
    <w:rsid w:val="005842B6"/>
    <w:rsid w:val="00584CCB"/>
    <w:rsid w:val="005878A9"/>
    <w:rsid w:val="005A358B"/>
    <w:rsid w:val="005B0F32"/>
    <w:rsid w:val="005D465B"/>
    <w:rsid w:val="005D5BB6"/>
    <w:rsid w:val="005E0A98"/>
    <w:rsid w:val="005E0DB2"/>
    <w:rsid w:val="005E2D5E"/>
    <w:rsid w:val="005E70AF"/>
    <w:rsid w:val="005F035A"/>
    <w:rsid w:val="00607D6E"/>
    <w:rsid w:val="0061119B"/>
    <w:rsid w:val="0061183D"/>
    <w:rsid w:val="00613E88"/>
    <w:rsid w:val="0061552C"/>
    <w:rsid w:val="006219A9"/>
    <w:rsid w:val="00624A40"/>
    <w:rsid w:val="00626932"/>
    <w:rsid w:val="00627FE3"/>
    <w:rsid w:val="00636F15"/>
    <w:rsid w:val="006431D3"/>
    <w:rsid w:val="0065678C"/>
    <w:rsid w:val="00656AAE"/>
    <w:rsid w:val="0066267A"/>
    <w:rsid w:val="00664711"/>
    <w:rsid w:val="00666002"/>
    <w:rsid w:val="0067509A"/>
    <w:rsid w:val="00676124"/>
    <w:rsid w:val="00677E27"/>
    <w:rsid w:val="00685FD6"/>
    <w:rsid w:val="00687EAE"/>
    <w:rsid w:val="00690493"/>
    <w:rsid w:val="00693D6D"/>
    <w:rsid w:val="006972AA"/>
    <w:rsid w:val="006A6E47"/>
    <w:rsid w:val="006C73F6"/>
    <w:rsid w:val="006F43C4"/>
    <w:rsid w:val="00706935"/>
    <w:rsid w:val="00715928"/>
    <w:rsid w:val="00716C8A"/>
    <w:rsid w:val="007259A5"/>
    <w:rsid w:val="00726040"/>
    <w:rsid w:val="00744D1E"/>
    <w:rsid w:val="00752CEB"/>
    <w:rsid w:val="00766838"/>
    <w:rsid w:val="0076736C"/>
    <w:rsid w:val="0077116F"/>
    <w:rsid w:val="00777B4F"/>
    <w:rsid w:val="007800F4"/>
    <w:rsid w:val="007A5505"/>
    <w:rsid w:val="007A7B2C"/>
    <w:rsid w:val="007C251C"/>
    <w:rsid w:val="007D0E82"/>
    <w:rsid w:val="007D164B"/>
    <w:rsid w:val="007D4310"/>
    <w:rsid w:val="007E2747"/>
    <w:rsid w:val="007E49B6"/>
    <w:rsid w:val="007F05B3"/>
    <w:rsid w:val="00802E79"/>
    <w:rsid w:val="0080514A"/>
    <w:rsid w:val="008064AB"/>
    <w:rsid w:val="008126EC"/>
    <w:rsid w:val="00821D3F"/>
    <w:rsid w:val="00822EB8"/>
    <w:rsid w:val="00843C90"/>
    <w:rsid w:val="00852F16"/>
    <w:rsid w:val="00853D96"/>
    <w:rsid w:val="0086213F"/>
    <w:rsid w:val="0087404E"/>
    <w:rsid w:val="00874D5F"/>
    <w:rsid w:val="00874DEC"/>
    <w:rsid w:val="00880B3C"/>
    <w:rsid w:val="00882630"/>
    <w:rsid w:val="00884A59"/>
    <w:rsid w:val="008904DF"/>
    <w:rsid w:val="00891E9D"/>
    <w:rsid w:val="008954C0"/>
    <w:rsid w:val="008B0C50"/>
    <w:rsid w:val="008C4B5F"/>
    <w:rsid w:val="008D4E11"/>
    <w:rsid w:val="008D7C1A"/>
    <w:rsid w:val="008E139C"/>
    <w:rsid w:val="008F1CE2"/>
    <w:rsid w:val="008F5159"/>
    <w:rsid w:val="0091676C"/>
    <w:rsid w:val="00917C9D"/>
    <w:rsid w:val="00930DDE"/>
    <w:rsid w:val="00932E98"/>
    <w:rsid w:val="009361AA"/>
    <w:rsid w:val="00950476"/>
    <w:rsid w:val="009535BD"/>
    <w:rsid w:val="009551A9"/>
    <w:rsid w:val="00962D07"/>
    <w:rsid w:val="0096550B"/>
    <w:rsid w:val="009661CB"/>
    <w:rsid w:val="009664C5"/>
    <w:rsid w:val="00972E40"/>
    <w:rsid w:val="00975088"/>
    <w:rsid w:val="009752FE"/>
    <w:rsid w:val="00975C64"/>
    <w:rsid w:val="00983BEF"/>
    <w:rsid w:val="00987353"/>
    <w:rsid w:val="00991643"/>
    <w:rsid w:val="00994B22"/>
    <w:rsid w:val="009973C3"/>
    <w:rsid w:val="009974A3"/>
    <w:rsid w:val="009A4206"/>
    <w:rsid w:val="009A6736"/>
    <w:rsid w:val="009B127A"/>
    <w:rsid w:val="009C44F9"/>
    <w:rsid w:val="009C4ED8"/>
    <w:rsid w:val="009E04D5"/>
    <w:rsid w:val="009E3676"/>
    <w:rsid w:val="009F0ECE"/>
    <w:rsid w:val="009F168B"/>
    <w:rsid w:val="009F3FE3"/>
    <w:rsid w:val="009F401C"/>
    <w:rsid w:val="009F488D"/>
    <w:rsid w:val="00A21C68"/>
    <w:rsid w:val="00A31A4D"/>
    <w:rsid w:val="00A368E6"/>
    <w:rsid w:val="00A63C0B"/>
    <w:rsid w:val="00A76045"/>
    <w:rsid w:val="00A7723C"/>
    <w:rsid w:val="00A80194"/>
    <w:rsid w:val="00A8139B"/>
    <w:rsid w:val="00A91F8C"/>
    <w:rsid w:val="00A96222"/>
    <w:rsid w:val="00AA2A14"/>
    <w:rsid w:val="00AF354B"/>
    <w:rsid w:val="00AF7AB0"/>
    <w:rsid w:val="00B00693"/>
    <w:rsid w:val="00B01831"/>
    <w:rsid w:val="00B07EB5"/>
    <w:rsid w:val="00B140D8"/>
    <w:rsid w:val="00B14E12"/>
    <w:rsid w:val="00B32D63"/>
    <w:rsid w:val="00B34619"/>
    <w:rsid w:val="00B34FBE"/>
    <w:rsid w:val="00B42CFA"/>
    <w:rsid w:val="00B44EE1"/>
    <w:rsid w:val="00B556BC"/>
    <w:rsid w:val="00B566CF"/>
    <w:rsid w:val="00B57A8E"/>
    <w:rsid w:val="00B63AF1"/>
    <w:rsid w:val="00B648E2"/>
    <w:rsid w:val="00B67D0E"/>
    <w:rsid w:val="00B70EC4"/>
    <w:rsid w:val="00B7583F"/>
    <w:rsid w:val="00B76928"/>
    <w:rsid w:val="00B8206A"/>
    <w:rsid w:val="00B85B03"/>
    <w:rsid w:val="00B87399"/>
    <w:rsid w:val="00B92CDE"/>
    <w:rsid w:val="00B92D80"/>
    <w:rsid w:val="00B97647"/>
    <w:rsid w:val="00BA4A76"/>
    <w:rsid w:val="00BA57F8"/>
    <w:rsid w:val="00BC271F"/>
    <w:rsid w:val="00BC3FEF"/>
    <w:rsid w:val="00BD2ABC"/>
    <w:rsid w:val="00BE183B"/>
    <w:rsid w:val="00C00506"/>
    <w:rsid w:val="00C12604"/>
    <w:rsid w:val="00C14576"/>
    <w:rsid w:val="00C16DDD"/>
    <w:rsid w:val="00C27BA2"/>
    <w:rsid w:val="00C3286A"/>
    <w:rsid w:val="00C34CAB"/>
    <w:rsid w:val="00C37BBD"/>
    <w:rsid w:val="00C47D6D"/>
    <w:rsid w:val="00C654CB"/>
    <w:rsid w:val="00C65D4C"/>
    <w:rsid w:val="00C724BF"/>
    <w:rsid w:val="00C74584"/>
    <w:rsid w:val="00C774C7"/>
    <w:rsid w:val="00C8731D"/>
    <w:rsid w:val="00C9090B"/>
    <w:rsid w:val="00C913E3"/>
    <w:rsid w:val="00C92304"/>
    <w:rsid w:val="00C92779"/>
    <w:rsid w:val="00C934CC"/>
    <w:rsid w:val="00CA380A"/>
    <w:rsid w:val="00CA4E90"/>
    <w:rsid w:val="00CA6DC5"/>
    <w:rsid w:val="00CB00B1"/>
    <w:rsid w:val="00CC0E99"/>
    <w:rsid w:val="00CE1082"/>
    <w:rsid w:val="00CE6221"/>
    <w:rsid w:val="00CE7ED2"/>
    <w:rsid w:val="00CF371D"/>
    <w:rsid w:val="00CF3777"/>
    <w:rsid w:val="00D00605"/>
    <w:rsid w:val="00D00CA6"/>
    <w:rsid w:val="00D02956"/>
    <w:rsid w:val="00D038D6"/>
    <w:rsid w:val="00D118B8"/>
    <w:rsid w:val="00D14BE2"/>
    <w:rsid w:val="00D3013C"/>
    <w:rsid w:val="00D34A77"/>
    <w:rsid w:val="00D503DE"/>
    <w:rsid w:val="00D63F48"/>
    <w:rsid w:val="00D67E55"/>
    <w:rsid w:val="00D72513"/>
    <w:rsid w:val="00D74771"/>
    <w:rsid w:val="00D8033B"/>
    <w:rsid w:val="00D841A3"/>
    <w:rsid w:val="00D86D01"/>
    <w:rsid w:val="00D96541"/>
    <w:rsid w:val="00DA1B3D"/>
    <w:rsid w:val="00DC348C"/>
    <w:rsid w:val="00DC4DDE"/>
    <w:rsid w:val="00DD5EBB"/>
    <w:rsid w:val="00DD6EE4"/>
    <w:rsid w:val="00DE481C"/>
    <w:rsid w:val="00DE4D30"/>
    <w:rsid w:val="00DF1ECF"/>
    <w:rsid w:val="00E072EA"/>
    <w:rsid w:val="00E140DF"/>
    <w:rsid w:val="00E27AC5"/>
    <w:rsid w:val="00E4362F"/>
    <w:rsid w:val="00E5696C"/>
    <w:rsid w:val="00E6766C"/>
    <w:rsid w:val="00E73C58"/>
    <w:rsid w:val="00E752C1"/>
    <w:rsid w:val="00E80991"/>
    <w:rsid w:val="00E81CAE"/>
    <w:rsid w:val="00E86AAF"/>
    <w:rsid w:val="00E91376"/>
    <w:rsid w:val="00E92DCC"/>
    <w:rsid w:val="00E95578"/>
    <w:rsid w:val="00E9642E"/>
    <w:rsid w:val="00E979EB"/>
    <w:rsid w:val="00EB1CA6"/>
    <w:rsid w:val="00EB22E5"/>
    <w:rsid w:val="00EE28B4"/>
    <w:rsid w:val="00EF0B7D"/>
    <w:rsid w:val="00F009ED"/>
    <w:rsid w:val="00F07CC8"/>
    <w:rsid w:val="00F12ECD"/>
    <w:rsid w:val="00F133AA"/>
    <w:rsid w:val="00F1748E"/>
    <w:rsid w:val="00F21E78"/>
    <w:rsid w:val="00F22D9B"/>
    <w:rsid w:val="00F26088"/>
    <w:rsid w:val="00F31AC3"/>
    <w:rsid w:val="00F33A35"/>
    <w:rsid w:val="00F40498"/>
    <w:rsid w:val="00F42EBA"/>
    <w:rsid w:val="00F441AE"/>
    <w:rsid w:val="00F44B0B"/>
    <w:rsid w:val="00F5250F"/>
    <w:rsid w:val="00F529A9"/>
    <w:rsid w:val="00F62547"/>
    <w:rsid w:val="00F62773"/>
    <w:rsid w:val="00F76EFB"/>
    <w:rsid w:val="00F81CB9"/>
    <w:rsid w:val="00F900E1"/>
    <w:rsid w:val="00F91681"/>
    <w:rsid w:val="00F96474"/>
    <w:rsid w:val="00FA015F"/>
    <w:rsid w:val="00FA1B5B"/>
    <w:rsid w:val="00FB2099"/>
    <w:rsid w:val="00FB24D1"/>
    <w:rsid w:val="00FC3D5F"/>
    <w:rsid w:val="00FD57AC"/>
    <w:rsid w:val="00FF2FFC"/>
    <w:rsid w:val="00FF500E"/>
    <w:rsid w:val="00FF528A"/>
    <w:rsid w:val="00FF7829"/>
    <w:rsid w:val="0175566E"/>
    <w:rsid w:val="036D408C"/>
    <w:rsid w:val="037F2E0A"/>
    <w:rsid w:val="03EF346B"/>
    <w:rsid w:val="044C3137"/>
    <w:rsid w:val="04996AE4"/>
    <w:rsid w:val="05300A2A"/>
    <w:rsid w:val="07DDAA90"/>
    <w:rsid w:val="08E440DE"/>
    <w:rsid w:val="091DC133"/>
    <w:rsid w:val="0B6F2D06"/>
    <w:rsid w:val="0B74108D"/>
    <w:rsid w:val="0BBA1213"/>
    <w:rsid w:val="0C092982"/>
    <w:rsid w:val="0ED335EC"/>
    <w:rsid w:val="102CB5D3"/>
    <w:rsid w:val="12787102"/>
    <w:rsid w:val="148A1665"/>
    <w:rsid w:val="149D2B33"/>
    <w:rsid w:val="15B3AC80"/>
    <w:rsid w:val="167855EB"/>
    <w:rsid w:val="1739949C"/>
    <w:rsid w:val="17E045F4"/>
    <w:rsid w:val="186A80A9"/>
    <w:rsid w:val="1900AF64"/>
    <w:rsid w:val="19BD6DCF"/>
    <w:rsid w:val="1CB7E5A8"/>
    <w:rsid w:val="1CD62691"/>
    <w:rsid w:val="1EDD88A7"/>
    <w:rsid w:val="1F10A7D5"/>
    <w:rsid w:val="1F47CE22"/>
    <w:rsid w:val="2167CC31"/>
    <w:rsid w:val="219DF034"/>
    <w:rsid w:val="223E4089"/>
    <w:rsid w:val="24488BE1"/>
    <w:rsid w:val="24FDB1A1"/>
    <w:rsid w:val="2596A1D8"/>
    <w:rsid w:val="25EC7FBE"/>
    <w:rsid w:val="264EE0D5"/>
    <w:rsid w:val="26EE5447"/>
    <w:rsid w:val="29DE4ABB"/>
    <w:rsid w:val="2C6A3A2E"/>
    <w:rsid w:val="2C70DA2C"/>
    <w:rsid w:val="2CAF1378"/>
    <w:rsid w:val="2E554FB6"/>
    <w:rsid w:val="2ED99CE1"/>
    <w:rsid w:val="2FA0B003"/>
    <w:rsid w:val="3043134E"/>
    <w:rsid w:val="306A5EB9"/>
    <w:rsid w:val="309E3452"/>
    <w:rsid w:val="30F3339E"/>
    <w:rsid w:val="310A3BE3"/>
    <w:rsid w:val="351F2DFF"/>
    <w:rsid w:val="379F9CA9"/>
    <w:rsid w:val="394D6199"/>
    <w:rsid w:val="3A8FF33E"/>
    <w:rsid w:val="3BA04B45"/>
    <w:rsid w:val="3BD5B917"/>
    <w:rsid w:val="3EC06151"/>
    <w:rsid w:val="3EE4A06C"/>
    <w:rsid w:val="407A4BCF"/>
    <w:rsid w:val="4082858E"/>
    <w:rsid w:val="40E626BD"/>
    <w:rsid w:val="417D2C25"/>
    <w:rsid w:val="429E1891"/>
    <w:rsid w:val="44AF8324"/>
    <w:rsid w:val="4549D26B"/>
    <w:rsid w:val="47B724A5"/>
    <w:rsid w:val="4925DB0C"/>
    <w:rsid w:val="4BD8FB11"/>
    <w:rsid w:val="4E970DCB"/>
    <w:rsid w:val="4F3C73C0"/>
    <w:rsid w:val="4FBA06F6"/>
    <w:rsid w:val="504FDA01"/>
    <w:rsid w:val="51EC9281"/>
    <w:rsid w:val="53019E8A"/>
    <w:rsid w:val="530635F1"/>
    <w:rsid w:val="53223E6A"/>
    <w:rsid w:val="536799D8"/>
    <w:rsid w:val="53A916FE"/>
    <w:rsid w:val="54B4805A"/>
    <w:rsid w:val="5508A645"/>
    <w:rsid w:val="555B7792"/>
    <w:rsid w:val="5579F857"/>
    <w:rsid w:val="567F7172"/>
    <w:rsid w:val="568801AF"/>
    <w:rsid w:val="5793DF81"/>
    <w:rsid w:val="57AA7AA3"/>
    <w:rsid w:val="5802BF3B"/>
    <w:rsid w:val="58CC3CFB"/>
    <w:rsid w:val="58F60EF4"/>
    <w:rsid w:val="5A2BB79E"/>
    <w:rsid w:val="5C5C6782"/>
    <w:rsid w:val="5D6A8E9B"/>
    <w:rsid w:val="5E06008D"/>
    <w:rsid w:val="5EB9E920"/>
    <w:rsid w:val="5F8F093F"/>
    <w:rsid w:val="62162C8F"/>
    <w:rsid w:val="62BDDE4E"/>
    <w:rsid w:val="6482D1B8"/>
    <w:rsid w:val="64E5A425"/>
    <w:rsid w:val="656E4FD9"/>
    <w:rsid w:val="663966BE"/>
    <w:rsid w:val="6703E894"/>
    <w:rsid w:val="680DD3A1"/>
    <w:rsid w:val="688369AD"/>
    <w:rsid w:val="699F3F56"/>
    <w:rsid w:val="6ABBC64F"/>
    <w:rsid w:val="6B26EE91"/>
    <w:rsid w:val="6B372BEE"/>
    <w:rsid w:val="6BAE418A"/>
    <w:rsid w:val="6D08E2F6"/>
    <w:rsid w:val="6F9236B9"/>
    <w:rsid w:val="6FA4F36C"/>
    <w:rsid w:val="7082E42C"/>
    <w:rsid w:val="70C1ABB1"/>
    <w:rsid w:val="710DDC31"/>
    <w:rsid w:val="72CE27FA"/>
    <w:rsid w:val="73C0C561"/>
    <w:rsid w:val="747D9D4F"/>
    <w:rsid w:val="749912DA"/>
    <w:rsid w:val="76BAAAD0"/>
    <w:rsid w:val="76CE58FB"/>
    <w:rsid w:val="77FDE580"/>
    <w:rsid w:val="788217F7"/>
    <w:rsid w:val="78A0039D"/>
    <w:rsid w:val="79B39DA3"/>
    <w:rsid w:val="7A600D4D"/>
    <w:rsid w:val="7A6C8D5D"/>
    <w:rsid w:val="7B7EAD9E"/>
    <w:rsid w:val="7D359346"/>
    <w:rsid w:val="7E8F94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E64BA"/>
  <w15:chartTrackingRefBased/>
  <w15:docId w15:val="{AD1EA0E6-3C0C-437C-92C5-5265D2347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0498"/>
    <w:rPr>
      <w:color w:val="467886" w:themeColor="hyperlink"/>
      <w:u w:val="single"/>
    </w:rPr>
  </w:style>
  <w:style w:type="character" w:styleId="UnresolvedMention">
    <w:name w:val="Unresolved Mention"/>
    <w:basedOn w:val="DefaultParagraphFont"/>
    <w:uiPriority w:val="99"/>
    <w:semiHidden/>
    <w:unhideWhenUsed/>
    <w:rsid w:val="00F40498"/>
    <w:rPr>
      <w:color w:val="605E5C"/>
      <w:shd w:val="clear" w:color="auto" w:fill="E1DFDD"/>
    </w:rPr>
  </w:style>
  <w:style w:type="paragraph" w:styleId="CommentText">
    <w:name w:val="annotation text"/>
    <w:basedOn w:val="Normal"/>
    <w:link w:val="CommentTextChar"/>
    <w:uiPriority w:val="99"/>
    <w:semiHidden/>
    <w:unhideWhenUsed/>
    <w:rsid w:val="004167C2"/>
    <w:pPr>
      <w:spacing w:line="240" w:lineRule="auto"/>
    </w:pPr>
    <w:rPr>
      <w:sz w:val="20"/>
      <w:szCs w:val="20"/>
    </w:rPr>
  </w:style>
  <w:style w:type="character" w:customStyle="1" w:styleId="CommentTextChar">
    <w:name w:val="Comment Text Char"/>
    <w:basedOn w:val="DefaultParagraphFont"/>
    <w:link w:val="CommentText"/>
    <w:uiPriority w:val="99"/>
    <w:semiHidden/>
    <w:rsid w:val="004167C2"/>
    <w:rPr>
      <w:sz w:val="20"/>
      <w:szCs w:val="20"/>
    </w:rPr>
  </w:style>
  <w:style w:type="character" w:styleId="CommentReference">
    <w:name w:val="annotation reference"/>
    <w:basedOn w:val="DefaultParagraphFont"/>
    <w:uiPriority w:val="99"/>
    <w:semiHidden/>
    <w:unhideWhenUsed/>
    <w:rsid w:val="004167C2"/>
    <w:rPr>
      <w:sz w:val="16"/>
      <w:szCs w:val="16"/>
    </w:rPr>
  </w:style>
  <w:style w:type="paragraph" w:styleId="ListParagraph">
    <w:name w:val="List Paragraph"/>
    <w:basedOn w:val="Normal"/>
    <w:uiPriority w:val="34"/>
    <w:qFormat/>
    <w:rsid w:val="001A4E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E47D321E66C84F919C21E6C44AC024" ma:contentTypeVersion="3" ma:contentTypeDescription="Create a new document." ma:contentTypeScope="" ma:versionID="173f9650ee9faa5bfcc35eff8be52d38">
  <xsd:schema xmlns:xsd="http://www.w3.org/2001/XMLSchema" xmlns:xs="http://www.w3.org/2001/XMLSchema" xmlns:p="http://schemas.microsoft.com/office/2006/metadata/properties" xmlns:ns2="cefe2414-e8cd-4415-ba28-eec11d95d814" targetNamespace="http://schemas.microsoft.com/office/2006/metadata/properties" ma:root="true" ma:fieldsID="917dda051ac71b7db4e3c4428db84edd" ns2:_="">
    <xsd:import namespace="cefe2414-e8cd-4415-ba28-eec11d95d81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fe2414-e8cd-4415-ba28-eec11d95d8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53D94F-41EB-491D-92B7-36391E9A5DB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CF9367-19F3-4735-A3D0-973D9672A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fe2414-e8cd-4415-ba28-eec11d95d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53A2FA-BD06-4CFC-8A1D-753A840CAF9E}">
  <ds:schemaRefs>
    <ds:schemaRef ds:uri="http://schemas.microsoft.com/sharepoint/v3/contenttype/forms"/>
  </ds:schemaRefs>
</ds:datastoreItem>
</file>

<file path=docMetadata/LabelInfo.xml><?xml version="1.0" encoding="utf-8"?>
<clbl:labelList xmlns:clbl="http://schemas.microsoft.com/office/2020/mipLabelMetadata">
  <clbl:label id="{9e6a798f-a066-4d9b-8d65-32b08ea2c393}" enabled="0" method="" siteId="{9e6a798f-a066-4d9b-8d65-32b08ea2c393}"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1409</Words>
  <Characters>8034</Characters>
  <Application>Microsoft Office Word</Application>
  <DocSecurity>4</DocSecurity>
  <Lines>66</Lines>
  <Paragraphs>18</Paragraphs>
  <ScaleCrop>false</ScaleCrop>
  <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 Kilcoyne</dc:creator>
  <cp:keywords/>
  <dc:description/>
  <cp:lastModifiedBy>David Walsh</cp:lastModifiedBy>
  <cp:revision>2</cp:revision>
  <dcterms:created xsi:type="dcterms:W3CDTF">2026-08-21T14:52:00Z</dcterms:created>
  <dcterms:modified xsi:type="dcterms:W3CDTF">2026-08-21T14:52:00Z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0x01010063E47D321E66C84F919C21E6C44AC024</vt:lpwstr>
  </property>
</Properties>
</file>