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07B66" w14:textId="77777777" w:rsidR="00AA60B2" w:rsidRDefault="00AA60B2">
      <w:pPr>
        <w:rPr>
          <w:rFonts w:ascii="Calibri" w:hAnsi="Calibri" w:cs="Calibri"/>
          <w:b/>
          <w:bCs/>
        </w:rPr>
      </w:pPr>
    </w:p>
    <w:p w14:paraId="50E07FBF" w14:textId="71605EDF" w:rsidR="009427C7" w:rsidRDefault="00835F56" w:rsidP="00834AD0">
      <w:pPr>
        <w:jc w:val="center"/>
        <w:rPr>
          <w:rFonts w:ascii="Calibri" w:hAnsi="Calibri" w:cs="Calibri"/>
        </w:rPr>
      </w:pPr>
      <w:r w:rsidRPr="00AA60B2">
        <w:rPr>
          <w:rFonts w:ascii="Calibri" w:hAnsi="Calibri" w:cs="Calibri"/>
          <w:b/>
          <w:bCs/>
          <w:u w:val="single"/>
        </w:rPr>
        <w:t>Clarification Response</w:t>
      </w:r>
      <w:r w:rsidR="003B66DD">
        <w:rPr>
          <w:rFonts w:ascii="Calibri" w:hAnsi="Calibri" w:cs="Calibri"/>
          <w:b/>
          <w:bCs/>
          <w:u w:val="single"/>
        </w:rPr>
        <w:t>s</w:t>
      </w:r>
      <w:r w:rsidRPr="00AA60B2">
        <w:rPr>
          <w:rFonts w:ascii="Calibri" w:hAnsi="Calibri" w:cs="Calibri"/>
          <w:b/>
          <w:bCs/>
          <w:u w:val="single"/>
        </w:rPr>
        <w:t xml:space="preserve"> – CFT </w:t>
      </w:r>
      <w:r w:rsidR="009F3A37">
        <w:rPr>
          <w:rFonts w:ascii="Calibri" w:hAnsi="Calibri" w:cs="Calibri"/>
          <w:b/>
          <w:bCs/>
          <w:u w:val="single"/>
        </w:rPr>
        <w:t xml:space="preserve">8732511: </w:t>
      </w:r>
      <w:r w:rsidR="006C2979">
        <w:rPr>
          <w:rFonts w:ascii="Calibri" w:hAnsi="Calibri" w:cs="Calibri"/>
          <w:b/>
          <w:bCs/>
          <w:u w:val="single"/>
        </w:rPr>
        <w:t>Cyber Security Consultancy and Technical Services</w:t>
      </w:r>
    </w:p>
    <w:p w14:paraId="7EF6D60B" w14:textId="77777777" w:rsidR="00834AD0" w:rsidRPr="00834AD0" w:rsidRDefault="00834AD0" w:rsidP="00834AD0">
      <w:pPr>
        <w:jc w:val="center"/>
        <w:rPr>
          <w:rFonts w:ascii="Calibri" w:hAnsi="Calibri" w:cs="Calibri"/>
        </w:rPr>
      </w:pPr>
    </w:p>
    <w:p w14:paraId="4F91B33A" w14:textId="77777777" w:rsidR="00762B91" w:rsidRDefault="00762B91" w:rsidP="00762B91">
      <w:pPr>
        <w:numPr>
          <w:ilvl w:val="0"/>
          <w:numId w:val="100"/>
        </w:numPr>
        <w:rPr>
          <w:rFonts w:ascii="Calibri" w:hAnsi="Calibri" w:cs="Calibri"/>
        </w:rPr>
      </w:pPr>
      <w:r w:rsidRPr="00660944">
        <w:rPr>
          <w:rFonts w:ascii="Calibri" w:hAnsi="Calibri" w:cs="Calibri"/>
        </w:rPr>
        <w:t>Can the Department confirm the SIEM platform currently in use (e.g. Microsoft Sentinel or alternative), including the current licensing model and any existing content such as analytics rules, workbooks and playbooks?</w:t>
      </w:r>
    </w:p>
    <w:p w14:paraId="3F3604D9" w14:textId="10C1B31D" w:rsidR="00762B91" w:rsidRDefault="00762B91" w:rsidP="00DD5583">
      <w:pPr>
        <w:pStyle w:val="ListParagraph"/>
        <w:rPr>
          <w:rFonts w:ascii="Calibri" w:hAnsi="Calibri" w:cs="Calibri"/>
          <w:b/>
          <w:bCs/>
        </w:rPr>
      </w:pPr>
      <w:r w:rsidRPr="00762B91">
        <w:rPr>
          <w:rFonts w:ascii="Calibri" w:hAnsi="Calibri" w:cs="Calibri"/>
          <w:b/>
          <w:bCs/>
        </w:rPr>
        <w:t>Microsoft Sentinel is provided through a landing zone but is not fully operational, as no MSSP is currently in place. No security runbooks or playbooks exist, as we don’t currently have an MSSP.</w:t>
      </w:r>
    </w:p>
    <w:p w14:paraId="14024347" w14:textId="77777777" w:rsidR="00DD5583" w:rsidRPr="00DD5583" w:rsidRDefault="00DD5583" w:rsidP="00DD5583">
      <w:pPr>
        <w:pStyle w:val="ListParagraph"/>
        <w:rPr>
          <w:rFonts w:ascii="Calibri" w:hAnsi="Calibri" w:cs="Calibri"/>
          <w:b/>
          <w:bCs/>
        </w:rPr>
      </w:pPr>
    </w:p>
    <w:p w14:paraId="1664C6FC" w14:textId="77777777" w:rsidR="00762B91" w:rsidRDefault="00762B91" w:rsidP="00762B91">
      <w:pPr>
        <w:numPr>
          <w:ilvl w:val="0"/>
          <w:numId w:val="100"/>
        </w:numPr>
        <w:rPr>
          <w:rFonts w:ascii="Calibri" w:hAnsi="Calibri" w:cs="Calibri"/>
        </w:rPr>
      </w:pPr>
      <w:r w:rsidRPr="00660944">
        <w:rPr>
          <w:rFonts w:ascii="Calibri" w:hAnsi="Calibri" w:cs="Calibri"/>
        </w:rPr>
        <w:t>Approximately how many log sources are currently onboarded to the SIEM, and what is the current daily log ingestion volume (GB/day or EPS)?</w:t>
      </w:r>
    </w:p>
    <w:p w14:paraId="31F26AFA" w14:textId="38102A54" w:rsidR="00762B91" w:rsidRDefault="00762B91" w:rsidP="00DD5583">
      <w:pPr>
        <w:pStyle w:val="ListParagraph"/>
        <w:rPr>
          <w:rFonts w:ascii="Calibri" w:hAnsi="Calibri" w:cs="Calibri"/>
          <w:b/>
          <w:bCs/>
        </w:rPr>
      </w:pPr>
      <w:r w:rsidRPr="00762B91">
        <w:rPr>
          <w:rFonts w:ascii="Calibri" w:hAnsi="Calibri" w:cs="Calibri"/>
          <w:b/>
          <w:bCs/>
        </w:rPr>
        <w:t>Data connectors are set for Microsoft Defender for Cloud, Network Security Groups, Azure Activity, Entra ID, and Azure Monitor. There is currently no NSG flow logs configured to capture ingress and egress IP traffic.</w:t>
      </w:r>
    </w:p>
    <w:p w14:paraId="4834F92D" w14:textId="77777777" w:rsidR="00DD5583" w:rsidRPr="00DD5583" w:rsidRDefault="00DD5583" w:rsidP="00DD5583">
      <w:pPr>
        <w:pStyle w:val="ListParagraph"/>
        <w:rPr>
          <w:rFonts w:ascii="Calibri" w:hAnsi="Calibri" w:cs="Calibri"/>
          <w:b/>
          <w:bCs/>
        </w:rPr>
      </w:pPr>
    </w:p>
    <w:p w14:paraId="3BFED954" w14:textId="77777777" w:rsidR="00762B91" w:rsidRDefault="00762B91" w:rsidP="00762B91">
      <w:pPr>
        <w:numPr>
          <w:ilvl w:val="0"/>
          <w:numId w:val="100"/>
        </w:numPr>
        <w:rPr>
          <w:rFonts w:ascii="Calibri" w:hAnsi="Calibri" w:cs="Calibri"/>
        </w:rPr>
      </w:pPr>
      <w:r w:rsidRPr="00660944">
        <w:rPr>
          <w:rFonts w:ascii="Calibri" w:hAnsi="Calibri" w:cs="Calibri"/>
        </w:rPr>
        <w:t>Are there any planned SIEM platform changes during the contract term?</w:t>
      </w:r>
    </w:p>
    <w:p w14:paraId="620088D5" w14:textId="39659C9E" w:rsidR="00762B91" w:rsidRDefault="00762B91" w:rsidP="00DD5583">
      <w:pPr>
        <w:pStyle w:val="ListParagraph"/>
        <w:rPr>
          <w:rFonts w:ascii="Calibri" w:hAnsi="Calibri" w:cs="Calibri"/>
          <w:b/>
          <w:bCs/>
        </w:rPr>
      </w:pPr>
      <w:r w:rsidRPr="00762B91">
        <w:rPr>
          <w:rFonts w:ascii="Calibri" w:hAnsi="Calibri" w:cs="Calibri"/>
          <w:b/>
          <w:bCs/>
        </w:rPr>
        <w:t xml:space="preserve">No plans to change SIEM provider, but the successful tenderer will assist DCDE in making changes and configuring/optimising the current SIEM solution. </w:t>
      </w:r>
    </w:p>
    <w:p w14:paraId="704E03AA" w14:textId="77777777" w:rsidR="00DD5583" w:rsidRDefault="00DD5583" w:rsidP="00DD5583">
      <w:pPr>
        <w:pStyle w:val="ListParagraph"/>
        <w:rPr>
          <w:rFonts w:ascii="Calibri" w:hAnsi="Calibri" w:cs="Calibri"/>
          <w:b/>
          <w:bCs/>
        </w:rPr>
      </w:pPr>
    </w:p>
    <w:p w14:paraId="5B951CA1" w14:textId="77777777" w:rsidR="00DD5583" w:rsidRPr="00DD5583" w:rsidRDefault="00DD5583" w:rsidP="00DD5583">
      <w:pPr>
        <w:pStyle w:val="ListParagraph"/>
        <w:rPr>
          <w:rFonts w:ascii="Calibri" w:hAnsi="Calibri" w:cs="Calibri"/>
          <w:b/>
          <w:bCs/>
        </w:rPr>
      </w:pPr>
    </w:p>
    <w:p w14:paraId="498E42F2" w14:textId="77777777" w:rsidR="00D762D4" w:rsidRPr="00D762D4" w:rsidRDefault="00762B91" w:rsidP="00D762D4">
      <w:pPr>
        <w:pStyle w:val="ListParagraph"/>
        <w:numPr>
          <w:ilvl w:val="0"/>
          <w:numId w:val="100"/>
        </w:numPr>
        <w:rPr>
          <w:rFonts w:ascii="Calibri" w:hAnsi="Calibri" w:cs="Calibri"/>
        </w:rPr>
      </w:pPr>
      <w:r w:rsidRPr="00D762D4">
        <w:rPr>
          <w:rFonts w:ascii="Calibri" w:hAnsi="Calibri" w:cs="Calibri"/>
          <w:b/>
          <w:bCs/>
        </w:rPr>
        <w:t xml:space="preserve">Endpoint Detection and Response </w:t>
      </w:r>
    </w:p>
    <w:p w14:paraId="71AB2982" w14:textId="77777777" w:rsidR="00762B91" w:rsidRPr="00D762D4" w:rsidRDefault="00D762D4" w:rsidP="00D762D4">
      <w:pPr>
        <w:pStyle w:val="ListParagraph"/>
        <w:rPr>
          <w:rFonts w:ascii="Calibri" w:hAnsi="Calibri" w:cs="Calibri"/>
        </w:rPr>
      </w:pPr>
      <w:r w:rsidRPr="00D762D4">
        <w:rPr>
          <w:rFonts w:ascii="Calibri" w:hAnsi="Calibri" w:cs="Calibri"/>
        </w:rPr>
        <w:t>(i)</w:t>
      </w:r>
      <w:r>
        <w:rPr>
          <w:rFonts w:ascii="Calibri" w:hAnsi="Calibri" w:cs="Calibri"/>
          <w:b/>
          <w:bCs/>
        </w:rPr>
        <w:t xml:space="preserve"> </w:t>
      </w:r>
      <w:r w:rsidR="00762B91" w:rsidRPr="00D762D4">
        <w:rPr>
          <w:rFonts w:ascii="Calibri" w:hAnsi="Calibri" w:cs="Calibri"/>
        </w:rPr>
        <w:t>Which EDR/MDR platform(s) are currently deployed across endpoints and servers?</w:t>
      </w:r>
    </w:p>
    <w:p w14:paraId="4E645A22" w14:textId="77777777" w:rsidR="00762B91" w:rsidRPr="00D762D4" w:rsidRDefault="00762B91" w:rsidP="00D762D4">
      <w:pPr>
        <w:pStyle w:val="ListParagraph"/>
        <w:numPr>
          <w:ilvl w:val="0"/>
          <w:numId w:val="101"/>
        </w:numPr>
        <w:rPr>
          <w:rFonts w:ascii="Calibri" w:hAnsi="Calibri" w:cs="Calibri"/>
        </w:rPr>
      </w:pPr>
      <w:r w:rsidRPr="00D762D4">
        <w:rPr>
          <w:rFonts w:ascii="Calibri" w:hAnsi="Calibri" w:cs="Calibri"/>
        </w:rPr>
        <w:t>Approximately how many:</w:t>
      </w:r>
    </w:p>
    <w:p w14:paraId="7AE2B891" w14:textId="77777777" w:rsidR="00762B91" w:rsidRPr="00660944" w:rsidRDefault="00762B91" w:rsidP="002E3257">
      <w:pPr>
        <w:numPr>
          <w:ilvl w:val="0"/>
          <w:numId w:val="3"/>
        </w:numPr>
        <w:tabs>
          <w:tab w:val="clear" w:pos="720"/>
          <w:tab w:val="num" w:pos="567"/>
        </w:tabs>
        <w:rPr>
          <w:rFonts w:ascii="Calibri" w:hAnsi="Calibri" w:cs="Calibri"/>
        </w:rPr>
      </w:pPr>
      <w:r w:rsidRPr="00660944">
        <w:rPr>
          <w:rFonts w:ascii="Calibri" w:hAnsi="Calibri" w:cs="Calibri"/>
        </w:rPr>
        <w:t>user endpoints</w:t>
      </w:r>
      <w:r>
        <w:rPr>
          <w:rFonts w:ascii="Calibri" w:hAnsi="Calibri" w:cs="Calibri"/>
        </w:rPr>
        <w:t xml:space="preserve"> </w:t>
      </w:r>
    </w:p>
    <w:p w14:paraId="66CF9A4B" w14:textId="77777777" w:rsidR="00762B91" w:rsidRPr="00660944" w:rsidRDefault="00762B91" w:rsidP="00762B91">
      <w:pPr>
        <w:numPr>
          <w:ilvl w:val="0"/>
          <w:numId w:val="4"/>
        </w:numPr>
        <w:rPr>
          <w:rFonts w:ascii="Calibri" w:hAnsi="Calibri" w:cs="Calibri"/>
        </w:rPr>
      </w:pPr>
      <w:r w:rsidRPr="00660944">
        <w:rPr>
          <w:rFonts w:ascii="Calibri" w:hAnsi="Calibri" w:cs="Calibri"/>
        </w:rPr>
        <w:t>servers</w:t>
      </w:r>
    </w:p>
    <w:p w14:paraId="455F26C2" w14:textId="77777777" w:rsidR="00762B91" w:rsidRDefault="00762B91" w:rsidP="00762B91">
      <w:pPr>
        <w:numPr>
          <w:ilvl w:val="0"/>
          <w:numId w:val="5"/>
        </w:numPr>
        <w:rPr>
          <w:rFonts w:ascii="Calibri" w:hAnsi="Calibri" w:cs="Calibri"/>
        </w:rPr>
      </w:pPr>
      <w:r w:rsidRPr="00660944">
        <w:rPr>
          <w:rFonts w:ascii="Calibri" w:hAnsi="Calibri" w:cs="Calibri"/>
        </w:rPr>
        <w:t>cloud workloads</w:t>
      </w:r>
    </w:p>
    <w:p w14:paraId="6E5EAF73" w14:textId="77777777" w:rsidR="00762B91" w:rsidRPr="00660944" w:rsidRDefault="00762B91" w:rsidP="00762B91">
      <w:pPr>
        <w:numPr>
          <w:ilvl w:val="0"/>
          <w:numId w:val="6"/>
        </w:numPr>
        <w:rPr>
          <w:rFonts w:ascii="Calibri" w:hAnsi="Calibri" w:cs="Calibri"/>
        </w:rPr>
      </w:pPr>
      <w:r w:rsidRPr="00660944">
        <w:rPr>
          <w:rFonts w:ascii="Calibri" w:hAnsi="Calibri" w:cs="Calibri"/>
        </w:rPr>
        <w:t>mobile devices</w:t>
      </w:r>
    </w:p>
    <w:p w14:paraId="417DB9DA" w14:textId="77777777" w:rsidR="00D762D4" w:rsidRDefault="00762B91" w:rsidP="002E3257">
      <w:pPr>
        <w:ind w:firstLine="720"/>
        <w:rPr>
          <w:rFonts w:ascii="Calibri" w:hAnsi="Calibri" w:cs="Calibri"/>
        </w:rPr>
      </w:pPr>
      <w:r w:rsidRPr="00660944">
        <w:rPr>
          <w:rFonts w:ascii="Calibri" w:hAnsi="Calibri" w:cs="Calibri"/>
        </w:rPr>
        <w:t>are currently protected?</w:t>
      </w:r>
    </w:p>
    <w:p w14:paraId="7E2299A6" w14:textId="351CA7A9" w:rsidR="00D762D4" w:rsidRDefault="00D762D4" w:rsidP="00DD5583">
      <w:pPr>
        <w:ind w:left="720"/>
        <w:rPr>
          <w:rFonts w:ascii="Calibri" w:hAnsi="Calibri" w:cs="Calibri"/>
          <w:b/>
          <w:bCs/>
        </w:rPr>
      </w:pPr>
      <w:r w:rsidRPr="0093340B">
        <w:rPr>
          <w:rFonts w:ascii="Calibri" w:hAnsi="Calibri" w:cs="Calibri"/>
          <w:b/>
          <w:bCs/>
        </w:rPr>
        <w:t xml:space="preserve">This MSSP will not cover </w:t>
      </w:r>
      <w:r>
        <w:rPr>
          <w:rFonts w:ascii="Calibri" w:hAnsi="Calibri" w:cs="Calibri"/>
          <w:b/>
          <w:bCs/>
        </w:rPr>
        <w:t>users' devices, mobiles, etc., as that is on a centralised government tenant and is out of scope for</w:t>
      </w:r>
      <w:r w:rsidRPr="0093340B">
        <w:rPr>
          <w:rFonts w:ascii="Calibri" w:hAnsi="Calibri" w:cs="Calibri"/>
          <w:b/>
          <w:bCs/>
        </w:rPr>
        <w:t xml:space="preserve"> this work. The scope will be </w:t>
      </w:r>
      <w:r>
        <w:rPr>
          <w:rFonts w:ascii="Calibri" w:hAnsi="Calibri" w:cs="Calibri"/>
          <w:b/>
          <w:bCs/>
        </w:rPr>
        <w:t xml:space="preserve">our tenant hosting our Line of Business apps, with </w:t>
      </w:r>
      <w:r w:rsidRPr="0093340B">
        <w:rPr>
          <w:rFonts w:ascii="Calibri" w:hAnsi="Calibri" w:cs="Calibri"/>
          <w:b/>
          <w:bCs/>
        </w:rPr>
        <w:t>some VMs acting as jump boxes or gateways. Barracuda firewalls are deployed as VMs. Most capacities are combined serverless processes</w:t>
      </w:r>
      <w:r>
        <w:rPr>
          <w:rFonts w:ascii="Calibri" w:hAnsi="Calibri" w:cs="Calibri"/>
          <w:b/>
          <w:bCs/>
        </w:rPr>
        <w:t>,</w:t>
      </w:r>
      <w:r w:rsidRPr="0093340B">
        <w:rPr>
          <w:rFonts w:ascii="Calibri" w:hAnsi="Calibri" w:cs="Calibri"/>
          <w:b/>
          <w:bCs/>
        </w:rPr>
        <w:t xml:space="preserve"> such as </w:t>
      </w:r>
      <w:r>
        <w:rPr>
          <w:rFonts w:ascii="Calibri" w:hAnsi="Calibri" w:cs="Calibri"/>
          <w:b/>
          <w:bCs/>
        </w:rPr>
        <w:t>Fabric, Power Pages, and Power Apps</w:t>
      </w:r>
      <w:r w:rsidRPr="0093340B">
        <w:rPr>
          <w:rFonts w:ascii="Calibri" w:hAnsi="Calibri" w:cs="Calibri"/>
          <w:b/>
          <w:bCs/>
        </w:rPr>
        <w:t xml:space="preserve">. There </w:t>
      </w:r>
      <w:r>
        <w:rPr>
          <w:rFonts w:ascii="Calibri" w:hAnsi="Calibri" w:cs="Calibri"/>
          <w:b/>
          <w:bCs/>
        </w:rPr>
        <w:t>are</w:t>
      </w:r>
      <w:r w:rsidRPr="0093340B">
        <w:rPr>
          <w:rFonts w:ascii="Calibri" w:hAnsi="Calibri" w:cs="Calibri"/>
          <w:b/>
          <w:bCs/>
        </w:rPr>
        <w:t xml:space="preserve"> roughly 800 users on our tenant. </w:t>
      </w:r>
    </w:p>
    <w:p w14:paraId="2ECA3403" w14:textId="77777777" w:rsidR="00DD5583" w:rsidRPr="00DD5583" w:rsidRDefault="00DD5583" w:rsidP="00DD5583">
      <w:pPr>
        <w:ind w:left="720"/>
        <w:rPr>
          <w:rFonts w:ascii="Calibri" w:hAnsi="Calibri" w:cs="Calibri"/>
          <w:b/>
          <w:bCs/>
        </w:rPr>
      </w:pPr>
    </w:p>
    <w:p w14:paraId="106D6F37" w14:textId="77777777" w:rsidR="008A17B7" w:rsidRDefault="008A17B7" w:rsidP="008A17B7">
      <w:pPr>
        <w:numPr>
          <w:ilvl w:val="0"/>
          <w:numId w:val="100"/>
        </w:numPr>
        <w:rPr>
          <w:rFonts w:ascii="Calibri" w:hAnsi="Calibri" w:cs="Calibri"/>
        </w:rPr>
      </w:pPr>
      <w:r>
        <w:rPr>
          <w:rFonts w:ascii="Calibri" w:hAnsi="Calibri" w:cs="Calibri"/>
          <w:b/>
          <w:bCs/>
        </w:rPr>
        <w:lastRenderedPageBreak/>
        <w:t xml:space="preserve">Identity: </w:t>
      </w:r>
      <w:r w:rsidRPr="00660944">
        <w:rPr>
          <w:rFonts w:ascii="Calibri" w:hAnsi="Calibri" w:cs="Calibri"/>
        </w:rPr>
        <w:t>What identity platforms are currently in use (Entra ID, Active Directory or hybrid), and approximately how many user, privileged and service accounts are within scope</w:t>
      </w:r>
    </w:p>
    <w:p w14:paraId="515058D6" w14:textId="77777777" w:rsidR="008A17B7" w:rsidRPr="008A17B7" w:rsidRDefault="008A17B7" w:rsidP="008A17B7">
      <w:pPr>
        <w:pStyle w:val="ListParagraph"/>
        <w:rPr>
          <w:rFonts w:ascii="Calibri" w:hAnsi="Calibri" w:cs="Calibri"/>
          <w:b/>
          <w:bCs/>
        </w:rPr>
      </w:pPr>
      <w:r w:rsidRPr="008A17B7">
        <w:rPr>
          <w:b/>
          <w:bCs/>
        </w:rPr>
        <w:t xml:space="preserve">We have a cross-tenant B2B connection to our main tenant, which is centrally hosted within the government networks and is out of scope. We get our identities from AD, which provides SSO. Roughly 800 users, then a small number of service accounts, PIM is in operation and RBAC. There are also roughly 150 users with guest access from another government department, and a small number of contractors with accounts. </w:t>
      </w:r>
    </w:p>
    <w:p w14:paraId="126CEB01" w14:textId="77777777" w:rsidR="008A17B7" w:rsidRDefault="008A17B7" w:rsidP="008A17B7">
      <w:pPr>
        <w:ind w:left="720"/>
        <w:rPr>
          <w:rFonts w:ascii="Calibri" w:hAnsi="Calibri" w:cs="Calibri"/>
        </w:rPr>
      </w:pPr>
    </w:p>
    <w:p w14:paraId="77802FFF" w14:textId="77777777" w:rsidR="008A17B7" w:rsidRDefault="008A17B7" w:rsidP="008A17B7">
      <w:pPr>
        <w:numPr>
          <w:ilvl w:val="0"/>
          <w:numId w:val="100"/>
        </w:numPr>
        <w:rPr>
          <w:rFonts w:ascii="Calibri" w:hAnsi="Calibri" w:cs="Calibri"/>
        </w:rPr>
      </w:pPr>
      <w:r>
        <w:rPr>
          <w:rFonts w:ascii="Calibri" w:hAnsi="Calibri" w:cs="Calibri"/>
          <w:b/>
          <w:bCs/>
        </w:rPr>
        <w:t xml:space="preserve">Existing Environment: </w:t>
      </w:r>
      <w:r w:rsidRPr="00660944">
        <w:rPr>
          <w:rFonts w:ascii="Calibri" w:hAnsi="Calibri" w:cs="Calibri"/>
        </w:rPr>
        <w:t>Could DCDE provide a high-level overview of the current infrastructure estate, including:</w:t>
      </w:r>
    </w:p>
    <w:p w14:paraId="0BBE310B" w14:textId="77777777" w:rsidR="008A17B7" w:rsidRDefault="008A17B7" w:rsidP="008A17B7">
      <w:pPr>
        <w:pStyle w:val="ListParagraph"/>
        <w:numPr>
          <w:ilvl w:val="0"/>
          <w:numId w:val="102"/>
        </w:numPr>
        <w:rPr>
          <w:rFonts w:ascii="Calibri" w:hAnsi="Calibri" w:cs="Calibri"/>
        </w:rPr>
      </w:pPr>
      <w:r>
        <w:rPr>
          <w:rFonts w:ascii="Calibri" w:hAnsi="Calibri" w:cs="Calibri"/>
        </w:rPr>
        <w:t>On-Premises</w:t>
      </w:r>
    </w:p>
    <w:p w14:paraId="1A6C1996" w14:textId="77777777" w:rsidR="008A17B7" w:rsidRPr="008A17B7" w:rsidRDefault="008A17B7" w:rsidP="008A17B7">
      <w:pPr>
        <w:ind w:left="1080"/>
        <w:rPr>
          <w:rFonts w:ascii="Calibri" w:hAnsi="Calibri" w:cs="Calibri"/>
          <w:b/>
          <w:bCs/>
        </w:rPr>
      </w:pPr>
      <w:r w:rsidRPr="008A17B7">
        <w:rPr>
          <w:rFonts w:ascii="Calibri" w:hAnsi="Calibri" w:cs="Calibri"/>
          <w:b/>
          <w:bCs/>
        </w:rPr>
        <w:t>An on-premises tenant under the remit of a central government department provides us with several line-of-business applications, desktop services, and 365. Through it, a cross-tenant B2B connection provides SSO and cross-tenant synchronisation to our cloud applications and other workloads.</w:t>
      </w:r>
    </w:p>
    <w:p w14:paraId="401E57E0" w14:textId="77777777" w:rsidR="008A17B7" w:rsidRDefault="008A17B7" w:rsidP="008A17B7">
      <w:pPr>
        <w:pStyle w:val="ListParagraph"/>
        <w:ind w:left="1440"/>
        <w:rPr>
          <w:rFonts w:ascii="Calibri" w:hAnsi="Calibri" w:cs="Calibri"/>
        </w:rPr>
      </w:pPr>
    </w:p>
    <w:p w14:paraId="671DF1AE" w14:textId="77777777" w:rsidR="008A17B7" w:rsidRDefault="008A17B7" w:rsidP="008A17B7">
      <w:pPr>
        <w:pStyle w:val="ListParagraph"/>
        <w:numPr>
          <w:ilvl w:val="0"/>
          <w:numId w:val="102"/>
        </w:numPr>
        <w:rPr>
          <w:rFonts w:ascii="Calibri" w:hAnsi="Calibri" w:cs="Calibri"/>
        </w:rPr>
      </w:pPr>
      <w:r>
        <w:rPr>
          <w:rFonts w:ascii="Calibri" w:hAnsi="Calibri" w:cs="Calibri"/>
        </w:rPr>
        <w:t>Azure</w:t>
      </w:r>
    </w:p>
    <w:p w14:paraId="02CDA117" w14:textId="77777777" w:rsidR="008A17B7" w:rsidRPr="008A17B7" w:rsidRDefault="008A17B7" w:rsidP="008A17B7">
      <w:pPr>
        <w:ind w:left="1080"/>
        <w:rPr>
          <w:rFonts w:ascii="Calibri" w:hAnsi="Calibri" w:cs="Calibri"/>
          <w:b/>
          <w:bCs/>
        </w:rPr>
      </w:pPr>
      <w:r w:rsidRPr="008A17B7">
        <w:rPr>
          <w:rFonts w:ascii="Calibri" w:hAnsi="Calibri" w:cs="Calibri"/>
          <w:b/>
          <w:bCs/>
        </w:rPr>
        <w:t>The Department’s tenant houses both Azure tenant and Fabric functions. We have 6 divisions in our department, each of which will consume data resources from the Fabric tenant.</w:t>
      </w:r>
    </w:p>
    <w:p w14:paraId="25A9B305" w14:textId="77777777" w:rsidR="008A17B7" w:rsidRPr="008A17B7" w:rsidRDefault="008A17B7" w:rsidP="008A17B7">
      <w:pPr>
        <w:pStyle w:val="ListParagraph"/>
        <w:ind w:left="1440"/>
        <w:rPr>
          <w:rFonts w:ascii="Calibri" w:hAnsi="Calibri" w:cs="Calibri"/>
        </w:rPr>
      </w:pPr>
    </w:p>
    <w:p w14:paraId="7A457B1E" w14:textId="77777777" w:rsidR="008A17B7" w:rsidRDefault="008A17B7" w:rsidP="008A17B7">
      <w:pPr>
        <w:pStyle w:val="ListParagraph"/>
        <w:numPr>
          <w:ilvl w:val="0"/>
          <w:numId w:val="102"/>
        </w:numPr>
        <w:rPr>
          <w:rFonts w:ascii="Calibri" w:hAnsi="Calibri" w:cs="Calibri"/>
        </w:rPr>
      </w:pPr>
      <w:r>
        <w:rPr>
          <w:rFonts w:ascii="Calibri" w:hAnsi="Calibri" w:cs="Calibri"/>
        </w:rPr>
        <w:t>Microsoft 365</w:t>
      </w:r>
    </w:p>
    <w:p w14:paraId="5691167F" w14:textId="77777777" w:rsidR="008A17B7" w:rsidRPr="008A17B7" w:rsidRDefault="008A17B7" w:rsidP="008A17B7">
      <w:pPr>
        <w:ind w:left="1080"/>
        <w:rPr>
          <w:rFonts w:ascii="Calibri" w:hAnsi="Calibri" w:cs="Calibri"/>
          <w:b/>
          <w:bCs/>
        </w:rPr>
      </w:pPr>
      <w:r w:rsidRPr="008A17B7">
        <w:rPr>
          <w:rFonts w:ascii="Calibri" w:hAnsi="Calibri" w:cs="Calibri"/>
          <w:b/>
          <w:bCs/>
        </w:rPr>
        <w:t>Out of scope, but there are some E3, E5, etc licenses on the tenant, but most 365 licenses are provided through the B2B sync.</w:t>
      </w:r>
    </w:p>
    <w:p w14:paraId="1718F5DC" w14:textId="77777777" w:rsidR="008A17B7" w:rsidRDefault="008A17B7" w:rsidP="008A17B7">
      <w:pPr>
        <w:pStyle w:val="ListParagraph"/>
        <w:ind w:left="1440"/>
        <w:rPr>
          <w:rFonts w:ascii="Calibri" w:hAnsi="Calibri" w:cs="Calibri"/>
        </w:rPr>
      </w:pPr>
    </w:p>
    <w:p w14:paraId="339CA5BB" w14:textId="77777777" w:rsidR="008A17B7" w:rsidRDefault="008A17B7" w:rsidP="008A17B7">
      <w:pPr>
        <w:pStyle w:val="ListParagraph"/>
        <w:numPr>
          <w:ilvl w:val="0"/>
          <w:numId w:val="102"/>
        </w:numPr>
        <w:rPr>
          <w:rFonts w:ascii="Calibri" w:hAnsi="Calibri" w:cs="Calibri"/>
        </w:rPr>
      </w:pPr>
      <w:r>
        <w:rPr>
          <w:rFonts w:ascii="Calibri" w:hAnsi="Calibri" w:cs="Calibri"/>
        </w:rPr>
        <w:t>Other Cloud platforms</w:t>
      </w:r>
    </w:p>
    <w:p w14:paraId="1B8EC23D" w14:textId="77777777" w:rsidR="008A17B7" w:rsidRPr="000C43C4" w:rsidRDefault="008A17B7" w:rsidP="000C43C4">
      <w:pPr>
        <w:ind w:left="1080"/>
        <w:rPr>
          <w:rFonts w:ascii="Calibri" w:hAnsi="Calibri" w:cs="Calibri"/>
          <w:b/>
          <w:bCs/>
        </w:rPr>
      </w:pPr>
      <w:r w:rsidRPr="000C43C4">
        <w:rPr>
          <w:rFonts w:ascii="Calibri" w:hAnsi="Calibri" w:cs="Calibri"/>
          <w:b/>
          <w:bCs/>
        </w:rPr>
        <w:t xml:space="preserve">The department doesn’t currently have a detailed software register, but most LOB apps are </w:t>
      </w:r>
      <w:proofErr w:type="gramStart"/>
      <w:r w:rsidRPr="000C43C4">
        <w:rPr>
          <w:rFonts w:ascii="Calibri" w:hAnsi="Calibri" w:cs="Calibri"/>
          <w:b/>
          <w:bCs/>
        </w:rPr>
        <w:t>Azure-based</w:t>
      </w:r>
      <w:proofErr w:type="gramEnd"/>
      <w:r w:rsidRPr="000C43C4">
        <w:rPr>
          <w:rFonts w:ascii="Calibri" w:hAnsi="Calibri" w:cs="Calibri"/>
          <w:b/>
          <w:bCs/>
        </w:rPr>
        <w:t xml:space="preserve">. </w:t>
      </w:r>
    </w:p>
    <w:p w14:paraId="4EBE66B1" w14:textId="77777777" w:rsidR="008A17B7" w:rsidRPr="008A17B7" w:rsidRDefault="008A17B7" w:rsidP="008A17B7">
      <w:pPr>
        <w:pStyle w:val="ListParagraph"/>
        <w:ind w:left="1440"/>
        <w:rPr>
          <w:rFonts w:ascii="Calibri" w:hAnsi="Calibri" w:cs="Calibri"/>
        </w:rPr>
      </w:pPr>
    </w:p>
    <w:p w14:paraId="7976678B" w14:textId="77777777" w:rsidR="009E3245" w:rsidRDefault="009E3245" w:rsidP="009E3245">
      <w:pPr>
        <w:numPr>
          <w:ilvl w:val="0"/>
          <w:numId w:val="100"/>
        </w:numPr>
        <w:rPr>
          <w:rFonts w:ascii="Calibri" w:hAnsi="Calibri" w:cs="Calibri"/>
        </w:rPr>
      </w:pPr>
      <w:r w:rsidRPr="00660944">
        <w:rPr>
          <w:rFonts w:ascii="Calibri" w:hAnsi="Calibri" w:cs="Calibri"/>
        </w:rPr>
        <w:t>Approximately how many critical business applications are expected to be monitored under the MSSP service?</w:t>
      </w:r>
    </w:p>
    <w:p w14:paraId="4E6F3821" w14:textId="77777777" w:rsidR="009E3245" w:rsidRPr="009E3245" w:rsidRDefault="009E3245" w:rsidP="009E3245">
      <w:pPr>
        <w:pStyle w:val="ListParagraph"/>
        <w:rPr>
          <w:rFonts w:ascii="Calibri" w:hAnsi="Calibri" w:cs="Calibri"/>
          <w:b/>
          <w:bCs/>
        </w:rPr>
      </w:pPr>
      <w:r w:rsidRPr="009E3245">
        <w:rPr>
          <w:rFonts w:ascii="Calibri" w:hAnsi="Calibri" w:cs="Calibri"/>
          <w:b/>
          <w:bCs/>
        </w:rPr>
        <w:t xml:space="preserve">4-5 line-of-business apps with a fabric environment as well. </w:t>
      </w:r>
    </w:p>
    <w:p w14:paraId="1BC934EA" w14:textId="77777777" w:rsidR="009E3245" w:rsidRDefault="009E3245" w:rsidP="009E3245">
      <w:pPr>
        <w:ind w:left="720"/>
        <w:rPr>
          <w:rFonts w:ascii="Calibri" w:hAnsi="Calibri" w:cs="Calibri"/>
        </w:rPr>
      </w:pPr>
    </w:p>
    <w:p w14:paraId="10FFB034" w14:textId="77777777" w:rsidR="009E3245" w:rsidRDefault="009E3245" w:rsidP="009E3245">
      <w:pPr>
        <w:numPr>
          <w:ilvl w:val="0"/>
          <w:numId w:val="100"/>
        </w:numPr>
        <w:rPr>
          <w:rFonts w:ascii="Calibri" w:hAnsi="Calibri" w:cs="Calibri"/>
        </w:rPr>
      </w:pPr>
      <w:r w:rsidRPr="00660944">
        <w:rPr>
          <w:rFonts w:ascii="Calibri" w:hAnsi="Calibri" w:cs="Calibri"/>
        </w:rPr>
        <w:t>Can DCDE provide an indicative asset inventory covering:</w:t>
      </w:r>
    </w:p>
    <w:p w14:paraId="3C178166" w14:textId="77777777" w:rsidR="00876AA7" w:rsidRPr="00660944" w:rsidRDefault="00876AA7" w:rsidP="00876AA7">
      <w:pPr>
        <w:numPr>
          <w:ilvl w:val="0"/>
          <w:numId w:val="13"/>
        </w:numPr>
        <w:rPr>
          <w:rFonts w:ascii="Calibri" w:hAnsi="Calibri" w:cs="Calibri"/>
        </w:rPr>
      </w:pPr>
      <w:r w:rsidRPr="00660944">
        <w:rPr>
          <w:rFonts w:ascii="Calibri" w:hAnsi="Calibri" w:cs="Calibri"/>
        </w:rPr>
        <w:lastRenderedPageBreak/>
        <w:t>users</w:t>
      </w:r>
    </w:p>
    <w:p w14:paraId="6CCBFCF8" w14:textId="77777777" w:rsidR="00876AA7" w:rsidRPr="00660944" w:rsidRDefault="00876AA7" w:rsidP="00876AA7">
      <w:pPr>
        <w:numPr>
          <w:ilvl w:val="0"/>
          <w:numId w:val="14"/>
        </w:numPr>
        <w:rPr>
          <w:rFonts w:ascii="Calibri" w:hAnsi="Calibri" w:cs="Calibri"/>
        </w:rPr>
      </w:pPr>
      <w:r w:rsidRPr="00660944">
        <w:rPr>
          <w:rFonts w:ascii="Calibri" w:hAnsi="Calibri" w:cs="Calibri"/>
        </w:rPr>
        <w:t>endpoints</w:t>
      </w:r>
    </w:p>
    <w:p w14:paraId="68B4AAE8" w14:textId="77777777" w:rsidR="00876AA7" w:rsidRPr="00660944" w:rsidRDefault="00876AA7" w:rsidP="00876AA7">
      <w:pPr>
        <w:numPr>
          <w:ilvl w:val="0"/>
          <w:numId w:val="15"/>
        </w:numPr>
        <w:rPr>
          <w:rFonts w:ascii="Calibri" w:hAnsi="Calibri" w:cs="Calibri"/>
        </w:rPr>
      </w:pPr>
      <w:r w:rsidRPr="00660944">
        <w:rPr>
          <w:rFonts w:ascii="Calibri" w:hAnsi="Calibri" w:cs="Calibri"/>
        </w:rPr>
        <w:t>servers</w:t>
      </w:r>
    </w:p>
    <w:p w14:paraId="760D6703" w14:textId="77777777" w:rsidR="00876AA7" w:rsidRPr="00660944" w:rsidRDefault="00876AA7" w:rsidP="00876AA7">
      <w:pPr>
        <w:numPr>
          <w:ilvl w:val="0"/>
          <w:numId w:val="16"/>
        </w:numPr>
        <w:rPr>
          <w:rFonts w:ascii="Calibri" w:hAnsi="Calibri" w:cs="Calibri"/>
        </w:rPr>
      </w:pPr>
      <w:r w:rsidRPr="00660944">
        <w:rPr>
          <w:rFonts w:ascii="Calibri" w:hAnsi="Calibri" w:cs="Calibri"/>
        </w:rPr>
        <w:t>cloud resources</w:t>
      </w:r>
    </w:p>
    <w:p w14:paraId="7B35CB08" w14:textId="77777777" w:rsidR="00876AA7" w:rsidRPr="00660944" w:rsidRDefault="00876AA7" w:rsidP="00876AA7">
      <w:pPr>
        <w:numPr>
          <w:ilvl w:val="0"/>
          <w:numId w:val="17"/>
        </w:numPr>
        <w:rPr>
          <w:rFonts w:ascii="Calibri" w:hAnsi="Calibri" w:cs="Calibri"/>
        </w:rPr>
      </w:pPr>
      <w:r w:rsidRPr="00660944">
        <w:rPr>
          <w:rFonts w:ascii="Calibri" w:hAnsi="Calibri" w:cs="Calibri"/>
        </w:rPr>
        <w:t>applications</w:t>
      </w:r>
    </w:p>
    <w:p w14:paraId="59BAF64E" w14:textId="77777777" w:rsidR="00876AA7" w:rsidRPr="00660944" w:rsidRDefault="00876AA7" w:rsidP="00876AA7">
      <w:pPr>
        <w:numPr>
          <w:ilvl w:val="0"/>
          <w:numId w:val="18"/>
        </w:numPr>
        <w:rPr>
          <w:rFonts w:ascii="Calibri" w:hAnsi="Calibri" w:cs="Calibri"/>
        </w:rPr>
      </w:pPr>
      <w:r w:rsidRPr="00660944">
        <w:rPr>
          <w:rFonts w:ascii="Calibri" w:hAnsi="Calibri" w:cs="Calibri"/>
        </w:rPr>
        <w:t>network devices?</w:t>
      </w:r>
    </w:p>
    <w:p w14:paraId="7487E6AC" w14:textId="77777777" w:rsidR="00876AA7" w:rsidRPr="00876AA7" w:rsidRDefault="00876AA7" w:rsidP="00876AA7">
      <w:pPr>
        <w:pStyle w:val="ListParagraph"/>
        <w:rPr>
          <w:rFonts w:ascii="Calibri" w:hAnsi="Calibri" w:cs="Calibri"/>
          <w:b/>
          <w:bCs/>
        </w:rPr>
      </w:pPr>
      <w:r w:rsidRPr="00876AA7">
        <w:rPr>
          <w:rFonts w:ascii="Calibri" w:hAnsi="Calibri" w:cs="Calibri"/>
          <w:b/>
          <w:bCs/>
        </w:rPr>
        <w:t>At this time, an asset register cannot be provided; only an overview, as provided above, can be provided.</w:t>
      </w:r>
    </w:p>
    <w:p w14:paraId="1CA95A9C" w14:textId="77777777" w:rsidR="00876AA7" w:rsidRPr="00660944" w:rsidRDefault="00876AA7" w:rsidP="00876AA7">
      <w:pPr>
        <w:ind w:left="720"/>
        <w:rPr>
          <w:rFonts w:ascii="Calibri" w:hAnsi="Calibri" w:cs="Calibri"/>
        </w:rPr>
      </w:pPr>
    </w:p>
    <w:p w14:paraId="2805CB8B" w14:textId="77777777" w:rsidR="00876AA7" w:rsidRDefault="00876AA7" w:rsidP="00876AA7">
      <w:pPr>
        <w:numPr>
          <w:ilvl w:val="0"/>
          <w:numId w:val="100"/>
        </w:numPr>
        <w:rPr>
          <w:rFonts w:ascii="Calibri" w:hAnsi="Calibri" w:cs="Calibri"/>
        </w:rPr>
      </w:pPr>
      <w:r>
        <w:rPr>
          <w:rFonts w:ascii="Calibri" w:hAnsi="Calibri" w:cs="Calibri"/>
          <w:b/>
          <w:bCs/>
        </w:rPr>
        <w:t xml:space="preserve">MSSP Scope: </w:t>
      </w:r>
      <w:r w:rsidRPr="00660944">
        <w:rPr>
          <w:rFonts w:ascii="Calibri" w:hAnsi="Calibri" w:cs="Calibri"/>
        </w:rPr>
        <w:t>Does the baseline business-hours monitoring include proactive threat hunting throughout the day, or only investigation of generated alerts?</w:t>
      </w:r>
    </w:p>
    <w:p w14:paraId="015E682B" w14:textId="77777777" w:rsidR="00876AA7" w:rsidRPr="00876AA7" w:rsidRDefault="00876AA7" w:rsidP="00876AA7">
      <w:pPr>
        <w:pStyle w:val="ListParagraph"/>
        <w:rPr>
          <w:rFonts w:ascii="Calibri" w:hAnsi="Calibri" w:cs="Calibri"/>
          <w:b/>
          <w:bCs/>
        </w:rPr>
      </w:pPr>
      <w:r w:rsidRPr="00876AA7">
        <w:rPr>
          <w:rFonts w:ascii="Calibri" w:hAnsi="Calibri" w:cs="Calibri"/>
          <w:b/>
          <w:bCs/>
        </w:rPr>
        <w:t>Initial work will focus solely on investigating generated alerts, but as our cyber maturity progresses, this may transition to proactive threat hunting.</w:t>
      </w:r>
    </w:p>
    <w:p w14:paraId="1DCEF6D7" w14:textId="77777777" w:rsidR="00876AA7" w:rsidRDefault="00876AA7" w:rsidP="00876AA7">
      <w:pPr>
        <w:ind w:left="720"/>
        <w:rPr>
          <w:rFonts w:ascii="Calibri" w:hAnsi="Calibri" w:cs="Calibri"/>
        </w:rPr>
      </w:pPr>
    </w:p>
    <w:p w14:paraId="27E058F2" w14:textId="77777777" w:rsidR="00876AA7" w:rsidRDefault="00876AA7" w:rsidP="00876AA7">
      <w:pPr>
        <w:numPr>
          <w:ilvl w:val="0"/>
          <w:numId w:val="100"/>
        </w:numPr>
        <w:rPr>
          <w:rFonts w:ascii="Calibri" w:hAnsi="Calibri" w:cs="Calibri"/>
        </w:rPr>
      </w:pPr>
      <w:r w:rsidRPr="00660944">
        <w:rPr>
          <w:rFonts w:ascii="Calibri" w:hAnsi="Calibri" w:cs="Calibri"/>
        </w:rPr>
        <w:t>Outside business hours, what constitutes a "critical alert" requiring emergency response?</w:t>
      </w:r>
    </w:p>
    <w:p w14:paraId="64C0FBCA" w14:textId="77777777" w:rsidR="00876AA7" w:rsidRPr="00876AA7" w:rsidRDefault="00876AA7" w:rsidP="00876AA7">
      <w:pPr>
        <w:pStyle w:val="ListParagraph"/>
        <w:rPr>
          <w:rFonts w:ascii="Calibri" w:hAnsi="Calibri" w:cs="Calibri"/>
        </w:rPr>
      </w:pPr>
      <w:r w:rsidRPr="004C63FE">
        <w:rPr>
          <w:noProof/>
        </w:rPr>
        <w:drawing>
          <wp:inline distT="0" distB="0" distL="0" distR="0" wp14:anchorId="7A41E58E" wp14:editId="4D105FB0">
            <wp:extent cx="3479800" cy="2336319"/>
            <wp:effectExtent l="0" t="0" r="6350" b="6985"/>
            <wp:docPr id="4905759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575957" name=""/>
                    <pic:cNvPicPr/>
                  </pic:nvPicPr>
                  <pic:blipFill>
                    <a:blip r:embed="rId11"/>
                    <a:stretch>
                      <a:fillRect/>
                    </a:stretch>
                  </pic:blipFill>
                  <pic:spPr>
                    <a:xfrm>
                      <a:off x="0" y="0"/>
                      <a:ext cx="3599425" cy="2416634"/>
                    </a:xfrm>
                    <a:prstGeom prst="rect">
                      <a:avLst/>
                    </a:prstGeom>
                  </pic:spPr>
                </pic:pic>
              </a:graphicData>
            </a:graphic>
          </wp:inline>
        </w:drawing>
      </w:r>
    </w:p>
    <w:p w14:paraId="5A885B98" w14:textId="77777777" w:rsidR="00876AA7" w:rsidRPr="00876AA7" w:rsidRDefault="00876AA7" w:rsidP="00876AA7">
      <w:pPr>
        <w:pStyle w:val="ListParagraph"/>
        <w:rPr>
          <w:rFonts w:ascii="Calibri" w:hAnsi="Calibri" w:cs="Calibri"/>
          <w:b/>
          <w:bCs/>
        </w:rPr>
      </w:pPr>
      <w:r w:rsidRPr="00876AA7">
        <w:rPr>
          <w:rFonts w:ascii="Calibri" w:hAnsi="Calibri" w:cs="Calibri"/>
          <w:b/>
          <w:bCs/>
        </w:rPr>
        <w:t xml:space="preserve">These would have to be agreed with the MSSP partner in place, but the attached guide would likely be a good approach. </w:t>
      </w:r>
    </w:p>
    <w:p w14:paraId="3C2ECB42" w14:textId="77777777" w:rsidR="00876AA7" w:rsidRDefault="00876AA7" w:rsidP="00876AA7">
      <w:pPr>
        <w:ind w:left="720"/>
        <w:rPr>
          <w:rFonts w:ascii="Calibri" w:hAnsi="Calibri" w:cs="Calibri"/>
        </w:rPr>
      </w:pPr>
    </w:p>
    <w:p w14:paraId="6A38722C" w14:textId="77777777" w:rsidR="00876AA7" w:rsidRDefault="00876AA7" w:rsidP="00876AA7">
      <w:pPr>
        <w:numPr>
          <w:ilvl w:val="0"/>
          <w:numId w:val="100"/>
        </w:numPr>
        <w:rPr>
          <w:rFonts w:ascii="Calibri" w:hAnsi="Calibri" w:cs="Calibri"/>
        </w:rPr>
      </w:pPr>
      <w:r w:rsidRPr="00660944">
        <w:rPr>
          <w:rFonts w:ascii="Calibri" w:hAnsi="Calibri" w:cs="Calibri"/>
        </w:rPr>
        <w:t>Are incident response hours expected to be included within the baseline service or consumed from the incident response retainer?</w:t>
      </w:r>
    </w:p>
    <w:p w14:paraId="128101F7" w14:textId="77777777" w:rsidR="00876AA7" w:rsidRPr="00876AA7" w:rsidRDefault="00876AA7" w:rsidP="00876AA7">
      <w:pPr>
        <w:pStyle w:val="ListParagraph"/>
        <w:rPr>
          <w:rFonts w:ascii="Calibri" w:hAnsi="Calibri" w:cs="Calibri"/>
          <w:b/>
          <w:bCs/>
        </w:rPr>
      </w:pPr>
      <w:r w:rsidRPr="00876AA7">
        <w:rPr>
          <w:rFonts w:ascii="Calibri" w:hAnsi="Calibri" w:cs="Calibri"/>
          <w:b/>
          <w:bCs/>
        </w:rPr>
        <w:t>Both options are acceptable, but the investigation of certain critical alerts outside of hours should also be considered part of the response. (to be defined as part of the SLA/Contract)</w:t>
      </w:r>
    </w:p>
    <w:p w14:paraId="7A351D7E" w14:textId="77777777" w:rsidR="00876AA7" w:rsidRDefault="00876AA7" w:rsidP="00876AA7">
      <w:pPr>
        <w:ind w:left="720"/>
        <w:rPr>
          <w:rFonts w:ascii="Calibri" w:hAnsi="Calibri" w:cs="Calibri"/>
        </w:rPr>
      </w:pPr>
    </w:p>
    <w:p w14:paraId="62B976E3" w14:textId="77777777" w:rsidR="00876AA7" w:rsidRDefault="00876AA7" w:rsidP="00876AA7">
      <w:pPr>
        <w:numPr>
          <w:ilvl w:val="0"/>
          <w:numId w:val="100"/>
        </w:numPr>
        <w:rPr>
          <w:rFonts w:ascii="Calibri" w:hAnsi="Calibri" w:cs="Calibri"/>
        </w:rPr>
      </w:pPr>
      <w:r w:rsidRPr="00660944">
        <w:rPr>
          <w:rFonts w:ascii="Calibri" w:hAnsi="Calibri" w:cs="Calibri"/>
        </w:rPr>
        <w:lastRenderedPageBreak/>
        <w:t>What service levels are expected for:</w:t>
      </w:r>
    </w:p>
    <w:p w14:paraId="0012D615" w14:textId="77777777" w:rsidR="00876AA7" w:rsidRPr="00660944" w:rsidRDefault="00876AA7" w:rsidP="00876AA7">
      <w:pPr>
        <w:numPr>
          <w:ilvl w:val="0"/>
          <w:numId w:val="20"/>
        </w:numPr>
        <w:rPr>
          <w:rFonts w:ascii="Calibri" w:hAnsi="Calibri" w:cs="Calibri"/>
        </w:rPr>
      </w:pPr>
      <w:r w:rsidRPr="00660944">
        <w:rPr>
          <w:rFonts w:ascii="Calibri" w:hAnsi="Calibri" w:cs="Calibri"/>
        </w:rPr>
        <w:t>alert acknowledgement</w:t>
      </w:r>
    </w:p>
    <w:p w14:paraId="6DABA184" w14:textId="77777777" w:rsidR="00876AA7" w:rsidRPr="00660944" w:rsidRDefault="00876AA7" w:rsidP="00876AA7">
      <w:pPr>
        <w:numPr>
          <w:ilvl w:val="0"/>
          <w:numId w:val="21"/>
        </w:numPr>
        <w:rPr>
          <w:rFonts w:ascii="Calibri" w:hAnsi="Calibri" w:cs="Calibri"/>
        </w:rPr>
      </w:pPr>
      <w:r w:rsidRPr="00660944">
        <w:rPr>
          <w:rFonts w:ascii="Calibri" w:hAnsi="Calibri" w:cs="Calibri"/>
        </w:rPr>
        <w:t>triage</w:t>
      </w:r>
    </w:p>
    <w:p w14:paraId="6C604681" w14:textId="77777777" w:rsidR="00876AA7" w:rsidRPr="00660944" w:rsidRDefault="00876AA7" w:rsidP="00876AA7">
      <w:pPr>
        <w:numPr>
          <w:ilvl w:val="0"/>
          <w:numId w:val="22"/>
        </w:numPr>
        <w:rPr>
          <w:rFonts w:ascii="Calibri" w:hAnsi="Calibri" w:cs="Calibri"/>
        </w:rPr>
      </w:pPr>
      <w:r w:rsidRPr="00660944">
        <w:rPr>
          <w:rFonts w:ascii="Calibri" w:hAnsi="Calibri" w:cs="Calibri"/>
        </w:rPr>
        <w:t>customer notification</w:t>
      </w:r>
    </w:p>
    <w:p w14:paraId="447DAC96" w14:textId="77777777" w:rsidR="00876AA7" w:rsidRPr="00660944" w:rsidRDefault="00876AA7" w:rsidP="00876AA7">
      <w:pPr>
        <w:numPr>
          <w:ilvl w:val="0"/>
          <w:numId w:val="23"/>
        </w:numPr>
        <w:rPr>
          <w:rFonts w:ascii="Calibri" w:hAnsi="Calibri" w:cs="Calibri"/>
        </w:rPr>
      </w:pPr>
      <w:r w:rsidRPr="00660944">
        <w:rPr>
          <w:rFonts w:ascii="Calibri" w:hAnsi="Calibri" w:cs="Calibri"/>
        </w:rPr>
        <w:t>containment</w:t>
      </w:r>
    </w:p>
    <w:p w14:paraId="2452DBB9" w14:textId="77777777" w:rsidR="00876AA7" w:rsidRDefault="00876AA7" w:rsidP="00876AA7">
      <w:pPr>
        <w:numPr>
          <w:ilvl w:val="0"/>
          <w:numId w:val="24"/>
        </w:numPr>
        <w:rPr>
          <w:rFonts w:ascii="Calibri" w:hAnsi="Calibri" w:cs="Calibri"/>
        </w:rPr>
      </w:pPr>
      <w:r w:rsidRPr="00660944">
        <w:rPr>
          <w:rFonts w:ascii="Calibri" w:hAnsi="Calibri" w:cs="Calibri"/>
        </w:rPr>
        <w:t>escalation?</w:t>
      </w:r>
    </w:p>
    <w:p w14:paraId="19C40AE5" w14:textId="77777777" w:rsidR="00876AA7" w:rsidRPr="00876AA7" w:rsidRDefault="00876AA7" w:rsidP="00876AA7">
      <w:pPr>
        <w:pStyle w:val="ListParagraph"/>
        <w:rPr>
          <w:rFonts w:ascii="Calibri" w:hAnsi="Calibri" w:cs="Calibri"/>
          <w:b/>
          <w:bCs/>
        </w:rPr>
      </w:pPr>
      <w:r w:rsidRPr="00876AA7">
        <w:rPr>
          <w:rFonts w:ascii="Calibri" w:hAnsi="Calibri" w:cs="Calibri"/>
          <w:b/>
          <w:bCs/>
        </w:rPr>
        <w:t>This is not currently defined, but we will work with the successful MSSP provider to agree on this and include it in the SLA/Contract.</w:t>
      </w:r>
    </w:p>
    <w:p w14:paraId="10E2BFFF" w14:textId="77777777" w:rsidR="00876AA7" w:rsidRPr="00660944" w:rsidRDefault="00876AA7" w:rsidP="00876AA7">
      <w:pPr>
        <w:ind w:left="720"/>
        <w:rPr>
          <w:rFonts w:ascii="Calibri" w:hAnsi="Calibri" w:cs="Calibri"/>
        </w:rPr>
      </w:pPr>
    </w:p>
    <w:p w14:paraId="65EC5414" w14:textId="77777777" w:rsidR="00DF2FC4" w:rsidRDefault="00DF2FC4" w:rsidP="00DF2FC4">
      <w:pPr>
        <w:numPr>
          <w:ilvl w:val="0"/>
          <w:numId w:val="100"/>
        </w:numPr>
        <w:rPr>
          <w:rFonts w:ascii="Calibri" w:hAnsi="Calibri" w:cs="Calibri"/>
        </w:rPr>
      </w:pPr>
      <w:r>
        <w:rPr>
          <w:rFonts w:ascii="Calibri" w:hAnsi="Calibri" w:cs="Calibri"/>
          <w:b/>
          <w:bCs/>
        </w:rPr>
        <w:t xml:space="preserve">Existing Processes: </w:t>
      </w:r>
      <w:r w:rsidRPr="00660944">
        <w:rPr>
          <w:rFonts w:ascii="Calibri" w:hAnsi="Calibri" w:cs="Calibri"/>
        </w:rPr>
        <w:t>Does DCDE currently operate documented:</w:t>
      </w:r>
    </w:p>
    <w:p w14:paraId="3662772E" w14:textId="77777777" w:rsidR="00DF2FC4" w:rsidRPr="00660944" w:rsidRDefault="00DF2FC4" w:rsidP="00DF2FC4">
      <w:pPr>
        <w:numPr>
          <w:ilvl w:val="0"/>
          <w:numId w:val="26"/>
        </w:numPr>
        <w:rPr>
          <w:rFonts w:ascii="Calibri" w:hAnsi="Calibri" w:cs="Calibri"/>
        </w:rPr>
      </w:pPr>
      <w:r w:rsidRPr="00660944">
        <w:rPr>
          <w:rFonts w:ascii="Calibri" w:hAnsi="Calibri" w:cs="Calibri"/>
        </w:rPr>
        <w:t>incident response playbooks</w:t>
      </w:r>
    </w:p>
    <w:p w14:paraId="7A82F979" w14:textId="77777777" w:rsidR="00DF2FC4" w:rsidRPr="00660944" w:rsidRDefault="00DF2FC4" w:rsidP="00DF2FC4">
      <w:pPr>
        <w:numPr>
          <w:ilvl w:val="0"/>
          <w:numId w:val="27"/>
        </w:numPr>
        <w:rPr>
          <w:rFonts w:ascii="Calibri" w:hAnsi="Calibri" w:cs="Calibri"/>
        </w:rPr>
      </w:pPr>
      <w:r w:rsidRPr="00660944">
        <w:rPr>
          <w:rFonts w:ascii="Calibri" w:hAnsi="Calibri" w:cs="Calibri"/>
        </w:rPr>
        <w:t>escalation procedures</w:t>
      </w:r>
      <w:r>
        <w:rPr>
          <w:rFonts w:ascii="Calibri" w:hAnsi="Calibri" w:cs="Calibri"/>
        </w:rPr>
        <w:t xml:space="preserve"> </w:t>
      </w:r>
    </w:p>
    <w:p w14:paraId="0DA98807" w14:textId="77777777" w:rsidR="00DF2FC4" w:rsidRDefault="00DF2FC4" w:rsidP="00DF2FC4">
      <w:pPr>
        <w:numPr>
          <w:ilvl w:val="0"/>
          <w:numId w:val="28"/>
        </w:numPr>
        <w:rPr>
          <w:rFonts w:ascii="Calibri" w:hAnsi="Calibri" w:cs="Calibri"/>
        </w:rPr>
      </w:pPr>
      <w:r w:rsidRPr="00660944">
        <w:rPr>
          <w:rFonts w:ascii="Calibri" w:hAnsi="Calibri" w:cs="Calibri"/>
        </w:rPr>
        <w:t>major incident processes</w:t>
      </w:r>
      <w:r>
        <w:rPr>
          <w:rFonts w:ascii="Calibri" w:hAnsi="Calibri" w:cs="Calibri"/>
        </w:rPr>
        <w:t xml:space="preserve"> –</w:t>
      </w:r>
    </w:p>
    <w:p w14:paraId="3BD42BC4" w14:textId="77777777" w:rsidR="00DF2FC4" w:rsidRDefault="00DF2FC4" w:rsidP="00DF2FC4">
      <w:pPr>
        <w:numPr>
          <w:ilvl w:val="0"/>
          <w:numId w:val="28"/>
        </w:numPr>
        <w:rPr>
          <w:rFonts w:ascii="Calibri" w:hAnsi="Calibri" w:cs="Calibri"/>
        </w:rPr>
      </w:pPr>
      <w:r w:rsidRPr="00660944">
        <w:rPr>
          <w:rFonts w:ascii="Calibri" w:hAnsi="Calibri" w:cs="Calibri"/>
        </w:rPr>
        <w:t>cyber crisis management plans?</w:t>
      </w:r>
    </w:p>
    <w:p w14:paraId="559FD305" w14:textId="77777777" w:rsidR="00DF2FC4" w:rsidRPr="005602BC" w:rsidRDefault="00DF2FC4" w:rsidP="00DF2FC4">
      <w:pPr>
        <w:ind w:firstLine="360"/>
        <w:rPr>
          <w:rFonts w:ascii="Calibri" w:hAnsi="Calibri" w:cs="Calibri"/>
          <w:b/>
          <w:bCs/>
        </w:rPr>
      </w:pPr>
      <w:r w:rsidRPr="005602BC">
        <w:rPr>
          <w:rFonts w:ascii="Calibri" w:hAnsi="Calibri" w:cs="Calibri"/>
          <w:b/>
          <w:bCs/>
        </w:rPr>
        <w:t xml:space="preserve">The development of </w:t>
      </w:r>
      <w:r>
        <w:rPr>
          <w:rFonts w:ascii="Calibri" w:hAnsi="Calibri" w:cs="Calibri"/>
          <w:b/>
          <w:bCs/>
        </w:rPr>
        <w:t xml:space="preserve">the </w:t>
      </w:r>
      <w:r w:rsidRPr="005602BC">
        <w:rPr>
          <w:rFonts w:ascii="Calibri" w:hAnsi="Calibri" w:cs="Calibri"/>
          <w:b/>
          <w:bCs/>
        </w:rPr>
        <w:t xml:space="preserve">following items </w:t>
      </w:r>
      <w:r>
        <w:rPr>
          <w:rFonts w:ascii="Calibri" w:hAnsi="Calibri" w:cs="Calibri"/>
          <w:b/>
          <w:bCs/>
        </w:rPr>
        <w:t>is</w:t>
      </w:r>
      <w:r w:rsidRPr="005602BC">
        <w:rPr>
          <w:rFonts w:ascii="Calibri" w:hAnsi="Calibri" w:cs="Calibri"/>
          <w:b/>
          <w:bCs/>
        </w:rPr>
        <w:t xml:space="preserve"> underway:</w:t>
      </w:r>
    </w:p>
    <w:p w14:paraId="6F6F5855" w14:textId="77777777" w:rsidR="00DF2FC4" w:rsidRPr="005602BC" w:rsidRDefault="00DF2FC4" w:rsidP="00DF2FC4">
      <w:pPr>
        <w:numPr>
          <w:ilvl w:val="1"/>
          <w:numId w:val="28"/>
        </w:numPr>
        <w:rPr>
          <w:rFonts w:ascii="Calibri" w:hAnsi="Calibri" w:cs="Calibri"/>
          <w:b/>
          <w:bCs/>
        </w:rPr>
      </w:pPr>
      <w:r w:rsidRPr="005602BC">
        <w:rPr>
          <w:rFonts w:ascii="Calibri" w:hAnsi="Calibri" w:cs="Calibri"/>
          <w:b/>
          <w:bCs/>
        </w:rPr>
        <w:t>Business Continuity Documentation</w:t>
      </w:r>
    </w:p>
    <w:p w14:paraId="1D9C95D7" w14:textId="77777777" w:rsidR="00DF2FC4" w:rsidRPr="005602BC" w:rsidRDefault="00DF2FC4" w:rsidP="00DF2FC4">
      <w:pPr>
        <w:numPr>
          <w:ilvl w:val="1"/>
          <w:numId w:val="28"/>
        </w:numPr>
        <w:rPr>
          <w:rFonts w:ascii="Calibri" w:hAnsi="Calibri" w:cs="Calibri"/>
          <w:b/>
          <w:bCs/>
        </w:rPr>
      </w:pPr>
      <w:r w:rsidRPr="005602BC">
        <w:rPr>
          <w:rFonts w:ascii="Calibri" w:hAnsi="Calibri" w:cs="Calibri"/>
          <w:b/>
          <w:bCs/>
        </w:rPr>
        <w:t>Business Continuity Plan</w:t>
      </w:r>
    </w:p>
    <w:p w14:paraId="1B2D0E62" w14:textId="77777777" w:rsidR="00DF2FC4" w:rsidRPr="005602BC" w:rsidRDefault="00DF2FC4" w:rsidP="00DF2FC4">
      <w:pPr>
        <w:numPr>
          <w:ilvl w:val="1"/>
          <w:numId w:val="28"/>
        </w:numPr>
        <w:rPr>
          <w:rFonts w:ascii="Calibri" w:hAnsi="Calibri" w:cs="Calibri"/>
          <w:b/>
          <w:bCs/>
        </w:rPr>
      </w:pPr>
      <w:r w:rsidRPr="005602BC">
        <w:rPr>
          <w:rFonts w:ascii="Calibri" w:hAnsi="Calibri" w:cs="Calibri"/>
          <w:b/>
          <w:bCs/>
        </w:rPr>
        <w:t>Disaster Recovery Plan</w:t>
      </w:r>
    </w:p>
    <w:p w14:paraId="2A8D7EB3" w14:textId="77777777" w:rsidR="00DF2FC4" w:rsidRPr="005602BC" w:rsidRDefault="00DF2FC4" w:rsidP="00DF2FC4">
      <w:pPr>
        <w:numPr>
          <w:ilvl w:val="1"/>
          <w:numId w:val="28"/>
        </w:numPr>
        <w:rPr>
          <w:rFonts w:ascii="Calibri" w:hAnsi="Calibri" w:cs="Calibri"/>
          <w:b/>
          <w:bCs/>
        </w:rPr>
      </w:pPr>
      <w:r w:rsidRPr="005602BC">
        <w:rPr>
          <w:rFonts w:ascii="Calibri" w:hAnsi="Calibri" w:cs="Calibri"/>
          <w:b/>
          <w:bCs/>
        </w:rPr>
        <w:t>Crisis Management Plan</w:t>
      </w:r>
    </w:p>
    <w:p w14:paraId="11425C3E" w14:textId="77777777" w:rsidR="00DF2FC4" w:rsidRPr="005602BC" w:rsidRDefault="00DF2FC4" w:rsidP="00DF2FC4">
      <w:pPr>
        <w:numPr>
          <w:ilvl w:val="1"/>
          <w:numId w:val="28"/>
        </w:numPr>
        <w:rPr>
          <w:rFonts w:ascii="Calibri" w:hAnsi="Calibri" w:cs="Calibri"/>
          <w:b/>
          <w:bCs/>
        </w:rPr>
      </w:pPr>
      <w:r w:rsidRPr="005602BC">
        <w:rPr>
          <w:rFonts w:ascii="Calibri" w:hAnsi="Calibri" w:cs="Calibri"/>
          <w:b/>
          <w:bCs/>
        </w:rPr>
        <w:t>Incident Management Plan.</w:t>
      </w:r>
    </w:p>
    <w:p w14:paraId="39D96761" w14:textId="77777777" w:rsidR="00DF2FC4" w:rsidRPr="00660944" w:rsidRDefault="00DF2FC4" w:rsidP="00DF2FC4">
      <w:pPr>
        <w:ind w:left="720"/>
        <w:rPr>
          <w:rFonts w:ascii="Calibri" w:hAnsi="Calibri" w:cs="Calibri"/>
        </w:rPr>
      </w:pPr>
    </w:p>
    <w:p w14:paraId="645FB832" w14:textId="77777777" w:rsidR="00294F07" w:rsidRDefault="00294F07" w:rsidP="00294F07">
      <w:pPr>
        <w:numPr>
          <w:ilvl w:val="0"/>
          <w:numId w:val="100"/>
        </w:numPr>
        <w:rPr>
          <w:rFonts w:ascii="Calibri" w:hAnsi="Calibri" w:cs="Calibri"/>
        </w:rPr>
      </w:pPr>
      <w:r w:rsidRPr="00660944">
        <w:rPr>
          <w:rFonts w:ascii="Calibri" w:hAnsi="Calibri" w:cs="Calibri"/>
        </w:rPr>
        <w:t>Is there an existing ITSM platform that the MSSP must integrate with? If so, which platform?</w:t>
      </w:r>
    </w:p>
    <w:p w14:paraId="472A4CB3" w14:textId="77777777" w:rsidR="00294F07" w:rsidRPr="00294F07" w:rsidRDefault="00294F07" w:rsidP="00294F07">
      <w:pPr>
        <w:pStyle w:val="ListParagraph"/>
        <w:rPr>
          <w:rFonts w:ascii="Calibri" w:hAnsi="Calibri" w:cs="Calibri"/>
          <w:b/>
          <w:bCs/>
        </w:rPr>
      </w:pPr>
      <w:r w:rsidRPr="00294F07">
        <w:rPr>
          <w:rFonts w:ascii="Calibri" w:hAnsi="Calibri" w:cs="Calibri"/>
          <w:b/>
          <w:bCs/>
        </w:rPr>
        <w:t>None currently exists.</w:t>
      </w:r>
    </w:p>
    <w:p w14:paraId="3CCD5681" w14:textId="77777777" w:rsidR="00294F07" w:rsidRDefault="00294F07" w:rsidP="00294F07">
      <w:pPr>
        <w:ind w:left="720"/>
        <w:rPr>
          <w:rFonts w:ascii="Calibri" w:hAnsi="Calibri" w:cs="Calibri"/>
        </w:rPr>
      </w:pPr>
    </w:p>
    <w:p w14:paraId="2C7C66C9" w14:textId="77777777" w:rsidR="002615F3" w:rsidRDefault="0027427F" w:rsidP="002615F3">
      <w:pPr>
        <w:numPr>
          <w:ilvl w:val="0"/>
          <w:numId w:val="100"/>
        </w:numPr>
        <w:rPr>
          <w:rFonts w:ascii="Calibri" w:hAnsi="Calibri" w:cs="Calibri"/>
        </w:rPr>
      </w:pPr>
      <w:r>
        <w:rPr>
          <w:rFonts w:ascii="Calibri" w:hAnsi="Calibri" w:cs="Calibri"/>
          <w:b/>
          <w:bCs/>
        </w:rPr>
        <w:t xml:space="preserve">NIS2 Programme: </w:t>
      </w:r>
      <w:r w:rsidR="002615F3" w:rsidRPr="00660944">
        <w:rPr>
          <w:rFonts w:ascii="Calibri" w:hAnsi="Calibri" w:cs="Calibri"/>
        </w:rPr>
        <w:t>Can DCDE provide the completed NIS2 readiness assessment and associated gap analysis to enable accurate estimation of the implementation effort?</w:t>
      </w:r>
    </w:p>
    <w:p w14:paraId="3B7FF148" w14:textId="77777777" w:rsidR="0027427F" w:rsidRPr="0027427F" w:rsidRDefault="0027427F" w:rsidP="0027427F">
      <w:pPr>
        <w:pStyle w:val="ListParagraph"/>
        <w:jc w:val="both"/>
        <w:rPr>
          <w:rFonts w:ascii="Calibri" w:hAnsi="Calibri" w:cs="Calibri"/>
          <w:b/>
          <w:bCs/>
        </w:rPr>
      </w:pPr>
      <w:r w:rsidRPr="0027427F">
        <w:rPr>
          <w:rFonts w:ascii="Calibri" w:hAnsi="Calibri" w:cs="Calibri"/>
          <w:b/>
          <w:bCs/>
        </w:rPr>
        <w:t>A full NIS2 readiness assessment has been completed and can be shared in due course.</w:t>
      </w:r>
    </w:p>
    <w:p w14:paraId="36581CD7" w14:textId="77777777" w:rsidR="0027427F" w:rsidRDefault="0027427F" w:rsidP="0027427F">
      <w:pPr>
        <w:ind w:left="720"/>
        <w:rPr>
          <w:rFonts w:ascii="Calibri" w:hAnsi="Calibri" w:cs="Calibri"/>
        </w:rPr>
      </w:pPr>
    </w:p>
    <w:p w14:paraId="6D573B18" w14:textId="77777777" w:rsidR="002615F3" w:rsidRDefault="002615F3" w:rsidP="002615F3">
      <w:pPr>
        <w:numPr>
          <w:ilvl w:val="0"/>
          <w:numId w:val="100"/>
        </w:numPr>
        <w:rPr>
          <w:rFonts w:ascii="Calibri" w:hAnsi="Calibri" w:cs="Calibri"/>
        </w:rPr>
      </w:pPr>
      <w:r w:rsidRPr="00660944">
        <w:rPr>
          <w:rFonts w:ascii="Calibri" w:hAnsi="Calibri" w:cs="Calibri"/>
        </w:rPr>
        <w:t>Approximately how many recommendations remain outstanding from the NIS2 readiness assessment?</w:t>
      </w:r>
    </w:p>
    <w:p w14:paraId="46830380" w14:textId="77777777" w:rsidR="0027427F" w:rsidRPr="0027427F" w:rsidRDefault="0027427F" w:rsidP="0027427F">
      <w:pPr>
        <w:pStyle w:val="ListParagraph"/>
        <w:rPr>
          <w:rFonts w:ascii="Calibri" w:hAnsi="Calibri" w:cs="Calibri"/>
          <w:b/>
          <w:bCs/>
        </w:rPr>
      </w:pPr>
      <w:r w:rsidRPr="0027427F">
        <w:rPr>
          <w:rFonts w:ascii="Calibri" w:hAnsi="Calibri" w:cs="Calibri"/>
          <w:b/>
          <w:bCs/>
        </w:rPr>
        <w:lastRenderedPageBreak/>
        <w:t xml:space="preserve">The recommendations from the gap analysis are grouped into 8 initiatives, 4 of which are still outstanding. </w:t>
      </w:r>
    </w:p>
    <w:p w14:paraId="2B2A220A" w14:textId="77777777" w:rsidR="0027427F" w:rsidRDefault="0027427F" w:rsidP="0027427F">
      <w:pPr>
        <w:ind w:left="720"/>
        <w:rPr>
          <w:rFonts w:ascii="Calibri" w:hAnsi="Calibri" w:cs="Calibri"/>
        </w:rPr>
      </w:pPr>
    </w:p>
    <w:p w14:paraId="0A6899A0" w14:textId="77777777" w:rsidR="002615F3" w:rsidRDefault="002615F3" w:rsidP="002615F3">
      <w:pPr>
        <w:numPr>
          <w:ilvl w:val="0"/>
          <w:numId w:val="100"/>
        </w:numPr>
        <w:rPr>
          <w:rFonts w:ascii="Calibri" w:hAnsi="Calibri" w:cs="Calibri"/>
        </w:rPr>
      </w:pPr>
      <w:r w:rsidRPr="00660944">
        <w:rPr>
          <w:rFonts w:ascii="Calibri" w:hAnsi="Calibri" w:cs="Calibri"/>
        </w:rPr>
        <w:t>Have any external audits or penetration tests identified additional remediation items that are expected to form part of this contract?</w:t>
      </w:r>
    </w:p>
    <w:p w14:paraId="69DA473E" w14:textId="77777777" w:rsidR="0027427F" w:rsidRPr="0027427F" w:rsidRDefault="0027427F" w:rsidP="0027427F">
      <w:pPr>
        <w:pStyle w:val="ListParagraph"/>
        <w:rPr>
          <w:rFonts w:ascii="Calibri" w:hAnsi="Calibri" w:cs="Calibri"/>
          <w:b/>
          <w:bCs/>
        </w:rPr>
      </w:pPr>
      <w:r w:rsidRPr="0027427F">
        <w:rPr>
          <w:rFonts w:ascii="Calibri" w:hAnsi="Calibri" w:cs="Calibri"/>
          <w:b/>
          <w:bCs/>
        </w:rPr>
        <w:t>Several pen tests have been conducted against our cloud environment and applications, and the results could be shared. Infrastructure and development partners have already been informed of the results.</w:t>
      </w:r>
    </w:p>
    <w:p w14:paraId="75EC1799" w14:textId="77777777" w:rsidR="0027427F" w:rsidRDefault="0027427F" w:rsidP="0027427F">
      <w:pPr>
        <w:ind w:left="720"/>
        <w:rPr>
          <w:rFonts w:ascii="Calibri" w:hAnsi="Calibri" w:cs="Calibri"/>
        </w:rPr>
      </w:pPr>
    </w:p>
    <w:p w14:paraId="7D522F01" w14:textId="77777777" w:rsidR="002615F3" w:rsidRDefault="002615F3" w:rsidP="002615F3">
      <w:pPr>
        <w:numPr>
          <w:ilvl w:val="0"/>
          <w:numId w:val="100"/>
        </w:numPr>
        <w:rPr>
          <w:rFonts w:ascii="Calibri" w:hAnsi="Calibri" w:cs="Calibri"/>
        </w:rPr>
      </w:pPr>
      <w:r>
        <w:rPr>
          <w:rFonts w:ascii="Calibri" w:hAnsi="Calibri" w:cs="Calibri"/>
          <w:b/>
          <w:bCs/>
        </w:rPr>
        <w:t xml:space="preserve">Compliance: </w:t>
      </w:r>
      <w:r w:rsidRPr="00660944">
        <w:rPr>
          <w:rFonts w:ascii="Calibri" w:hAnsi="Calibri" w:cs="Calibri"/>
        </w:rPr>
        <w:t>Which are already implemented?</w:t>
      </w:r>
    </w:p>
    <w:p w14:paraId="54E24541" w14:textId="77777777" w:rsidR="0027427F" w:rsidRPr="0027427F" w:rsidRDefault="0027427F" w:rsidP="0027427F">
      <w:pPr>
        <w:pStyle w:val="ListParagraph"/>
        <w:rPr>
          <w:rFonts w:ascii="Calibri" w:hAnsi="Calibri" w:cs="Calibri"/>
          <w:b/>
          <w:bCs/>
        </w:rPr>
      </w:pPr>
      <w:r w:rsidRPr="0027427F">
        <w:rPr>
          <w:rFonts w:ascii="Calibri" w:hAnsi="Calibri" w:cs="Calibri"/>
          <w:b/>
          <w:bCs/>
        </w:rPr>
        <w:t>This is covered by section 1.2 of the RFT.</w:t>
      </w:r>
    </w:p>
    <w:p w14:paraId="0787AD40" w14:textId="77777777" w:rsidR="0027427F" w:rsidRDefault="0027427F" w:rsidP="0027427F">
      <w:pPr>
        <w:ind w:left="720"/>
        <w:rPr>
          <w:rFonts w:ascii="Calibri" w:hAnsi="Calibri" w:cs="Calibri"/>
        </w:rPr>
      </w:pPr>
    </w:p>
    <w:p w14:paraId="7B0E3388" w14:textId="77777777" w:rsidR="002615F3" w:rsidRDefault="002615F3" w:rsidP="002615F3">
      <w:pPr>
        <w:numPr>
          <w:ilvl w:val="0"/>
          <w:numId w:val="100"/>
        </w:numPr>
        <w:rPr>
          <w:rFonts w:ascii="Calibri" w:hAnsi="Calibri" w:cs="Calibri"/>
        </w:rPr>
      </w:pPr>
      <w:r w:rsidRPr="00660944">
        <w:rPr>
          <w:rFonts w:ascii="Calibri" w:hAnsi="Calibri" w:cs="Calibri"/>
        </w:rPr>
        <w:t>Are there specific compliance deadlines that the successful tenderer must support?</w:t>
      </w:r>
    </w:p>
    <w:p w14:paraId="6ADBECF4" w14:textId="77777777" w:rsidR="0027427F" w:rsidRPr="0027427F" w:rsidRDefault="0027427F" w:rsidP="0027427F">
      <w:pPr>
        <w:pStyle w:val="ListParagraph"/>
        <w:rPr>
          <w:rFonts w:ascii="Calibri" w:hAnsi="Calibri" w:cs="Calibri"/>
          <w:b/>
          <w:bCs/>
        </w:rPr>
      </w:pPr>
      <w:r w:rsidRPr="0027427F">
        <w:rPr>
          <w:rFonts w:ascii="Calibri" w:hAnsi="Calibri" w:cs="Calibri"/>
          <w:b/>
          <w:bCs/>
        </w:rPr>
        <w:t>This is covered by section 1.2 of the RFT.</w:t>
      </w:r>
    </w:p>
    <w:p w14:paraId="121E32EC" w14:textId="77777777" w:rsidR="0027427F" w:rsidRDefault="0027427F" w:rsidP="0027427F">
      <w:pPr>
        <w:ind w:left="720"/>
        <w:rPr>
          <w:rFonts w:ascii="Calibri" w:hAnsi="Calibri" w:cs="Calibri"/>
        </w:rPr>
      </w:pPr>
    </w:p>
    <w:p w14:paraId="2B9438F7" w14:textId="77777777" w:rsidR="002615F3" w:rsidRDefault="002615F3" w:rsidP="002615F3">
      <w:pPr>
        <w:numPr>
          <w:ilvl w:val="0"/>
          <w:numId w:val="100"/>
        </w:numPr>
        <w:rPr>
          <w:rFonts w:ascii="Calibri" w:hAnsi="Calibri" w:cs="Calibri"/>
        </w:rPr>
      </w:pPr>
      <w:r>
        <w:rPr>
          <w:rFonts w:ascii="Calibri" w:hAnsi="Calibri" w:cs="Calibri"/>
          <w:b/>
          <w:bCs/>
        </w:rPr>
        <w:t>Threat Intelligence:</w:t>
      </w:r>
      <w:r>
        <w:rPr>
          <w:rFonts w:ascii="Calibri" w:hAnsi="Calibri" w:cs="Calibri"/>
        </w:rPr>
        <w:t xml:space="preserve"> </w:t>
      </w:r>
      <w:r w:rsidRPr="00660944">
        <w:rPr>
          <w:rFonts w:ascii="Calibri" w:hAnsi="Calibri" w:cs="Calibri"/>
        </w:rPr>
        <w:t>Does DCDE currently subscribe to any commercial cyber threat intelligence services?</w:t>
      </w:r>
    </w:p>
    <w:p w14:paraId="705A1C2B" w14:textId="77777777" w:rsidR="00DC4AEB" w:rsidRPr="00DC4AEB" w:rsidRDefault="00DC4AEB" w:rsidP="00DC4AEB">
      <w:pPr>
        <w:pStyle w:val="ListParagraph"/>
        <w:rPr>
          <w:rFonts w:ascii="Calibri" w:hAnsi="Calibri" w:cs="Calibri"/>
          <w:b/>
          <w:bCs/>
        </w:rPr>
      </w:pPr>
      <w:r w:rsidRPr="00DC4AEB">
        <w:rPr>
          <w:rFonts w:ascii="Calibri" w:hAnsi="Calibri" w:cs="Calibri"/>
          <w:b/>
          <w:bCs/>
        </w:rPr>
        <w:t>No. But we do receive NCSC-provided threat intelligence.</w:t>
      </w:r>
    </w:p>
    <w:p w14:paraId="4BF77F8D" w14:textId="77777777" w:rsidR="00DC4AEB" w:rsidRDefault="00DC4AEB" w:rsidP="00DC4AEB">
      <w:pPr>
        <w:ind w:left="720"/>
        <w:rPr>
          <w:rFonts w:ascii="Calibri" w:hAnsi="Calibri" w:cs="Calibri"/>
        </w:rPr>
      </w:pPr>
    </w:p>
    <w:p w14:paraId="70E52DA5" w14:textId="77777777" w:rsidR="007D6A4C" w:rsidRDefault="007D6A4C" w:rsidP="007D6A4C">
      <w:pPr>
        <w:numPr>
          <w:ilvl w:val="0"/>
          <w:numId w:val="100"/>
        </w:numPr>
        <w:rPr>
          <w:rFonts w:ascii="Calibri" w:hAnsi="Calibri" w:cs="Calibri"/>
        </w:rPr>
      </w:pPr>
      <w:r w:rsidRPr="00660944">
        <w:rPr>
          <w:rFonts w:ascii="Calibri" w:hAnsi="Calibri" w:cs="Calibri"/>
        </w:rPr>
        <w:t xml:space="preserve">Are there existing requirements for reporting against MITRE </w:t>
      </w:r>
      <w:proofErr w:type="spellStart"/>
      <w:r w:rsidRPr="00660944">
        <w:rPr>
          <w:rFonts w:ascii="Calibri" w:hAnsi="Calibri" w:cs="Calibri"/>
        </w:rPr>
        <w:t>ATTaCK</w:t>
      </w:r>
      <w:proofErr w:type="spellEnd"/>
      <w:r w:rsidRPr="00660944">
        <w:rPr>
          <w:rFonts w:ascii="Calibri" w:hAnsi="Calibri" w:cs="Calibri"/>
        </w:rPr>
        <w:t xml:space="preserve"> or Cyber Kill Chain frameworks?</w:t>
      </w:r>
    </w:p>
    <w:p w14:paraId="23150296" w14:textId="77777777" w:rsidR="007D6A4C" w:rsidRPr="007D6A4C" w:rsidRDefault="007D6A4C" w:rsidP="007D6A4C">
      <w:pPr>
        <w:pStyle w:val="ListParagraph"/>
        <w:rPr>
          <w:rFonts w:ascii="Calibri" w:hAnsi="Calibri" w:cs="Calibri"/>
          <w:b/>
          <w:bCs/>
        </w:rPr>
      </w:pPr>
      <w:r w:rsidRPr="007D6A4C">
        <w:rPr>
          <w:rFonts w:ascii="Calibri" w:hAnsi="Calibri" w:cs="Calibri"/>
          <w:b/>
          <w:bCs/>
        </w:rPr>
        <w:t>None.</w:t>
      </w:r>
    </w:p>
    <w:p w14:paraId="781100D7" w14:textId="77777777" w:rsidR="007D6A4C" w:rsidRDefault="007D6A4C" w:rsidP="007D6A4C">
      <w:pPr>
        <w:ind w:left="720"/>
        <w:rPr>
          <w:rFonts w:ascii="Calibri" w:hAnsi="Calibri" w:cs="Calibri"/>
        </w:rPr>
      </w:pPr>
    </w:p>
    <w:p w14:paraId="3F5A3BD4" w14:textId="77777777" w:rsidR="007D6A4C" w:rsidRDefault="007D6A4C" w:rsidP="007D6A4C">
      <w:pPr>
        <w:numPr>
          <w:ilvl w:val="0"/>
          <w:numId w:val="100"/>
        </w:numPr>
        <w:rPr>
          <w:rFonts w:ascii="Calibri" w:hAnsi="Calibri" w:cs="Calibri"/>
        </w:rPr>
      </w:pPr>
      <w:r>
        <w:rPr>
          <w:rFonts w:ascii="Calibri" w:hAnsi="Calibri" w:cs="Calibri"/>
          <w:b/>
          <w:bCs/>
        </w:rPr>
        <w:t xml:space="preserve">Reporting: </w:t>
      </w:r>
      <w:r w:rsidRPr="00660944">
        <w:rPr>
          <w:rFonts w:ascii="Calibri" w:hAnsi="Calibri" w:cs="Calibri"/>
        </w:rPr>
        <w:t>Can DCDE provide examples of the monthly and quarterly reports expected under the contract?</w:t>
      </w:r>
    </w:p>
    <w:p w14:paraId="03B61A72" w14:textId="77777777" w:rsidR="007D6A4C" w:rsidRPr="007D6A4C" w:rsidRDefault="007D6A4C" w:rsidP="007D6A4C">
      <w:pPr>
        <w:pStyle w:val="ListParagraph"/>
        <w:rPr>
          <w:rFonts w:ascii="Calibri" w:hAnsi="Calibri" w:cs="Calibri"/>
          <w:b/>
          <w:bCs/>
        </w:rPr>
      </w:pPr>
      <w:r w:rsidRPr="007D6A4C">
        <w:rPr>
          <w:rFonts w:ascii="Calibri" w:hAnsi="Calibri" w:cs="Calibri"/>
          <w:b/>
          <w:bCs/>
        </w:rPr>
        <w:t xml:space="preserve">These reports don’t currently exist, so generating them in an agreed format will be for the MSSP and DCDE to agree on. </w:t>
      </w:r>
    </w:p>
    <w:p w14:paraId="7C214680" w14:textId="77777777" w:rsidR="007D6A4C" w:rsidRDefault="007D6A4C" w:rsidP="007D6A4C">
      <w:pPr>
        <w:ind w:left="720"/>
        <w:rPr>
          <w:rFonts w:ascii="Calibri" w:hAnsi="Calibri" w:cs="Calibri"/>
        </w:rPr>
      </w:pPr>
    </w:p>
    <w:p w14:paraId="239A9A75" w14:textId="77777777" w:rsidR="007D6A4C" w:rsidRDefault="007D6A4C" w:rsidP="007D6A4C">
      <w:pPr>
        <w:numPr>
          <w:ilvl w:val="0"/>
          <w:numId w:val="100"/>
        </w:numPr>
        <w:rPr>
          <w:rFonts w:ascii="Calibri" w:hAnsi="Calibri" w:cs="Calibri"/>
        </w:rPr>
      </w:pPr>
      <w:r w:rsidRPr="00660944">
        <w:rPr>
          <w:rFonts w:ascii="Calibri" w:hAnsi="Calibri" w:cs="Calibri"/>
        </w:rPr>
        <w:t>Are executive dashboards already available within the existing SIEM platform?</w:t>
      </w:r>
    </w:p>
    <w:p w14:paraId="7D243B04" w14:textId="77777777" w:rsidR="007D6A4C" w:rsidRPr="007D6A4C" w:rsidRDefault="007D6A4C" w:rsidP="007D6A4C">
      <w:pPr>
        <w:pStyle w:val="ListParagraph"/>
        <w:rPr>
          <w:rFonts w:ascii="Calibri" w:hAnsi="Calibri" w:cs="Calibri"/>
          <w:b/>
          <w:bCs/>
        </w:rPr>
      </w:pPr>
      <w:r w:rsidRPr="007D6A4C">
        <w:rPr>
          <w:rFonts w:ascii="Calibri" w:hAnsi="Calibri" w:cs="Calibri"/>
          <w:b/>
          <w:bCs/>
        </w:rPr>
        <w:t>Yet to be implemented.</w:t>
      </w:r>
    </w:p>
    <w:p w14:paraId="71F8F15A" w14:textId="77777777" w:rsidR="007D6A4C" w:rsidRDefault="007D6A4C" w:rsidP="007D6A4C">
      <w:pPr>
        <w:ind w:left="720"/>
        <w:rPr>
          <w:rFonts w:ascii="Calibri" w:hAnsi="Calibri" w:cs="Calibri"/>
        </w:rPr>
      </w:pPr>
    </w:p>
    <w:p w14:paraId="764FEEEC" w14:textId="77777777" w:rsidR="007D6A4C" w:rsidRDefault="007D6A4C" w:rsidP="007D6A4C">
      <w:pPr>
        <w:numPr>
          <w:ilvl w:val="0"/>
          <w:numId w:val="100"/>
        </w:numPr>
        <w:rPr>
          <w:rFonts w:ascii="Calibri" w:hAnsi="Calibri" w:cs="Calibri"/>
        </w:rPr>
      </w:pPr>
      <w:r>
        <w:rPr>
          <w:rFonts w:ascii="Calibri" w:hAnsi="Calibri" w:cs="Calibri"/>
          <w:b/>
          <w:bCs/>
        </w:rPr>
        <w:lastRenderedPageBreak/>
        <w:t xml:space="preserve">Transition: </w:t>
      </w:r>
      <w:r w:rsidRPr="00660944">
        <w:rPr>
          <w:rFonts w:ascii="Calibri" w:hAnsi="Calibri" w:cs="Calibri"/>
        </w:rPr>
        <w:t>Is an incumbent supplier currently delivering any or all of the consultancy or MSSP services?</w:t>
      </w:r>
    </w:p>
    <w:p w14:paraId="738DBCDB" w14:textId="77777777" w:rsidR="007D6A4C" w:rsidRPr="007D6A4C" w:rsidRDefault="007D6A4C" w:rsidP="007D6A4C">
      <w:pPr>
        <w:pStyle w:val="ListParagraph"/>
        <w:rPr>
          <w:rFonts w:ascii="Calibri" w:hAnsi="Calibri" w:cs="Calibri"/>
          <w:b/>
          <w:bCs/>
        </w:rPr>
      </w:pPr>
      <w:r w:rsidRPr="007D6A4C">
        <w:rPr>
          <w:rFonts w:ascii="Calibri" w:hAnsi="Calibri" w:cs="Calibri"/>
          <w:b/>
          <w:bCs/>
        </w:rPr>
        <w:t xml:space="preserve">There is no existing MSSP under contract with the Department, just a current provider for NIS2 gap analysis and cybersecurity consultancy services. </w:t>
      </w:r>
    </w:p>
    <w:p w14:paraId="1F9317C5" w14:textId="77777777" w:rsidR="007D6A4C" w:rsidRDefault="007D6A4C" w:rsidP="007D6A4C">
      <w:pPr>
        <w:ind w:left="720"/>
        <w:rPr>
          <w:rFonts w:ascii="Calibri" w:hAnsi="Calibri" w:cs="Calibri"/>
        </w:rPr>
      </w:pPr>
    </w:p>
    <w:p w14:paraId="69039DEE" w14:textId="77777777" w:rsidR="007D6A4C" w:rsidRDefault="007D6A4C" w:rsidP="007D6A4C">
      <w:pPr>
        <w:numPr>
          <w:ilvl w:val="0"/>
          <w:numId w:val="100"/>
        </w:numPr>
        <w:rPr>
          <w:rFonts w:ascii="Calibri" w:hAnsi="Calibri" w:cs="Calibri"/>
        </w:rPr>
      </w:pPr>
      <w:r w:rsidRPr="00660944">
        <w:rPr>
          <w:rFonts w:ascii="Calibri" w:hAnsi="Calibri" w:cs="Calibri"/>
        </w:rPr>
        <w:t>If yes, will transition assistance be available from the incumbent?</w:t>
      </w:r>
    </w:p>
    <w:p w14:paraId="4ACEAA99" w14:textId="77777777" w:rsidR="007D6A4C" w:rsidRPr="007D6A4C" w:rsidRDefault="007D6A4C" w:rsidP="007D6A4C">
      <w:pPr>
        <w:pStyle w:val="ListParagraph"/>
        <w:rPr>
          <w:rFonts w:ascii="Calibri" w:hAnsi="Calibri" w:cs="Calibri"/>
          <w:b/>
          <w:bCs/>
        </w:rPr>
      </w:pPr>
      <w:r w:rsidRPr="007D6A4C">
        <w:rPr>
          <w:rFonts w:ascii="Calibri" w:hAnsi="Calibri" w:cs="Calibri"/>
          <w:b/>
          <w:bCs/>
        </w:rPr>
        <w:t>The current partner has offboarding support as part of their contract; this work focuses on cybersecurity governance, NIS2 gap analysis, and compliance. No current provider is in place for MSSP.</w:t>
      </w:r>
    </w:p>
    <w:p w14:paraId="75738213" w14:textId="77777777" w:rsidR="007D6A4C" w:rsidRDefault="007D6A4C" w:rsidP="007D6A4C">
      <w:pPr>
        <w:ind w:left="720"/>
        <w:rPr>
          <w:rFonts w:ascii="Calibri" w:hAnsi="Calibri" w:cs="Calibri"/>
        </w:rPr>
      </w:pPr>
    </w:p>
    <w:p w14:paraId="6B521294" w14:textId="77777777" w:rsidR="007D6A4C" w:rsidRDefault="007D6A4C" w:rsidP="007D6A4C">
      <w:pPr>
        <w:numPr>
          <w:ilvl w:val="0"/>
          <w:numId w:val="100"/>
        </w:numPr>
        <w:rPr>
          <w:rFonts w:ascii="Calibri" w:hAnsi="Calibri" w:cs="Calibri"/>
        </w:rPr>
      </w:pPr>
      <w:r>
        <w:rPr>
          <w:rFonts w:ascii="Calibri" w:hAnsi="Calibri" w:cs="Calibri"/>
          <w:b/>
          <w:bCs/>
        </w:rPr>
        <w:t xml:space="preserve">Log Sources: </w:t>
      </w:r>
      <w:r w:rsidRPr="00660944">
        <w:rPr>
          <w:rFonts w:ascii="Calibri" w:hAnsi="Calibri" w:cs="Calibri"/>
        </w:rPr>
        <w:t>Could DCDE provide an indicative list of in-scope log sources together with an estimate of any additional log sources expected during the contract?</w:t>
      </w:r>
    </w:p>
    <w:p w14:paraId="469FA563" w14:textId="77777777" w:rsidR="007D6A4C" w:rsidRPr="007D6A4C" w:rsidRDefault="007D6A4C" w:rsidP="007D6A4C">
      <w:pPr>
        <w:pStyle w:val="ListParagraph"/>
        <w:rPr>
          <w:rFonts w:ascii="Calibri" w:hAnsi="Calibri" w:cs="Calibri"/>
          <w:b/>
          <w:bCs/>
        </w:rPr>
      </w:pPr>
      <w:r w:rsidRPr="007D6A4C">
        <w:rPr>
          <w:rFonts w:ascii="Calibri" w:hAnsi="Calibri" w:cs="Calibri"/>
          <w:b/>
          <w:bCs/>
        </w:rPr>
        <w:t xml:space="preserve">Log sources might include Microsoft Defender for Cloud, Network Security Groups, Azure Activity, Entra ID, and Azure Monitor. </w:t>
      </w:r>
    </w:p>
    <w:p w14:paraId="759896E9" w14:textId="77777777" w:rsidR="007D6A4C" w:rsidRDefault="007D6A4C" w:rsidP="007D6A4C">
      <w:pPr>
        <w:ind w:left="720"/>
        <w:rPr>
          <w:rFonts w:ascii="Calibri" w:hAnsi="Calibri" w:cs="Calibri"/>
        </w:rPr>
      </w:pPr>
    </w:p>
    <w:p w14:paraId="79E26193" w14:textId="77777777" w:rsidR="007D6A4C" w:rsidRDefault="007D6A4C" w:rsidP="007D6A4C">
      <w:pPr>
        <w:numPr>
          <w:ilvl w:val="0"/>
          <w:numId w:val="100"/>
        </w:numPr>
        <w:rPr>
          <w:rFonts w:ascii="Calibri" w:hAnsi="Calibri" w:cs="Calibri"/>
        </w:rPr>
      </w:pPr>
      <w:r>
        <w:rPr>
          <w:rFonts w:ascii="Calibri" w:hAnsi="Calibri" w:cs="Calibri"/>
          <w:b/>
          <w:bCs/>
        </w:rPr>
        <w:t xml:space="preserve">Optional 24x7 Service: </w:t>
      </w:r>
      <w:r w:rsidRPr="00660944">
        <w:rPr>
          <w:rFonts w:ascii="Calibri" w:hAnsi="Calibri" w:cs="Calibri"/>
        </w:rPr>
        <w:t>If the optional 24×7 monitoring service is invoked during the contract, would this be expected to replace the baseline service or operate as an uplift from the existing business-hours service?</w:t>
      </w:r>
    </w:p>
    <w:p w14:paraId="7CC64B32" w14:textId="77777777" w:rsidR="007D6A4C" w:rsidRPr="007D6A4C" w:rsidRDefault="007D6A4C" w:rsidP="007D6A4C">
      <w:pPr>
        <w:pStyle w:val="ListParagraph"/>
        <w:rPr>
          <w:rFonts w:ascii="Calibri" w:hAnsi="Calibri" w:cs="Calibri"/>
          <w:b/>
          <w:bCs/>
        </w:rPr>
      </w:pPr>
      <w:r w:rsidRPr="007D6A4C">
        <w:rPr>
          <w:rFonts w:ascii="Calibri" w:hAnsi="Calibri" w:cs="Calibri"/>
          <w:b/>
          <w:bCs/>
        </w:rPr>
        <w:t xml:space="preserve">Both approaches are acceptable, but this would depend on future needs under the Irish Cybersecurity Bill or NCSC guidance. </w:t>
      </w:r>
    </w:p>
    <w:p w14:paraId="5E3FB4AC" w14:textId="77777777" w:rsidR="007D6A4C" w:rsidRDefault="007D6A4C" w:rsidP="007D6A4C">
      <w:pPr>
        <w:ind w:left="720"/>
        <w:rPr>
          <w:rFonts w:ascii="Calibri" w:hAnsi="Calibri" w:cs="Calibri"/>
        </w:rPr>
      </w:pPr>
    </w:p>
    <w:p w14:paraId="4D031FE6" w14:textId="77777777" w:rsidR="007D6A4C" w:rsidRDefault="007D6A4C" w:rsidP="007D6A4C">
      <w:pPr>
        <w:numPr>
          <w:ilvl w:val="0"/>
          <w:numId w:val="100"/>
        </w:numPr>
        <w:rPr>
          <w:rFonts w:ascii="Calibri" w:hAnsi="Calibri" w:cs="Calibri"/>
        </w:rPr>
      </w:pPr>
      <w:r>
        <w:rPr>
          <w:rFonts w:ascii="Calibri" w:hAnsi="Calibri" w:cs="Calibri"/>
          <w:b/>
          <w:bCs/>
        </w:rPr>
        <w:t xml:space="preserve">Pricing: </w:t>
      </w:r>
      <w:proofErr w:type="gramStart"/>
      <w:r w:rsidRPr="00660944">
        <w:rPr>
          <w:rFonts w:ascii="Calibri" w:hAnsi="Calibri" w:cs="Calibri"/>
        </w:rPr>
        <w:t>Are</w:t>
      </w:r>
      <w:proofErr w:type="gramEnd"/>
      <w:r w:rsidRPr="00660944">
        <w:rPr>
          <w:rFonts w:ascii="Calibri" w:hAnsi="Calibri" w:cs="Calibri"/>
        </w:rPr>
        <w:t xml:space="preserve"> the mandatory threat hunting, MDR/EDR integration and incident response retainer expected to be delivered as fixed-price services, or may they be supported through draw-down consultancy days where appropriate?</w:t>
      </w:r>
    </w:p>
    <w:p w14:paraId="0BEB863C" w14:textId="77777777" w:rsidR="007D6A4C" w:rsidRPr="007D6A4C" w:rsidRDefault="007D6A4C" w:rsidP="007D6A4C">
      <w:pPr>
        <w:pStyle w:val="ListParagraph"/>
        <w:rPr>
          <w:rFonts w:ascii="Calibri" w:hAnsi="Calibri" w:cs="Calibri"/>
        </w:rPr>
      </w:pPr>
      <w:r w:rsidRPr="007D6A4C">
        <w:rPr>
          <w:rFonts w:ascii="Calibri" w:hAnsi="Calibri" w:cs="Calibri"/>
          <w:b/>
          <w:bCs/>
        </w:rPr>
        <w:t>Both options are agreeable; it would just have to be included in detail in the tender response.</w:t>
      </w:r>
    </w:p>
    <w:p w14:paraId="658970CE" w14:textId="77777777" w:rsidR="007D6A4C" w:rsidRDefault="007D6A4C" w:rsidP="007D6A4C">
      <w:pPr>
        <w:ind w:left="720"/>
        <w:rPr>
          <w:rFonts w:ascii="Calibri" w:hAnsi="Calibri" w:cs="Calibri"/>
        </w:rPr>
      </w:pPr>
    </w:p>
    <w:p w14:paraId="64B973D6" w14:textId="77777777" w:rsidR="002C590B" w:rsidRDefault="002C590B" w:rsidP="002C590B">
      <w:pPr>
        <w:numPr>
          <w:ilvl w:val="0"/>
          <w:numId w:val="100"/>
        </w:numPr>
        <w:rPr>
          <w:rFonts w:ascii="Calibri" w:hAnsi="Calibri" w:cs="Calibri"/>
        </w:rPr>
      </w:pPr>
      <w:r w:rsidRPr="00660944">
        <w:rPr>
          <w:rFonts w:ascii="Calibri" w:hAnsi="Calibri" w:cs="Calibri"/>
        </w:rPr>
        <w:t>Can DCDE confirm whether travel and on-site attendance should be included within the fixed-price services or priced separately?</w:t>
      </w:r>
    </w:p>
    <w:p w14:paraId="399DD340" w14:textId="77777777" w:rsidR="002C590B" w:rsidRPr="002C590B" w:rsidRDefault="002C590B" w:rsidP="002C590B">
      <w:pPr>
        <w:pStyle w:val="ListParagraph"/>
        <w:rPr>
          <w:rFonts w:ascii="Calibri" w:hAnsi="Calibri" w:cs="Calibri"/>
          <w:b/>
          <w:bCs/>
        </w:rPr>
      </w:pPr>
      <w:r w:rsidRPr="002C590B">
        <w:rPr>
          <w:rFonts w:ascii="Calibri" w:hAnsi="Calibri" w:cs="Calibri"/>
          <w:b/>
          <w:bCs/>
        </w:rPr>
        <w:t xml:space="preserve">Travel and on-site attendance will be needed for a small number of meetings or for incident response exercises. This should be included in the </w:t>
      </w:r>
      <w:proofErr w:type="gramStart"/>
      <w:r w:rsidRPr="002C590B">
        <w:rPr>
          <w:rFonts w:ascii="Calibri" w:hAnsi="Calibri" w:cs="Calibri"/>
          <w:b/>
          <w:bCs/>
        </w:rPr>
        <w:t>costing, but</w:t>
      </w:r>
      <w:proofErr w:type="gramEnd"/>
      <w:r w:rsidRPr="002C590B">
        <w:rPr>
          <w:rFonts w:ascii="Calibri" w:hAnsi="Calibri" w:cs="Calibri"/>
          <w:b/>
          <w:bCs/>
        </w:rPr>
        <w:t xml:space="preserve"> is likely to be limited to ad hoc meetings or exercises. Attendance at on-site meetings in Dublin only, as needed, should be included. </w:t>
      </w:r>
    </w:p>
    <w:p w14:paraId="76BE1769" w14:textId="77777777" w:rsidR="002C590B" w:rsidRDefault="002C590B" w:rsidP="002C590B">
      <w:pPr>
        <w:ind w:left="720"/>
        <w:rPr>
          <w:rFonts w:ascii="Calibri" w:hAnsi="Calibri" w:cs="Calibri"/>
        </w:rPr>
      </w:pPr>
    </w:p>
    <w:p w14:paraId="75951D30" w14:textId="77777777" w:rsidR="005673F4" w:rsidRDefault="005673F4" w:rsidP="005673F4">
      <w:pPr>
        <w:numPr>
          <w:ilvl w:val="0"/>
          <w:numId w:val="100"/>
        </w:numPr>
        <w:rPr>
          <w:rFonts w:ascii="Calibri" w:hAnsi="Calibri" w:cs="Calibri"/>
        </w:rPr>
      </w:pPr>
      <w:r w:rsidRPr="00604698">
        <w:rPr>
          <w:rFonts w:ascii="Calibri" w:hAnsi="Calibri" w:cs="Calibri"/>
        </w:rPr>
        <w:t>Is there an incumbent MSSP and can service metrics be shared?</w:t>
      </w:r>
    </w:p>
    <w:p w14:paraId="748DB8FD" w14:textId="77777777" w:rsidR="005673F4" w:rsidRPr="005673F4" w:rsidRDefault="005673F4" w:rsidP="005673F4">
      <w:pPr>
        <w:pStyle w:val="ListParagraph"/>
        <w:rPr>
          <w:rFonts w:ascii="Calibri" w:hAnsi="Calibri" w:cs="Calibri"/>
          <w:lang w:eastAsia="en-IE"/>
        </w:rPr>
      </w:pPr>
      <w:r w:rsidRPr="005673F4">
        <w:rPr>
          <w:rFonts w:ascii="Calibri" w:hAnsi="Calibri" w:cs="Calibri"/>
          <w:b/>
          <w:bCs/>
        </w:rPr>
        <w:lastRenderedPageBreak/>
        <w:t>There is no existing MSSP under contract with the Department, just a current provider for NIS2 gap analysis and cybersecurity consultancy services.</w:t>
      </w:r>
      <w:r w:rsidRPr="005673F4">
        <w:rPr>
          <w:rFonts w:ascii="Calibri" w:hAnsi="Calibri" w:cs="Calibri"/>
          <w:b/>
          <w:bCs/>
          <w:i/>
          <w:iCs/>
        </w:rPr>
        <w:t xml:space="preserve">  </w:t>
      </w:r>
    </w:p>
    <w:p w14:paraId="7BFEBA2B" w14:textId="77777777" w:rsidR="005673F4" w:rsidRDefault="005673F4" w:rsidP="005673F4">
      <w:pPr>
        <w:ind w:left="720"/>
        <w:rPr>
          <w:rFonts w:ascii="Calibri" w:hAnsi="Calibri" w:cs="Calibri"/>
        </w:rPr>
      </w:pPr>
    </w:p>
    <w:p w14:paraId="7638F1FD" w14:textId="77777777" w:rsidR="005673F4" w:rsidRDefault="005673F4" w:rsidP="005673F4">
      <w:pPr>
        <w:numPr>
          <w:ilvl w:val="0"/>
          <w:numId w:val="100"/>
        </w:numPr>
        <w:rPr>
          <w:rFonts w:ascii="Calibri" w:hAnsi="Calibri" w:cs="Calibri"/>
        </w:rPr>
      </w:pPr>
      <w:r w:rsidRPr="00604698">
        <w:rPr>
          <w:rFonts w:ascii="Calibri" w:hAnsi="Calibri" w:cs="Calibri"/>
        </w:rPr>
        <w:t xml:space="preserve">Are Power Platform, SharePoint and Fabric logs already </w:t>
      </w:r>
      <w:proofErr w:type="gramStart"/>
      <w:r w:rsidRPr="00604698">
        <w:rPr>
          <w:rFonts w:ascii="Calibri" w:hAnsi="Calibri" w:cs="Calibri"/>
        </w:rPr>
        <w:t>onboarded</w:t>
      </w:r>
      <w:proofErr w:type="gramEnd"/>
      <w:r w:rsidRPr="00604698">
        <w:rPr>
          <w:rFonts w:ascii="Calibri" w:hAnsi="Calibri" w:cs="Calibri"/>
        </w:rPr>
        <w:t xml:space="preserve"> to the SIEM?</w:t>
      </w:r>
    </w:p>
    <w:p w14:paraId="01A8662F" w14:textId="77777777" w:rsidR="005673F4" w:rsidRPr="005673F4" w:rsidRDefault="005673F4" w:rsidP="005673F4">
      <w:pPr>
        <w:pStyle w:val="ListParagraph"/>
        <w:rPr>
          <w:rFonts w:ascii="Calibri" w:hAnsi="Calibri" w:cs="Calibri"/>
          <w:b/>
          <w:bCs/>
        </w:rPr>
      </w:pPr>
      <w:r w:rsidRPr="005673F4">
        <w:rPr>
          <w:rFonts w:ascii="Calibri" w:hAnsi="Calibri" w:cs="Calibri"/>
          <w:b/>
          <w:bCs/>
        </w:rPr>
        <w:t xml:space="preserve">Microsoft Sentinel is provided via a landing zone, but is not fully operational, as no MSSP is currently in place. Data connectors are set for Microsoft Defender for Cloud, Network Security Groups, Azure Activity, Entra ID, and Azure Monitor. There is currently no NSG flow logs configured to capture ingress and egress IP traffic.  </w:t>
      </w:r>
    </w:p>
    <w:p w14:paraId="3464C283" w14:textId="77777777" w:rsidR="005673F4" w:rsidRDefault="005673F4" w:rsidP="005673F4">
      <w:pPr>
        <w:ind w:left="720"/>
        <w:rPr>
          <w:rFonts w:ascii="Calibri" w:hAnsi="Calibri" w:cs="Calibri"/>
        </w:rPr>
      </w:pPr>
    </w:p>
    <w:p w14:paraId="1886E03A" w14:textId="77777777" w:rsidR="005673F4" w:rsidRDefault="005673F4" w:rsidP="005673F4">
      <w:pPr>
        <w:numPr>
          <w:ilvl w:val="0"/>
          <w:numId w:val="100"/>
        </w:numPr>
        <w:rPr>
          <w:rFonts w:ascii="Calibri" w:hAnsi="Calibri" w:cs="Calibri"/>
        </w:rPr>
      </w:pPr>
      <w:r w:rsidRPr="00604698">
        <w:rPr>
          <w:rFonts w:ascii="Calibri" w:hAnsi="Calibri" w:cs="Calibri"/>
        </w:rPr>
        <w:t>What are the required response SLAs?</w:t>
      </w:r>
    </w:p>
    <w:p w14:paraId="0954DEBD" w14:textId="77777777" w:rsidR="005673F4" w:rsidRPr="005673F4" w:rsidRDefault="005673F4" w:rsidP="005673F4">
      <w:pPr>
        <w:pStyle w:val="ListParagraph"/>
        <w:rPr>
          <w:rFonts w:ascii="Calibri" w:hAnsi="Calibri" w:cs="Calibri"/>
          <w:b/>
          <w:bCs/>
        </w:rPr>
      </w:pPr>
      <w:r w:rsidRPr="005673F4">
        <w:rPr>
          <w:rFonts w:ascii="Calibri" w:hAnsi="Calibri" w:cs="Calibri"/>
          <w:b/>
          <w:bCs/>
        </w:rPr>
        <w:t>This is not currently defined, but we will work with the successful MSSP provider to agree on this and include it in the SLA/Contract.</w:t>
      </w:r>
    </w:p>
    <w:p w14:paraId="17F1A356" w14:textId="77777777" w:rsidR="005673F4" w:rsidRDefault="005673F4" w:rsidP="005673F4">
      <w:pPr>
        <w:ind w:left="720"/>
        <w:rPr>
          <w:rFonts w:ascii="Calibri" w:hAnsi="Calibri" w:cs="Calibri"/>
        </w:rPr>
      </w:pPr>
    </w:p>
    <w:p w14:paraId="2C13CB96" w14:textId="77777777" w:rsidR="005673F4" w:rsidRDefault="005673F4" w:rsidP="005673F4">
      <w:pPr>
        <w:numPr>
          <w:ilvl w:val="0"/>
          <w:numId w:val="100"/>
        </w:numPr>
        <w:rPr>
          <w:rFonts w:ascii="Calibri" w:hAnsi="Calibri" w:cs="Calibri"/>
        </w:rPr>
      </w:pPr>
      <w:r w:rsidRPr="00604698">
        <w:rPr>
          <w:rFonts w:ascii="Calibri" w:hAnsi="Calibri" w:cs="Calibri"/>
        </w:rPr>
        <w:t>Can DCDE provide a current-state security architecture and technology stack, including SIEM, EDR/XDR, vulnerability management and perimeter security technologies?</w:t>
      </w:r>
    </w:p>
    <w:p w14:paraId="0E75F134" w14:textId="77777777" w:rsidR="005673F4" w:rsidRPr="005673F4" w:rsidRDefault="005673F4" w:rsidP="005673F4">
      <w:pPr>
        <w:pStyle w:val="ListParagraph"/>
        <w:rPr>
          <w:rFonts w:ascii="Calibri" w:hAnsi="Calibri" w:cs="Calibri"/>
          <w:b/>
          <w:bCs/>
        </w:rPr>
      </w:pPr>
      <w:r w:rsidRPr="005673F4">
        <w:rPr>
          <w:rFonts w:ascii="Calibri" w:hAnsi="Calibri" w:cs="Calibri"/>
          <w:b/>
          <w:bCs/>
        </w:rPr>
        <w:t xml:space="preserve">Microsoft Sentinel is provided via a landing zone, but is not fully operational, as no MSSP is currently in place. Data connectors are set for Microsoft Defender for Cloud, Network Security Groups, Azure Activity, Entra ID, and Azure Monitor. There is currently no NSG flow logs configured to capture ingress and egress IP traffic.  </w:t>
      </w:r>
    </w:p>
    <w:p w14:paraId="5DB32075" w14:textId="77777777" w:rsidR="005673F4" w:rsidRDefault="005673F4" w:rsidP="005673F4">
      <w:pPr>
        <w:ind w:left="720"/>
        <w:rPr>
          <w:rFonts w:ascii="Calibri" w:hAnsi="Calibri" w:cs="Calibri"/>
        </w:rPr>
      </w:pPr>
    </w:p>
    <w:p w14:paraId="3BF1126A" w14:textId="77777777" w:rsidR="005673F4" w:rsidRDefault="005673F4" w:rsidP="005673F4">
      <w:pPr>
        <w:numPr>
          <w:ilvl w:val="0"/>
          <w:numId w:val="100"/>
        </w:numPr>
        <w:rPr>
          <w:rFonts w:ascii="Calibri" w:hAnsi="Calibri" w:cs="Calibri"/>
        </w:rPr>
      </w:pPr>
      <w:r w:rsidRPr="00604698">
        <w:rPr>
          <w:rFonts w:ascii="Calibri" w:hAnsi="Calibri" w:cs="Calibri"/>
        </w:rPr>
        <w:t>Can DCDE provide the NIS2/CyFun gap assessment outputs that the successful supplier is expected to remediate?</w:t>
      </w:r>
    </w:p>
    <w:p w14:paraId="2A5C4FDD" w14:textId="77777777" w:rsidR="005673F4" w:rsidRPr="005673F4" w:rsidRDefault="005673F4" w:rsidP="005673F4">
      <w:pPr>
        <w:pStyle w:val="ListParagraph"/>
        <w:rPr>
          <w:rFonts w:ascii="Calibri" w:hAnsi="Calibri" w:cs="Calibri"/>
          <w:b/>
          <w:bCs/>
        </w:rPr>
      </w:pPr>
      <w:r w:rsidRPr="005673F4">
        <w:rPr>
          <w:rFonts w:ascii="Calibri" w:hAnsi="Calibri" w:cs="Calibri"/>
          <w:b/>
          <w:bCs/>
        </w:rPr>
        <w:t>A full NIS2 readiness assessment has been completed and can be shared in due course.  Details on this are covered in section 1.2 of the RFT.</w:t>
      </w:r>
    </w:p>
    <w:p w14:paraId="3270A595" w14:textId="77777777" w:rsidR="005673F4" w:rsidRDefault="005673F4" w:rsidP="005673F4">
      <w:pPr>
        <w:ind w:left="720"/>
        <w:rPr>
          <w:rFonts w:ascii="Calibri" w:hAnsi="Calibri" w:cs="Calibri"/>
        </w:rPr>
      </w:pPr>
    </w:p>
    <w:p w14:paraId="268D05DE" w14:textId="77777777" w:rsidR="005673F4" w:rsidRDefault="005673F4" w:rsidP="005673F4">
      <w:pPr>
        <w:numPr>
          <w:ilvl w:val="0"/>
          <w:numId w:val="100"/>
        </w:numPr>
        <w:rPr>
          <w:rFonts w:ascii="Calibri" w:hAnsi="Calibri" w:cs="Calibri"/>
        </w:rPr>
      </w:pPr>
      <w:r w:rsidRPr="00604698">
        <w:rPr>
          <w:rFonts w:ascii="Calibri" w:hAnsi="Calibri" w:cs="Calibri"/>
        </w:rPr>
        <w:t>Can DCDE provide indicative estate sizing (users, endpoints, servers, applications, log volume and security tooling inventory) to support accurate resource and service effort estimation?</w:t>
      </w:r>
    </w:p>
    <w:p w14:paraId="0B26ED18" w14:textId="77777777" w:rsidR="005673F4" w:rsidRPr="005673F4" w:rsidRDefault="005673F4" w:rsidP="005673F4">
      <w:pPr>
        <w:pStyle w:val="ListParagraph"/>
        <w:rPr>
          <w:rFonts w:ascii="Calibri" w:hAnsi="Calibri" w:cs="Calibri"/>
          <w:lang w:eastAsia="en-IE"/>
        </w:rPr>
      </w:pPr>
      <w:r w:rsidRPr="005673F4">
        <w:rPr>
          <w:rFonts w:ascii="Calibri" w:hAnsi="Calibri" w:cs="Calibri"/>
          <w:b/>
          <w:bCs/>
        </w:rPr>
        <w:t>We have a cross-tenant B2B connection to our main tenant, which is centrally hosted within the government networks and is out of scope. We get our identities from AD, which provides SSO. Roughly 800 users, then a small number of service accounts, PIM is in operation and RBAC. There are also roughly 150 users who have guest access from another government department, and a small number of contractor accounts. This MSSP will not cover users' devices, mobiles, etc., as that is on a centralised government tenant and is out of scope for this work. The scope will be our tenant hosting our Line of Business apps, with some VMs acting as jump boxes or gateways. Barracuda firewalls are deployed as VMs. Most capacities are combined serverless processes, such as Fabric, Power Pages, and Power Apps.</w:t>
      </w:r>
    </w:p>
    <w:p w14:paraId="6F626438" w14:textId="77777777" w:rsidR="005673F4" w:rsidRDefault="005673F4" w:rsidP="005673F4">
      <w:pPr>
        <w:ind w:left="720"/>
        <w:rPr>
          <w:rFonts w:ascii="Calibri" w:hAnsi="Calibri" w:cs="Calibri"/>
        </w:rPr>
      </w:pPr>
    </w:p>
    <w:p w14:paraId="2CABA285" w14:textId="77777777" w:rsidR="00C97770" w:rsidRDefault="00C97770" w:rsidP="00C97770">
      <w:pPr>
        <w:numPr>
          <w:ilvl w:val="0"/>
          <w:numId w:val="100"/>
        </w:numPr>
        <w:rPr>
          <w:rFonts w:ascii="Calibri" w:hAnsi="Calibri" w:cs="Calibri"/>
        </w:rPr>
      </w:pPr>
      <w:r>
        <w:rPr>
          <w:rFonts w:ascii="Calibri" w:hAnsi="Calibri" w:cs="Calibri"/>
          <w:b/>
          <w:bCs/>
        </w:rPr>
        <w:t xml:space="preserve">Current Security Operations and Tooling: </w:t>
      </w:r>
      <w:r w:rsidRPr="00604698">
        <w:rPr>
          <w:rFonts w:ascii="Calibri" w:hAnsi="Calibri" w:cs="Calibri"/>
        </w:rPr>
        <w:t>What SIEM platform is currently deployed within DCDE?</w:t>
      </w:r>
    </w:p>
    <w:p w14:paraId="4F868AA1" w14:textId="77777777" w:rsidR="00C97770" w:rsidRPr="00C97770" w:rsidRDefault="00C97770" w:rsidP="00C97770">
      <w:pPr>
        <w:pStyle w:val="ListParagraph"/>
        <w:rPr>
          <w:rFonts w:ascii="Calibri" w:hAnsi="Calibri" w:cs="Calibri"/>
          <w:b/>
          <w:bCs/>
        </w:rPr>
      </w:pPr>
      <w:r w:rsidRPr="00C97770">
        <w:rPr>
          <w:b/>
          <w:bCs/>
        </w:rPr>
        <w:t>Microsoft Sentinel is provided via a landing zone, but is not fully operational, as no MSSP is currently in place.</w:t>
      </w:r>
    </w:p>
    <w:p w14:paraId="778112CF" w14:textId="77777777" w:rsidR="00C97770" w:rsidRDefault="00C97770" w:rsidP="00C97770">
      <w:pPr>
        <w:ind w:left="720"/>
        <w:rPr>
          <w:rFonts w:ascii="Calibri" w:hAnsi="Calibri" w:cs="Calibri"/>
        </w:rPr>
      </w:pPr>
    </w:p>
    <w:p w14:paraId="2DBB849D" w14:textId="77777777" w:rsidR="00C97770" w:rsidRDefault="00C97770" w:rsidP="00C97770">
      <w:pPr>
        <w:numPr>
          <w:ilvl w:val="0"/>
          <w:numId w:val="100"/>
        </w:numPr>
        <w:rPr>
          <w:rFonts w:ascii="Calibri" w:hAnsi="Calibri" w:cs="Calibri"/>
        </w:rPr>
      </w:pPr>
      <w:r w:rsidRPr="00604698">
        <w:rPr>
          <w:rFonts w:ascii="Calibri" w:hAnsi="Calibri" w:cs="Calibri"/>
        </w:rPr>
        <w:t>What are the current log ingestion volumes (daily/monthly) and retention requirements?</w:t>
      </w:r>
    </w:p>
    <w:p w14:paraId="0DDB46CB" w14:textId="77777777" w:rsidR="00C97770" w:rsidRPr="00C97770" w:rsidRDefault="00C97770" w:rsidP="00C97770">
      <w:pPr>
        <w:pStyle w:val="ListParagraph"/>
        <w:rPr>
          <w:rFonts w:ascii="Calibri" w:hAnsi="Calibri" w:cs="Calibri"/>
          <w:b/>
          <w:bCs/>
        </w:rPr>
      </w:pPr>
      <w:r w:rsidRPr="00C97770">
        <w:rPr>
          <w:rFonts w:ascii="Calibri" w:hAnsi="Calibri" w:cs="Calibri"/>
          <w:b/>
          <w:bCs/>
        </w:rPr>
        <w:t>Scheduled log ingestion and review are not currently performed, and the MSSP will be responsible for working with DCDE to define the schedule and scope of this ingestion.</w:t>
      </w:r>
    </w:p>
    <w:p w14:paraId="30377F5D" w14:textId="77777777" w:rsidR="00C97770" w:rsidRDefault="00C97770" w:rsidP="00C97770">
      <w:pPr>
        <w:ind w:left="720"/>
        <w:rPr>
          <w:rFonts w:ascii="Calibri" w:hAnsi="Calibri" w:cs="Calibri"/>
        </w:rPr>
      </w:pPr>
    </w:p>
    <w:p w14:paraId="5C1DCD4E" w14:textId="77777777" w:rsidR="00C97770" w:rsidRDefault="00C97770" w:rsidP="00C97770">
      <w:pPr>
        <w:numPr>
          <w:ilvl w:val="0"/>
          <w:numId w:val="100"/>
        </w:numPr>
        <w:rPr>
          <w:rFonts w:ascii="Calibri" w:hAnsi="Calibri" w:cs="Calibri"/>
        </w:rPr>
      </w:pPr>
      <w:r w:rsidRPr="00604698">
        <w:rPr>
          <w:rFonts w:ascii="Calibri" w:hAnsi="Calibri" w:cs="Calibri"/>
        </w:rPr>
        <w:t>What security technologies are currently deployed, including but not limited to:</w:t>
      </w:r>
    </w:p>
    <w:p w14:paraId="7E59FDDA" w14:textId="77777777" w:rsidR="00C97770" w:rsidRPr="00246422" w:rsidRDefault="00C97770" w:rsidP="00C97770">
      <w:pPr>
        <w:pStyle w:val="ListParagraph"/>
        <w:numPr>
          <w:ilvl w:val="0"/>
          <w:numId w:val="75"/>
        </w:numPr>
        <w:rPr>
          <w:rFonts w:ascii="Calibri" w:hAnsi="Calibri" w:cs="Calibri"/>
        </w:rPr>
      </w:pPr>
      <w:r w:rsidRPr="00246422">
        <w:rPr>
          <w:rFonts w:ascii="Calibri" w:hAnsi="Calibri" w:cs="Calibri"/>
        </w:rPr>
        <w:t>Microsoft Sentinel</w:t>
      </w:r>
    </w:p>
    <w:p w14:paraId="5D6C9033" w14:textId="77777777" w:rsidR="00C97770" w:rsidRPr="00604698" w:rsidRDefault="00C97770" w:rsidP="00C97770">
      <w:pPr>
        <w:numPr>
          <w:ilvl w:val="0"/>
          <w:numId w:val="44"/>
        </w:numPr>
        <w:rPr>
          <w:rFonts w:ascii="Calibri" w:hAnsi="Calibri" w:cs="Calibri"/>
        </w:rPr>
      </w:pPr>
      <w:r w:rsidRPr="00604698">
        <w:rPr>
          <w:rFonts w:ascii="Calibri" w:hAnsi="Calibri" w:cs="Calibri"/>
        </w:rPr>
        <w:t>Microsoft Defender XDR</w:t>
      </w:r>
    </w:p>
    <w:p w14:paraId="28E4E60C" w14:textId="77777777" w:rsidR="00C97770" w:rsidRPr="00604698" w:rsidRDefault="00C97770" w:rsidP="00C97770">
      <w:pPr>
        <w:numPr>
          <w:ilvl w:val="0"/>
          <w:numId w:val="45"/>
        </w:numPr>
        <w:rPr>
          <w:rFonts w:ascii="Calibri" w:hAnsi="Calibri" w:cs="Calibri"/>
        </w:rPr>
      </w:pPr>
      <w:r w:rsidRPr="00604698">
        <w:rPr>
          <w:rFonts w:ascii="Calibri" w:hAnsi="Calibri" w:cs="Calibri"/>
        </w:rPr>
        <w:t>Defender for Endpoint</w:t>
      </w:r>
    </w:p>
    <w:p w14:paraId="705A14F3" w14:textId="77777777" w:rsidR="00C97770" w:rsidRPr="00604698" w:rsidRDefault="00C97770" w:rsidP="00C97770">
      <w:pPr>
        <w:numPr>
          <w:ilvl w:val="0"/>
          <w:numId w:val="46"/>
        </w:numPr>
        <w:rPr>
          <w:rFonts w:ascii="Calibri" w:hAnsi="Calibri" w:cs="Calibri"/>
        </w:rPr>
      </w:pPr>
      <w:r w:rsidRPr="00604698">
        <w:rPr>
          <w:rFonts w:ascii="Calibri" w:hAnsi="Calibri" w:cs="Calibri"/>
        </w:rPr>
        <w:t>Defender for Identity</w:t>
      </w:r>
    </w:p>
    <w:p w14:paraId="4AE2B021" w14:textId="77777777" w:rsidR="00C97770" w:rsidRPr="00604698" w:rsidRDefault="00C97770" w:rsidP="00C97770">
      <w:pPr>
        <w:numPr>
          <w:ilvl w:val="0"/>
          <w:numId w:val="47"/>
        </w:numPr>
        <w:rPr>
          <w:rFonts w:ascii="Calibri" w:hAnsi="Calibri" w:cs="Calibri"/>
        </w:rPr>
      </w:pPr>
      <w:r w:rsidRPr="00604698">
        <w:rPr>
          <w:rFonts w:ascii="Calibri" w:hAnsi="Calibri" w:cs="Calibri"/>
        </w:rPr>
        <w:t>Defender for Cloud</w:t>
      </w:r>
    </w:p>
    <w:p w14:paraId="758BB395" w14:textId="77777777" w:rsidR="00C97770" w:rsidRPr="00604698" w:rsidRDefault="00C97770" w:rsidP="00C97770">
      <w:pPr>
        <w:numPr>
          <w:ilvl w:val="0"/>
          <w:numId w:val="48"/>
        </w:numPr>
        <w:rPr>
          <w:rFonts w:ascii="Calibri" w:hAnsi="Calibri" w:cs="Calibri"/>
        </w:rPr>
      </w:pPr>
      <w:r w:rsidRPr="00604698">
        <w:rPr>
          <w:rFonts w:ascii="Calibri" w:hAnsi="Calibri" w:cs="Calibri"/>
        </w:rPr>
        <w:t>Defender for Cloud Apps</w:t>
      </w:r>
    </w:p>
    <w:p w14:paraId="0B7553EB" w14:textId="77777777" w:rsidR="00C97770" w:rsidRPr="00604698" w:rsidRDefault="00C97770" w:rsidP="00C97770">
      <w:pPr>
        <w:numPr>
          <w:ilvl w:val="0"/>
          <w:numId w:val="49"/>
        </w:numPr>
        <w:rPr>
          <w:rFonts w:ascii="Calibri" w:hAnsi="Calibri" w:cs="Calibri"/>
        </w:rPr>
      </w:pPr>
      <w:r w:rsidRPr="00604698">
        <w:rPr>
          <w:rFonts w:ascii="Calibri" w:hAnsi="Calibri" w:cs="Calibri"/>
        </w:rPr>
        <w:t>Microsoft Entra ID P2</w:t>
      </w:r>
    </w:p>
    <w:p w14:paraId="2F210A5B" w14:textId="77777777" w:rsidR="00C97770" w:rsidRPr="00604698" w:rsidRDefault="00C97770" w:rsidP="00C97770">
      <w:pPr>
        <w:numPr>
          <w:ilvl w:val="0"/>
          <w:numId w:val="50"/>
        </w:numPr>
        <w:rPr>
          <w:rFonts w:ascii="Calibri" w:hAnsi="Calibri" w:cs="Calibri"/>
        </w:rPr>
      </w:pPr>
      <w:r w:rsidRPr="00604698">
        <w:rPr>
          <w:rFonts w:ascii="Calibri" w:hAnsi="Calibri" w:cs="Calibri"/>
        </w:rPr>
        <w:t>PAM solutions</w:t>
      </w:r>
    </w:p>
    <w:p w14:paraId="21971070" w14:textId="77777777" w:rsidR="00C97770" w:rsidRPr="00604698" w:rsidRDefault="00C97770" w:rsidP="00C97770">
      <w:pPr>
        <w:numPr>
          <w:ilvl w:val="0"/>
          <w:numId w:val="51"/>
        </w:numPr>
        <w:rPr>
          <w:rFonts w:ascii="Calibri" w:hAnsi="Calibri" w:cs="Calibri"/>
        </w:rPr>
      </w:pPr>
      <w:r w:rsidRPr="00604698">
        <w:rPr>
          <w:rFonts w:ascii="Calibri" w:hAnsi="Calibri" w:cs="Calibri"/>
        </w:rPr>
        <w:t>Vulnerability management solutions</w:t>
      </w:r>
    </w:p>
    <w:p w14:paraId="3B5E6830" w14:textId="77777777" w:rsidR="00C97770" w:rsidRPr="00604698" w:rsidRDefault="00C97770" w:rsidP="00C97770">
      <w:pPr>
        <w:numPr>
          <w:ilvl w:val="0"/>
          <w:numId w:val="52"/>
        </w:numPr>
        <w:rPr>
          <w:rFonts w:ascii="Calibri" w:hAnsi="Calibri" w:cs="Calibri"/>
        </w:rPr>
      </w:pPr>
      <w:r w:rsidRPr="00604698">
        <w:rPr>
          <w:rFonts w:ascii="Calibri" w:hAnsi="Calibri" w:cs="Calibri"/>
        </w:rPr>
        <w:t>Other security monitoring tools</w:t>
      </w:r>
    </w:p>
    <w:p w14:paraId="2FCFC890" w14:textId="77777777" w:rsidR="00C97770" w:rsidRPr="00C97770" w:rsidRDefault="00C97770" w:rsidP="00C97770">
      <w:pPr>
        <w:pStyle w:val="ListParagraph"/>
        <w:rPr>
          <w:b/>
          <w:bCs/>
        </w:rPr>
      </w:pPr>
      <w:r w:rsidRPr="00C97770">
        <w:rPr>
          <w:b/>
          <w:bCs/>
        </w:rPr>
        <w:t xml:space="preserve">Microsoft Sentinel is provided via a landing zone, but is not fully operational, as no MSSP is currently in place. Data connectors are set for Microsoft Defender for Cloud, Network Security Groups, Azure Activity, Entra ID, and Azure Monitor. There is currently no NSG flow logs configured to capture ingress and egress IP traffic.  </w:t>
      </w:r>
    </w:p>
    <w:p w14:paraId="514E0EF5" w14:textId="77777777" w:rsidR="00C97770" w:rsidRDefault="00C97770" w:rsidP="00C97770">
      <w:pPr>
        <w:ind w:left="720"/>
        <w:rPr>
          <w:rFonts w:ascii="Calibri" w:hAnsi="Calibri" w:cs="Calibri"/>
        </w:rPr>
      </w:pPr>
    </w:p>
    <w:p w14:paraId="3AA0B441" w14:textId="77777777" w:rsidR="00C97770" w:rsidRDefault="00C97770" w:rsidP="00C97770">
      <w:pPr>
        <w:numPr>
          <w:ilvl w:val="0"/>
          <w:numId w:val="100"/>
        </w:numPr>
        <w:rPr>
          <w:rFonts w:ascii="Calibri" w:hAnsi="Calibri" w:cs="Calibri"/>
        </w:rPr>
      </w:pPr>
      <w:r w:rsidRPr="00604698">
        <w:rPr>
          <w:rFonts w:ascii="Calibri" w:hAnsi="Calibri" w:cs="Calibri"/>
        </w:rPr>
        <w:t>Is vulnerability scanning tooling currently in place? If so, what platform(s) are used?</w:t>
      </w:r>
    </w:p>
    <w:p w14:paraId="423006FE" w14:textId="77777777" w:rsidR="00C97770" w:rsidRPr="00C97770" w:rsidRDefault="00C97770" w:rsidP="00C97770">
      <w:pPr>
        <w:pStyle w:val="ListParagraph"/>
        <w:rPr>
          <w:rFonts w:ascii="Calibri" w:hAnsi="Calibri" w:cs="Calibri"/>
        </w:rPr>
      </w:pPr>
      <w:r w:rsidRPr="00C97770">
        <w:rPr>
          <w:b/>
          <w:bCs/>
        </w:rPr>
        <w:t>Microsoft Sentinel is provided via a landing zone, but is not fully operational, as no MSSP is currently in place. Data connectors are set for Microsoft Defender for Cloud, Network Security Groups, Azure Activity, Entra ID, and Azure Monitor.</w:t>
      </w:r>
    </w:p>
    <w:p w14:paraId="47890EE5" w14:textId="77777777" w:rsidR="00C97770" w:rsidRDefault="00C97770" w:rsidP="00C97770">
      <w:pPr>
        <w:ind w:left="720"/>
        <w:rPr>
          <w:rFonts w:ascii="Calibri" w:hAnsi="Calibri" w:cs="Calibri"/>
        </w:rPr>
      </w:pPr>
    </w:p>
    <w:p w14:paraId="700D521D" w14:textId="77777777" w:rsidR="00C97770" w:rsidRDefault="00C97770" w:rsidP="00C97770">
      <w:pPr>
        <w:numPr>
          <w:ilvl w:val="0"/>
          <w:numId w:val="100"/>
        </w:numPr>
        <w:rPr>
          <w:rFonts w:ascii="Calibri" w:hAnsi="Calibri" w:cs="Calibri"/>
        </w:rPr>
      </w:pPr>
      <w:r w:rsidRPr="00604698">
        <w:rPr>
          <w:rFonts w:ascii="Calibri" w:hAnsi="Calibri" w:cs="Calibri"/>
        </w:rPr>
        <w:lastRenderedPageBreak/>
        <w:t>Is the successful contractor expected to provide vulnerability management tooling and licences, or only operate/report on existing tooling?</w:t>
      </w:r>
    </w:p>
    <w:p w14:paraId="4A140417" w14:textId="77777777" w:rsidR="00C97770" w:rsidRPr="00C97770" w:rsidRDefault="00C97770" w:rsidP="00C97770">
      <w:pPr>
        <w:pStyle w:val="ListParagraph"/>
        <w:rPr>
          <w:rFonts w:ascii="Calibri" w:hAnsi="Calibri" w:cs="Calibri"/>
          <w:b/>
          <w:bCs/>
        </w:rPr>
      </w:pPr>
      <w:r w:rsidRPr="00C97770">
        <w:rPr>
          <w:rFonts w:ascii="Calibri" w:hAnsi="Calibri" w:cs="Calibri"/>
          <w:b/>
          <w:bCs/>
        </w:rPr>
        <w:t>The successful MSSP should work with the currently available tooling and advise DCDE on which tooling or configuration of the current tooling is best for protecting our infrastructure.</w:t>
      </w:r>
    </w:p>
    <w:p w14:paraId="7CEDD35F" w14:textId="77777777" w:rsidR="00C97770" w:rsidRDefault="00C97770" w:rsidP="00C97770">
      <w:pPr>
        <w:ind w:left="720"/>
        <w:rPr>
          <w:rFonts w:ascii="Calibri" w:hAnsi="Calibri" w:cs="Calibri"/>
        </w:rPr>
      </w:pPr>
    </w:p>
    <w:p w14:paraId="4AD2EEBA" w14:textId="77777777" w:rsidR="00C97770" w:rsidRDefault="00C97770" w:rsidP="00C97770">
      <w:pPr>
        <w:numPr>
          <w:ilvl w:val="0"/>
          <w:numId w:val="100"/>
        </w:numPr>
        <w:rPr>
          <w:rFonts w:ascii="Calibri" w:hAnsi="Calibri" w:cs="Calibri"/>
        </w:rPr>
      </w:pPr>
      <w:r w:rsidRPr="00604698">
        <w:rPr>
          <w:rFonts w:ascii="Calibri" w:hAnsi="Calibri" w:cs="Calibri"/>
        </w:rPr>
        <w:t>Are MDR/EDR licences already owned by DCDE?</w:t>
      </w:r>
    </w:p>
    <w:p w14:paraId="191D424B" w14:textId="77777777" w:rsidR="00C97770" w:rsidRPr="00C97770" w:rsidRDefault="00C97770" w:rsidP="00C97770">
      <w:pPr>
        <w:pStyle w:val="ListParagraph"/>
        <w:rPr>
          <w:rFonts w:ascii="Calibri" w:hAnsi="Calibri" w:cs="Calibri"/>
          <w:b/>
          <w:bCs/>
        </w:rPr>
      </w:pPr>
      <w:r w:rsidRPr="00C97770">
        <w:rPr>
          <w:b/>
          <w:bCs/>
        </w:rPr>
        <w:t>This MSSP will not cover users' devices, mobiles, etc., as that is on a centralised government tenant and is out of scope for this work. The scope will be for our tenant hosting our Line of Business apps, some VMs acting as jump boxes or gateways. Barracuda firewalls are deployed as VMs. Most capacities are combined serverless processes, such as Fabric, Power Pages, and Power Apps. There are roughly 800 users on our tenant.</w:t>
      </w:r>
    </w:p>
    <w:p w14:paraId="1285003B" w14:textId="77777777" w:rsidR="00C97770" w:rsidRDefault="00C97770" w:rsidP="00C97770">
      <w:pPr>
        <w:ind w:left="720"/>
        <w:rPr>
          <w:rFonts w:ascii="Calibri" w:hAnsi="Calibri" w:cs="Calibri"/>
        </w:rPr>
      </w:pPr>
    </w:p>
    <w:p w14:paraId="136687C4" w14:textId="77777777" w:rsidR="00C97770" w:rsidRDefault="00C97770" w:rsidP="00C97770">
      <w:pPr>
        <w:numPr>
          <w:ilvl w:val="0"/>
          <w:numId w:val="100"/>
        </w:numPr>
        <w:rPr>
          <w:rFonts w:ascii="Calibri" w:hAnsi="Calibri" w:cs="Calibri"/>
        </w:rPr>
      </w:pPr>
      <w:r w:rsidRPr="00604698">
        <w:rPr>
          <w:rFonts w:ascii="Calibri" w:hAnsi="Calibri" w:cs="Calibri"/>
        </w:rPr>
        <w:t>Is there a requirement for the successful contractor to develop and maintain SIEM use cases, detection rules, analytics and content, or is this already established internally?</w:t>
      </w:r>
    </w:p>
    <w:p w14:paraId="5F7323BF" w14:textId="77777777" w:rsidR="00C97770" w:rsidRPr="00C97770" w:rsidRDefault="00C97770" w:rsidP="00C97770">
      <w:pPr>
        <w:pStyle w:val="ListParagraph"/>
        <w:rPr>
          <w:rFonts w:ascii="Calibri" w:hAnsi="Calibri" w:cs="Calibri"/>
          <w:b/>
          <w:bCs/>
        </w:rPr>
      </w:pPr>
      <w:r w:rsidRPr="00C97770">
        <w:rPr>
          <w:b/>
          <w:bCs/>
        </w:rPr>
        <w:t xml:space="preserve">Microsoft Sentinel is provided via a landing zone, but is not fully operational, as no MSSP is currently in place. No security runbooks or playbooks exist, as we don’t currently have an MSSP. No plans to change the SIEM provider, but the successful tenderer will assist DCDE in making changes and configuring/optimising the current SIEM solution, setting up reporting, alerts, and other rules. </w:t>
      </w:r>
    </w:p>
    <w:p w14:paraId="5F2F4368" w14:textId="77777777" w:rsidR="00C97770" w:rsidRDefault="00C97770" w:rsidP="00C97770">
      <w:pPr>
        <w:ind w:left="720"/>
        <w:rPr>
          <w:rFonts w:ascii="Calibri" w:hAnsi="Calibri" w:cs="Calibri"/>
        </w:rPr>
      </w:pPr>
    </w:p>
    <w:p w14:paraId="3339D1A3" w14:textId="77777777" w:rsidR="00C97770" w:rsidRDefault="00C97770" w:rsidP="00C97770">
      <w:pPr>
        <w:numPr>
          <w:ilvl w:val="0"/>
          <w:numId w:val="100"/>
        </w:numPr>
        <w:rPr>
          <w:rFonts w:ascii="Calibri" w:hAnsi="Calibri" w:cs="Calibri"/>
        </w:rPr>
      </w:pPr>
      <w:r w:rsidRPr="00604698">
        <w:rPr>
          <w:rFonts w:ascii="Calibri" w:hAnsi="Calibri" w:cs="Calibri"/>
        </w:rPr>
        <w:t>Are there existing playbooks, runbooks and escalation procedures that will be transitioned to the successful contractor?</w:t>
      </w:r>
    </w:p>
    <w:p w14:paraId="4C2C206C" w14:textId="77777777" w:rsidR="00C97770" w:rsidRPr="00C97770" w:rsidRDefault="00C97770" w:rsidP="00C97770">
      <w:pPr>
        <w:pStyle w:val="ListParagraph"/>
        <w:rPr>
          <w:rFonts w:ascii="Calibri" w:hAnsi="Calibri" w:cs="Calibri"/>
          <w:b/>
          <w:bCs/>
        </w:rPr>
      </w:pPr>
      <w:r w:rsidRPr="00C97770">
        <w:rPr>
          <w:rFonts w:ascii="Calibri" w:hAnsi="Calibri" w:cs="Calibri"/>
          <w:b/>
          <w:bCs/>
        </w:rPr>
        <w:t>Not from an MSSP point of view no.</w:t>
      </w:r>
    </w:p>
    <w:p w14:paraId="53E4B0A4" w14:textId="77777777" w:rsidR="00C97770" w:rsidRDefault="00C97770" w:rsidP="00C97770">
      <w:pPr>
        <w:ind w:left="720"/>
        <w:rPr>
          <w:rFonts w:ascii="Calibri" w:hAnsi="Calibri" w:cs="Calibri"/>
        </w:rPr>
      </w:pPr>
    </w:p>
    <w:p w14:paraId="07596284" w14:textId="77777777" w:rsidR="00EB0798" w:rsidRDefault="00EB0798" w:rsidP="00EB0798">
      <w:pPr>
        <w:numPr>
          <w:ilvl w:val="0"/>
          <w:numId w:val="100"/>
        </w:numPr>
        <w:rPr>
          <w:rFonts w:ascii="Calibri" w:hAnsi="Calibri" w:cs="Calibri"/>
        </w:rPr>
      </w:pPr>
      <w:r>
        <w:rPr>
          <w:rFonts w:ascii="Calibri" w:hAnsi="Calibri" w:cs="Calibri"/>
          <w:b/>
          <w:bCs/>
        </w:rPr>
        <w:t xml:space="preserve">Scope and Technical Environment: </w:t>
      </w:r>
      <w:r w:rsidRPr="00604698">
        <w:rPr>
          <w:rFonts w:ascii="Calibri" w:hAnsi="Calibri" w:cs="Calibri"/>
        </w:rPr>
        <w:t>How many users, endpoints, servers, cloud workloads and business applications are currently in scope?</w:t>
      </w:r>
    </w:p>
    <w:p w14:paraId="0B251AC1" w14:textId="77777777" w:rsidR="00EB0798" w:rsidRPr="00EB0798" w:rsidRDefault="00EB0798" w:rsidP="00EB0798">
      <w:pPr>
        <w:pStyle w:val="ListParagraph"/>
        <w:rPr>
          <w:rFonts w:ascii="Calibri" w:hAnsi="Calibri" w:cs="Calibri"/>
          <w:b/>
          <w:bCs/>
        </w:rPr>
      </w:pPr>
      <w:r w:rsidRPr="00EB0798">
        <w:rPr>
          <w:b/>
          <w:bCs/>
        </w:rPr>
        <w:t>The scope will be for our tenant hosting our Line of Business apps, some VMs acting as jump boxes or gateways. Barracuda firewalls are deployed as VMs. Most capacities are combined serverless processes, such as Fabric, Power Pages, and Power Apps. There are roughly 800 users on our tenant. 4-5 line-of-business apps with a fabric environment as well. There are also roughly 150 users who have guest access from another government department, and a small number of contractor accounts.</w:t>
      </w:r>
    </w:p>
    <w:p w14:paraId="29800574" w14:textId="77777777" w:rsidR="00EB0798" w:rsidRDefault="00EB0798" w:rsidP="00EB0798">
      <w:pPr>
        <w:ind w:left="720"/>
        <w:rPr>
          <w:rFonts w:ascii="Calibri" w:hAnsi="Calibri" w:cs="Calibri"/>
        </w:rPr>
      </w:pPr>
    </w:p>
    <w:p w14:paraId="2F5DF47B" w14:textId="77777777" w:rsidR="00EB0798" w:rsidRDefault="00EB0798" w:rsidP="00EB0798">
      <w:pPr>
        <w:numPr>
          <w:ilvl w:val="0"/>
          <w:numId w:val="100"/>
        </w:numPr>
        <w:rPr>
          <w:rFonts w:ascii="Calibri" w:hAnsi="Calibri" w:cs="Calibri"/>
        </w:rPr>
      </w:pPr>
      <w:r w:rsidRPr="00604698">
        <w:rPr>
          <w:rFonts w:ascii="Calibri" w:hAnsi="Calibri" w:cs="Calibri"/>
        </w:rPr>
        <w:lastRenderedPageBreak/>
        <w:t>Please provide an indicative inventory of systems and data sources expected to be onboarded into the MSSP service.</w:t>
      </w:r>
    </w:p>
    <w:p w14:paraId="4278D525" w14:textId="77777777" w:rsidR="00EB0798" w:rsidRPr="00EB0798" w:rsidRDefault="00EB0798" w:rsidP="00EB0798">
      <w:pPr>
        <w:pStyle w:val="ListParagraph"/>
        <w:rPr>
          <w:rFonts w:ascii="Calibri" w:hAnsi="Calibri" w:cs="Calibri"/>
          <w:lang w:eastAsia="en-IE"/>
        </w:rPr>
      </w:pPr>
      <w:r w:rsidRPr="00EB0798">
        <w:rPr>
          <w:rFonts w:ascii="Calibri" w:hAnsi="Calibri" w:cs="Calibri"/>
          <w:b/>
          <w:bCs/>
        </w:rPr>
        <w:t>Log sources might include Microsoft Defender for Cloud, Network Security Groups, Azure Activity, Entra ID, and Azure Monitor.</w:t>
      </w:r>
      <w:r w:rsidRPr="00EB0798">
        <w:rPr>
          <w:rFonts w:ascii="Calibri" w:hAnsi="Calibri" w:cs="Calibri"/>
          <w:b/>
          <w:bCs/>
          <w:i/>
          <w:iCs/>
          <w:color w:val="6E6E6E"/>
        </w:rPr>
        <w:t xml:space="preserve">  </w:t>
      </w:r>
      <w:r w:rsidRPr="00EB0798">
        <w:rPr>
          <w:rFonts w:ascii="Calibri" w:hAnsi="Calibri" w:cs="Calibri"/>
          <w:b/>
          <w:bCs/>
        </w:rPr>
        <w:t>Most capacities are combined serverless processes, such as Fabric, Power Pages, and Power Apps. There are roughly 4-5 line-of-business apps in a fabric environment as well.</w:t>
      </w:r>
    </w:p>
    <w:p w14:paraId="3095CAB4" w14:textId="77777777" w:rsidR="00EB0798" w:rsidRDefault="00EB0798" w:rsidP="00EB0798">
      <w:pPr>
        <w:ind w:left="720"/>
        <w:rPr>
          <w:rFonts w:ascii="Calibri" w:hAnsi="Calibri" w:cs="Calibri"/>
        </w:rPr>
      </w:pPr>
    </w:p>
    <w:p w14:paraId="7D8E2232" w14:textId="77777777" w:rsidR="00EB0798" w:rsidRDefault="00EB0798" w:rsidP="00EB0798">
      <w:pPr>
        <w:numPr>
          <w:ilvl w:val="0"/>
          <w:numId w:val="100"/>
        </w:numPr>
        <w:rPr>
          <w:rFonts w:ascii="Calibri" w:hAnsi="Calibri" w:cs="Calibri"/>
        </w:rPr>
      </w:pPr>
      <w:r w:rsidRPr="00604698">
        <w:rPr>
          <w:rFonts w:ascii="Calibri" w:hAnsi="Calibri" w:cs="Calibri"/>
        </w:rPr>
        <w:t>Are Power Apps, Power Pages, Microsoft Fabric, SharePoint and future Dynamics workloads already integrated into the existing monitoring platform, or is onboarding expected as part of the contract?</w:t>
      </w:r>
    </w:p>
    <w:p w14:paraId="50C2CAF4" w14:textId="77777777" w:rsidR="00EB0798" w:rsidRPr="00EB0798" w:rsidRDefault="00EB0798" w:rsidP="00EB0798">
      <w:pPr>
        <w:pStyle w:val="ListParagraph"/>
        <w:rPr>
          <w:rFonts w:ascii="Calibri" w:hAnsi="Calibri" w:cs="Calibri"/>
          <w:b/>
          <w:bCs/>
        </w:rPr>
      </w:pPr>
      <w:r w:rsidRPr="00EB0798">
        <w:rPr>
          <w:rFonts w:ascii="Calibri" w:hAnsi="Calibri" w:cs="Calibri"/>
          <w:b/>
          <w:bCs/>
        </w:rPr>
        <w:t xml:space="preserve">Onboarding of these solutions would be part of the role, yes. </w:t>
      </w:r>
      <w:r w:rsidRPr="00EB0798">
        <w:rPr>
          <w:b/>
          <w:bCs/>
        </w:rPr>
        <w:t>Microsoft Sentinel is provided via a landing zone, but is not fully operational, as no MSSP is currently in place. No security runbooks or playbooks exist, as we don’t currently have an MSSP.</w:t>
      </w:r>
      <w:r w:rsidRPr="00EB0798">
        <w:rPr>
          <w:b/>
          <w:bCs/>
          <w:i/>
        </w:rPr>
        <w:t xml:space="preserve">  </w:t>
      </w:r>
    </w:p>
    <w:p w14:paraId="5BF0D6F8" w14:textId="77777777" w:rsidR="00EB0798" w:rsidRDefault="00EB0798" w:rsidP="00EB0798">
      <w:pPr>
        <w:ind w:left="720"/>
        <w:rPr>
          <w:rFonts w:ascii="Calibri" w:hAnsi="Calibri" w:cs="Calibri"/>
        </w:rPr>
      </w:pPr>
    </w:p>
    <w:p w14:paraId="4173CA40" w14:textId="77777777" w:rsidR="00EB0798" w:rsidRDefault="00EB0798" w:rsidP="00EB0798">
      <w:pPr>
        <w:numPr>
          <w:ilvl w:val="0"/>
          <w:numId w:val="100"/>
        </w:numPr>
        <w:rPr>
          <w:rFonts w:ascii="Calibri" w:hAnsi="Calibri" w:cs="Calibri"/>
        </w:rPr>
      </w:pPr>
      <w:r w:rsidRPr="00604698">
        <w:rPr>
          <w:rFonts w:ascii="Calibri" w:hAnsi="Calibri" w:cs="Calibri"/>
        </w:rPr>
        <w:t>What additional log sources are anticipated to be onboarded during the contract term?</w:t>
      </w:r>
    </w:p>
    <w:p w14:paraId="1222D125" w14:textId="77777777" w:rsidR="00EB0798" w:rsidRPr="00EB0798" w:rsidRDefault="00EB0798" w:rsidP="00EB0798">
      <w:pPr>
        <w:pStyle w:val="ListParagraph"/>
        <w:rPr>
          <w:rFonts w:ascii="Calibri" w:hAnsi="Calibri" w:cs="Calibri"/>
          <w:b/>
          <w:bCs/>
        </w:rPr>
      </w:pPr>
      <w:r w:rsidRPr="00EB0798">
        <w:rPr>
          <w:b/>
          <w:bCs/>
        </w:rPr>
        <w:t>Log sources might include Microsoft Defender for Cloud, Network Security Groups, Azure Activity, Entra ID, and Azure Monitor, with others potentially identified at a later date. Mostly related to Microsoft infrastructure, Power Apps, Power Pages, Dynamics, SharePoint Online, Fabric, etc.</w:t>
      </w:r>
    </w:p>
    <w:p w14:paraId="5CBE2E63" w14:textId="77777777" w:rsidR="00EB0798" w:rsidRDefault="00EB0798" w:rsidP="00EB0798">
      <w:pPr>
        <w:ind w:left="720"/>
        <w:rPr>
          <w:rFonts w:ascii="Calibri" w:hAnsi="Calibri" w:cs="Calibri"/>
        </w:rPr>
      </w:pPr>
    </w:p>
    <w:p w14:paraId="070683C7" w14:textId="77777777" w:rsidR="00EB0798" w:rsidRDefault="00EB0798" w:rsidP="00EB0798">
      <w:pPr>
        <w:numPr>
          <w:ilvl w:val="0"/>
          <w:numId w:val="100"/>
        </w:numPr>
        <w:rPr>
          <w:rFonts w:ascii="Calibri" w:hAnsi="Calibri" w:cs="Calibri"/>
        </w:rPr>
      </w:pPr>
      <w:r w:rsidRPr="00604698">
        <w:rPr>
          <w:rFonts w:ascii="Calibri" w:hAnsi="Calibri" w:cs="Calibri"/>
        </w:rPr>
        <w:t>Is OT/ICS infrastructure, facilities technology, or any critical operational technology environment within scope?</w:t>
      </w:r>
    </w:p>
    <w:p w14:paraId="1FFA2DC8" w14:textId="77777777" w:rsidR="00EB0798" w:rsidRPr="00EB0798" w:rsidRDefault="00EB0798" w:rsidP="00EB0798">
      <w:pPr>
        <w:pStyle w:val="ListParagraph"/>
        <w:rPr>
          <w:rFonts w:ascii="Calibri" w:hAnsi="Calibri" w:cs="Calibri"/>
          <w:b/>
          <w:bCs/>
        </w:rPr>
      </w:pPr>
      <w:r w:rsidRPr="00EB0798">
        <w:rPr>
          <w:rFonts w:ascii="Calibri" w:hAnsi="Calibri" w:cs="Calibri"/>
          <w:b/>
          <w:bCs/>
        </w:rPr>
        <w:t>No, an on-premises tenant under the remit of a central government department provides us with several lines of business applications, desktop services, and 365. Through it, a cross-tenant B2B connection provides SSO and cross-tenant synchronisation to our cloud applications and other workloads. Only the Azure tenant is in scope, not the on-premises tenant.</w:t>
      </w:r>
    </w:p>
    <w:p w14:paraId="5BBB05E1" w14:textId="77777777" w:rsidR="00EB0798" w:rsidRDefault="00EB0798" w:rsidP="00EB0798">
      <w:pPr>
        <w:ind w:left="720"/>
        <w:rPr>
          <w:rFonts w:ascii="Calibri" w:hAnsi="Calibri" w:cs="Calibri"/>
        </w:rPr>
      </w:pPr>
    </w:p>
    <w:p w14:paraId="30DD79BB" w14:textId="77777777" w:rsidR="00EB0798" w:rsidRDefault="00EB0798" w:rsidP="00EB0798">
      <w:pPr>
        <w:numPr>
          <w:ilvl w:val="0"/>
          <w:numId w:val="100"/>
        </w:numPr>
        <w:rPr>
          <w:rFonts w:ascii="Calibri" w:hAnsi="Calibri" w:cs="Calibri"/>
        </w:rPr>
      </w:pPr>
      <w:r w:rsidRPr="00604698">
        <w:rPr>
          <w:rFonts w:ascii="Calibri" w:hAnsi="Calibri" w:cs="Calibri"/>
        </w:rPr>
        <w:t>Are third-party SaaS platforms beyond Microsoft services expected to be monitored?</w:t>
      </w:r>
    </w:p>
    <w:p w14:paraId="3B93D17A" w14:textId="77777777" w:rsidR="00EB0798" w:rsidRPr="00EB0798" w:rsidRDefault="00EB0798" w:rsidP="00EB0798">
      <w:pPr>
        <w:pStyle w:val="ListParagraph"/>
        <w:rPr>
          <w:rFonts w:ascii="Calibri" w:hAnsi="Calibri" w:cs="Calibri"/>
          <w:b/>
          <w:bCs/>
        </w:rPr>
      </w:pPr>
      <w:r w:rsidRPr="00EB0798">
        <w:rPr>
          <w:rFonts w:ascii="Calibri" w:hAnsi="Calibri" w:cs="Calibri"/>
          <w:b/>
          <w:bCs/>
        </w:rPr>
        <w:t xml:space="preserve">Not monitored, no, but part of the role of the Cyber Security side of this contract will be advice and security review regarding SAAS platform selection. </w:t>
      </w:r>
    </w:p>
    <w:p w14:paraId="30D8074B" w14:textId="77777777" w:rsidR="00EB0798" w:rsidRDefault="00EB0798" w:rsidP="00EB0798">
      <w:pPr>
        <w:ind w:left="720"/>
        <w:rPr>
          <w:rFonts w:ascii="Calibri" w:hAnsi="Calibri" w:cs="Calibri"/>
        </w:rPr>
      </w:pPr>
    </w:p>
    <w:p w14:paraId="6A9C9725" w14:textId="77777777" w:rsidR="006F08BA" w:rsidRDefault="006F08BA" w:rsidP="006F08BA">
      <w:pPr>
        <w:numPr>
          <w:ilvl w:val="0"/>
          <w:numId w:val="100"/>
        </w:numPr>
        <w:rPr>
          <w:rFonts w:ascii="Calibri" w:hAnsi="Calibri" w:cs="Calibri"/>
        </w:rPr>
      </w:pPr>
      <w:r>
        <w:rPr>
          <w:rFonts w:ascii="Calibri" w:hAnsi="Calibri" w:cs="Calibri"/>
          <w:b/>
          <w:bCs/>
        </w:rPr>
        <w:t xml:space="preserve">Incident Response and Operating Model: </w:t>
      </w:r>
      <w:r w:rsidRPr="00604698">
        <w:rPr>
          <w:rFonts w:ascii="Calibri" w:hAnsi="Calibri" w:cs="Calibri"/>
        </w:rPr>
        <w:t>What is the current SOC operating model within DCDE?</w:t>
      </w:r>
    </w:p>
    <w:p w14:paraId="145F4A8C" w14:textId="77777777" w:rsidR="006F08BA" w:rsidRPr="006F08BA" w:rsidRDefault="006F08BA" w:rsidP="006F08BA">
      <w:pPr>
        <w:pStyle w:val="ListParagraph"/>
        <w:rPr>
          <w:rFonts w:ascii="Calibri" w:hAnsi="Calibri" w:cs="Calibri"/>
          <w:b/>
          <w:bCs/>
        </w:rPr>
      </w:pPr>
      <w:r w:rsidRPr="006F08BA">
        <w:rPr>
          <w:b/>
          <w:bCs/>
        </w:rPr>
        <w:lastRenderedPageBreak/>
        <w:t>There is no MSSP under contract with the Department for this tenant, so we do not currently have an SOP operating model. This will be part of the Cybersecurity consultancy part of this contract, as it is not just for an MSSP. Currently, we just have a provider for NIS2 gap analysis and cybersecurity consultancy services.</w:t>
      </w:r>
      <w:r w:rsidRPr="006F08BA">
        <w:rPr>
          <w:b/>
          <w:bCs/>
          <w:i/>
        </w:rPr>
        <w:t xml:space="preserve">  </w:t>
      </w:r>
    </w:p>
    <w:p w14:paraId="26BBAA1D" w14:textId="77777777" w:rsidR="006F08BA" w:rsidRDefault="006F08BA" w:rsidP="006F08BA">
      <w:pPr>
        <w:ind w:left="720"/>
        <w:rPr>
          <w:rFonts w:ascii="Calibri" w:hAnsi="Calibri" w:cs="Calibri"/>
        </w:rPr>
      </w:pPr>
    </w:p>
    <w:p w14:paraId="0879D86E" w14:textId="77777777" w:rsidR="006F08BA" w:rsidRDefault="006F08BA" w:rsidP="006F08BA">
      <w:pPr>
        <w:numPr>
          <w:ilvl w:val="0"/>
          <w:numId w:val="100"/>
        </w:numPr>
        <w:rPr>
          <w:rFonts w:ascii="Calibri" w:hAnsi="Calibri" w:cs="Calibri"/>
        </w:rPr>
      </w:pPr>
      <w:r w:rsidRPr="00604698">
        <w:rPr>
          <w:rFonts w:ascii="Calibri" w:hAnsi="Calibri" w:cs="Calibri"/>
        </w:rPr>
        <w:t>Does DCDE currently maintain an internal cyber security team? If so, what functions are retained internally versus expected from the successful contractor?</w:t>
      </w:r>
    </w:p>
    <w:p w14:paraId="4570A8C9" w14:textId="77777777" w:rsidR="006F08BA" w:rsidRPr="006F08BA" w:rsidRDefault="006F08BA" w:rsidP="006F08BA">
      <w:pPr>
        <w:pStyle w:val="ListParagraph"/>
        <w:rPr>
          <w:rFonts w:ascii="Calibri" w:hAnsi="Calibri" w:cs="Calibri"/>
          <w:b/>
          <w:bCs/>
        </w:rPr>
      </w:pPr>
      <w:r w:rsidRPr="006F08BA">
        <w:rPr>
          <w:rFonts w:ascii="Calibri" w:hAnsi="Calibri" w:cs="Calibri"/>
          <w:b/>
          <w:bCs/>
        </w:rPr>
        <w:t>Currently, we have a Cybersecurity officer with one team member reporting to him; they sit within our ICT Operations team.</w:t>
      </w:r>
    </w:p>
    <w:p w14:paraId="0E080309" w14:textId="77777777" w:rsidR="006F08BA" w:rsidRDefault="006F08BA" w:rsidP="006F08BA">
      <w:pPr>
        <w:ind w:left="720"/>
        <w:rPr>
          <w:rFonts w:ascii="Calibri" w:hAnsi="Calibri" w:cs="Calibri"/>
        </w:rPr>
      </w:pPr>
    </w:p>
    <w:p w14:paraId="646925D7" w14:textId="77777777" w:rsidR="006F08BA" w:rsidRDefault="006F08BA" w:rsidP="006F08BA">
      <w:pPr>
        <w:numPr>
          <w:ilvl w:val="0"/>
          <w:numId w:val="100"/>
        </w:numPr>
        <w:rPr>
          <w:rFonts w:ascii="Calibri" w:hAnsi="Calibri" w:cs="Calibri"/>
        </w:rPr>
      </w:pPr>
      <w:r w:rsidRPr="00604698">
        <w:rPr>
          <w:rFonts w:ascii="Calibri" w:hAnsi="Calibri" w:cs="Calibri"/>
        </w:rPr>
        <w:t>Who owns incident response decision-making and major incident authority during business hours and outside business hours?</w:t>
      </w:r>
    </w:p>
    <w:p w14:paraId="30DDA470" w14:textId="77777777" w:rsidR="006F08BA" w:rsidRPr="006F08BA" w:rsidRDefault="006F08BA" w:rsidP="006F08BA">
      <w:pPr>
        <w:pStyle w:val="ListParagraph"/>
        <w:rPr>
          <w:rFonts w:ascii="Calibri" w:hAnsi="Calibri" w:cs="Calibri"/>
          <w:b/>
          <w:bCs/>
        </w:rPr>
      </w:pPr>
      <w:r w:rsidRPr="006F08BA">
        <w:rPr>
          <w:rFonts w:ascii="Calibri" w:hAnsi="Calibri" w:cs="Calibri"/>
          <w:b/>
          <w:bCs/>
        </w:rPr>
        <w:t xml:space="preserve">This sits with our ICT Operations team. A process and escalation route will need to be put in place with the successful MSSP. </w:t>
      </w:r>
    </w:p>
    <w:p w14:paraId="41FA35C7" w14:textId="77777777" w:rsidR="006F08BA" w:rsidRDefault="006F08BA" w:rsidP="006F08BA">
      <w:pPr>
        <w:ind w:left="720"/>
        <w:rPr>
          <w:rFonts w:ascii="Calibri" w:hAnsi="Calibri" w:cs="Calibri"/>
        </w:rPr>
      </w:pPr>
    </w:p>
    <w:p w14:paraId="36EDEC02" w14:textId="77777777" w:rsidR="006F08BA" w:rsidRDefault="006F08BA" w:rsidP="006F08BA">
      <w:pPr>
        <w:numPr>
          <w:ilvl w:val="0"/>
          <w:numId w:val="100"/>
        </w:numPr>
        <w:rPr>
          <w:rFonts w:ascii="Calibri" w:hAnsi="Calibri" w:cs="Calibri"/>
        </w:rPr>
      </w:pPr>
      <w:r w:rsidRPr="00604698">
        <w:rPr>
          <w:rFonts w:ascii="Calibri" w:hAnsi="Calibri" w:cs="Calibri"/>
        </w:rPr>
        <w:t>What internal stakeholders are expected to participate in incident triage, containment and recovery activities?</w:t>
      </w:r>
    </w:p>
    <w:p w14:paraId="6083E4F6" w14:textId="77777777" w:rsidR="006F08BA" w:rsidRPr="006F08BA" w:rsidRDefault="006F08BA" w:rsidP="006F08BA">
      <w:pPr>
        <w:pStyle w:val="ListParagraph"/>
        <w:rPr>
          <w:rFonts w:ascii="Calibri" w:hAnsi="Calibri" w:cs="Calibri"/>
          <w:b/>
          <w:bCs/>
        </w:rPr>
      </w:pPr>
      <w:r w:rsidRPr="006F08BA">
        <w:rPr>
          <w:rFonts w:ascii="Calibri" w:hAnsi="Calibri" w:cs="Calibri"/>
          <w:b/>
          <w:bCs/>
        </w:rPr>
        <w:t>Our ICT Operations teams, Azure infrastructure team and Digital Strategy and delivery team.</w:t>
      </w:r>
    </w:p>
    <w:p w14:paraId="3EF3A236" w14:textId="77777777" w:rsidR="006F08BA" w:rsidRDefault="006F08BA" w:rsidP="006F08BA">
      <w:pPr>
        <w:ind w:left="720"/>
        <w:rPr>
          <w:rFonts w:ascii="Calibri" w:hAnsi="Calibri" w:cs="Calibri"/>
        </w:rPr>
      </w:pPr>
    </w:p>
    <w:p w14:paraId="23A2BA3A" w14:textId="77777777" w:rsidR="006F08BA" w:rsidRDefault="006F08BA" w:rsidP="006F08BA">
      <w:pPr>
        <w:numPr>
          <w:ilvl w:val="0"/>
          <w:numId w:val="100"/>
        </w:numPr>
        <w:rPr>
          <w:rFonts w:ascii="Calibri" w:hAnsi="Calibri" w:cs="Calibri"/>
        </w:rPr>
      </w:pPr>
      <w:r w:rsidRPr="00604698">
        <w:rPr>
          <w:rFonts w:ascii="Calibri" w:hAnsi="Calibri" w:cs="Calibri"/>
        </w:rPr>
        <w:t>Are formal SLAs required for:</w:t>
      </w:r>
    </w:p>
    <w:p w14:paraId="34CEF6EC" w14:textId="77777777" w:rsidR="006F08BA" w:rsidRPr="00397337" w:rsidRDefault="006F08BA" w:rsidP="006F08BA">
      <w:pPr>
        <w:pStyle w:val="ListParagraph"/>
        <w:numPr>
          <w:ilvl w:val="0"/>
          <w:numId w:val="75"/>
        </w:numPr>
        <w:rPr>
          <w:rFonts w:ascii="Calibri" w:hAnsi="Calibri" w:cs="Calibri"/>
        </w:rPr>
      </w:pPr>
      <w:r w:rsidRPr="00397337">
        <w:rPr>
          <w:rFonts w:ascii="Calibri" w:hAnsi="Calibri" w:cs="Calibri"/>
        </w:rPr>
        <w:t>Triage</w:t>
      </w:r>
    </w:p>
    <w:p w14:paraId="02E389E3" w14:textId="77777777" w:rsidR="006F08BA" w:rsidRPr="00604698" w:rsidRDefault="006F08BA" w:rsidP="006F08BA">
      <w:pPr>
        <w:numPr>
          <w:ilvl w:val="0"/>
          <w:numId w:val="55"/>
        </w:numPr>
        <w:rPr>
          <w:rFonts w:ascii="Calibri" w:hAnsi="Calibri" w:cs="Calibri"/>
        </w:rPr>
      </w:pPr>
      <w:r w:rsidRPr="00604698">
        <w:rPr>
          <w:rFonts w:ascii="Calibri" w:hAnsi="Calibri" w:cs="Calibri"/>
        </w:rPr>
        <w:t>Investigation</w:t>
      </w:r>
    </w:p>
    <w:p w14:paraId="6E2D8E3F" w14:textId="77777777" w:rsidR="006F08BA" w:rsidRPr="00604698" w:rsidRDefault="006F08BA" w:rsidP="006F08BA">
      <w:pPr>
        <w:numPr>
          <w:ilvl w:val="0"/>
          <w:numId w:val="56"/>
        </w:numPr>
        <w:rPr>
          <w:rFonts w:ascii="Calibri" w:hAnsi="Calibri" w:cs="Calibri"/>
        </w:rPr>
      </w:pPr>
      <w:r w:rsidRPr="00604698">
        <w:rPr>
          <w:rFonts w:ascii="Calibri" w:hAnsi="Calibri" w:cs="Calibri"/>
        </w:rPr>
        <w:t>Escalation</w:t>
      </w:r>
    </w:p>
    <w:p w14:paraId="64B6FD59" w14:textId="77777777" w:rsidR="006F08BA" w:rsidRPr="00604698" w:rsidRDefault="006F08BA" w:rsidP="006F08BA">
      <w:pPr>
        <w:numPr>
          <w:ilvl w:val="0"/>
          <w:numId w:val="57"/>
        </w:numPr>
        <w:rPr>
          <w:rFonts w:ascii="Calibri" w:hAnsi="Calibri" w:cs="Calibri"/>
        </w:rPr>
      </w:pPr>
      <w:r w:rsidRPr="00604698">
        <w:rPr>
          <w:rFonts w:ascii="Calibri" w:hAnsi="Calibri" w:cs="Calibri"/>
        </w:rPr>
        <w:t>Containment</w:t>
      </w:r>
    </w:p>
    <w:p w14:paraId="5B2236D7" w14:textId="77777777" w:rsidR="006F08BA" w:rsidRPr="00604698" w:rsidRDefault="006F08BA" w:rsidP="006F08BA">
      <w:pPr>
        <w:numPr>
          <w:ilvl w:val="0"/>
          <w:numId w:val="58"/>
        </w:numPr>
        <w:rPr>
          <w:rFonts w:ascii="Calibri" w:hAnsi="Calibri" w:cs="Calibri"/>
        </w:rPr>
      </w:pPr>
      <w:r w:rsidRPr="00604698">
        <w:rPr>
          <w:rFonts w:ascii="Calibri" w:hAnsi="Calibri" w:cs="Calibri"/>
        </w:rPr>
        <w:t>Reporting</w:t>
      </w:r>
    </w:p>
    <w:p w14:paraId="4A9ECB71" w14:textId="77777777" w:rsidR="006F08BA" w:rsidRPr="006F08BA" w:rsidRDefault="006F08BA" w:rsidP="006F08BA">
      <w:pPr>
        <w:pStyle w:val="ListParagraph"/>
        <w:rPr>
          <w:rFonts w:ascii="Calibri" w:hAnsi="Calibri" w:cs="Calibri"/>
          <w:b/>
          <w:bCs/>
        </w:rPr>
      </w:pPr>
      <w:r w:rsidRPr="006F08BA">
        <w:rPr>
          <w:rFonts w:ascii="Calibri" w:hAnsi="Calibri" w:cs="Calibri"/>
          <w:b/>
          <w:bCs/>
        </w:rPr>
        <w:t xml:space="preserve">This is not currently defined, but we will work with the successful MSSP provider to agree on this and include it in the SLA/Contract.  </w:t>
      </w:r>
    </w:p>
    <w:p w14:paraId="48EF9920" w14:textId="77777777" w:rsidR="006F08BA" w:rsidRDefault="006F08BA" w:rsidP="006F08BA">
      <w:pPr>
        <w:ind w:left="720"/>
        <w:rPr>
          <w:rFonts w:ascii="Calibri" w:hAnsi="Calibri" w:cs="Calibri"/>
        </w:rPr>
      </w:pPr>
    </w:p>
    <w:p w14:paraId="2AD229C2" w14:textId="77777777" w:rsidR="006F08BA" w:rsidRDefault="006F08BA" w:rsidP="006F08BA">
      <w:pPr>
        <w:numPr>
          <w:ilvl w:val="0"/>
          <w:numId w:val="100"/>
        </w:numPr>
        <w:rPr>
          <w:rFonts w:ascii="Calibri" w:hAnsi="Calibri" w:cs="Calibri"/>
        </w:rPr>
      </w:pPr>
      <w:r w:rsidRPr="00604698">
        <w:rPr>
          <w:rFonts w:ascii="Calibri" w:hAnsi="Calibri" w:cs="Calibri"/>
        </w:rPr>
        <w:t>Please provide indicative alert volumes, incident volumes and average monthly investigation volumes.</w:t>
      </w:r>
    </w:p>
    <w:p w14:paraId="5B98B5BE" w14:textId="77777777" w:rsidR="006F08BA" w:rsidRPr="006F08BA" w:rsidRDefault="006F08BA" w:rsidP="006F08BA">
      <w:pPr>
        <w:pStyle w:val="ListParagraph"/>
        <w:rPr>
          <w:rFonts w:ascii="Calibri" w:hAnsi="Calibri" w:cs="Calibri"/>
          <w:b/>
          <w:bCs/>
        </w:rPr>
      </w:pPr>
      <w:r w:rsidRPr="006F08BA">
        <w:rPr>
          <w:rFonts w:ascii="Calibri" w:hAnsi="Calibri" w:cs="Calibri"/>
          <w:b/>
          <w:bCs/>
        </w:rPr>
        <w:t xml:space="preserve">This is not available, as we do not have an MSSP in place at the moment. </w:t>
      </w:r>
    </w:p>
    <w:p w14:paraId="0C8111B1" w14:textId="77777777" w:rsidR="006F08BA" w:rsidRDefault="006F08BA" w:rsidP="006F08BA">
      <w:pPr>
        <w:ind w:left="720"/>
        <w:rPr>
          <w:rFonts w:ascii="Calibri" w:hAnsi="Calibri" w:cs="Calibri"/>
        </w:rPr>
      </w:pPr>
    </w:p>
    <w:p w14:paraId="4E907AB5" w14:textId="77777777" w:rsidR="006F08BA" w:rsidRDefault="006F08BA" w:rsidP="006F08BA">
      <w:pPr>
        <w:numPr>
          <w:ilvl w:val="0"/>
          <w:numId w:val="100"/>
        </w:numPr>
        <w:rPr>
          <w:rFonts w:ascii="Calibri" w:hAnsi="Calibri" w:cs="Calibri"/>
        </w:rPr>
      </w:pPr>
      <w:r w:rsidRPr="00604698">
        <w:rPr>
          <w:rFonts w:ascii="Calibri" w:hAnsi="Calibri" w:cs="Calibri"/>
        </w:rPr>
        <w:lastRenderedPageBreak/>
        <w:t>Is digital forensics capability expected as part of the contracted service?</w:t>
      </w:r>
    </w:p>
    <w:p w14:paraId="17C04F91" w14:textId="77777777" w:rsidR="006F08BA" w:rsidRPr="006F08BA" w:rsidRDefault="006F08BA" w:rsidP="006F08BA">
      <w:pPr>
        <w:pStyle w:val="ListParagraph"/>
        <w:rPr>
          <w:rFonts w:ascii="Calibri" w:hAnsi="Calibri" w:cs="Calibri"/>
          <w:b/>
          <w:bCs/>
        </w:rPr>
      </w:pPr>
      <w:r w:rsidRPr="006F08BA">
        <w:rPr>
          <w:rFonts w:ascii="Calibri" w:hAnsi="Calibri" w:cs="Calibri"/>
          <w:b/>
          <w:bCs/>
        </w:rPr>
        <w:t>Yes, some level of forensic investigation should normally be part of the incident investigation and response capability. Still, DCDE would not assume that every MSSP automatically includes a full digital forensics service. The MSSP should concentrate on monitoring and managing security systems, analysing alerts, and supporting incident response.</w:t>
      </w:r>
    </w:p>
    <w:p w14:paraId="47B93109" w14:textId="77777777" w:rsidR="006F08BA" w:rsidRDefault="006F08BA" w:rsidP="006F08BA">
      <w:pPr>
        <w:ind w:left="720"/>
        <w:rPr>
          <w:rFonts w:ascii="Calibri" w:hAnsi="Calibri" w:cs="Calibri"/>
        </w:rPr>
      </w:pPr>
    </w:p>
    <w:p w14:paraId="269B0B6D" w14:textId="77777777" w:rsidR="006F08BA" w:rsidRPr="006F08BA" w:rsidRDefault="006F08BA" w:rsidP="006F08BA">
      <w:pPr>
        <w:numPr>
          <w:ilvl w:val="0"/>
          <w:numId w:val="100"/>
        </w:numPr>
        <w:rPr>
          <w:rFonts w:ascii="Calibri" w:hAnsi="Calibri" w:cs="Calibri"/>
        </w:rPr>
      </w:pPr>
      <w:r w:rsidRPr="00604698">
        <w:rPr>
          <w:rFonts w:ascii="Calibri" w:hAnsi="Calibri" w:cs="Calibri"/>
        </w:rPr>
        <w:t>Is the incident response retainer intended for remote support only, or should bidders assume on-site response capabilities may be required? </w:t>
      </w:r>
      <w:hyperlink r:id="rId12" w:tgtFrame="_blank" w:history="1">
        <w:r w:rsidRPr="00604698">
          <w:rPr>
            <w:rStyle w:val="Hyperlink"/>
            <w:rFonts w:ascii="Calibri" w:hAnsi="Calibri" w:cs="Calibri"/>
          </w:rPr>
          <w:t xml:space="preserve">[Cyber </w:t>
        </w:r>
        <w:proofErr w:type="spellStart"/>
        <w:r w:rsidRPr="00604698">
          <w:rPr>
            <w:rStyle w:val="Hyperlink"/>
            <w:rFonts w:ascii="Calibri" w:hAnsi="Calibri" w:cs="Calibri"/>
          </w:rPr>
          <w:t>Secu</w:t>
        </w:r>
        <w:proofErr w:type="spellEnd"/>
        <w:r w:rsidRPr="00604698">
          <w:rPr>
            <w:rStyle w:val="Hyperlink"/>
            <w:rFonts w:ascii="Calibri" w:hAnsi="Calibri" w:cs="Calibri"/>
          </w:rPr>
          <w:t>...es RFT (1) | Word]</w:t>
        </w:r>
      </w:hyperlink>
    </w:p>
    <w:p w14:paraId="25121051" w14:textId="77777777" w:rsidR="006F08BA" w:rsidRPr="006F08BA" w:rsidRDefault="006F08BA" w:rsidP="006F08BA">
      <w:pPr>
        <w:pStyle w:val="ListParagraph"/>
        <w:rPr>
          <w:rFonts w:ascii="Calibri" w:hAnsi="Calibri" w:cs="Calibri"/>
          <w:b/>
          <w:bCs/>
        </w:rPr>
      </w:pPr>
      <w:r w:rsidRPr="006F08BA">
        <w:rPr>
          <w:b/>
          <w:bCs/>
        </w:rPr>
        <w:t xml:space="preserve">Travel and on-site attendance will be needed for a small number of meetings or for incident response exercises. This should be included in the </w:t>
      </w:r>
      <w:proofErr w:type="gramStart"/>
      <w:r w:rsidRPr="006F08BA">
        <w:rPr>
          <w:b/>
          <w:bCs/>
        </w:rPr>
        <w:t>costing, but</w:t>
      </w:r>
      <w:proofErr w:type="gramEnd"/>
      <w:r w:rsidRPr="006F08BA">
        <w:rPr>
          <w:b/>
          <w:bCs/>
        </w:rPr>
        <w:t xml:space="preserve"> is likely to be limited to ad hoc meetings or exercises. Attendance at on-site meetings in Dublin only, as needed, should be included.</w:t>
      </w:r>
      <w:r w:rsidRPr="006F08BA">
        <w:rPr>
          <w:b/>
          <w:bCs/>
          <w:i/>
        </w:rPr>
        <w:t xml:space="preserve">  </w:t>
      </w:r>
    </w:p>
    <w:p w14:paraId="4108C459" w14:textId="77777777" w:rsidR="006F08BA" w:rsidRPr="008203ED" w:rsidRDefault="006F08BA" w:rsidP="006F08BA">
      <w:pPr>
        <w:ind w:left="720"/>
        <w:rPr>
          <w:rFonts w:ascii="Calibri" w:hAnsi="Calibri" w:cs="Calibri"/>
        </w:rPr>
      </w:pPr>
    </w:p>
    <w:p w14:paraId="08616AC5" w14:textId="77777777" w:rsidR="006D0988" w:rsidRDefault="00136622" w:rsidP="006D0988">
      <w:pPr>
        <w:numPr>
          <w:ilvl w:val="0"/>
          <w:numId w:val="100"/>
        </w:numPr>
        <w:rPr>
          <w:rFonts w:ascii="Calibri" w:hAnsi="Calibri" w:cs="Calibri"/>
        </w:rPr>
      </w:pPr>
      <w:r>
        <w:rPr>
          <w:rFonts w:ascii="Calibri" w:hAnsi="Calibri" w:cs="Calibri"/>
          <w:b/>
          <w:bCs/>
        </w:rPr>
        <w:t xml:space="preserve">NIS2 and Compliance Workstream: </w:t>
      </w:r>
      <w:r w:rsidR="006D0988" w:rsidRPr="00604698">
        <w:rPr>
          <w:rFonts w:ascii="Calibri" w:hAnsi="Calibri" w:cs="Calibri"/>
        </w:rPr>
        <w:t>Can DCDE provide a summary of the outstanding findings identified through the NIS2 readiness assessment?</w:t>
      </w:r>
    </w:p>
    <w:p w14:paraId="1C49B247" w14:textId="77777777" w:rsidR="00136622" w:rsidRPr="00136622" w:rsidRDefault="00136622" w:rsidP="00136622">
      <w:pPr>
        <w:pStyle w:val="ListParagraph"/>
        <w:rPr>
          <w:rFonts w:ascii="Calibri" w:hAnsi="Calibri" w:cs="Calibri"/>
          <w:b/>
          <w:bCs/>
        </w:rPr>
      </w:pPr>
      <w:r w:rsidRPr="00136622">
        <w:rPr>
          <w:rFonts w:ascii="Calibri" w:hAnsi="Calibri" w:cs="Calibri"/>
          <w:b/>
          <w:bCs/>
        </w:rPr>
        <w:t>A full NIS2 readiness assessment has been completed and can be shared in due course.  Details on this are covered in section 1.2 of the RFT.</w:t>
      </w:r>
    </w:p>
    <w:p w14:paraId="524915CC" w14:textId="77777777" w:rsidR="00136622" w:rsidRDefault="00136622" w:rsidP="00136622">
      <w:pPr>
        <w:ind w:left="720"/>
        <w:rPr>
          <w:rFonts w:ascii="Calibri" w:hAnsi="Calibri" w:cs="Calibri"/>
        </w:rPr>
      </w:pPr>
    </w:p>
    <w:p w14:paraId="58D6224D" w14:textId="77777777" w:rsidR="00136622" w:rsidRPr="00136622" w:rsidRDefault="00136622" w:rsidP="00136622">
      <w:pPr>
        <w:numPr>
          <w:ilvl w:val="0"/>
          <w:numId w:val="100"/>
        </w:numPr>
        <w:rPr>
          <w:rFonts w:ascii="Calibri" w:hAnsi="Calibri" w:cs="Calibri"/>
        </w:rPr>
      </w:pPr>
      <w:r w:rsidRPr="00604698">
        <w:rPr>
          <w:rFonts w:ascii="Calibri" w:hAnsi="Calibri" w:cs="Calibri"/>
        </w:rPr>
        <w:t xml:space="preserve">How many open NIS2/CER gaps remain to be addressed during the initial </w:t>
      </w:r>
      <w:proofErr w:type="gramStart"/>
      <w:r w:rsidRPr="00604698">
        <w:rPr>
          <w:rFonts w:ascii="Calibri" w:hAnsi="Calibri" w:cs="Calibri"/>
        </w:rPr>
        <w:t>8-9 month</w:t>
      </w:r>
      <w:proofErr w:type="gramEnd"/>
      <w:r w:rsidRPr="00604698">
        <w:rPr>
          <w:rFonts w:ascii="Calibri" w:hAnsi="Calibri" w:cs="Calibri"/>
        </w:rPr>
        <w:t xml:space="preserve"> remediation phase? </w:t>
      </w:r>
      <w:hyperlink r:id="rId13" w:tgtFrame="_blank" w:history="1">
        <w:r w:rsidRPr="00604698">
          <w:rPr>
            <w:rStyle w:val="Hyperlink"/>
            <w:rFonts w:ascii="Calibri" w:hAnsi="Calibri" w:cs="Calibri"/>
          </w:rPr>
          <w:t xml:space="preserve">[Cyber </w:t>
        </w:r>
        <w:proofErr w:type="spellStart"/>
        <w:r w:rsidRPr="00604698">
          <w:rPr>
            <w:rStyle w:val="Hyperlink"/>
            <w:rFonts w:ascii="Calibri" w:hAnsi="Calibri" w:cs="Calibri"/>
          </w:rPr>
          <w:t>Secu</w:t>
        </w:r>
        <w:proofErr w:type="spellEnd"/>
        <w:r w:rsidRPr="00604698">
          <w:rPr>
            <w:rStyle w:val="Hyperlink"/>
            <w:rFonts w:ascii="Calibri" w:hAnsi="Calibri" w:cs="Calibri"/>
          </w:rPr>
          <w:t>...es RFT (1) | Word]</w:t>
        </w:r>
      </w:hyperlink>
    </w:p>
    <w:p w14:paraId="29EED318" w14:textId="77777777" w:rsidR="00136622" w:rsidRPr="00136622" w:rsidRDefault="00136622" w:rsidP="00136622">
      <w:pPr>
        <w:pStyle w:val="ListParagraph"/>
        <w:rPr>
          <w:rFonts w:ascii="Calibri" w:hAnsi="Calibri" w:cs="Calibri"/>
          <w:b/>
          <w:bCs/>
        </w:rPr>
      </w:pPr>
      <w:r w:rsidRPr="00136622">
        <w:rPr>
          <w:rFonts w:ascii="Calibri" w:hAnsi="Calibri" w:cs="Calibri"/>
          <w:b/>
          <w:bCs/>
        </w:rPr>
        <w:t xml:space="preserve">Details on this are covered in section 1.2 of the RFT. The recommendations from the gap analysis are grouped into 8 initiatives, 4 of which are still outstanding. </w:t>
      </w:r>
    </w:p>
    <w:p w14:paraId="4A250181" w14:textId="77777777" w:rsidR="00136622" w:rsidRPr="008203ED" w:rsidRDefault="00136622" w:rsidP="00136622">
      <w:pPr>
        <w:ind w:left="720"/>
        <w:rPr>
          <w:rFonts w:ascii="Calibri" w:hAnsi="Calibri" w:cs="Calibri"/>
        </w:rPr>
      </w:pPr>
    </w:p>
    <w:p w14:paraId="08B79E23" w14:textId="77777777" w:rsidR="00136622" w:rsidRPr="00136622" w:rsidRDefault="00136622" w:rsidP="00136622">
      <w:pPr>
        <w:numPr>
          <w:ilvl w:val="0"/>
          <w:numId w:val="100"/>
        </w:numPr>
        <w:rPr>
          <w:rFonts w:ascii="Calibri" w:hAnsi="Calibri" w:cs="Calibri"/>
        </w:rPr>
      </w:pPr>
      <w:r w:rsidRPr="00604698">
        <w:rPr>
          <w:rFonts w:ascii="Calibri" w:hAnsi="Calibri" w:cs="Calibri"/>
        </w:rPr>
        <w:t>Has a formal gap analysis against CyFun been completed, and if so, what is the current maturity position? </w:t>
      </w:r>
      <w:hyperlink r:id="rId14" w:tgtFrame="_blank" w:history="1">
        <w:r w:rsidRPr="00604698">
          <w:rPr>
            <w:rStyle w:val="Hyperlink"/>
            <w:rFonts w:ascii="Calibri" w:hAnsi="Calibri" w:cs="Calibri"/>
          </w:rPr>
          <w:t xml:space="preserve">[Cyber </w:t>
        </w:r>
        <w:proofErr w:type="spellStart"/>
        <w:r w:rsidRPr="00604698">
          <w:rPr>
            <w:rStyle w:val="Hyperlink"/>
            <w:rFonts w:ascii="Calibri" w:hAnsi="Calibri" w:cs="Calibri"/>
          </w:rPr>
          <w:t>Secu</w:t>
        </w:r>
        <w:proofErr w:type="spellEnd"/>
        <w:r w:rsidRPr="00604698">
          <w:rPr>
            <w:rStyle w:val="Hyperlink"/>
            <w:rFonts w:ascii="Calibri" w:hAnsi="Calibri" w:cs="Calibri"/>
          </w:rPr>
          <w:t>...es RFT (1) | Word]</w:t>
        </w:r>
      </w:hyperlink>
    </w:p>
    <w:p w14:paraId="073A6A41" w14:textId="77777777" w:rsidR="00136622" w:rsidRPr="00136622" w:rsidRDefault="00136622" w:rsidP="00136622">
      <w:pPr>
        <w:pStyle w:val="ListParagraph"/>
        <w:rPr>
          <w:rFonts w:ascii="Calibri" w:hAnsi="Calibri" w:cs="Calibri"/>
          <w:b/>
          <w:bCs/>
        </w:rPr>
      </w:pPr>
      <w:r w:rsidRPr="00136622">
        <w:rPr>
          <w:b/>
          <w:bCs/>
        </w:rPr>
        <w:t xml:space="preserve">The initial gap analysis was done with the NIS2 directive in mind before Ireland adopted CyFun. Our aim is for a score of 3.5 on the CyFun scale. </w:t>
      </w:r>
    </w:p>
    <w:p w14:paraId="670AE24E" w14:textId="77777777" w:rsidR="00136622" w:rsidRPr="008203ED" w:rsidRDefault="00136622" w:rsidP="00136622">
      <w:pPr>
        <w:ind w:left="720"/>
        <w:rPr>
          <w:rFonts w:ascii="Calibri" w:hAnsi="Calibri" w:cs="Calibri"/>
        </w:rPr>
      </w:pPr>
    </w:p>
    <w:p w14:paraId="2798A800" w14:textId="77777777" w:rsidR="00136622" w:rsidRDefault="00136622" w:rsidP="00136622">
      <w:pPr>
        <w:numPr>
          <w:ilvl w:val="0"/>
          <w:numId w:val="100"/>
        </w:numPr>
        <w:rPr>
          <w:rFonts w:ascii="Calibri" w:hAnsi="Calibri" w:cs="Calibri"/>
        </w:rPr>
      </w:pPr>
      <w:r w:rsidRPr="00604698">
        <w:rPr>
          <w:rFonts w:ascii="Calibri" w:hAnsi="Calibri" w:cs="Calibri"/>
        </w:rPr>
        <w:t>Are policy development and document creation expected from the successful contractor, or only review and enhancement of existing documentation?</w:t>
      </w:r>
    </w:p>
    <w:p w14:paraId="2671BD6D" w14:textId="77777777" w:rsidR="00136622" w:rsidRPr="00136622" w:rsidRDefault="00136622" w:rsidP="00136622">
      <w:pPr>
        <w:pStyle w:val="ListParagraph"/>
        <w:rPr>
          <w:rFonts w:ascii="Calibri" w:hAnsi="Calibri" w:cs="Calibri"/>
          <w:b/>
          <w:bCs/>
        </w:rPr>
      </w:pPr>
      <w:r w:rsidRPr="00136622">
        <w:rPr>
          <w:rFonts w:ascii="Calibri" w:hAnsi="Calibri" w:cs="Calibri"/>
          <w:b/>
          <w:bCs/>
        </w:rPr>
        <w:t xml:space="preserve">Yes, policy development and enhancement of existing documentation, in partnership with DCDE, are part of the contract. </w:t>
      </w:r>
    </w:p>
    <w:p w14:paraId="747CC5A0" w14:textId="77777777" w:rsidR="00136622" w:rsidRDefault="00136622" w:rsidP="00136622">
      <w:pPr>
        <w:ind w:left="720"/>
        <w:rPr>
          <w:rFonts w:ascii="Calibri" w:hAnsi="Calibri" w:cs="Calibri"/>
        </w:rPr>
      </w:pPr>
    </w:p>
    <w:p w14:paraId="71B692D1" w14:textId="77777777" w:rsidR="00136622" w:rsidRDefault="00136622" w:rsidP="00136622">
      <w:pPr>
        <w:numPr>
          <w:ilvl w:val="0"/>
          <w:numId w:val="100"/>
        </w:numPr>
        <w:rPr>
          <w:rFonts w:ascii="Calibri" w:hAnsi="Calibri" w:cs="Calibri"/>
        </w:rPr>
      </w:pPr>
      <w:r w:rsidRPr="00604698">
        <w:rPr>
          <w:rFonts w:ascii="Calibri" w:hAnsi="Calibri" w:cs="Calibri"/>
        </w:rPr>
        <w:t>Are formal audit support activities expected during the contract term?</w:t>
      </w:r>
    </w:p>
    <w:p w14:paraId="042B5A55" w14:textId="77777777" w:rsidR="00136622" w:rsidRPr="00136622" w:rsidRDefault="00136622" w:rsidP="00136622">
      <w:pPr>
        <w:pStyle w:val="ListParagraph"/>
        <w:rPr>
          <w:rFonts w:ascii="Calibri" w:hAnsi="Calibri" w:cs="Calibri"/>
          <w:b/>
          <w:bCs/>
        </w:rPr>
      </w:pPr>
      <w:r w:rsidRPr="00136622">
        <w:rPr>
          <w:rFonts w:ascii="Calibri" w:hAnsi="Calibri" w:cs="Calibri"/>
          <w:b/>
          <w:bCs/>
        </w:rPr>
        <w:lastRenderedPageBreak/>
        <w:t>Yes, all contractors to DCDE must comply and assist with our audit requirements.</w:t>
      </w:r>
    </w:p>
    <w:p w14:paraId="0E3532D8" w14:textId="77777777" w:rsidR="00136622" w:rsidRDefault="00136622" w:rsidP="00136622">
      <w:pPr>
        <w:ind w:left="720"/>
        <w:rPr>
          <w:rFonts w:ascii="Calibri" w:hAnsi="Calibri" w:cs="Calibri"/>
        </w:rPr>
      </w:pPr>
    </w:p>
    <w:p w14:paraId="29EC3248" w14:textId="77777777" w:rsidR="00535877" w:rsidRDefault="00535877" w:rsidP="00535877">
      <w:pPr>
        <w:numPr>
          <w:ilvl w:val="0"/>
          <w:numId w:val="100"/>
        </w:numPr>
        <w:rPr>
          <w:rFonts w:ascii="Calibri" w:hAnsi="Calibri" w:cs="Calibri"/>
        </w:rPr>
      </w:pPr>
      <w:r>
        <w:rPr>
          <w:rFonts w:ascii="Calibri" w:hAnsi="Calibri" w:cs="Calibri"/>
          <w:b/>
          <w:bCs/>
        </w:rPr>
        <w:t xml:space="preserve">Testing and Assurance: </w:t>
      </w:r>
      <w:r w:rsidRPr="00604698">
        <w:rPr>
          <w:rFonts w:ascii="Calibri" w:hAnsi="Calibri" w:cs="Calibri"/>
        </w:rPr>
        <w:t>Is penetration testing within scope of the contract?</w:t>
      </w:r>
    </w:p>
    <w:p w14:paraId="6551B544" w14:textId="77777777" w:rsidR="00535877" w:rsidRPr="00535877" w:rsidRDefault="00535877" w:rsidP="00535877">
      <w:pPr>
        <w:pStyle w:val="ListParagraph"/>
        <w:rPr>
          <w:rFonts w:ascii="Calibri" w:hAnsi="Calibri" w:cs="Calibri"/>
          <w:b/>
          <w:bCs/>
        </w:rPr>
      </w:pPr>
      <w:r w:rsidRPr="00535877">
        <w:rPr>
          <w:rFonts w:ascii="Calibri" w:hAnsi="Calibri" w:cs="Calibri"/>
          <w:b/>
          <w:bCs/>
        </w:rPr>
        <w:t xml:space="preserve">Not at this time, no, but reviewing the details of the pen testing and assisting with the remediation of these recommendations are expected. </w:t>
      </w:r>
    </w:p>
    <w:p w14:paraId="0AA3EBFD" w14:textId="77777777" w:rsidR="00535877" w:rsidRDefault="00535877" w:rsidP="00535877">
      <w:pPr>
        <w:ind w:left="720"/>
        <w:rPr>
          <w:rFonts w:ascii="Calibri" w:hAnsi="Calibri" w:cs="Calibri"/>
        </w:rPr>
      </w:pPr>
    </w:p>
    <w:p w14:paraId="4DA10D2B" w14:textId="77777777" w:rsidR="00535877" w:rsidRDefault="00535877" w:rsidP="00535877">
      <w:pPr>
        <w:numPr>
          <w:ilvl w:val="0"/>
          <w:numId w:val="100"/>
        </w:numPr>
        <w:rPr>
          <w:rFonts w:ascii="Calibri" w:hAnsi="Calibri" w:cs="Calibri"/>
        </w:rPr>
      </w:pPr>
      <w:r w:rsidRPr="00604698">
        <w:rPr>
          <w:rFonts w:ascii="Calibri" w:hAnsi="Calibri" w:cs="Calibri"/>
        </w:rPr>
        <w:t>Is CREST-accredited testing required?</w:t>
      </w:r>
    </w:p>
    <w:p w14:paraId="368316AB" w14:textId="77777777" w:rsidR="00535877" w:rsidRPr="00535877" w:rsidRDefault="00535877" w:rsidP="00535877">
      <w:pPr>
        <w:pStyle w:val="ListParagraph"/>
        <w:rPr>
          <w:rFonts w:ascii="Calibri" w:hAnsi="Calibri" w:cs="Calibri"/>
          <w:b/>
          <w:bCs/>
        </w:rPr>
      </w:pPr>
      <w:r w:rsidRPr="00535877">
        <w:rPr>
          <w:rFonts w:ascii="Calibri" w:hAnsi="Calibri" w:cs="Calibri"/>
          <w:b/>
          <w:bCs/>
        </w:rPr>
        <w:t>Not at this time, no, but reviewing the details of the pen testing and assisting with the remediation of these recommendations are expected. However, a CREST accreditation would be beneficial to any tendering party.</w:t>
      </w:r>
    </w:p>
    <w:p w14:paraId="5E09751D" w14:textId="77777777" w:rsidR="00535877" w:rsidRDefault="00535877" w:rsidP="00535877">
      <w:pPr>
        <w:ind w:left="720"/>
        <w:rPr>
          <w:rFonts w:ascii="Calibri" w:hAnsi="Calibri" w:cs="Calibri"/>
        </w:rPr>
      </w:pPr>
    </w:p>
    <w:p w14:paraId="2BDEAEF4" w14:textId="77777777" w:rsidR="00535877" w:rsidRDefault="00535877" w:rsidP="00535877">
      <w:pPr>
        <w:numPr>
          <w:ilvl w:val="0"/>
          <w:numId w:val="100"/>
        </w:numPr>
        <w:rPr>
          <w:rFonts w:ascii="Calibri" w:hAnsi="Calibri" w:cs="Calibri"/>
        </w:rPr>
      </w:pPr>
      <w:r w:rsidRPr="00604698">
        <w:rPr>
          <w:rFonts w:ascii="Calibri" w:hAnsi="Calibri" w:cs="Calibri"/>
        </w:rPr>
        <w:t>Are red team, purple team, compromise assessment or adversary simulation services expected?</w:t>
      </w:r>
    </w:p>
    <w:p w14:paraId="18EAA32E" w14:textId="77777777" w:rsidR="00535877" w:rsidRPr="00535877" w:rsidRDefault="00535877" w:rsidP="00535877">
      <w:pPr>
        <w:pStyle w:val="ListParagraph"/>
        <w:rPr>
          <w:rFonts w:ascii="Calibri" w:hAnsi="Calibri" w:cs="Calibri"/>
          <w:b/>
          <w:bCs/>
        </w:rPr>
      </w:pPr>
      <w:r w:rsidRPr="00535877">
        <w:rPr>
          <w:rFonts w:ascii="Calibri" w:hAnsi="Calibri" w:cs="Calibri"/>
          <w:b/>
          <w:bCs/>
        </w:rPr>
        <w:t>No. Red team, purple team, compromise assessment and adversary simulation services are not currently required as part of the baseline service. Where a specific need is identified during the contract, these services may be commissioned separately through an agreed Statement of Work or drawdown arrangement.</w:t>
      </w:r>
    </w:p>
    <w:p w14:paraId="7C82DBB2" w14:textId="77777777" w:rsidR="00535877" w:rsidRDefault="00535877" w:rsidP="00535877">
      <w:pPr>
        <w:ind w:left="720"/>
        <w:rPr>
          <w:rFonts w:ascii="Calibri" w:hAnsi="Calibri" w:cs="Calibri"/>
        </w:rPr>
      </w:pPr>
    </w:p>
    <w:p w14:paraId="43334083" w14:textId="77777777" w:rsidR="00535877" w:rsidRDefault="00535877" w:rsidP="00535877">
      <w:pPr>
        <w:numPr>
          <w:ilvl w:val="0"/>
          <w:numId w:val="100"/>
        </w:numPr>
        <w:rPr>
          <w:rFonts w:ascii="Calibri" w:hAnsi="Calibri" w:cs="Calibri"/>
        </w:rPr>
      </w:pPr>
      <w:r w:rsidRPr="00604698">
        <w:rPr>
          <w:rFonts w:ascii="Calibri" w:hAnsi="Calibri" w:cs="Calibri"/>
        </w:rPr>
        <w:t>Are security architecture reviews expected to be delivered as part of the consultancy services?</w:t>
      </w:r>
    </w:p>
    <w:p w14:paraId="203EBD61" w14:textId="77777777" w:rsidR="00535877" w:rsidRPr="00535877" w:rsidRDefault="00535877" w:rsidP="00535877">
      <w:pPr>
        <w:pStyle w:val="ListParagraph"/>
        <w:rPr>
          <w:rFonts w:ascii="Calibri" w:hAnsi="Calibri" w:cs="Calibri"/>
          <w:b/>
          <w:bCs/>
        </w:rPr>
      </w:pPr>
      <w:r w:rsidRPr="00535877">
        <w:rPr>
          <w:rFonts w:ascii="Calibri" w:hAnsi="Calibri" w:cs="Calibri"/>
          <w:b/>
          <w:bCs/>
        </w:rPr>
        <w:t xml:space="preserve">Yes, and advice on implementing any current recommendations from previous infrastructure reviews. </w:t>
      </w:r>
    </w:p>
    <w:p w14:paraId="21F3F946" w14:textId="77777777" w:rsidR="00535877" w:rsidRDefault="00535877" w:rsidP="00535877">
      <w:pPr>
        <w:ind w:left="720"/>
        <w:rPr>
          <w:rFonts w:ascii="Calibri" w:hAnsi="Calibri" w:cs="Calibri"/>
        </w:rPr>
      </w:pPr>
    </w:p>
    <w:p w14:paraId="27AEAD66" w14:textId="77777777" w:rsidR="00535877" w:rsidRDefault="00535877" w:rsidP="00535877">
      <w:pPr>
        <w:numPr>
          <w:ilvl w:val="0"/>
          <w:numId w:val="100"/>
        </w:numPr>
        <w:rPr>
          <w:rFonts w:ascii="Calibri" w:hAnsi="Calibri" w:cs="Calibri"/>
        </w:rPr>
      </w:pPr>
      <w:r w:rsidRPr="00604698">
        <w:rPr>
          <w:rFonts w:ascii="Calibri" w:hAnsi="Calibri" w:cs="Calibri"/>
        </w:rPr>
        <w:t>Is there a requirement for application security testing of Power Platform, Dynamics or other business applications?</w:t>
      </w:r>
    </w:p>
    <w:p w14:paraId="733EFA05" w14:textId="77777777" w:rsidR="00535877" w:rsidRPr="00535877" w:rsidRDefault="00535877" w:rsidP="00535877">
      <w:pPr>
        <w:pStyle w:val="ListParagraph"/>
        <w:rPr>
          <w:rFonts w:ascii="Calibri" w:hAnsi="Calibri" w:cs="Calibri"/>
          <w:b/>
          <w:bCs/>
        </w:rPr>
      </w:pPr>
      <w:r w:rsidRPr="00535877">
        <w:rPr>
          <w:rFonts w:ascii="Calibri" w:hAnsi="Calibri" w:cs="Calibri"/>
          <w:b/>
          <w:bCs/>
        </w:rPr>
        <w:t>This is done through penetration testing, but the MSSP will be expected to advise on secure deployment, infrastructure changes, and security and log reviews.</w:t>
      </w:r>
    </w:p>
    <w:p w14:paraId="520A7518" w14:textId="77777777" w:rsidR="00535877" w:rsidRDefault="00535877" w:rsidP="00535877">
      <w:pPr>
        <w:ind w:left="720"/>
        <w:rPr>
          <w:rFonts w:ascii="Calibri" w:hAnsi="Calibri" w:cs="Calibri"/>
        </w:rPr>
      </w:pPr>
    </w:p>
    <w:p w14:paraId="763B0D7B" w14:textId="77777777" w:rsidR="00022FB2" w:rsidRDefault="00022FB2" w:rsidP="00022FB2">
      <w:pPr>
        <w:numPr>
          <w:ilvl w:val="0"/>
          <w:numId w:val="100"/>
        </w:numPr>
        <w:rPr>
          <w:rFonts w:ascii="Calibri" w:hAnsi="Calibri" w:cs="Calibri"/>
        </w:rPr>
      </w:pPr>
      <w:r>
        <w:rPr>
          <w:rFonts w:ascii="Calibri" w:hAnsi="Calibri" w:cs="Calibri"/>
          <w:b/>
          <w:bCs/>
        </w:rPr>
        <w:t>Commercial and Transition:</w:t>
      </w:r>
      <w:r>
        <w:rPr>
          <w:rFonts w:ascii="Calibri" w:hAnsi="Calibri" w:cs="Calibri"/>
        </w:rPr>
        <w:t xml:space="preserve"> </w:t>
      </w:r>
      <w:r w:rsidRPr="00604698">
        <w:rPr>
          <w:rFonts w:ascii="Calibri" w:hAnsi="Calibri" w:cs="Calibri"/>
        </w:rPr>
        <w:t>Is an incumbent supplier currently providing any of the services described in this RFT?</w:t>
      </w:r>
    </w:p>
    <w:p w14:paraId="528119E0" w14:textId="77777777" w:rsidR="00022FB2" w:rsidRPr="00022FB2" w:rsidRDefault="00022FB2" w:rsidP="00022FB2">
      <w:pPr>
        <w:pStyle w:val="ListParagraph"/>
        <w:rPr>
          <w:rFonts w:ascii="Calibri" w:hAnsi="Calibri" w:cs="Calibri"/>
          <w:b/>
          <w:bCs/>
        </w:rPr>
      </w:pPr>
      <w:r w:rsidRPr="00022FB2">
        <w:rPr>
          <w:rFonts w:ascii="Calibri" w:hAnsi="Calibri" w:cs="Calibri"/>
          <w:b/>
          <w:bCs/>
        </w:rPr>
        <w:t>There is no existing MSSP under contract with the Department, just a current provider for NIS2 gap analysis and cybersecurity consultancy services.</w:t>
      </w:r>
    </w:p>
    <w:p w14:paraId="3DCA7952" w14:textId="77777777" w:rsidR="00022FB2" w:rsidRDefault="00022FB2" w:rsidP="00022FB2">
      <w:pPr>
        <w:ind w:left="720"/>
        <w:rPr>
          <w:rFonts w:ascii="Calibri" w:hAnsi="Calibri" w:cs="Calibri"/>
        </w:rPr>
      </w:pPr>
    </w:p>
    <w:p w14:paraId="1B9D1B8E" w14:textId="77777777" w:rsidR="00022FB2" w:rsidRDefault="00022FB2" w:rsidP="00022FB2">
      <w:pPr>
        <w:numPr>
          <w:ilvl w:val="0"/>
          <w:numId w:val="100"/>
        </w:numPr>
        <w:rPr>
          <w:rFonts w:ascii="Calibri" w:hAnsi="Calibri" w:cs="Calibri"/>
        </w:rPr>
      </w:pPr>
      <w:r w:rsidRPr="00604698">
        <w:rPr>
          <w:rFonts w:ascii="Calibri" w:hAnsi="Calibri" w:cs="Calibri"/>
        </w:rPr>
        <w:lastRenderedPageBreak/>
        <w:t>If an incumbent exists, can DCDE provide a high-level description of currently delivered services?</w:t>
      </w:r>
    </w:p>
    <w:p w14:paraId="7536C51D" w14:textId="77777777" w:rsidR="00022FB2" w:rsidRPr="00022FB2" w:rsidRDefault="00022FB2" w:rsidP="00022FB2">
      <w:pPr>
        <w:pStyle w:val="ListParagraph"/>
        <w:rPr>
          <w:rFonts w:ascii="Calibri" w:hAnsi="Calibri" w:cs="Calibri"/>
          <w:b/>
          <w:bCs/>
        </w:rPr>
      </w:pPr>
      <w:r w:rsidRPr="00022FB2">
        <w:rPr>
          <w:rFonts w:ascii="Calibri" w:hAnsi="Calibri" w:cs="Calibri"/>
          <w:b/>
          <w:bCs/>
        </w:rPr>
        <w:t xml:space="preserve">The main duties have been advice and </w:t>
      </w:r>
      <w:proofErr w:type="gramStart"/>
      <w:r w:rsidRPr="00022FB2">
        <w:rPr>
          <w:rFonts w:ascii="Calibri" w:hAnsi="Calibri" w:cs="Calibri"/>
          <w:b/>
          <w:bCs/>
        </w:rPr>
        <w:t>governance-related</w:t>
      </w:r>
      <w:proofErr w:type="gramEnd"/>
      <w:r w:rsidRPr="00022FB2">
        <w:rPr>
          <w:rFonts w:ascii="Calibri" w:hAnsi="Calibri" w:cs="Calibri"/>
          <w:b/>
          <w:bCs/>
        </w:rPr>
        <w:t xml:space="preserve">. Started with an NIS2 readiness assessment and have been working on several workstreams to close out the gaps identified in the readiness report. </w:t>
      </w:r>
    </w:p>
    <w:p w14:paraId="5134E205" w14:textId="77777777" w:rsidR="00022FB2" w:rsidRDefault="00022FB2" w:rsidP="00022FB2">
      <w:pPr>
        <w:ind w:left="720"/>
        <w:rPr>
          <w:rFonts w:ascii="Calibri" w:hAnsi="Calibri" w:cs="Calibri"/>
        </w:rPr>
      </w:pPr>
    </w:p>
    <w:p w14:paraId="74CFB6A6" w14:textId="77777777" w:rsidR="00022FB2" w:rsidRDefault="00022FB2" w:rsidP="00022FB2">
      <w:pPr>
        <w:numPr>
          <w:ilvl w:val="0"/>
          <w:numId w:val="100"/>
        </w:numPr>
        <w:rPr>
          <w:rFonts w:ascii="Calibri" w:hAnsi="Calibri" w:cs="Calibri"/>
        </w:rPr>
      </w:pPr>
      <w:r w:rsidRPr="00604698">
        <w:rPr>
          <w:rFonts w:ascii="Calibri" w:hAnsi="Calibri" w:cs="Calibri"/>
        </w:rPr>
        <w:t>Is there an expected transition-in period and service commencement date?</w:t>
      </w:r>
    </w:p>
    <w:p w14:paraId="5F9F0087" w14:textId="77777777" w:rsidR="00022FB2" w:rsidRPr="00022FB2" w:rsidRDefault="00022FB2" w:rsidP="00022FB2">
      <w:pPr>
        <w:pStyle w:val="ListParagraph"/>
        <w:rPr>
          <w:rFonts w:ascii="Calibri" w:hAnsi="Calibri" w:cs="Calibri"/>
          <w:b/>
          <w:bCs/>
        </w:rPr>
      </w:pPr>
      <w:r w:rsidRPr="00022FB2">
        <w:rPr>
          <w:b/>
          <w:bCs/>
        </w:rPr>
        <w:t>The current partner has offboarding support as part of their contract; this work focuses on cybersecurity governance, NIS2 gap analysis, and compliance. No current provider is in place for MSSP.</w:t>
      </w:r>
      <w:r w:rsidRPr="00022FB2">
        <w:rPr>
          <w:b/>
          <w:bCs/>
          <w:i/>
        </w:rPr>
        <w:t xml:space="preserve">  </w:t>
      </w:r>
    </w:p>
    <w:p w14:paraId="71E42F8E" w14:textId="77777777" w:rsidR="00022FB2" w:rsidRDefault="00022FB2" w:rsidP="00022FB2">
      <w:pPr>
        <w:ind w:left="720"/>
        <w:rPr>
          <w:rFonts w:ascii="Calibri" w:hAnsi="Calibri" w:cs="Calibri"/>
        </w:rPr>
      </w:pPr>
    </w:p>
    <w:p w14:paraId="5A0145BB" w14:textId="77777777" w:rsidR="00022FB2" w:rsidRDefault="00022FB2" w:rsidP="00022FB2">
      <w:pPr>
        <w:numPr>
          <w:ilvl w:val="0"/>
          <w:numId w:val="100"/>
        </w:numPr>
        <w:rPr>
          <w:rFonts w:ascii="Calibri" w:hAnsi="Calibri" w:cs="Calibri"/>
        </w:rPr>
      </w:pPr>
      <w:r w:rsidRPr="00604698">
        <w:rPr>
          <w:rFonts w:ascii="Calibri" w:hAnsi="Calibri" w:cs="Calibri"/>
        </w:rPr>
        <w:t>Are staff transfer (TUPE) considerations anticipated?</w:t>
      </w:r>
    </w:p>
    <w:p w14:paraId="7DDD0D8B" w14:textId="77777777" w:rsidR="00022FB2" w:rsidRDefault="00022FB2" w:rsidP="00022FB2">
      <w:pPr>
        <w:ind w:left="720"/>
        <w:rPr>
          <w:rFonts w:ascii="Calibri" w:hAnsi="Calibri" w:cs="Calibri"/>
          <w:b/>
          <w:bCs/>
        </w:rPr>
      </w:pPr>
      <w:r>
        <w:rPr>
          <w:rFonts w:ascii="Calibri" w:hAnsi="Calibri" w:cs="Calibri"/>
          <w:b/>
          <w:bCs/>
        </w:rPr>
        <w:t>No.</w:t>
      </w:r>
    </w:p>
    <w:p w14:paraId="245D7BF1" w14:textId="77777777" w:rsidR="00022FB2" w:rsidRPr="00022FB2" w:rsidRDefault="00022FB2" w:rsidP="00022FB2">
      <w:pPr>
        <w:ind w:left="720"/>
        <w:rPr>
          <w:rFonts w:ascii="Calibri" w:hAnsi="Calibri" w:cs="Calibri"/>
          <w:b/>
          <w:bCs/>
        </w:rPr>
      </w:pPr>
    </w:p>
    <w:p w14:paraId="31689C80" w14:textId="77777777" w:rsidR="00022FB2" w:rsidRDefault="00022FB2" w:rsidP="00022FB2">
      <w:pPr>
        <w:numPr>
          <w:ilvl w:val="0"/>
          <w:numId w:val="100"/>
        </w:numPr>
        <w:rPr>
          <w:rFonts w:ascii="Calibri" w:hAnsi="Calibri" w:cs="Calibri"/>
        </w:rPr>
      </w:pPr>
      <w:r w:rsidRPr="00604698">
        <w:rPr>
          <w:rFonts w:ascii="Calibri" w:hAnsi="Calibri" w:cs="Calibri"/>
        </w:rPr>
        <w:t>Are bidders expected to provide named resources for the entire contract duration, or may additional specialist resources be introduced through Statements of Work?</w:t>
      </w:r>
    </w:p>
    <w:p w14:paraId="1548AD13" w14:textId="77777777" w:rsidR="00022FB2" w:rsidRPr="00022FB2" w:rsidRDefault="00022FB2" w:rsidP="00022FB2">
      <w:pPr>
        <w:pStyle w:val="ListParagraph"/>
        <w:rPr>
          <w:rFonts w:ascii="Calibri" w:hAnsi="Calibri" w:cs="Calibri"/>
          <w:b/>
          <w:bCs/>
        </w:rPr>
      </w:pPr>
      <w:r w:rsidRPr="00022FB2">
        <w:rPr>
          <w:rFonts w:ascii="Calibri" w:hAnsi="Calibri" w:cs="Calibri"/>
          <w:b/>
          <w:bCs/>
        </w:rPr>
        <w:t xml:space="preserve">Additional specialist resources can be introduced through Statements of Work. Still, the tenderer must specify in their tender response the details of this, such as appropriate experience, qualifications, and the time allocated. </w:t>
      </w:r>
    </w:p>
    <w:p w14:paraId="20246BD3" w14:textId="77777777" w:rsidR="00022FB2" w:rsidRDefault="00022FB2" w:rsidP="00022FB2">
      <w:pPr>
        <w:ind w:left="720"/>
        <w:rPr>
          <w:rFonts w:ascii="Calibri" w:hAnsi="Calibri" w:cs="Calibri"/>
        </w:rPr>
      </w:pPr>
    </w:p>
    <w:p w14:paraId="304940CA" w14:textId="77777777" w:rsidR="00022FB2" w:rsidRDefault="00022FB2" w:rsidP="00022FB2">
      <w:pPr>
        <w:numPr>
          <w:ilvl w:val="0"/>
          <w:numId w:val="100"/>
        </w:numPr>
        <w:rPr>
          <w:rFonts w:ascii="Calibri" w:hAnsi="Calibri" w:cs="Calibri"/>
        </w:rPr>
      </w:pPr>
      <w:r w:rsidRPr="00604698">
        <w:rPr>
          <w:rFonts w:ascii="Calibri" w:hAnsi="Calibri" w:cs="Calibri"/>
        </w:rPr>
        <w:t>What percentage of service delivery is expected to be performed on-site versus remotely?</w:t>
      </w:r>
    </w:p>
    <w:p w14:paraId="054755A3" w14:textId="77777777" w:rsidR="00022FB2" w:rsidRPr="00022FB2" w:rsidRDefault="00022FB2" w:rsidP="00022FB2">
      <w:pPr>
        <w:pStyle w:val="ListParagraph"/>
        <w:rPr>
          <w:rFonts w:ascii="Calibri" w:hAnsi="Calibri" w:cs="Calibri"/>
          <w:b/>
          <w:bCs/>
        </w:rPr>
      </w:pPr>
      <w:r w:rsidRPr="00022FB2">
        <w:rPr>
          <w:rFonts w:ascii="Calibri" w:hAnsi="Calibri" w:cs="Calibri"/>
          <w:b/>
          <w:bCs/>
        </w:rPr>
        <w:t xml:space="preserve">Travel and on-site attendance will be needed for a small number of meetings or for incident response exercises. This should be included in the </w:t>
      </w:r>
      <w:proofErr w:type="gramStart"/>
      <w:r w:rsidRPr="00022FB2">
        <w:rPr>
          <w:rFonts w:ascii="Calibri" w:hAnsi="Calibri" w:cs="Calibri"/>
          <w:b/>
          <w:bCs/>
        </w:rPr>
        <w:t>costing, but</w:t>
      </w:r>
      <w:proofErr w:type="gramEnd"/>
      <w:r w:rsidRPr="00022FB2">
        <w:rPr>
          <w:rFonts w:ascii="Calibri" w:hAnsi="Calibri" w:cs="Calibri"/>
          <w:b/>
          <w:bCs/>
        </w:rPr>
        <w:t xml:space="preserve"> is likely to be limited to ad hoc meetings or exercises. Attendance at on-site meetings in Dublin only, as needed, should be included.  </w:t>
      </w:r>
    </w:p>
    <w:p w14:paraId="1CACEFEF" w14:textId="77777777" w:rsidR="00022FB2" w:rsidRDefault="00022FB2" w:rsidP="00022FB2">
      <w:pPr>
        <w:ind w:left="720"/>
        <w:rPr>
          <w:rFonts w:ascii="Calibri" w:hAnsi="Calibri" w:cs="Calibri"/>
        </w:rPr>
      </w:pPr>
    </w:p>
    <w:p w14:paraId="317D73A0" w14:textId="77777777" w:rsidR="00155EA6" w:rsidRDefault="00155EA6" w:rsidP="00155EA6">
      <w:pPr>
        <w:numPr>
          <w:ilvl w:val="0"/>
          <w:numId w:val="100"/>
        </w:numPr>
        <w:rPr>
          <w:rFonts w:ascii="Calibri" w:hAnsi="Calibri" w:cs="Calibri"/>
        </w:rPr>
      </w:pPr>
      <w:r>
        <w:rPr>
          <w:rFonts w:ascii="Calibri" w:hAnsi="Calibri" w:cs="Calibri"/>
          <w:b/>
          <w:bCs/>
        </w:rPr>
        <w:t xml:space="preserve">Specific Question on Monitoring Hours: </w:t>
      </w:r>
      <w:r w:rsidRPr="00604698">
        <w:rPr>
          <w:rFonts w:ascii="Calibri" w:hAnsi="Calibri" w:cs="Calibri"/>
        </w:rPr>
        <w:t>The RFT specifies business-hours monitoring with emergency out-of-hours response as the baseline service, with 24x7 monitoring priced separately. Could DCDE clarify:</w:t>
      </w:r>
    </w:p>
    <w:p w14:paraId="34C985C3" w14:textId="77777777" w:rsidR="00155EA6" w:rsidRDefault="00155EA6" w:rsidP="00155EA6">
      <w:pPr>
        <w:pStyle w:val="ListParagraph"/>
        <w:numPr>
          <w:ilvl w:val="0"/>
          <w:numId w:val="75"/>
        </w:numPr>
        <w:rPr>
          <w:rFonts w:ascii="Calibri" w:hAnsi="Calibri" w:cs="Calibri"/>
        </w:rPr>
      </w:pPr>
      <w:r w:rsidRPr="00155EA6">
        <w:rPr>
          <w:rFonts w:ascii="Calibri" w:hAnsi="Calibri" w:cs="Calibri"/>
        </w:rPr>
        <w:t>The rationale for the 8x5 monitoring requirement;</w:t>
      </w:r>
    </w:p>
    <w:p w14:paraId="321D4C01" w14:textId="77777777" w:rsidR="003C25E4" w:rsidRPr="003C25E4" w:rsidRDefault="003C25E4" w:rsidP="003C25E4">
      <w:pPr>
        <w:pStyle w:val="ListParagraph"/>
        <w:rPr>
          <w:rFonts w:ascii="Calibri" w:hAnsi="Calibri" w:cs="Calibri"/>
          <w:b/>
          <w:bCs/>
        </w:rPr>
      </w:pPr>
      <w:r w:rsidRPr="003C25E4">
        <w:rPr>
          <w:rFonts w:ascii="Calibri" w:hAnsi="Calibri" w:cs="Calibri"/>
          <w:b/>
          <w:bCs/>
        </w:rPr>
        <w:t>The rationale is that the MSSP is mainly for internal line-of-business applications and is accessed mostly by DCDE staff. Our other infrastructure, such as devices, 365, Servers, mobiles, etc., is secured by a central government department and is out of scope of this tender.</w:t>
      </w:r>
    </w:p>
    <w:p w14:paraId="28F984C0" w14:textId="77777777" w:rsidR="003C25E4" w:rsidRPr="00155EA6" w:rsidRDefault="003C25E4" w:rsidP="003C25E4">
      <w:pPr>
        <w:pStyle w:val="ListParagraph"/>
        <w:rPr>
          <w:rFonts w:ascii="Calibri" w:hAnsi="Calibri" w:cs="Calibri"/>
        </w:rPr>
      </w:pPr>
    </w:p>
    <w:p w14:paraId="0766910C" w14:textId="77777777" w:rsidR="00155EA6" w:rsidRDefault="00155EA6" w:rsidP="00155EA6">
      <w:pPr>
        <w:numPr>
          <w:ilvl w:val="0"/>
          <w:numId w:val="75"/>
        </w:numPr>
        <w:rPr>
          <w:rFonts w:ascii="Calibri" w:hAnsi="Calibri" w:cs="Calibri"/>
        </w:rPr>
      </w:pPr>
      <w:r w:rsidRPr="00604698">
        <w:rPr>
          <w:rFonts w:ascii="Calibri" w:hAnsi="Calibri" w:cs="Calibri"/>
        </w:rPr>
        <w:lastRenderedPageBreak/>
        <w:t>Whether internal capability exists outside business hours;</w:t>
      </w:r>
    </w:p>
    <w:p w14:paraId="04D71DEE" w14:textId="77777777" w:rsidR="003C25E4" w:rsidRPr="003C25E4" w:rsidRDefault="003C25E4" w:rsidP="003C25E4">
      <w:pPr>
        <w:pStyle w:val="ListParagraph"/>
        <w:rPr>
          <w:rFonts w:ascii="Calibri" w:hAnsi="Calibri" w:cs="Calibri"/>
          <w:b/>
          <w:bCs/>
        </w:rPr>
      </w:pPr>
      <w:r w:rsidRPr="003C25E4">
        <w:rPr>
          <w:rFonts w:ascii="Calibri" w:hAnsi="Calibri" w:cs="Calibri"/>
          <w:b/>
          <w:bCs/>
        </w:rPr>
        <w:t xml:space="preserve">Internal capacity does not exist here. </w:t>
      </w:r>
    </w:p>
    <w:p w14:paraId="4BA3D926" w14:textId="77777777" w:rsidR="003C25E4" w:rsidRDefault="003C25E4" w:rsidP="003C25E4">
      <w:pPr>
        <w:ind w:left="720"/>
        <w:rPr>
          <w:rFonts w:ascii="Calibri" w:hAnsi="Calibri" w:cs="Calibri"/>
        </w:rPr>
      </w:pPr>
    </w:p>
    <w:p w14:paraId="67CE6EA7" w14:textId="77777777" w:rsidR="00155EA6" w:rsidRDefault="00155EA6" w:rsidP="00155EA6">
      <w:pPr>
        <w:numPr>
          <w:ilvl w:val="0"/>
          <w:numId w:val="75"/>
        </w:numPr>
        <w:rPr>
          <w:rFonts w:ascii="Calibri" w:hAnsi="Calibri" w:cs="Calibri"/>
        </w:rPr>
      </w:pPr>
      <w:r w:rsidRPr="00604698">
        <w:rPr>
          <w:rFonts w:ascii="Calibri" w:hAnsi="Calibri" w:cs="Calibri"/>
        </w:rPr>
        <w:t>Whether other government cyber security functions provide support outside business hours</w:t>
      </w:r>
      <w:r>
        <w:rPr>
          <w:rFonts w:ascii="Calibri" w:hAnsi="Calibri" w:cs="Calibri"/>
        </w:rPr>
        <w:t>,</w:t>
      </w:r>
      <w:r w:rsidRPr="00604698">
        <w:rPr>
          <w:rFonts w:ascii="Calibri" w:hAnsi="Calibri" w:cs="Calibri"/>
        </w:rPr>
        <w:t xml:space="preserve"> and</w:t>
      </w:r>
    </w:p>
    <w:p w14:paraId="7577F36D" w14:textId="77777777" w:rsidR="003C25E4" w:rsidRPr="003C25E4" w:rsidRDefault="003C25E4" w:rsidP="003C25E4">
      <w:pPr>
        <w:pStyle w:val="ListParagraph"/>
        <w:rPr>
          <w:rFonts w:ascii="Calibri" w:hAnsi="Calibri" w:cs="Calibri"/>
          <w:b/>
          <w:bCs/>
        </w:rPr>
      </w:pPr>
      <w:r w:rsidRPr="003C25E4">
        <w:rPr>
          <w:rFonts w:ascii="Calibri" w:hAnsi="Calibri" w:cs="Calibri"/>
          <w:b/>
          <w:bCs/>
        </w:rPr>
        <w:t xml:space="preserve">They do for our other infrastructure, such as devices, 365, Servers, mobiles, exchange, websites, etc. Not for this tenant, but it sits within gov networks, which do have support outside hours. </w:t>
      </w:r>
    </w:p>
    <w:p w14:paraId="15C298FB" w14:textId="77777777" w:rsidR="003C25E4" w:rsidRDefault="003C25E4" w:rsidP="003C25E4">
      <w:pPr>
        <w:ind w:left="720"/>
        <w:rPr>
          <w:rFonts w:ascii="Calibri" w:hAnsi="Calibri" w:cs="Calibri"/>
        </w:rPr>
      </w:pPr>
    </w:p>
    <w:p w14:paraId="65739CBD" w14:textId="77777777" w:rsidR="00155EA6" w:rsidRPr="00604698" w:rsidRDefault="00155EA6" w:rsidP="00155EA6">
      <w:pPr>
        <w:numPr>
          <w:ilvl w:val="0"/>
          <w:numId w:val="75"/>
        </w:numPr>
        <w:rPr>
          <w:rFonts w:ascii="Calibri" w:hAnsi="Calibri" w:cs="Calibri"/>
        </w:rPr>
      </w:pPr>
      <w:r>
        <w:rPr>
          <w:rFonts w:ascii="Calibri" w:hAnsi="Calibri" w:cs="Calibri"/>
        </w:rPr>
        <w:t>What is the</w:t>
      </w:r>
      <w:r w:rsidRPr="00604698">
        <w:rPr>
          <w:rFonts w:ascii="Calibri" w:hAnsi="Calibri" w:cs="Calibri"/>
        </w:rPr>
        <w:t xml:space="preserve"> anticipated evaluation approach for the optional 24x7 service offering?</w:t>
      </w:r>
    </w:p>
    <w:p w14:paraId="1F50EA69" w14:textId="77777777" w:rsidR="003C25E4" w:rsidRPr="003C25E4" w:rsidRDefault="003C25E4" w:rsidP="003C25E4">
      <w:pPr>
        <w:pStyle w:val="ListParagraph"/>
        <w:rPr>
          <w:rFonts w:ascii="Calibri" w:hAnsi="Calibri" w:cs="Calibri"/>
          <w:b/>
          <w:bCs/>
        </w:rPr>
      </w:pPr>
      <w:r w:rsidRPr="003C25E4">
        <w:rPr>
          <w:rFonts w:ascii="Calibri" w:hAnsi="Calibri" w:cs="Calibri"/>
          <w:b/>
          <w:bCs/>
        </w:rPr>
        <w:t>Tenderers must provide separate pricing for the optional 24×7 monitoring service. The optional service will be evaluated as part of the tender assessment to establish its quality, cost and value for money. The Contracting Authority reserves the right to award the baseline business-hours service only, to include the 24×7 option at contract award, or to activate it during the contract term, subject to operational requirements, budget availability and any applicable legislative or NCSC requirements.</w:t>
      </w:r>
    </w:p>
    <w:p w14:paraId="7E3D7942" w14:textId="77777777" w:rsidR="00155EA6" w:rsidRPr="00604698" w:rsidRDefault="00155EA6" w:rsidP="00155EA6">
      <w:pPr>
        <w:ind w:left="720"/>
        <w:rPr>
          <w:rFonts w:ascii="Calibri" w:hAnsi="Calibri" w:cs="Calibri"/>
        </w:rPr>
      </w:pPr>
    </w:p>
    <w:p w14:paraId="1761E53F" w14:textId="77777777" w:rsidR="00D762D4" w:rsidRDefault="00FD13AC" w:rsidP="00D762D4">
      <w:pPr>
        <w:pStyle w:val="ListParagraph"/>
        <w:numPr>
          <w:ilvl w:val="0"/>
          <w:numId w:val="100"/>
        </w:numPr>
        <w:rPr>
          <w:rFonts w:ascii="Calibri" w:hAnsi="Calibri" w:cs="Calibri"/>
        </w:rPr>
      </w:pPr>
      <w:r w:rsidRPr="00604698">
        <w:rPr>
          <w:rFonts w:ascii="Calibri" w:hAnsi="Calibri" w:cs="Calibri"/>
          <w:b/>
          <w:bCs/>
        </w:rPr>
        <w:t>Data residency / UK processing.</w:t>
      </w:r>
      <w:r w:rsidRPr="00604698">
        <w:rPr>
          <w:rFonts w:ascii="Calibri" w:hAnsi="Calibri" w:cs="Calibri"/>
        </w:rPr>
        <w:t> Appendix 1 requires that all MSSP log processing and storage remain in the EU/EEA unless DCDE gives explicit written approval to the contrary. Will the Contracting Authority consider granting such approval for log processing and storage in the United Kingdom, which holds a European Commission adequacy decision under the GDPR? If approval can only be considered after contract award, please confirm that tenderers should assume EU/EEA-only processing for the purposes of their tender. </w:t>
      </w:r>
    </w:p>
    <w:p w14:paraId="0E0BBBC1" w14:textId="77777777" w:rsidR="00DD5583" w:rsidRDefault="00DD5583" w:rsidP="00DD5583">
      <w:pPr>
        <w:pStyle w:val="ListParagraph"/>
        <w:rPr>
          <w:rFonts w:ascii="Calibri" w:hAnsi="Calibri" w:cs="Calibri"/>
        </w:rPr>
      </w:pPr>
    </w:p>
    <w:p w14:paraId="21A45690" w14:textId="77777777" w:rsidR="00E66B22" w:rsidRPr="00E66B22" w:rsidRDefault="00E66B22" w:rsidP="00E66B22">
      <w:pPr>
        <w:pStyle w:val="ListParagraph"/>
        <w:rPr>
          <w:rFonts w:ascii="Calibri" w:hAnsi="Calibri" w:cs="Calibri"/>
          <w:b/>
          <w:bCs/>
        </w:rPr>
      </w:pPr>
      <w:r w:rsidRPr="00E66B22">
        <w:rPr>
          <w:rFonts w:ascii="Calibri" w:hAnsi="Calibri" w:cs="Calibri"/>
          <w:b/>
          <w:bCs/>
        </w:rPr>
        <w:t>EU/EEA-only processing will be considered for the purposes of their tender.</w:t>
      </w:r>
    </w:p>
    <w:p w14:paraId="3899A063" w14:textId="77777777" w:rsidR="00E66B22" w:rsidRDefault="00E66B22" w:rsidP="00E66B22">
      <w:pPr>
        <w:pStyle w:val="ListParagraph"/>
        <w:rPr>
          <w:rFonts w:ascii="Calibri" w:hAnsi="Calibri" w:cs="Calibri"/>
        </w:rPr>
      </w:pPr>
    </w:p>
    <w:p w14:paraId="78AADA24" w14:textId="77777777" w:rsidR="00FD13AC" w:rsidRDefault="00FD13AC" w:rsidP="00D762D4">
      <w:pPr>
        <w:pStyle w:val="ListParagraph"/>
        <w:numPr>
          <w:ilvl w:val="0"/>
          <w:numId w:val="100"/>
        </w:numPr>
        <w:rPr>
          <w:rFonts w:ascii="Calibri" w:hAnsi="Calibri" w:cs="Calibri"/>
        </w:rPr>
      </w:pPr>
      <w:r w:rsidRPr="00604698">
        <w:rPr>
          <w:rFonts w:ascii="Calibri" w:hAnsi="Calibri" w:cs="Calibri"/>
          <w:b/>
          <w:bCs/>
        </w:rPr>
        <w:t>SIEM and tooling.</w:t>
      </w:r>
      <w:r w:rsidRPr="00604698">
        <w:rPr>
          <w:rFonts w:ascii="Calibri" w:hAnsi="Calibri" w:cs="Calibri"/>
        </w:rPr>
        <w:t> Please confirm which SIEM tooling DCDE will provide (for example, Microsoft Sentinel) and which endpoint detection and response tooling is currently deployed in the DCDE environment. Please also confirm that DCDE will hold all SIEM and security tooling licensing for the full term of the contract.</w:t>
      </w:r>
    </w:p>
    <w:p w14:paraId="376E836A" w14:textId="77777777" w:rsidR="00DD5583" w:rsidRDefault="00DD5583" w:rsidP="00DD5583">
      <w:pPr>
        <w:pStyle w:val="ListParagraph"/>
        <w:rPr>
          <w:rFonts w:ascii="Calibri" w:hAnsi="Calibri" w:cs="Calibri"/>
        </w:rPr>
      </w:pPr>
    </w:p>
    <w:p w14:paraId="4D7F91A9" w14:textId="77777777" w:rsidR="00E66B22" w:rsidRPr="00E66B22" w:rsidRDefault="00E66B22" w:rsidP="00E66B22">
      <w:pPr>
        <w:pStyle w:val="ListParagraph"/>
        <w:rPr>
          <w:rFonts w:ascii="Calibri" w:hAnsi="Calibri" w:cs="Calibri"/>
          <w:b/>
          <w:bCs/>
        </w:rPr>
      </w:pPr>
      <w:r w:rsidRPr="00E66B22">
        <w:rPr>
          <w:rFonts w:ascii="Calibri" w:hAnsi="Calibri" w:cs="Calibri"/>
          <w:b/>
          <w:bCs/>
        </w:rPr>
        <w:t xml:space="preserve">Microsoft Sentinel is provided through a landing zone but is not fully operational, as no MSSP is currently in place. No plans to change SIEM provider, but the successful tenderer will assist DCDE in making changes and configuring/optimising the current SIEM solution. </w:t>
      </w:r>
    </w:p>
    <w:p w14:paraId="3203E087" w14:textId="77777777" w:rsidR="00E66B22" w:rsidRDefault="00E66B22" w:rsidP="00E66B22">
      <w:pPr>
        <w:pStyle w:val="ListParagraph"/>
        <w:rPr>
          <w:rFonts w:ascii="Calibri" w:hAnsi="Calibri" w:cs="Calibri"/>
        </w:rPr>
      </w:pPr>
    </w:p>
    <w:p w14:paraId="59C9769B" w14:textId="77777777" w:rsidR="00FD13AC" w:rsidRDefault="00FD13AC" w:rsidP="00D762D4">
      <w:pPr>
        <w:pStyle w:val="ListParagraph"/>
        <w:numPr>
          <w:ilvl w:val="0"/>
          <w:numId w:val="100"/>
        </w:numPr>
        <w:rPr>
          <w:rFonts w:ascii="Calibri" w:hAnsi="Calibri" w:cs="Calibri"/>
        </w:rPr>
      </w:pPr>
      <w:r w:rsidRPr="00604698">
        <w:rPr>
          <w:rFonts w:ascii="Calibri" w:hAnsi="Calibri" w:cs="Calibri"/>
          <w:b/>
          <w:bCs/>
        </w:rPr>
        <w:t>Sizing data.</w:t>
      </w:r>
      <w:r w:rsidRPr="00604698">
        <w:rPr>
          <w:rFonts w:ascii="Calibri" w:hAnsi="Calibri" w:cs="Calibri"/>
        </w:rPr>
        <w:t xml:space="preserve"> To allow accurate and comparable pricing of the monitoring service, please provide indicative sizing information: the approximate number of users and endpoints, the number and type of log sources currently onboarded to the SIEM, average daily log ingestion, average monthly alert volumes and the number of security incidents recorded in </w:t>
      </w:r>
      <w:r w:rsidRPr="00604698">
        <w:rPr>
          <w:rFonts w:ascii="Calibri" w:hAnsi="Calibri" w:cs="Calibri"/>
        </w:rPr>
        <w:lastRenderedPageBreak/>
        <w:t>the last 12 months. Please also indicate the expected timeline for the future Dynamics workloads referenced in Appendix 1.</w:t>
      </w:r>
    </w:p>
    <w:p w14:paraId="5D06FE2E" w14:textId="77777777" w:rsidR="00DD5583" w:rsidRDefault="00DD5583" w:rsidP="00DD5583">
      <w:pPr>
        <w:pStyle w:val="ListParagraph"/>
        <w:rPr>
          <w:rFonts w:ascii="Calibri" w:hAnsi="Calibri" w:cs="Calibri"/>
        </w:rPr>
      </w:pPr>
    </w:p>
    <w:p w14:paraId="20D7F0CD" w14:textId="77777777" w:rsidR="00E66B22" w:rsidRDefault="00E66B22" w:rsidP="00E66B22">
      <w:pPr>
        <w:pStyle w:val="ListParagraph"/>
        <w:rPr>
          <w:rFonts w:ascii="Calibri" w:hAnsi="Calibri" w:cs="Calibri"/>
          <w:b/>
          <w:bCs/>
        </w:rPr>
      </w:pPr>
      <w:r w:rsidRPr="00E66B22">
        <w:rPr>
          <w:b/>
          <w:bCs/>
        </w:rPr>
        <w:t xml:space="preserve">We have a cross-tenant B2B connection to our main tenant, which is centrally hosted within the government networks and is out of scope. We get our identities from AD, which provides SSO. Roughly 800 users, then a small number of service accounts, PIM is in operation and RBAC. There are also roughly 150 users who have guest access from another government department, and a small number of contractors with accounts. </w:t>
      </w:r>
      <w:r w:rsidRPr="00E66B22">
        <w:rPr>
          <w:b/>
          <w:bCs/>
        </w:rPr>
        <w:br/>
      </w:r>
      <w:r w:rsidRPr="00E66B22">
        <w:rPr>
          <w:b/>
          <w:bCs/>
        </w:rPr>
        <w:br/>
        <w:t xml:space="preserve">An on-premises tenant under the remit of a central government department provides us with several line-of-business applications, desktop services, and 365. Through it, a cross-tenant B2B connection provides SSO and cross-tenant synchronisation to our cloud applications and other workloads. The department doesn’t currently have an MSSP in place for this, so average monthly alert volumes and the number of security incidents recorded in the last 12 months are not </w:t>
      </w:r>
      <w:r w:rsidRPr="00E66B22">
        <w:rPr>
          <w:rFonts w:ascii="Calibri" w:hAnsi="Calibri" w:cs="Calibri"/>
          <w:b/>
          <w:bCs/>
        </w:rPr>
        <w:t>available. No date has been set for the Dynamics workloads either.</w:t>
      </w:r>
    </w:p>
    <w:p w14:paraId="318DA8DC" w14:textId="77777777" w:rsidR="00DD5583" w:rsidRPr="00E66B22" w:rsidRDefault="00DD5583" w:rsidP="00E66B22">
      <w:pPr>
        <w:pStyle w:val="ListParagraph"/>
        <w:rPr>
          <w:rFonts w:ascii="Calibri" w:hAnsi="Calibri" w:cs="Calibri"/>
          <w:b/>
          <w:bCs/>
        </w:rPr>
      </w:pPr>
    </w:p>
    <w:p w14:paraId="173DAFCF" w14:textId="77777777" w:rsidR="00E66B22" w:rsidRDefault="00E66B22" w:rsidP="00E66B22">
      <w:pPr>
        <w:pStyle w:val="ListParagraph"/>
        <w:rPr>
          <w:rFonts w:ascii="Calibri" w:hAnsi="Calibri" w:cs="Calibri"/>
        </w:rPr>
      </w:pPr>
    </w:p>
    <w:p w14:paraId="348E48AE" w14:textId="77777777" w:rsidR="00FD13AC" w:rsidRDefault="00FD13AC" w:rsidP="00D762D4">
      <w:pPr>
        <w:pStyle w:val="ListParagraph"/>
        <w:numPr>
          <w:ilvl w:val="0"/>
          <w:numId w:val="100"/>
        </w:numPr>
        <w:rPr>
          <w:rFonts w:ascii="Calibri" w:hAnsi="Calibri" w:cs="Calibri"/>
        </w:rPr>
      </w:pPr>
      <w:r w:rsidRPr="00604698">
        <w:rPr>
          <w:rFonts w:ascii="Calibri" w:hAnsi="Calibri" w:cs="Calibri"/>
          <w:b/>
          <w:bCs/>
        </w:rPr>
        <w:t>Readiness assessment outputs.</w:t>
      </w:r>
      <w:r w:rsidRPr="00604698">
        <w:rPr>
          <w:rFonts w:ascii="Calibri" w:hAnsi="Calibri" w:cs="Calibri"/>
        </w:rPr>
        <w:t> The first phase of the Services is scoped around closing gaps identified in the Department's NIS2 readiness assessment. Will the outputs of that assessment, or a summary of the number and severity of open gaps, be made available to tenderers during the tender period? If not, please confirm what assumptions tenderers should make when pricing the first phase.</w:t>
      </w:r>
    </w:p>
    <w:p w14:paraId="17CFCC84" w14:textId="77777777" w:rsidR="00DD5583" w:rsidRDefault="00DD5583" w:rsidP="00DD5583">
      <w:pPr>
        <w:pStyle w:val="ListParagraph"/>
        <w:rPr>
          <w:rFonts w:ascii="Calibri" w:hAnsi="Calibri" w:cs="Calibri"/>
        </w:rPr>
      </w:pPr>
    </w:p>
    <w:p w14:paraId="518702B1" w14:textId="77777777" w:rsidR="00E66B22" w:rsidRDefault="00E66B22" w:rsidP="00E66B22">
      <w:pPr>
        <w:pStyle w:val="ListParagraph"/>
        <w:rPr>
          <w:b/>
          <w:bCs/>
        </w:rPr>
      </w:pPr>
      <w:r w:rsidRPr="00E66B22">
        <w:rPr>
          <w:rFonts w:ascii="Calibri" w:hAnsi="Calibri" w:cs="Calibri"/>
          <w:b/>
          <w:bCs/>
        </w:rPr>
        <w:t xml:space="preserve">Details on this are covered in section 1.2 of the RFT. The recommendations from the gap analysis are grouped into 8 initiatives, 4 of which are still outstanding. </w:t>
      </w:r>
      <w:r w:rsidRPr="00E66B22">
        <w:rPr>
          <w:b/>
          <w:bCs/>
        </w:rPr>
        <w:t>Our aim is for 3.5 within the CyFun scale, which we are currently not yet at.</w:t>
      </w:r>
    </w:p>
    <w:p w14:paraId="1CDC621A" w14:textId="77777777" w:rsidR="00DD5583" w:rsidRPr="00E66B22" w:rsidRDefault="00DD5583" w:rsidP="00E66B22">
      <w:pPr>
        <w:pStyle w:val="ListParagraph"/>
        <w:rPr>
          <w:rFonts w:ascii="Calibri" w:hAnsi="Calibri" w:cs="Calibri"/>
          <w:b/>
          <w:bCs/>
        </w:rPr>
      </w:pPr>
    </w:p>
    <w:p w14:paraId="437F2514" w14:textId="77777777" w:rsidR="00E66B22" w:rsidRDefault="00E66B22" w:rsidP="00E66B22">
      <w:pPr>
        <w:pStyle w:val="ListParagraph"/>
        <w:rPr>
          <w:rFonts w:ascii="Calibri" w:hAnsi="Calibri" w:cs="Calibri"/>
        </w:rPr>
      </w:pPr>
    </w:p>
    <w:p w14:paraId="7FBE55DD" w14:textId="77777777" w:rsidR="00FD13AC" w:rsidRDefault="00FD13AC" w:rsidP="00D762D4">
      <w:pPr>
        <w:pStyle w:val="ListParagraph"/>
        <w:numPr>
          <w:ilvl w:val="0"/>
          <w:numId w:val="100"/>
        </w:numPr>
        <w:rPr>
          <w:rFonts w:ascii="Calibri" w:hAnsi="Calibri" w:cs="Calibri"/>
        </w:rPr>
      </w:pPr>
      <w:r w:rsidRPr="00604698">
        <w:rPr>
          <w:rFonts w:ascii="Calibri" w:hAnsi="Calibri" w:cs="Calibri"/>
          <w:b/>
          <w:bCs/>
        </w:rPr>
        <w:t>Pricing table vs narrative.</w:t>
      </w:r>
      <w:r w:rsidRPr="00604698">
        <w:rPr>
          <w:rFonts w:ascii="Calibri" w:hAnsi="Calibri" w:cs="Calibri"/>
        </w:rPr>
        <w:t> Appendix 2 requires pricing to separately identify optional 24x7 monitoring, additional drawdown days and rates, and exit/transition costs, but the pricing table in Appendix 2 and the TRD section A9 do not include line items for these elements. Please confirm how tenderers should present these three elements and whether any of them are included in the Total that goes forward for the assessment of marks for cost.</w:t>
      </w:r>
    </w:p>
    <w:p w14:paraId="18622376" w14:textId="77777777" w:rsidR="00DD5583" w:rsidRDefault="00DD5583" w:rsidP="00DD5583">
      <w:pPr>
        <w:pStyle w:val="ListParagraph"/>
        <w:rPr>
          <w:rFonts w:ascii="Calibri" w:hAnsi="Calibri" w:cs="Calibri"/>
        </w:rPr>
      </w:pPr>
    </w:p>
    <w:p w14:paraId="43F10B2D" w14:textId="77777777" w:rsidR="00E66B22" w:rsidRPr="00E66B22" w:rsidRDefault="00E66B22" w:rsidP="00E66B22">
      <w:pPr>
        <w:pStyle w:val="ListParagraph"/>
        <w:rPr>
          <w:rFonts w:ascii="Calibri" w:hAnsi="Calibri" w:cs="Calibri"/>
          <w:b/>
          <w:bCs/>
        </w:rPr>
      </w:pPr>
      <w:r w:rsidRPr="00E66B22">
        <w:rPr>
          <w:rFonts w:ascii="Calibri" w:hAnsi="Calibri" w:cs="Calibri"/>
          <w:b/>
          <w:bCs/>
        </w:rPr>
        <w:t xml:space="preserve">Tenderers must provide separate pricing for the optional 24×7 monitoring service. The optional service will be evaluated as part of the tender assessment to establish its quality, cost and value for money. The Contracting Authority reserves the right to award the baseline business-hours service only, to include the 24×7 option at contract award, or to activate it during the contract term, subject to operational requirements, budget availability and any applicable legislative or NCSC requirements. </w:t>
      </w:r>
    </w:p>
    <w:p w14:paraId="11469BFC" w14:textId="77777777" w:rsidR="00E66B22" w:rsidRPr="00E66B22" w:rsidRDefault="00E66B22" w:rsidP="00E66B22">
      <w:pPr>
        <w:pStyle w:val="ListParagraph"/>
        <w:rPr>
          <w:rFonts w:ascii="Calibri" w:hAnsi="Calibri" w:cs="Calibri"/>
          <w:b/>
          <w:bCs/>
        </w:rPr>
      </w:pPr>
      <w:r w:rsidRPr="00E66B22">
        <w:rPr>
          <w:rFonts w:ascii="Calibri" w:hAnsi="Calibri" w:cs="Calibri"/>
          <w:b/>
          <w:bCs/>
        </w:rPr>
        <w:t>Drawdown days and rates, as well as any exit/transition costs, should be included in the total cost.</w:t>
      </w:r>
    </w:p>
    <w:p w14:paraId="5CDAD5D5" w14:textId="77777777" w:rsidR="00E66B22" w:rsidRDefault="00E66B22" w:rsidP="00E66B22">
      <w:pPr>
        <w:pStyle w:val="ListParagraph"/>
        <w:rPr>
          <w:rFonts w:ascii="Calibri" w:hAnsi="Calibri" w:cs="Calibri"/>
        </w:rPr>
      </w:pPr>
    </w:p>
    <w:p w14:paraId="62F3905A" w14:textId="77777777" w:rsidR="00DD5583" w:rsidRDefault="00DD5583" w:rsidP="00E66B22">
      <w:pPr>
        <w:pStyle w:val="ListParagraph"/>
        <w:rPr>
          <w:rFonts w:ascii="Calibri" w:hAnsi="Calibri" w:cs="Calibri"/>
        </w:rPr>
      </w:pPr>
    </w:p>
    <w:p w14:paraId="524A2A90" w14:textId="77777777" w:rsidR="00FD13AC" w:rsidRDefault="00FD13AC" w:rsidP="00D762D4">
      <w:pPr>
        <w:pStyle w:val="ListParagraph"/>
        <w:numPr>
          <w:ilvl w:val="0"/>
          <w:numId w:val="100"/>
        </w:numPr>
        <w:rPr>
          <w:rFonts w:ascii="Calibri" w:hAnsi="Calibri" w:cs="Calibri"/>
        </w:rPr>
      </w:pPr>
      <w:r w:rsidRPr="00604698">
        <w:rPr>
          <w:rFonts w:ascii="Calibri" w:hAnsi="Calibri" w:cs="Calibri"/>
          <w:b/>
          <w:bCs/>
        </w:rPr>
        <w:t>Pricing basis over the term.</w:t>
      </w:r>
      <w:r w:rsidRPr="00604698">
        <w:rPr>
          <w:rFonts w:ascii="Calibri" w:hAnsi="Calibri" w:cs="Calibri"/>
        </w:rPr>
        <w:t xml:space="preserve"> Please confirm the basis on which recurring service items should be priced, for example, a price per month applied across the maximum 48-month </w:t>
      </w:r>
      <w:proofErr w:type="gramStart"/>
      <w:r w:rsidRPr="00604698">
        <w:rPr>
          <w:rFonts w:ascii="Calibri" w:hAnsi="Calibri" w:cs="Calibri"/>
        </w:rPr>
        <w:t>term, and</w:t>
      </w:r>
      <w:proofErr w:type="gramEnd"/>
      <w:r w:rsidRPr="00604698">
        <w:rPr>
          <w:rFonts w:ascii="Calibri" w:hAnsi="Calibri" w:cs="Calibri"/>
        </w:rPr>
        <w:t xml:space="preserve"> confirm that the evaluated Total should assume the full four-year duration, including both possible extensions.</w:t>
      </w:r>
    </w:p>
    <w:p w14:paraId="51B48867" w14:textId="77777777" w:rsidR="00DD5583" w:rsidRDefault="00DD5583" w:rsidP="00DD5583">
      <w:pPr>
        <w:pStyle w:val="ListParagraph"/>
        <w:rPr>
          <w:rFonts w:ascii="Calibri" w:hAnsi="Calibri" w:cs="Calibri"/>
        </w:rPr>
      </w:pPr>
    </w:p>
    <w:p w14:paraId="024FBC85" w14:textId="77777777" w:rsidR="00E66B22" w:rsidRDefault="00E66B22" w:rsidP="00E66B22">
      <w:pPr>
        <w:pStyle w:val="ListParagraph"/>
        <w:rPr>
          <w:rFonts w:ascii="Calibri" w:hAnsi="Calibri" w:cs="Calibri"/>
          <w:b/>
          <w:bCs/>
        </w:rPr>
      </w:pPr>
      <w:r w:rsidRPr="00E66B22">
        <w:rPr>
          <w:rFonts w:ascii="Calibri" w:hAnsi="Calibri" w:cs="Calibri"/>
          <w:b/>
          <w:bCs/>
        </w:rPr>
        <w:t>Our preference is a monthly price applied over the maximum 48-month term; the evaluated Total should assume the full four-year duration, including both possible extensions.</w:t>
      </w:r>
    </w:p>
    <w:p w14:paraId="0F8AB4F1" w14:textId="77777777" w:rsidR="00DD5583" w:rsidRPr="00E66B22" w:rsidRDefault="00DD5583" w:rsidP="00E66B22">
      <w:pPr>
        <w:pStyle w:val="ListParagraph"/>
        <w:rPr>
          <w:rFonts w:ascii="Calibri" w:hAnsi="Calibri" w:cs="Calibri"/>
          <w:b/>
          <w:bCs/>
        </w:rPr>
      </w:pPr>
    </w:p>
    <w:p w14:paraId="47FFE480" w14:textId="77777777" w:rsidR="00E66B22" w:rsidRDefault="00E66B22" w:rsidP="00E66B22">
      <w:pPr>
        <w:pStyle w:val="ListParagraph"/>
        <w:rPr>
          <w:rFonts w:ascii="Calibri" w:hAnsi="Calibri" w:cs="Calibri"/>
        </w:rPr>
      </w:pPr>
    </w:p>
    <w:p w14:paraId="3EEDE675" w14:textId="77777777" w:rsidR="00FD13AC" w:rsidRDefault="00FD13AC" w:rsidP="00D762D4">
      <w:pPr>
        <w:pStyle w:val="ListParagraph"/>
        <w:numPr>
          <w:ilvl w:val="0"/>
          <w:numId w:val="100"/>
        </w:numPr>
        <w:rPr>
          <w:rFonts w:ascii="Calibri" w:hAnsi="Calibri" w:cs="Calibri"/>
        </w:rPr>
      </w:pPr>
      <w:r w:rsidRPr="00604698">
        <w:rPr>
          <w:rFonts w:ascii="Calibri" w:hAnsi="Calibri" w:cs="Calibri"/>
          <w:b/>
          <w:bCs/>
        </w:rPr>
        <w:t>Drawdown volume.</w:t>
      </w:r>
      <w:r w:rsidRPr="00604698">
        <w:rPr>
          <w:rFonts w:ascii="Calibri" w:hAnsi="Calibri" w:cs="Calibri"/>
        </w:rPr>
        <w:t> For the additional drawdown days referenced in Appendix 2, please indicate the expected or budgeted volume of drawdown days per year, or confirm a nominal volume that all tenderers should assume for evaluation purposes.</w:t>
      </w:r>
    </w:p>
    <w:p w14:paraId="25107762" w14:textId="77777777" w:rsidR="00DD5583" w:rsidRDefault="00DD5583" w:rsidP="00DD5583">
      <w:pPr>
        <w:pStyle w:val="ListParagraph"/>
        <w:rPr>
          <w:rFonts w:ascii="Calibri" w:hAnsi="Calibri" w:cs="Calibri"/>
        </w:rPr>
      </w:pPr>
    </w:p>
    <w:p w14:paraId="47AEECD2" w14:textId="77777777" w:rsidR="00E66B22" w:rsidRDefault="00E66B22" w:rsidP="00E66B22">
      <w:pPr>
        <w:pStyle w:val="ListParagraph"/>
        <w:rPr>
          <w:rFonts w:ascii="Calibri" w:hAnsi="Calibri" w:cs="Calibri"/>
          <w:b/>
          <w:bCs/>
        </w:rPr>
      </w:pPr>
      <w:r w:rsidRPr="00E66B22">
        <w:rPr>
          <w:rFonts w:ascii="Calibri" w:hAnsi="Calibri" w:cs="Calibri"/>
          <w:b/>
          <w:bCs/>
        </w:rPr>
        <w:t xml:space="preserve">The Additional drawdown days/rates for services outside the agreed baseline, as mentioned in Appendix 2, should be included in the overall pricing, </w:t>
      </w:r>
      <w:proofErr w:type="gramStart"/>
      <w:r w:rsidRPr="00E66B22">
        <w:rPr>
          <w:rFonts w:ascii="Calibri" w:hAnsi="Calibri" w:cs="Calibri"/>
          <w:b/>
          <w:bCs/>
        </w:rPr>
        <w:t>but,</w:t>
      </w:r>
      <w:proofErr w:type="gramEnd"/>
      <w:r w:rsidRPr="00E66B22">
        <w:rPr>
          <w:rFonts w:ascii="Calibri" w:hAnsi="Calibri" w:cs="Calibri"/>
          <w:b/>
          <w:bCs/>
        </w:rPr>
        <w:t xml:space="preserve"> as stated in Appendix 2, pricing must clearly separate them. </w:t>
      </w:r>
    </w:p>
    <w:p w14:paraId="14AD3B31" w14:textId="77777777" w:rsidR="00DD5583" w:rsidRPr="00E66B22" w:rsidRDefault="00DD5583" w:rsidP="00E66B22">
      <w:pPr>
        <w:pStyle w:val="ListParagraph"/>
        <w:rPr>
          <w:rFonts w:ascii="Calibri" w:hAnsi="Calibri" w:cs="Calibri"/>
          <w:b/>
          <w:bCs/>
        </w:rPr>
      </w:pPr>
    </w:p>
    <w:p w14:paraId="1CC017B9" w14:textId="77777777" w:rsidR="00E66B22" w:rsidRDefault="00E66B22" w:rsidP="00E66B22">
      <w:pPr>
        <w:pStyle w:val="ListParagraph"/>
        <w:rPr>
          <w:rFonts w:ascii="Calibri" w:hAnsi="Calibri" w:cs="Calibri"/>
        </w:rPr>
      </w:pPr>
    </w:p>
    <w:p w14:paraId="105AC91C" w14:textId="77777777" w:rsidR="00FD13AC" w:rsidRDefault="00FD13AC" w:rsidP="00D762D4">
      <w:pPr>
        <w:pStyle w:val="ListParagraph"/>
        <w:numPr>
          <w:ilvl w:val="0"/>
          <w:numId w:val="100"/>
        </w:numPr>
        <w:rPr>
          <w:rFonts w:ascii="Calibri" w:hAnsi="Calibri" w:cs="Calibri"/>
        </w:rPr>
      </w:pPr>
      <w:r w:rsidRPr="00604698">
        <w:rPr>
          <w:rFonts w:ascii="Calibri" w:hAnsi="Calibri" w:cs="Calibri"/>
          <w:b/>
          <w:bCs/>
        </w:rPr>
        <w:t>IR retainer scope.</w:t>
      </w:r>
      <w:r w:rsidRPr="00604698">
        <w:rPr>
          <w:rFonts w:ascii="Calibri" w:hAnsi="Calibri" w:cs="Calibri"/>
        </w:rPr>
        <w:t xml:space="preserve"> Please describe the expected scope of the incident response retainer capability within the baseline service, for example, an annual </w:t>
      </w:r>
      <w:proofErr w:type="gramStart"/>
      <w:r w:rsidRPr="00604698">
        <w:rPr>
          <w:rFonts w:ascii="Calibri" w:hAnsi="Calibri" w:cs="Calibri"/>
        </w:rPr>
        <w:t>hours</w:t>
      </w:r>
      <w:proofErr w:type="gramEnd"/>
      <w:r w:rsidRPr="00604698">
        <w:rPr>
          <w:rFonts w:ascii="Calibri" w:hAnsi="Calibri" w:cs="Calibri"/>
        </w:rPr>
        <w:t xml:space="preserve"> allocation, defined response times, or on-call availability, so that tenderers can price this element consistently.</w:t>
      </w:r>
    </w:p>
    <w:p w14:paraId="12A4AFAC" w14:textId="77777777" w:rsidR="00DD5583" w:rsidRDefault="00DD5583" w:rsidP="00DD5583">
      <w:pPr>
        <w:pStyle w:val="ListParagraph"/>
        <w:rPr>
          <w:rFonts w:ascii="Calibri" w:hAnsi="Calibri" w:cs="Calibri"/>
        </w:rPr>
      </w:pPr>
    </w:p>
    <w:p w14:paraId="05E1F3CB" w14:textId="77777777" w:rsidR="00E66B22" w:rsidRDefault="00E66B22" w:rsidP="00E66B22">
      <w:pPr>
        <w:pStyle w:val="ListParagraph"/>
        <w:rPr>
          <w:rFonts w:ascii="Calibri" w:hAnsi="Calibri" w:cs="Calibri"/>
          <w:b/>
          <w:bCs/>
        </w:rPr>
      </w:pPr>
      <w:r w:rsidRPr="00E66B22">
        <w:rPr>
          <w:rFonts w:ascii="Calibri" w:hAnsi="Calibri" w:cs="Calibri"/>
          <w:b/>
          <w:bCs/>
        </w:rPr>
        <w:t>The baseline service must include an incident-response retainer providing on-call access to suitably qualified incident-response personnel for critical alerts or suspected active compromise affecting the in-scope environment. The retainer should cover initial assessment, investigation, evidence preservation, containment advice, response coordination, escalation and post-incident reporting. Tenderers should state the number of response hours included annually, the applicable response times, how the service is accessed and their rates for any additional support above the included allocation. Investigation of critical alerts outside business hours should form part of the baseline emergency response arrangements. As a way of estimating, we have not had the misfortune of needing to implement our current incident response procedures to date, and this will only be needed if a trigger is required. It aligns with our requirements under CER and NIS2.</w:t>
      </w:r>
    </w:p>
    <w:p w14:paraId="78E9BC4B" w14:textId="77777777" w:rsidR="00DD5583" w:rsidRPr="00E66B22" w:rsidRDefault="00DD5583" w:rsidP="00E66B22">
      <w:pPr>
        <w:pStyle w:val="ListParagraph"/>
        <w:rPr>
          <w:rFonts w:ascii="Calibri" w:hAnsi="Calibri" w:cs="Calibri"/>
          <w:b/>
          <w:bCs/>
        </w:rPr>
      </w:pPr>
    </w:p>
    <w:p w14:paraId="48526433" w14:textId="77777777" w:rsidR="00E66B22" w:rsidRDefault="00E66B22" w:rsidP="00E66B22">
      <w:pPr>
        <w:pStyle w:val="ListParagraph"/>
        <w:rPr>
          <w:rFonts w:ascii="Calibri" w:hAnsi="Calibri" w:cs="Calibri"/>
        </w:rPr>
      </w:pPr>
    </w:p>
    <w:p w14:paraId="1BDACDE0" w14:textId="77777777" w:rsidR="00FD13AC" w:rsidRDefault="00FD13AC" w:rsidP="00D762D4">
      <w:pPr>
        <w:pStyle w:val="ListParagraph"/>
        <w:numPr>
          <w:ilvl w:val="0"/>
          <w:numId w:val="100"/>
        </w:numPr>
        <w:rPr>
          <w:rFonts w:ascii="Calibri" w:hAnsi="Calibri" w:cs="Calibri"/>
        </w:rPr>
      </w:pPr>
      <w:r w:rsidRPr="00604698">
        <w:rPr>
          <w:rFonts w:ascii="Calibri" w:hAnsi="Calibri" w:cs="Calibri"/>
          <w:b/>
          <w:bCs/>
        </w:rPr>
        <w:t>SLAs.</w:t>
      </w:r>
      <w:r w:rsidRPr="00604698">
        <w:rPr>
          <w:rFonts w:ascii="Calibri" w:hAnsi="Calibri" w:cs="Calibri"/>
        </w:rPr>
        <w:t> Does the Contracting Authority prescribe response and escalation service levels for alert triage and for out-of-hours emergency response, or are tenderers expected to propose service levels as part of their response to award criterion B1?</w:t>
      </w:r>
    </w:p>
    <w:p w14:paraId="4DCF6398" w14:textId="77777777" w:rsidR="00DD5583" w:rsidRDefault="00DD5583" w:rsidP="00DD5583">
      <w:pPr>
        <w:pStyle w:val="ListParagraph"/>
        <w:rPr>
          <w:rFonts w:ascii="Calibri" w:hAnsi="Calibri" w:cs="Calibri"/>
        </w:rPr>
      </w:pPr>
    </w:p>
    <w:p w14:paraId="3418B995" w14:textId="77777777" w:rsidR="00E66B22" w:rsidRPr="00E66B22" w:rsidRDefault="00E66B22" w:rsidP="00E66B22">
      <w:pPr>
        <w:pStyle w:val="ListParagraph"/>
        <w:rPr>
          <w:rFonts w:ascii="Calibri" w:hAnsi="Calibri" w:cs="Calibri"/>
          <w:b/>
          <w:bCs/>
        </w:rPr>
      </w:pPr>
      <w:r w:rsidRPr="00E66B22">
        <w:rPr>
          <w:rFonts w:ascii="Calibri" w:hAnsi="Calibri" w:cs="Calibri"/>
          <w:b/>
          <w:bCs/>
        </w:rPr>
        <w:t>This is not currently defined, but we will work with the successful MSSP provider to agree on this and include it in the SLA/Contract.</w:t>
      </w:r>
    </w:p>
    <w:p w14:paraId="33944D3D" w14:textId="77777777" w:rsidR="00E66B22" w:rsidRDefault="00E66B22" w:rsidP="00E66B22">
      <w:pPr>
        <w:pStyle w:val="ListParagraph"/>
        <w:rPr>
          <w:rFonts w:ascii="Calibri" w:hAnsi="Calibri" w:cs="Calibri"/>
        </w:rPr>
      </w:pPr>
    </w:p>
    <w:p w14:paraId="5B63FB45" w14:textId="77777777" w:rsidR="00FD13AC" w:rsidRDefault="00FD13AC" w:rsidP="00D762D4">
      <w:pPr>
        <w:pStyle w:val="ListParagraph"/>
        <w:numPr>
          <w:ilvl w:val="0"/>
          <w:numId w:val="100"/>
        </w:numPr>
        <w:rPr>
          <w:rFonts w:ascii="Calibri" w:hAnsi="Calibri" w:cs="Calibri"/>
        </w:rPr>
      </w:pPr>
      <w:r w:rsidRPr="00604698">
        <w:rPr>
          <w:rFonts w:ascii="Calibri" w:hAnsi="Calibri" w:cs="Calibri"/>
          <w:b/>
          <w:bCs/>
        </w:rPr>
        <w:lastRenderedPageBreak/>
        <w:t>Location, on-site presence and vetting.</w:t>
      </w:r>
      <w:r w:rsidRPr="00604698">
        <w:rPr>
          <w:rFonts w:ascii="Calibri" w:hAnsi="Calibri" w:cs="Calibri"/>
        </w:rPr>
        <w:t> Please confirm whether the Services may be delivered remotely from within the EU/EEA, whether any minimum on-site presence in Dublin is expected during either phase, and whether personnel delivering the Services will be subject to Garda vetting or any other security clearance requirement.</w:t>
      </w:r>
    </w:p>
    <w:p w14:paraId="53D4D1F9" w14:textId="77777777" w:rsidR="00DD5583" w:rsidRDefault="00DD5583" w:rsidP="00DD5583">
      <w:pPr>
        <w:pStyle w:val="ListParagraph"/>
        <w:rPr>
          <w:rFonts w:ascii="Calibri" w:hAnsi="Calibri" w:cs="Calibri"/>
        </w:rPr>
      </w:pPr>
    </w:p>
    <w:p w14:paraId="25AB654D" w14:textId="77777777" w:rsidR="00E66B22" w:rsidRPr="00E66B22" w:rsidRDefault="00E66B22" w:rsidP="00E66B22">
      <w:pPr>
        <w:pStyle w:val="ListParagraph"/>
        <w:rPr>
          <w:rFonts w:ascii="Calibri" w:hAnsi="Calibri" w:cs="Calibri"/>
          <w:b/>
          <w:bCs/>
        </w:rPr>
      </w:pPr>
      <w:r w:rsidRPr="00E66B22">
        <w:rPr>
          <w:rFonts w:ascii="Calibri" w:hAnsi="Calibri" w:cs="Calibri"/>
          <w:b/>
          <w:bCs/>
        </w:rPr>
        <w:t xml:space="preserve">Travel and on-site attendance will be needed for a small number of meetings or for incident response exercises. This should be included in the </w:t>
      </w:r>
      <w:proofErr w:type="gramStart"/>
      <w:r w:rsidRPr="00E66B22">
        <w:rPr>
          <w:rFonts w:ascii="Calibri" w:hAnsi="Calibri" w:cs="Calibri"/>
          <w:b/>
          <w:bCs/>
        </w:rPr>
        <w:t>costing, but</w:t>
      </w:r>
      <w:proofErr w:type="gramEnd"/>
      <w:r w:rsidRPr="00E66B22">
        <w:rPr>
          <w:rFonts w:ascii="Calibri" w:hAnsi="Calibri" w:cs="Calibri"/>
          <w:b/>
          <w:bCs/>
        </w:rPr>
        <w:t xml:space="preserve"> is likely to be limited to ad hoc meetings or exercises. Attendance at on-site meetings in Dublin only, as needed, should be included. </w:t>
      </w:r>
    </w:p>
    <w:p w14:paraId="3B5A0FA4" w14:textId="77777777" w:rsidR="00E66B22" w:rsidRPr="00E66B22" w:rsidRDefault="00E66B22" w:rsidP="00E66B22">
      <w:pPr>
        <w:pStyle w:val="ListParagraph"/>
        <w:rPr>
          <w:rFonts w:ascii="Calibri" w:hAnsi="Calibri" w:cs="Calibri"/>
          <w:b/>
          <w:bCs/>
        </w:rPr>
      </w:pPr>
      <w:r w:rsidRPr="00E66B22">
        <w:rPr>
          <w:rFonts w:ascii="Calibri" w:hAnsi="Calibri" w:cs="Calibri"/>
          <w:b/>
          <w:bCs/>
        </w:rPr>
        <w:t xml:space="preserve">All contractors/vendors to DCDE will need to undergo appropriate checks. </w:t>
      </w:r>
    </w:p>
    <w:p w14:paraId="0916EA29" w14:textId="77777777" w:rsidR="00E66B22" w:rsidRDefault="00E66B22" w:rsidP="00E66B22">
      <w:pPr>
        <w:pStyle w:val="ListParagraph"/>
        <w:rPr>
          <w:rFonts w:ascii="Calibri" w:hAnsi="Calibri" w:cs="Calibri"/>
        </w:rPr>
      </w:pPr>
    </w:p>
    <w:p w14:paraId="4C910030" w14:textId="77777777" w:rsidR="00DD5583" w:rsidRDefault="00DD5583" w:rsidP="00E66B22">
      <w:pPr>
        <w:pStyle w:val="ListParagraph"/>
        <w:rPr>
          <w:rFonts w:ascii="Calibri" w:hAnsi="Calibri" w:cs="Calibri"/>
        </w:rPr>
      </w:pPr>
    </w:p>
    <w:p w14:paraId="4F21E9BB" w14:textId="77777777" w:rsidR="00FD13AC" w:rsidRDefault="00E66B22" w:rsidP="00D762D4">
      <w:pPr>
        <w:pStyle w:val="ListParagraph"/>
        <w:numPr>
          <w:ilvl w:val="0"/>
          <w:numId w:val="100"/>
        </w:numPr>
        <w:rPr>
          <w:rFonts w:ascii="Calibri" w:hAnsi="Calibri" w:cs="Calibri"/>
        </w:rPr>
      </w:pPr>
      <w:r w:rsidRPr="00604698">
        <w:rPr>
          <w:rFonts w:ascii="Calibri" w:hAnsi="Calibri" w:cs="Calibri"/>
          <w:b/>
          <w:bCs/>
        </w:rPr>
        <w:t>Infrastructure partner boundary.</w:t>
      </w:r>
      <w:r w:rsidRPr="00604698">
        <w:rPr>
          <w:rFonts w:ascii="Calibri" w:hAnsi="Calibri" w:cs="Calibri"/>
        </w:rPr>
        <w:t> Appendix 1 refers to DCDE infrastructure strengthening in coordination with DCDE, the infrastructure partner and in-house teams. Please describe the division of responsibility between the successful tenderer and the incumbent infrastructure partner for the implementation of remediation and security changes.</w:t>
      </w:r>
    </w:p>
    <w:p w14:paraId="17028726" w14:textId="77777777" w:rsidR="00DD5583" w:rsidRDefault="00DD5583" w:rsidP="00DD5583">
      <w:pPr>
        <w:pStyle w:val="ListParagraph"/>
        <w:rPr>
          <w:rFonts w:ascii="Calibri" w:hAnsi="Calibri" w:cs="Calibri"/>
        </w:rPr>
      </w:pPr>
    </w:p>
    <w:p w14:paraId="631085AC" w14:textId="77777777" w:rsidR="00E66B22" w:rsidRPr="00E66B22" w:rsidRDefault="00E66B22" w:rsidP="00E66B22">
      <w:pPr>
        <w:pStyle w:val="ListParagraph"/>
        <w:rPr>
          <w:rFonts w:ascii="Calibri" w:hAnsi="Calibri" w:cs="Calibri"/>
          <w:b/>
          <w:bCs/>
        </w:rPr>
      </w:pPr>
      <w:r w:rsidRPr="00E66B22">
        <w:rPr>
          <w:rFonts w:ascii="Calibri" w:hAnsi="Calibri" w:cs="Calibri"/>
          <w:b/>
          <w:bCs/>
        </w:rPr>
        <w:t>The successful MSSP is expected to collaborate with the current infrastructure partner and our internal teams to protect our infrastructure.</w:t>
      </w:r>
    </w:p>
    <w:p w14:paraId="0BE4F00E" w14:textId="77777777" w:rsidR="00E66B22" w:rsidRDefault="00E66B22" w:rsidP="00E66B22">
      <w:pPr>
        <w:pStyle w:val="ListParagraph"/>
        <w:rPr>
          <w:rFonts w:ascii="Calibri" w:hAnsi="Calibri" w:cs="Calibri"/>
        </w:rPr>
      </w:pPr>
    </w:p>
    <w:p w14:paraId="52FE10BE" w14:textId="77777777" w:rsidR="00DD5583" w:rsidRDefault="00DD5583" w:rsidP="00E66B22">
      <w:pPr>
        <w:pStyle w:val="ListParagraph"/>
        <w:rPr>
          <w:rFonts w:ascii="Calibri" w:hAnsi="Calibri" w:cs="Calibri"/>
        </w:rPr>
      </w:pPr>
    </w:p>
    <w:p w14:paraId="68D9F105" w14:textId="77777777" w:rsidR="00E66B22" w:rsidRDefault="00E66B22" w:rsidP="00D762D4">
      <w:pPr>
        <w:pStyle w:val="ListParagraph"/>
        <w:numPr>
          <w:ilvl w:val="0"/>
          <w:numId w:val="100"/>
        </w:numPr>
        <w:rPr>
          <w:rFonts w:ascii="Calibri" w:hAnsi="Calibri" w:cs="Calibri"/>
        </w:rPr>
      </w:pPr>
      <w:r w:rsidRPr="00604698">
        <w:rPr>
          <w:rFonts w:ascii="Calibri" w:hAnsi="Calibri" w:cs="Calibri"/>
          <w:b/>
          <w:bCs/>
        </w:rPr>
        <w:t>TUPE.</w:t>
      </w:r>
      <w:r w:rsidRPr="00604698">
        <w:rPr>
          <w:rFonts w:ascii="Calibri" w:hAnsi="Calibri" w:cs="Calibri"/>
        </w:rPr>
        <w:t> Please confirm whether any personnel of an existing service provider are wholly or mainly assigned to services within the scope of this Competition, such that the European Communities (Protection of Employees on Transfer of Undertakings) Regulations 2003 (SI 131/2003) could apply on commencement of the Services Contract.</w:t>
      </w:r>
    </w:p>
    <w:p w14:paraId="470EC54D" w14:textId="77777777" w:rsidR="00DD5583" w:rsidRDefault="00DD5583" w:rsidP="00DD5583">
      <w:pPr>
        <w:pStyle w:val="ListParagraph"/>
        <w:rPr>
          <w:rFonts w:ascii="Calibri" w:hAnsi="Calibri" w:cs="Calibri"/>
        </w:rPr>
      </w:pPr>
    </w:p>
    <w:p w14:paraId="0C0045E7" w14:textId="77777777" w:rsidR="00E66B22" w:rsidRPr="00E66B22" w:rsidRDefault="00E66B22" w:rsidP="00E66B22">
      <w:pPr>
        <w:pStyle w:val="ListParagraph"/>
        <w:rPr>
          <w:rFonts w:ascii="Calibri" w:hAnsi="Calibri" w:cs="Calibri"/>
          <w:b/>
          <w:bCs/>
        </w:rPr>
      </w:pPr>
      <w:r w:rsidRPr="00E66B22">
        <w:rPr>
          <w:rFonts w:ascii="Calibri" w:hAnsi="Calibri" w:cs="Calibri"/>
          <w:b/>
          <w:bCs/>
        </w:rPr>
        <w:t xml:space="preserve">No such arrangement will be needed. </w:t>
      </w:r>
    </w:p>
    <w:p w14:paraId="018676C7" w14:textId="77777777" w:rsidR="00E66B22" w:rsidRDefault="00E66B22" w:rsidP="00E66B22">
      <w:pPr>
        <w:pStyle w:val="ListParagraph"/>
        <w:rPr>
          <w:rFonts w:ascii="Calibri" w:hAnsi="Calibri" w:cs="Calibri"/>
        </w:rPr>
      </w:pPr>
    </w:p>
    <w:p w14:paraId="3F7B98F5" w14:textId="77777777" w:rsidR="00DD5583" w:rsidRDefault="00DD5583" w:rsidP="00E66B22">
      <w:pPr>
        <w:pStyle w:val="ListParagraph"/>
        <w:rPr>
          <w:rFonts w:ascii="Calibri" w:hAnsi="Calibri" w:cs="Calibri"/>
        </w:rPr>
      </w:pPr>
    </w:p>
    <w:p w14:paraId="1E876B30" w14:textId="77777777" w:rsidR="00E66B22" w:rsidRDefault="00E66B22" w:rsidP="00D762D4">
      <w:pPr>
        <w:pStyle w:val="ListParagraph"/>
        <w:numPr>
          <w:ilvl w:val="0"/>
          <w:numId w:val="100"/>
        </w:numPr>
        <w:rPr>
          <w:rFonts w:ascii="Calibri" w:hAnsi="Calibri" w:cs="Calibri"/>
        </w:rPr>
      </w:pPr>
      <w:r w:rsidRPr="00604698">
        <w:rPr>
          <w:rFonts w:ascii="Calibri" w:hAnsi="Calibri" w:cs="Calibri"/>
          <w:b/>
          <w:bCs/>
        </w:rPr>
        <w:t>CVs and the B2 page limit.</w:t>
      </w:r>
      <w:r w:rsidRPr="00604698">
        <w:rPr>
          <w:rFonts w:ascii="Calibri" w:hAnsi="Calibri" w:cs="Calibri"/>
        </w:rPr>
        <w:t> Please confirm that CVs submitted in response to selection criterion 3.2.B do not count toward the four-page limit for award criterion B2, and whether the evaluation panel will have regard to those CVs when scoring B2 or whether the B2 response must be entirely self-contained.</w:t>
      </w:r>
    </w:p>
    <w:p w14:paraId="577790A3" w14:textId="77777777" w:rsidR="00DD5583" w:rsidRDefault="00DD5583" w:rsidP="00DD5583">
      <w:pPr>
        <w:pStyle w:val="ListParagraph"/>
        <w:rPr>
          <w:rFonts w:ascii="Calibri" w:hAnsi="Calibri" w:cs="Calibri"/>
        </w:rPr>
      </w:pPr>
    </w:p>
    <w:p w14:paraId="4C27E170" w14:textId="77777777" w:rsidR="00E66B22" w:rsidRPr="00E66B22" w:rsidRDefault="00E66B22" w:rsidP="00E66B22">
      <w:pPr>
        <w:pStyle w:val="ListParagraph"/>
        <w:rPr>
          <w:rFonts w:ascii="Calibri" w:hAnsi="Calibri" w:cs="Calibri"/>
          <w:b/>
          <w:bCs/>
        </w:rPr>
      </w:pPr>
      <w:r w:rsidRPr="00E66B22">
        <w:rPr>
          <w:rFonts w:ascii="Calibri" w:hAnsi="Calibri" w:cs="Calibri"/>
          <w:b/>
          <w:bCs/>
        </w:rPr>
        <w:t xml:space="preserve">CVs should be limited to a maximum of 2 A4 pages of Calibri font size 11 </w:t>
      </w:r>
      <w:proofErr w:type="gramStart"/>
      <w:r w:rsidRPr="00E66B22">
        <w:rPr>
          <w:rFonts w:ascii="Calibri" w:hAnsi="Calibri" w:cs="Calibri"/>
          <w:b/>
          <w:bCs/>
        </w:rPr>
        <w:t>text, but</w:t>
      </w:r>
      <w:proofErr w:type="gramEnd"/>
      <w:r w:rsidRPr="00E66B22">
        <w:rPr>
          <w:rFonts w:ascii="Calibri" w:hAnsi="Calibri" w:cs="Calibri"/>
          <w:b/>
          <w:bCs/>
        </w:rPr>
        <w:t xml:space="preserve"> are not included in the overall quota as part of this response for that section.</w:t>
      </w:r>
    </w:p>
    <w:p w14:paraId="3100523A" w14:textId="77777777" w:rsidR="00E66B22" w:rsidRDefault="00E66B22" w:rsidP="00E66B22">
      <w:pPr>
        <w:pStyle w:val="ListParagraph"/>
        <w:rPr>
          <w:rFonts w:ascii="Calibri" w:hAnsi="Calibri" w:cs="Calibri"/>
        </w:rPr>
      </w:pPr>
    </w:p>
    <w:p w14:paraId="66AF1394" w14:textId="77777777" w:rsidR="00DD5583" w:rsidRDefault="00DD5583" w:rsidP="00E66B22">
      <w:pPr>
        <w:pStyle w:val="ListParagraph"/>
        <w:rPr>
          <w:rFonts w:ascii="Calibri" w:hAnsi="Calibri" w:cs="Calibri"/>
        </w:rPr>
      </w:pPr>
    </w:p>
    <w:p w14:paraId="745F56A1" w14:textId="77777777" w:rsidR="00E66B22" w:rsidRDefault="00E66B22" w:rsidP="00D762D4">
      <w:pPr>
        <w:pStyle w:val="ListParagraph"/>
        <w:numPr>
          <w:ilvl w:val="0"/>
          <w:numId w:val="100"/>
        </w:numPr>
        <w:rPr>
          <w:rFonts w:ascii="Calibri" w:hAnsi="Calibri" w:cs="Calibri"/>
        </w:rPr>
      </w:pPr>
      <w:r w:rsidRPr="00604698">
        <w:rPr>
          <w:rFonts w:ascii="Calibri" w:hAnsi="Calibri" w:cs="Calibri"/>
          <w:b/>
          <w:bCs/>
        </w:rPr>
        <w:t>Prior involvement.</w:t>
      </w:r>
      <w:r w:rsidRPr="00604698">
        <w:rPr>
          <w:rFonts w:ascii="Calibri" w:hAnsi="Calibri" w:cs="Calibri"/>
        </w:rPr>
        <w:t> Please confirm whether any economic operator involved in the preparation of the NIS2 readiness assessment or of this Competition will be permitted to tender and, if so, what measures the Contracting Authority has taken in accordance with Regulation 41 of the Regulations to ensure that competition is not distorted.</w:t>
      </w:r>
    </w:p>
    <w:p w14:paraId="392AAD8C" w14:textId="77777777" w:rsidR="00DD5583" w:rsidRDefault="00DD5583" w:rsidP="00DD5583">
      <w:pPr>
        <w:pStyle w:val="ListParagraph"/>
        <w:rPr>
          <w:rFonts w:ascii="Calibri" w:hAnsi="Calibri" w:cs="Calibri"/>
        </w:rPr>
      </w:pPr>
    </w:p>
    <w:p w14:paraId="088B5D58" w14:textId="77777777" w:rsidR="00E66B22" w:rsidRPr="00E66B22" w:rsidRDefault="00E66B22" w:rsidP="00E66B22">
      <w:pPr>
        <w:pStyle w:val="ListParagraph"/>
        <w:rPr>
          <w:rFonts w:ascii="Calibri" w:hAnsi="Calibri" w:cs="Calibri"/>
          <w:b/>
          <w:bCs/>
        </w:rPr>
      </w:pPr>
      <w:r w:rsidRPr="00E66B22">
        <w:rPr>
          <w:rFonts w:ascii="Calibri" w:hAnsi="Calibri" w:cs="Calibri"/>
          <w:b/>
          <w:bCs/>
        </w:rPr>
        <w:t xml:space="preserve">An economic operator involved in the preparation of the NIS2 readiness assessment is not automatically precluded from participating in this Competition. In accordance with </w:t>
      </w:r>
      <w:r w:rsidRPr="00E66B22">
        <w:rPr>
          <w:rFonts w:ascii="Calibri" w:hAnsi="Calibri" w:cs="Calibri"/>
          <w:b/>
          <w:bCs/>
        </w:rPr>
        <w:lastRenderedPageBreak/>
        <w:t>Regulation 41 of the European Union (Award of Public Authority Contracts) Regulations 2016, the Contracting Authority will take appropriate measures to ensure that any prior involvement does not distort competition. Relevant information necessary for the preparation of tenders has been provided in the tender documents and in the clarifications now provided, and adequate time will be given for the submission of tenders. Any actual or potential conflict of interest or unfair competitive advantage will be considered in accordance with the procurement documents and applicable law.</w:t>
      </w:r>
    </w:p>
    <w:p w14:paraId="6588C060" w14:textId="77777777" w:rsidR="00E66B22" w:rsidRDefault="00E66B22" w:rsidP="00E66B22">
      <w:pPr>
        <w:pStyle w:val="ListParagraph"/>
        <w:rPr>
          <w:rFonts w:ascii="Calibri" w:hAnsi="Calibri" w:cs="Calibri"/>
        </w:rPr>
      </w:pPr>
    </w:p>
    <w:p w14:paraId="733B7CA9" w14:textId="77777777" w:rsidR="00DD5583" w:rsidRDefault="00DD5583" w:rsidP="00E66B22">
      <w:pPr>
        <w:pStyle w:val="ListParagraph"/>
        <w:rPr>
          <w:rFonts w:ascii="Calibri" w:hAnsi="Calibri" w:cs="Calibri"/>
        </w:rPr>
      </w:pPr>
    </w:p>
    <w:p w14:paraId="4A4900AF" w14:textId="77777777" w:rsidR="00D308AC" w:rsidRDefault="00D308AC" w:rsidP="00D308AC">
      <w:pPr>
        <w:numPr>
          <w:ilvl w:val="0"/>
          <w:numId w:val="100"/>
        </w:numPr>
        <w:rPr>
          <w:rFonts w:ascii="Calibri" w:hAnsi="Calibri" w:cs="Calibri"/>
        </w:rPr>
      </w:pPr>
      <w:r w:rsidRPr="006D5F81">
        <w:rPr>
          <w:rFonts w:ascii="Calibri" w:hAnsi="Calibri" w:cs="Calibri"/>
          <w:b/>
          <w:bCs/>
        </w:rPr>
        <w:t>NIS2 identified gaps remediation (8-9 months)</w:t>
      </w:r>
      <w:r>
        <w:rPr>
          <w:rFonts w:ascii="Calibri" w:hAnsi="Calibri" w:cs="Calibri"/>
          <w:b/>
          <w:bCs/>
        </w:rPr>
        <w:t xml:space="preserve">: </w:t>
      </w:r>
      <w:r w:rsidRPr="006D5F81">
        <w:rPr>
          <w:rFonts w:ascii="Calibri" w:hAnsi="Calibri" w:cs="Calibri"/>
        </w:rPr>
        <w:t>Could you confirm that a NIS2 assessment has already been conducted.</w:t>
      </w:r>
    </w:p>
    <w:p w14:paraId="6DAC234C" w14:textId="77777777" w:rsidR="00D308AC" w:rsidRPr="00D308AC" w:rsidRDefault="00D308AC" w:rsidP="00D308AC">
      <w:pPr>
        <w:pStyle w:val="ListParagraph"/>
        <w:rPr>
          <w:rFonts w:ascii="Calibri" w:hAnsi="Calibri" w:cs="Calibri"/>
          <w:b/>
          <w:bCs/>
        </w:rPr>
      </w:pPr>
      <w:r w:rsidRPr="00D308AC">
        <w:rPr>
          <w:rFonts w:ascii="Calibri" w:hAnsi="Calibri" w:cs="Calibri"/>
          <w:b/>
          <w:bCs/>
        </w:rPr>
        <w:t>Yes, completed in November 2025.</w:t>
      </w:r>
    </w:p>
    <w:p w14:paraId="7FD2FFC2" w14:textId="77777777" w:rsidR="00D308AC" w:rsidRDefault="00D308AC" w:rsidP="00D308AC">
      <w:pPr>
        <w:ind w:left="720"/>
        <w:rPr>
          <w:rFonts w:ascii="Calibri" w:hAnsi="Calibri" w:cs="Calibri"/>
        </w:rPr>
      </w:pPr>
    </w:p>
    <w:p w14:paraId="5CAABE12" w14:textId="77777777" w:rsidR="00D308AC" w:rsidRDefault="00D308AC" w:rsidP="00D308AC">
      <w:pPr>
        <w:numPr>
          <w:ilvl w:val="0"/>
          <w:numId w:val="100"/>
        </w:numPr>
        <w:rPr>
          <w:rFonts w:ascii="Calibri" w:hAnsi="Calibri" w:cs="Calibri"/>
        </w:rPr>
      </w:pPr>
      <w:r w:rsidRPr="006D5F81">
        <w:rPr>
          <w:rFonts w:ascii="Calibri" w:hAnsi="Calibri" w:cs="Calibri"/>
        </w:rPr>
        <w:t>Can the result of the assessment be shared.</w:t>
      </w:r>
    </w:p>
    <w:p w14:paraId="1D4A977A" w14:textId="77777777" w:rsidR="00D308AC" w:rsidRPr="00D308AC" w:rsidRDefault="00D308AC" w:rsidP="00D308AC">
      <w:pPr>
        <w:pStyle w:val="ListParagraph"/>
        <w:rPr>
          <w:rFonts w:ascii="Calibri" w:hAnsi="Calibri" w:cs="Calibri"/>
          <w:b/>
          <w:bCs/>
        </w:rPr>
      </w:pPr>
      <w:r w:rsidRPr="00D308AC">
        <w:rPr>
          <w:rFonts w:ascii="Calibri" w:hAnsi="Calibri" w:cs="Calibri"/>
          <w:b/>
          <w:bCs/>
        </w:rPr>
        <w:t>Details on this are covered in section 1.2 of the RFT. The recommendations from the gap analysis are grouped into 8 initiatives, 4 of which are still outstanding. Our aim is for 3.5 within the CyFun scale, which we are currently not yet at.</w:t>
      </w:r>
    </w:p>
    <w:p w14:paraId="51A1DC1D" w14:textId="77777777" w:rsidR="00D308AC" w:rsidRDefault="00D308AC" w:rsidP="00D308AC">
      <w:pPr>
        <w:ind w:left="720"/>
        <w:rPr>
          <w:rFonts w:ascii="Calibri" w:hAnsi="Calibri" w:cs="Calibri"/>
        </w:rPr>
      </w:pPr>
    </w:p>
    <w:p w14:paraId="49863899" w14:textId="77777777" w:rsidR="00D308AC" w:rsidRDefault="00D308AC" w:rsidP="00D308AC">
      <w:pPr>
        <w:numPr>
          <w:ilvl w:val="0"/>
          <w:numId w:val="100"/>
        </w:numPr>
        <w:rPr>
          <w:rFonts w:ascii="Calibri" w:hAnsi="Calibri" w:cs="Calibri"/>
        </w:rPr>
      </w:pPr>
      <w:r w:rsidRPr="006D5F81">
        <w:rPr>
          <w:rFonts w:ascii="Calibri" w:hAnsi="Calibri" w:cs="Calibri"/>
        </w:rPr>
        <w:t>Is there a list of priorities already defined.</w:t>
      </w:r>
    </w:p>
    <w:p w14:paraId="3D362D49" w14:textId="77777777" w:rsidR="00D308AC" w:rsidRPr="00D308AC" w:rsidRDefault="00D308AC" w:rsidP="00D308AC">
      <w:pPr>
        <w:pStyle w:val="ListParagraph"/>
        <w:rPr>
          <w:rFonts w:ascii="Calibri" w:hAnsi="Calibri" w:cs="Calibri"/>
        </w:rPr>
      </w:pPr>
      <w:r w:rsidRPr="00D308AC">
        <w:rPr>
          <w:rFonts w:ascii="Calibri" w:hAnsi="Calibri" w:cs="Calibri"/>
          <w:b/>
          <w:bCs/>
        </w:rPr>
        <w:t>Details on this are covered in section 1.2 of the RFT.</w:t>
      </w:r>
    </w:p>
    <w:p w14:paraId="62740BFB" w14:textId="77777777" w:rsidR="00D308AC" w:rsidRDefault="00D308AC" w:rsidP="00D308AC">
      <w:pPr>
        <w:ind w:left="720"/>
        <w:rPr>
          <w:rFonts w:ascii="Calibri" w:hAnsi="Calibri" w:cs="Calibri"/>
        </w:rPr>
      </w:pPr>
    </w:p>
    <w:p w14:paraId="18FC7A72" w14:textId="77777777" w:rsidR="00D308AC" w:rsidRDefault="00D308AC" w:rsidP="00D308AC">
      <w:pPr>
        <w:numPr>
          <w:ilvl w:val="0"/>
          <w:numId w:val="100"/>
        </w:numPr>
        <w:rPr>
          <w:rFonts w:ascii="Calibri" w:hAnsi="Calibri" w:cs="Calibri"/>
        </w:rPr>
      </w:pPr>
      <w:r w:rsidRPr="006D5F81">
        <w:rPr>
          <w:rFonts w:ascii="Calibri" w:hAnsi="Calibri" w:cs="Calibri"/>
        </w:rPr>
        <w:t>Is there an onsite requirement for this phase of the project or can this be delivered remotely.</w:t>
      </w:r>
    </w:p>
    <w:p w14:paraId="28F22E39" w14:textId="77777777" w:rsidR="00D308AC" w:rsidRPr="00D308AC" w:rsidRDefault="00D308AC" w:rsidP="00D308AC">
      <w:pPr>
        <w:pStyle w:val="ListParagraph"/>
        <w:rPr>
          <w:rFonts w:ascii="Calibri" w:hAnsi="Calibri" w:cs="Calibri"/>
          <w:b/>
          <w:bCs/>
        </w:rPr>
      </w:pPr>
      <w:r w:rsidRPr="00D308AC">
        <w:rPr>
          <w:rFonts w:ascii="Calibri" w:hAnsi="Calibri" w:cs="Calibri"/>
          <w:b/>
          <w:bCs/>
        </w:rPr>
        <w:t xml:space="preserve">Travel and on-site attendance will be needed for a small number of meetings or for incident response exercises. This should be included in the </w:t>
      </w:r>
      <w:proofErr w:type="gramStart"/>
      <w:r w:rsidRPr="00D308AC">
        <w:rPr>
          <w:rFonts w:ascii="Calibri" w:hAnsi="Calibri" w:cs="Calibri"/>
          <w:b/>
          <w:bCs/>
        </w:rPr>
        <w:t>costing, but</w:t>
      </w:r>
      <w:proofErr w:type="gramEnd"/>
      <w:r w:rsidRPr="00D308AC">
        <w:rPr>
          <w:rFonts w:ascii="Calibri" w:hAnsi="Calibri" w:cs="Calibri"/>
          <w:b/>
          <w:bCs/>
        </w:rPr>
        <w:t xml:space="preserve"> is likely to be limited to ad hoc meetings or exercises. Attendance at on-site meetings in Dublin only, as needed, should be included. </w:t>
      </w:r>
    </w:p>
    <w:p w14:paraId="6DE40D22" w14:textId="77777777" w:rsidR="00D308AC" w:rsidRDefault="00D308AC" w:rsidP="00D308AC">
      <w:pPr>
        <w:ind w:left="720"/>
        <w:rPr>
          <w:rFonts w:ascii="Calibri" w:hAnsi="Calibri" w:cs="Calibri"/>
        </w:rPr>
      </w:pPr>
    </w:p>
    <w:p w14:paraId="60D8B5AE" w14:textId="77777777" w:rsidR="00D308AC" w:rsidRDefault="00D308AC" w:rsidP="00D308AC">
      <w:pPr>
        <w:numPr>
          <w:ilvl w:val="0"/>
          <w:numId w:val="100"/>
        </w:numPr>
        <w:rPr>
          <w:rFonts w:ascii="Calibri" w:hAnsi="Calibri" w:cs="Calibri"/>
        </w:rPr>
      </w:pPr>
      <w:r>
        <w:rPr>
          <w:rFonts w:ascii="Calibri" w:hAnsi="Calibri" w:cs="Calibri"/>
          <w:b/>
          <w:bCs/>
        </w:rPr>
        <w:t xml:space="preserve">MSSP: </w:t>
      </w:r>
      <w:r w:rsidRPr="006D5F81">
        <w:rPr>
          <w:rFonts w:ascii="Calibri" w:hAnsi="Calibri" w:cs="Calibri"/>
        </w:rPr>
        <w:t>Can you please clarify the exact volumes in scope for users, mailboxes, endpoints, servers, cloud workloads, and tenants</w:t>
      </w:r>
    </w:p>
    <w:p w14:paraId="74BEB670" w14:textId="77777777" w:rsidR="00D308AC" w:rsidRPr="00D308AC" w:rsidRDefault="00D308AC" w:rsidP="00D308AC">
      <w:pPr>
        <w:pStyle w:val="ListParagraph"/>
        <w:rPr>
          <w:rFonts w:ascii="Calibri" w:hAnsi="Calibri" w:cs="Calibri"/>
          <w:b/>
          <w:bCs/>
        </w:rPr>
      </w:pPr>
      <w:r w:rsidRPr="00D308AC">
        <w:rPr>
          <w:b/>
          <w:bCs/>
        </w:rPr>
        <w:t xml:space="preserve">We have a cross-tenant B2B connection to our main tenant, which is centrally hosted within the government networks and is out of scope. We get our identities from them from AD, which provides SSO. Roughly 800 users, then a small number of service accounts, PIM is in operation and RBAC. There are also roughly 150 users who have guest access from another government department, and a small number of contractor accounts. </w:t>
      </w:r>
      <w:r w:rsidRPr="00D308AC">
        <w:rPr>
          <w:b/>
          <w:bCs/>
        </w:rPr>
        <w:br/>
      </w:r>
      <w:r w:rsidRPr="00D308AC">
        <w:rPr>
          <w:b/>
          <w:bCs/>
        </w:rPr>
        <w:br/>
        <w:t xml:space="preserve">An on-premises tenant under the remit of a central government department </w:t>
      </w:r>
      <w:r w:rsidRPr="00D308AC">
        <w:rPr>
          <w:b/>
          <w:bCs/>
        </w:rPr>
        <w:lastRenderedPageBreak/>
        <w:t xml:space="preserve">provides us with several lines of business applications, desktop services, and 365. Through it, a cross-tenant B2B connection provides SSO and cross-tenant synchronisation to our cloud applications and other workloads. </w:t>
      </w:r>
      <w:r w:rsidRPr="00D308AC">
        <w:rPr>
          <w:b/>
          <w:bCs/>
        </w:rPr>
        <w:br/>
        <w:t>Most capacities are combined serverless processes, such as Fabric, Power Pages, and Power Apps. There are roughly 4-5 line-of-business apps in a fabric environment as well.</w:t>
      </w:r>
    </w:p>
    <w:p w14:paraId="5369EBE9" w14:textId="77777777" w:rsidR="00D308AC" w:rsidRDefault="00D308AC" w:rsidP="00D308AC">
      <w:pPr>
        <w:ind w:left="720"/>
        <w:rPr>
          <w:rFonts w:ascii="Calibri" w:hAnsi="Calibri" w:cs="Calibri"/>
        </w:rPr>
      </w:pPr>
    </w:p>
    <w:p w14:paraId="218C21FD" w14:textId="77777777" w:rsidR="00D308AC" w:rsidRDefault="00D308AC" w:rsidP="00D308AC">
      <w:pPr>
        <w:numPr>
          <w:ilvl w:val="0"/>
          <w:numId w:val="100"/>
        </w:numPr>
        <w:rPr>
          <w:rFonts w:ascii="Calibri" w:hAnsi="Calibri" w:cs="Calibri"/>
        </w:rPr>
      </w:pPr>
      <w:r w:rsidRPr="006D5F81">
        <w:rPr>
          <w:rFonts w:ascii="Calibri" w:hAnsi="Calibri" w:cs="Calibri"/>
        </w:rPr>
        <w:t>What SIEM tool is in place and what SOAR is used for the MSSP operations. Can you confirm the level of licensing etc. Are you responsible for data ingestion and retention costs or should we include this in our proposal.</w:t>
      </w:r>
    </w:p>
    <w:p w14:paraId="1800A04F" w14:textId="77777777" w:rsidR="00D308AC" w:rsidRPr="00D308AC" w:rsidRDefault="00D308AC" w:rsidP="00D308AC">
      <w:pPr>
        <w:pStyle w:val="ListParagraph"/>
        <w:rPr>
          <w:rFonts w:ascii="Calibri" w:hAnsi="Calibri" w:cs="Calibri"/>
          <w:b/>
          <w:bCs/>
        </w:rPr>
      </w:pPr>
      <w:r w:rsidRPr="00D308AC">
        <w:rPr>
          <w:rFonts w:ascii="Calibri" w:hAnsi="Calibri" w:cs="Calibri"/>
          <w:b/>
          <w:bCs/>
        </w:rPr>
        <w:t>Microsoft Sentinel is provided via a landing zone, but is not fully operational, as no MSSP is currently in place. DCDE will remain responsible for all costs related to licenses and data ingestion/retention.</w:t>
      </w:r>
    </w:p>
    <w:p w14:paraId="6B12AF6B" w14:textId="77777777" w:rsidR="00D308AC" w:rsidRDefault="00D308AC" w:rsidP="00D308AC">
      <w:pPr>
        <w:ind w:left="720"/>
        <w:rPr>
          <w:rFonts w:ascii="Calibri" w:hAnsi="Calibri" w:cs="Calibri"/>
        </w:rPr>
      </w:pPr>
    </w:p>
    <w:p w14:paraId="46E088F7" w14:textId="77777777" w:rsidR="00D308AC" w:rsidRDefault="00D308AC" w:rsidP="00D308AC">
      <w:pPr>
        <w:numPr>
          <w:ilvl w:val="0"/>
          <w:numId w:val="100"/>
        </w:numPr>
        <w:rPr>
          <w:rFonts w:ascii="Calibri" w:hAnsi="Calibri" w:cs="Calibri"/>
        </w:rPr>
      </w:pPr>
      <w:r w:rsidRPr="006D5F81">
        <w:rPr>
          <w:rFonts w:ascii="Calibri" w:hAnsi="Calibri" w:cs="Calibri"/>
        </w:rPr>
        <w:t>For 24/7 SOC operation, do you require all staff to be in the EU/EEA.</w:t>
      </w:r>
    </w:p>
    <w:p w14:paraId="2EF3578E" w14:textId="77777777" w:rsidR="008B596A" w:rsidRPr="008B596A" w:rsidRDefault="008B596A" w:rsidP="008B596A">
      <w:pPr>
        <w:pStyle w:val="ListParagraph"/>
        <w:rPr>
          <w:rFonts w:ascii="Calibri" w:hAnsi="Calibri" w:cs="Calibri"/>
          <w:b/>
          <w:bCs/>
        </w:rPr>
      </w:pPr>
      <w:r w:rsidRPr="008B596A">
        <w:rPr>
          <w:rFonts w:ascii="Calibri" w:hAnsi="Calibri" w:cs="Calibri"/>
          <w:b/>
          <w:bCs/>
        </w:rPr>
        <w:t>All contractors must be in the EU/EEA.</w:t>
      </w:r>
    </w:p>
    <w:p w14:paraId="4872A4AC" w14:textId="77777777" w:rsidR="008B596A" w:rsidRDefault="008B596A" w:rsidP="008B596A">
      <w:pPr>
        <w:ind w:left="720"/>
        <w:rPr>
          <w:rFonts w:ascii="Calibri" w:hAnsi="Calibri" w:cs="Calibri"/>
        </w:rPr>
      </w:pPr>
    </w:p>
    <w:p w14:paraId="71243C43" w14:textId="77777777" w:rsidR="00D308AC" w:rsidRDefault="00D308AC" w:rsidP="00D308AC">
      <w:pPr>
        <w:numPr>
          <w:ilvl w:val="0"/>
          <w:numId w:val="100"/>
        </w:numPr>
        <w:rPr>
          <w:rFonts w:ascii="Calibri" w:hAnsi="Calibri" w:cs="Calibri"/>
        </w:rPr>
      </w:pPr>
      <w:r w:rsidRPr="006D5F81">
        <w:rPr>
          <w:rFonts w:ascii="Calibri" w:hAnsi="Calibri" w:cs="Calibri"/>
        </w:rPr>
        <w:t>What SLAs / SLOs are expected in and out of hours.</w:t>
      </w:r>
    </w:p>
    <w:p w14:paraId="1628D81E" w14:textId="77777777" w:rsidR="008B596A" w:rsidRPr="008B596A" w:rsidRDefault="008B596A" w:rsidP="008B596A">
      <w:pPr>
        <w:pStyle w:val="ListParagraph"/>
        <w:rPr>
          <w:rFonts w:ascii="Calibri" w:hAnsi="Calibri" w:cs="Calibri"/>
          <w:b/>
          <w:bCs/>
        </w:rPr>
      </w:pPr>
      <w:r w:rsidRPr="008B596A">
        <w:rPr>
          <w:rFonts w:ascii="Calibri" w:hAnsi="Calibri" w:cs="Calibri"/>
          <w:b/>
          <w:bCs/>
        </w:rPr>
        <w:t>This is not currently defined, but we will work with the successful MSSP provider to agree on this and include it in the SLA/Contract. The main duties will be 8x5 monitoring, and the out-of-hours will only be for critical alerts or notifications. As a way of estimating, we have not had the misfortune of implementing our current incident response procedures to date, and this will only be needed if a trigger is required and aligns with our requirements under CER and NIS2, or depending on alerts set up by the MSSP.</w:t>
      </w:r>
    </w:p>
    <w:p w14:paraId="37F7C174" w14:textId="77777777" w:rsidR="008B596A" w:rsidRPr="006D5F81" w:rsidRDefault="008B596A" w:rsidP="008B596A">
      <w:pPr>
        <w:ind w:left="720"/>
        <w:rPr>
          <w:rFonts w:ascii="Calibri" w:hAnsi="Calibri" w:cs="Calibri"/>
        </w:rPr>
      </w:pPr>
    </w:p>
    <w:p w14:paraId="36C54EB7" w14:textId="77777777" w:rsidR="0052575C" w:rsidRDefault="0052575C" w:rsidP="0052575C">
      <w:pPr>
        <w:numPr>
          <w:ilvl w:val="0"/>
          <w:numId w:val="100"/>
        </w:numPr>
        <w:rPr>
          <w:rFonts w:ascii="Calibri" w:hAnsi="Calibri" w:cs="Calibri"/>
        </w:rPr>
      </w:pPr>
      <w:r w:rsidRPr="00FF1D38">
        <w:rPr>
          <w:rFonts w:ascii="Calibri" w:hAnsi="Calibri" w:cs="Calibri"/>
          <w:b/>
          <w:bCs/>
        </w:rPr>
        <w:t>RFT 2.10.6 </w:t>
      </w:r>
      <w:r w:rsidRPr="00FF1D38">
        <w:rPr>
          <w:rFonts w:ascii="Calibri" w:hAnsi="Calibri" w:cs="Calibri"/>
        </w:rPr>
        <w:t>- Can you please confirm whether section 2.10.6 is applicable? Although it is marked as "Not Used", there is accompanying text included within the section. Please clarify whether this text should be considered as part of the requirement or disregarded</w:t>
      </w:r>
    </w:p>
    <w:p w14:paraId="4A699893" w14:textId="77777777" w:rsidR="0052575C" w:rsidRPr="00FF1D38" w:rsidRDefault="0052575C" w:rsidP="0052575C">
      <w:pPr>
        <w:ind w:left="720"/>
        <w:rPr>
          <w:rFonts w:ascii="Calibri" w:hAnsi="Calibri" w:cs="Calibri"/>
          <w:b/>
          <w:bCs/>
        </w:rPr>
      </w:pPr>
      <w:r>
        <w:rPr>
          <w:rFonts w:ascii="Calibri" w:hAnsi="Calibri" w:cs="Calibri"/>
          <w:b/>
          <w:bCs/>
        </w:rPr>
        <w:t xml:space="preserve">Section 2.10.6 is not applicable. </w:t>
      </w:r>
    </w:p>
    <w:p w14:paraId="500F0DED" w14:textId="77777777" w:rsidR="0052575C" w:rsidRPr="00FF1D38" w:rsidRDefault="0052575C" w:rsidP="0052575C">
      <w:pPr>
        <w:numPr>
          <w:ilvl w:val="0"/>
          <w:numId w:val="100"/>
        </w:numPr>
        <w:rPr>
          <w:rFonts w:ascii="Calibri" w:hAnsi="Calibri" w:cs="Calibri"/>
        </w:rPr>
      </w:pPr>
      <w:r w:rsidRPr="00FF1D38">
        <w:rPr>
          <w:rFonts w:ascii="Calibri" w:hAnsi="Calibri" w:cs="Calibri"/>
          <w:b/>
          <w:bCs/>
        </w:rPr>
        <w:t>RFT - Appendix 1 Requirements and Specification</w:t>
      </w:r>
      <w:r w:rsidRPr="00FF1D38">
        <w:rPr>
          <w:rFonts w:ascii="Calibri" w:hAnsi="Calibri" w:cs="Calibri"/>
        </w:rPr>
        <w:t> - The scope of requirements includes a number of services, including addressing the remaining gaps identified during the NIS2 readiness assessment and associated audit/review activities. Has any part of this requirement already been delivered or is it currently being delivered by an incumbent provider? If so, please can you confirm the incumbent supplier(s) and the reason for bringing this opportunity to market?</w:t>
      </w:r>
    </w:p>
    <w:p w14:paraId="6C9624B9" w14:textId="1511893A" w:rsidR="002E7041" w:rsidRPr="007144F7" w:rsidRDefault="00CE7BE5">
      <w:pPr>
        <w:pStyle w:val="ListParagraph"/>
      </w:pPr>
      <w:r w:rsidRPr="007144F7">
        <w:rPr>
          <w:b/>
          <w:sz w:val="20"/>
        </w:rPr>
        <w:t xml:space="preserve">There is no incumbent MSSP or SOC provider for the in-scope tenant. DCDE has a current provider for NIS2 gap analysis and cybersecurity consultancy/governance support; </w:t>
      </w:r>
      <w:r w:rsidRPr="007144F7">
        <w:rPr>
          <w:b/>
          <w:sz w:val="20"/>
        </w:rPr>
        <w:lastRenderedPageBreak/>
        <w:t xml:space="preserve">offboarding support is available for that workstream. No TUPE/staff transfer arrangement is </w:t>
      </w:r>
      <w:r w:rsidR="00D068DA" w:rsidRPr="007144F7">
        <w:rPr>
          <w:b/>
          <w:sz w:val="20"/>
        </w:rPr>
        <w:t>required</w:t>
      </w:r>
      <w:r w:rsidRPr="007144F7">
        <w:rPr>
          <w:b/>
          <w:sz w:val="20"/>
        </w:rPr>
        <w:t>.</w:t>
      </w:r>
    </w:p>
    <w:p w14:paraId="570BAF10" w14:textId="77777777" w:rsidR="0052575C" w:rsidRPr="00FF1D38" w:rsidRDefault="0052575C" w:rsidP="0052575C">
      <w:pPr>
        <w:numPr>
          <w:ilvl w:val="0"/>
          <w:numId w:val="100"/>
        </w:numPr>
        <w:rPr>
          <w:rFonts w:ascii="Calibri" w:hAnsi="Calibri" w:cs="Calibri"/>
        </w:rPr>
      </w:pPr>
      <w:r w:rsidRPr="00FF1D38">
        <w:rPr>
          <w:rFonts w:ascii="Calibri" w:hAnsi="Calibri" w:cs="Calibri"/>
          <w:b/>
          <w:bCs/>
        </w:rPr>
        <w:t>RFT - Appendix 1 Requirements and Specification</w:t>
      </w:r>
      <w:r w:rsidRPr="00FF1D38">
        <w:rPr>
          <w:rFonts w:ascii="Calibri" w:hAnsi="Calibri" w:cs="Calibri"/>
        </w:rPr>
        <w:t> - Would you consider a sovereign UK based data storage and SOC Team if no PII is being ingested.</w:t>
      </w:r>
    </w:p>
    <w:p w14:paraId="7647DB57" w14:textId="417D4247" w:rsidR="002E7041" w:rsidRDefault="00CE7BE5">
      <w:pPr>
        <w:pStyle w:val="ListParagraph"/>
        <w:rPr>
          <w:b/>
          <w:sz w:val="20"/>
        </w:rPr>
      </w:pPr>
      <w:r w:rsidRPr="007144F7">
        <w:rPr>
          <w:b/>
          <w:sz w:val="20"/>
        </w:rPr>
        <w:t xml:space="preserve">Services may generally be delivered remotely from within the EU/EEA. Attendance in Dublin may be required for a small number of meetings, incident response exercises, tabletop exercises or other agreed activities. </w:t>
      </w:r>
      <w:r w:rsidR="005E7FF4" w:rsidRPr="007144F7">
        <w:rPr>
          <w:b/>
          <w:sz w:val="20"/>
        </w:rPr>
        <w:t xml:space="preserve"> In </w:t>
      </w:r>
      <w:r w:rsidR="005E7FF4" w:rsidRPr="005E7FF4">
        <w:rPr>
          <w:b/>
          <w:sz w:val="20"/>
        </w:rPr>
        <w:t>general,</w:t>
      </w:r>
      <w:r w:rsidR="005E7FF4" w:rsidRPr="007144F7">
        <w:rPr>
          <w:b/>
          <w:sz w:val="20"/>
        </w:rPr>
        <w:t xml:space="preserve"> it is expected that telemetry will remain in the same Azure and Fabric underlying regions, which are currently not based in the UK.</w:t>
      </w:r>
    </w:p>
    <w:p w14:paraId="115FF9CC" w14:textId="77777777" w:rsidR="00DD5583" w:rsidRPr="007144F7" w:rsidRDefault="00DD5583">
      <w:pPr>
        <w:pStyle w:val="ListParagraph"/>
        <w:rPr>
          <w:b/>
        </w:rPr>
      </w:pPr>
    </w:p>
    <w:p w14:paraId="3DB69357" w14:textId="77777777" w:rsidR="0052575C" w:rsidRPr="00FF1D38" w:rsidRDefault="0052575C" w:rsidP="0052575C">
      <w:pPr>
        <w:numPr>
          <w:ilvl w:val="0"/>
          <w:numId w:val="100"/>
        </w:numPr>
        <w:rPr>
          <w:rFonts w:ascii="Calibri" w:hAnsi="Calibri" w:cs="Calibri"/>
        </w:rPr>
      </w:pPr>
      <w:r w:rsidRPr="00FF1D38">
        <w:rPr>
          <w:rFonts w:ascii="Calibri" w:hAnsi="Calibri" w:cs="Calibri"/>
          <w:b/>
          <w:bCs/>
        </w:rPr>
        <w:t>RFT - Appendix 1 Requirements and Specification</w:t>
      </w:r>
      <w:r w:rsidRPr="00FF1D38">
        <w:rPr>
          <w:rFonts w:ascii="Calibri" w:hAnsi="Calibri" w:cs="Calibri"/>
        </w:rPr>
        <w:t> - How many functional corporate users do you have versus accounts within M365?</w:t>
      </w:r>
    </w:p>
    <w:p w14:paraId="203F3877" w14:textId="7D646246" w:rsidR="002E7041" w:rsidRDefault="00CE7BE5">
      <w:pPr>
        <w:pStyle w:val="ListParagraph"/>
        <w:rPr>
          <w:b/>
          <w:sz w:val="20"/>
        </w:rPr>
      </w:pPr>
      <w:r w:rsidRPr="007144F7">
        <w:rPr>
          <w:b/>
          <w:sz w:val="20"/>
        </w:rPr>
        <w:t>The in-scope environment is DCDE’s Azure tenant hosting line-of-business applications and related workloads. The Department has approximately 800 users on the tenant, approximately 150 guest users from another Government Department, a small number of contractor and service accounts, and approximately 4-5 line-of-business applications with a Fabric environment. End-user devices, mobile devices, Microsoft 365 services and the central Government tenant are generally out of scope unless otherwise stated. DCDE uses a cross-tenant B2B connection to the centrally hosted Government tenant. Identities are provided from Active Directory with SSO. PIM and RBAC are in operation, with a small number of service accounts and privileged users. The precise number of privileged accounts will be confirmed during mobilisation.</w:t>
      </w:r>
    </w:p>
    <w:p w14:paraId="2CBEB8DD" w14:textId="77777777" w:rsidR="00DD5583" w:rsidRPr="007144F7" w:rsidRDefault="00DD5583">
      <w:pPr>
        <w:pStyle w:val="ListParagraph"/>
      </w:pPr>
    </w:p>
    <w:p w14:paraId="3465E820" w14:textId="77777777" w:rsidR="00E66B22" w:rsidRDefault="0052575C" w:rsidP="00EB5EC9">
      <w:pPr>
        <w:numPr>
          <w:ilvl w:val="0"/>
          <w:numId w:val="100"/>
        </w:numPr>
        <w:rPr>
          <w:rFonts w:ascii="Calibri" w:hAnsi="Calibri" w:cs="Calibri"/>
        </w:rPr>
      </w:pPr>
      <w:r w:rsidRPr="00FF1D38">
        <w:rPr>
          <w:rFonts w:ascii="Calibri" w:hAnsi="Calibri" w:cs="Calibri"/>
          <w:b/>
          <w:bCs/>
        </w:rPr>
        <w:t>A7 - Selection Criteria - Technical and Professional Ability</w:t>
      </w:r>
      <w:r w:rsidRPr="00FF1D38">
        <w:rPr>
          <w:rFonts w:ascii="Calibri" w:hAnsi="Calibri" w:cs="Calibri"/>
        </w:rPr>
        <w:t> - Can you please confirm whether the items listed under Technical and Professional Ability (i-v) are considered supporting documentation and therefore only required upon request, unless specifically requested elsewhere within the Tender Response Document (TRD)?</w:t>
      </w:r>
    </w:p>
    <w:p w14:paraId="4486E49F" w14:textId="0F1B1862" w:rsidR="002E7041" w:rsidRDefault="00CE7BE5">
      <w:pPr>
        <w:pStyle w:val="ListParagraph"/>
        <w:rPr>
          <w:b/>
          <w:sz w:val="20"/>
        </w:rPr>
      </w:pPr>
      <w:r w:rsidRPr="007144F7">
        <w:rPr>
          <w:b/>
          <w:sz w:val="20"/>
        </w:rPr>
        <w:t>Tenderers should follow the RFT requirements. CVs for key personnel should be provided as required and limited to a maximum of 2 A4 pages of Calibri font size 11 per CV. CVs may be submitted as separate attachments and are not included in the B2 page limit. Other supporting documentation must be available without delay when requested by the Contracting Authority unless expressly required with the tender.</w:t>
      </w:r>
    </w:p>
    <w:p w14:paraId="02C6E8D9" w14:textId="77777777" w:rsidR="00DD5583" w:rsidRPr="007144F7" w:rsidRDefault="00DD5583">
      <w:pPr>
        <w:pStyle w:val="ListParagraph"/>
      </w:pPr>
    </w:p>
    <w:p w14:paraId="05FD8F2B" w14:textId="77777777" w:rsidR="00EB5EC9" w:rsidRPr="00EF6AB8" w:rsidRDefault="00EB5EC9" w:rsidP="00EB5EC9">
      <w:pPr>
        <w:numPr>
          <w:ilvl w:val="0"/>
          <w:numId w:val="100"/>
        </w:numPr>
        <w:rPr>
          <w:rFonts w:ascii="Calibri" w:hAnsi="Calibri" w:cs="Calibri"/>
        </w:rPr>
      </w:pPr>
      <w:r w:rsidRPr="00EF6AB8">
        <w:rPr>
          <w:rFonts w:ascii="Calibri" w:hAnsi="Calibri" w:cs="Calibri"/>
        </w:rPr>
        <w:t>Log source volume and data ingestion rates: Can the Contracting Authority provide indicative volumes of log data ingested per day/month (in GB or events per second), the number of log sources in scope, and the number of systems/workloads generating security events?</w:t>
      </w:r>
    </w:p>
    <w:p w14:paraId="6B6A0B35" w14:textId="1D83324F" w:rsidR="002E7041" w:rsidRDefault="00CE7BE5">
      <w:pPr>
        <w:pStyle w:val="ListParagraph"/>
        <w:rPr>
          <w:b/>
          <w:sz w:val="20"/>
        </w:rPr>
      </w:pPr>
      <w:r w:rsidRPr="007144F7">
        <w:rPr>
          <w:b/>
          <w:sz w:val="20"/>
        </w:rPr>
        <w:t xml:space="preserve">Microsoft Sentinel is provided via a landing zone but is not yet fully operational. DCDE does not currently have an MSSP in place. The successful tenderer will assist DCDE with configuration, optimisation, onboarding, detection content, reporting and operationalisation of the current SIEM solution. DCDE will remain responsible for SIEM licensing and data ingestion/retention costs unless otherwise agreed. Current scheduled log ingestion and review are not yet operational. Data connectors are currently set for Microsoft Defender for Cloud, Network Security Groups, Azure Activity, Entra ID and Azure </w:t>
      </w:r>
      <w:r w:rsidRPr="007144F7">
        <w:rPr>
          <w:b/>
          <w:sz w:val="20"/>
        </w:rPr>
        <w:lastRenderedPageBreak/>
        <w:t>Monitor. NSG flow logs are not currently configured. Additional sources may include Microsoft infrastructure and line-of-business application logs, including Power Apps, Power Pages, Microsoft Fabric, SharePoint Online, Dynamics when introduced, and other sources identified during mobilisation. Current GB/day, EPS and monthly alert volumes are not available.</w:t>
      </w:r>
    </w:p>
    <w:p w14:paraId="4F89910A" w14:textId="77777777" w:rsidR="00DD5583" w:rsidRPr="007144F7" w:rsidRDefault="00DD5583">
      <w:pPr>
        <w:pStyle w:val="ListParagraph"/>
      </w:pPr>
    </w:p>
    <w:p w14:paraId="5E3CDEFF" w14:textId="77777777" w:rsidR="00EB5EC9" w:rsidRPr="00EF6AB8" w:rsidRDefault="00EB5EC9" w:rsidP="00EB5EC9">
      <w:pPr>
        <w:numPr>
          <w:ilvl w:val="0"/>
          <w:numId w:val="100"/>
        </w:numPr>
        <w:rPr>
          <w:rFonts w:ascii="Calibri" w:hAnsi="Calibri" w:cs="Calibri"/>
        </w:rPr>
      </w:pPr>
      <w:r w:rsidRPr="00EF6AB8">
        <w:rPr>
          <w:rFonts w:ascii="Calibri" w:hAnsi="Calibri" w:cs="Calibri"/>
        </w:rPr>
        <w:t>Security alert and triage volumes: Can the Contracting Authority provide indicative figures for the average number of security alerts generated per day/week, and the proportion expected to require analyst investigation or escalation?</w:t>
      </w:r>
    </w:p>
    <w:p w14:paraId="6043C875" w14:textId="4D2DB7D9" w:rsidR="002E7041" w:rsidRDefault="00CE7BE5">
      <w:pPr>
        <w:pStyle w:val="ListParagraph"/>
        <w:rPr>
          <w:b/>
          <w:sz w:val="20"/>
        </w:rPr>
      </w:pPr>
      <w:r w:rsidRPr="007144F7">
        <w:rPr>
          <w:b/>
          <w:sz w:val="20"/>
        </w:rPr>
        <w:t>Historical alert volumes, true-positive rates, investigation volumes and incident volumes are not available because DCDE does not currently have an MSSP operating for this tenant and scheduled SIEM review is not yet in place.</w:t>
      </w:r>
    </w:p>
    <w:p w14:paraId="415EEFDB" w14:textId="77777777" w:rsidR="00DD5583" w:rsidRPr="007144F7" w:rsidRDefault="00DD5583">
      <w:pPr>
        <w:pStyle w:val="ListParagraph"/>
      </w:pPr>
    </w:p>
    <w:p w14:paraId="236E18F5" w14:textId="77777777" w:rsidR="00EB5EC9" w:rsidRPr="00EF6AB8" w:rsidRDefault="00EB5EC9" w:rsidP="00EB5EC9">
      <w:pPr>
        <w:numPr>
          <w:ilvl w:val="0"/>
          <w:numId w:val="100"/>
        </w:numPr>
        <w:rPr>
          <w:rFonts w:ascii="Calibri" w:hAnsi="Calibri" w:cs="Calibri"/>
        </w:rPr>
      </w:pPr>
      <w:r w:rsidRPr="00EF6AB8">
        <w:rPr>
          <w:rFonts w:ascii="Calibri" w:hAnsi="Calibri" w:cs="Calibri"/>
        </w:rPr>
        <w:t>Drawdown days: Number and profile, Can the Contracting Authority provide an estimated number of drawdown days expected over the contract term (or annually), and the likely skill levels (seniority) required?</w:t>
      </w:r>
    </w:p>
    <w:p w14:paraId="51C02A6C" w14:textId="6DF2CDAE" w:rsidR="002E7041" w:rsidRDefault="00CE7BE5">
      <w:pPr>
        <w:pStyle w:val="ListParagraph"/>
        <w:rPr>
          <w:b/>
          <w:sz w:val="20"/>
        </w:rPr>
      </w:pPr>
      <w:r w:rsidRPr="007144F7">
        <w:rPr>
          <w:b/>
          <w:sz w:val="20"/>
        </w:rPr>
        <w:t>No fixed annual volume of drawdown days can be confirmed at this stage. Tenderers should provide clearly separated daily rates and state any assumptions. Drawdown work will be commissioned only where required and subject to DCDE approval, budget availability and the contractual arrangements.</w:t>
      </w:r>
    </w:p>
    <w:p w14:paraId="7BF26DA8" w14:textId="77777777" w:rsidR="00DD5583" w:rsidRPr="007144F7" w:rsidRDefault="00DD5583">
      <w:pPr>
        <w:pStyle w:val="ListParagraph"/>
      </w:pPr>
    </w:p>
    <w:p w14:paraId="54284CA5" w14:textId="77777777" w:rsidR="00EB5EC9" w:rsidRPr="00EF6AB8" w:rsidRDefault="00EB5EC9" w:rsidP="00EB5EC9">
      <w:pPr>
        <w:numPr>
          <w:ilvl w:val="0"/>
          <w:numId w:val="100"/>
        </w:numPr>
        <w:rPr>
          <w:rFonts w:ascii="Calibri" w:hAnsi="Calibri" w:cs="Calibri"/>
        </w:rPr>
      </w:pPr>
      <w:r w:rsidRPr="00EF6AB8">
        <w:rPr>
          <w:rFonts w:ascii="Calibri" w:hAnsi="Calibri" w:cs="Calibri"/>
        </w:rPr>
        <w:t>NIS2/CER gap-closure workload: Can the Contracting Authority share any NIS2 readiness assessment outputs, or a summary of the number and severity of open gaps, to allow sizing of the phase 1 effort?</w:t>
      </w:r>
    </w:p>
    <w:p w14:paraId="291146DC" w14:textId="16C981DA" w:rsidR="002E7041" w:rsidRDefault="00CE7BE5">
      <w:pPr>
        <w:pStyle w:val="ListParagraph"/>
        <w:rPr>
          <w:b/>
          <w:sz w:val="20"/>
        </w:rPr>
      </w:pPr>
      <w:r w:rsidRPr="007144F7">
        <w:rPr>
          <w:b/>
          <w:sz w:val="20"/>
        </w:rPr>
        <w:t>A NIS2 readiness assessment has been completed. Details are addressed in section 1.2 of the RFT. The recommendations from the gap analysis are grouped into 8 initiatives, 4 of which remain outstanding. DCDE’s target is to reach approximately 3.5 on the CyFun scale. Further detail may be shared with the successful supplier subject to confidentiality and procurement requirements. The successful tenderer should support DCDE in aligning with NIS2, CER where applicable, CyFun, Irish Risk Management Measures, the National Cyber Security Bill and relevant NCSC guidance. DCDE expects a pragmatic mapping approach, with CyFun and the Irish risk management measures used as the operational assurance model where relevant, while recognising that statutory obligations and final competent-authority requirements will prevail once confirmed.</w:t>
      </w:r>
    </w:p>
    <w:p w14:paraId="3FEBCF22" w14:textId="77777777" w:rsidR="00DD5583" w:rsidRPr="007144F7" w:rsidRDefault="00DD5583">
      <w:pPr>
        <w:pStyle w:val="ListParagraph"/>
      </w:pPr>
    </w:p>
    <w:p w14:paraId="16D83580" w14:textId="77777777" w:rsidR="00EB5EC9" w:rsidRPr="00EF6AB8" w:rsidRDefault="00EB5EC9" w:rsidP="00EB5EC9">
      <w:pPr>
        <w:numPr>
          <w:ilvl w:val="0"/>
          <w:numId w:val="100"/>
        </w:numPr>
        <w:rPr>
          <w:rFonts w:ascii="Calibri" w:hAnsi="Calibri" w:cs="Calibri"/>
        </w:rPr>
      </w:pPr>
      <w:r w:rsidRPr="00EF6AB8">
        <w:rPr>
          <w:rFonts w:ascii="Calibri" w:hAnsi="Calibri" w:cs="Calibri"/>
        </w:rPr>
        <w:t>Environment Scope: Can the Contracting Authority confirm the approximate number of users, endpoints, cloud workloads, and line-of-business applications in scope? Of the workloads referenced in the RFT, which are live today and which are anticipated additions during the contract term?</w:t>
      </w:r>
    </w:p>
    <w:p w14:paraId="7F891F3A" w14:textId="1F117B43" w:rsidR="002E7041" w:rsidRDefault="00CE7BE5">
      <w:pPr>
        <w:pStyle w:val="ListParagraph"/>
        <w:rPr>
          <w:b/>
          <w:color w:val="000000" w:themeColor="text1"/>
          <w:sz w:val="20"/>
        </w:rPr>
      </w:pPr>
      <w:r w:rsidRPr="007144F7">
        <w:rPr>
          <w:b/>
          <w:sz w:val="20"/>
        </w:rPr>
        <w:t>Tenderers should assume approximately 4-5 line-of-business applications, with a Fabric environment and Microsoft-based workloads including Power Apps, Power Pages and SharePoint</w:t>
      </w:r>
      <w:r w:rsidR="009212C9" w:rsidRPr="007144F7">
        <w:rPr>
          <w:b/>
          <w:sz w:val="20"/>
        </w:rPr>
        <w:t xml:space="preserve"> to begin with</w:t>
      </w:r>
      <w:r w:rsidRPr="007144F7">
        <w:rPr>
          <w:b/>
          <w:sz w:val="20"/>
        </w:rPr>
        <w:t xml:space="preserve">. Future Dynamics workloads </w:t>
      </w:r>
      <w:r w:rsidR="009212C9" w:rsidRPr="007144F7">
        <w:rPr>
          <w:b/>
          <w:sz w:val="20"/>
        </w:rPr>
        <w:t xml:space="preserve">are expected during the term of the </w:t>
      </w:r>
      <w:r w:rsidR="009212C9" w:rsidRPr="007144F7">
        <w:rPr>
          <w:b/>
          <w:sz w:val="20"/>
        </w:rPr>
        <w:lastRenderedPageBreak/>
        <w:t>contract</w:t>
      </w:r>
      <w:r w:rsidRPr="007144F7">
        <w:rPr>
          <w:b/>
          <w:sz w:val="20"/>
        </w:rPr>
        <w:t xml:space="preserve">. Additional </w:t>
      </w:r>
      <w:r w:rsidR="009212C9" w:rsidRPr="007144F7">
        <w:rPr>
          <w:b/>
          <w:sz w:val="20"/>
        </w:rPr>
        <w:t xml:space="preserve">line-of-business </w:t>
      </w:r>
      <w:r w:rsidRPr="007144F7">
        <w:rPr>
          <w:b/>
          <w:sz w:val="20"/>
        </w:rPr>
        <w:t xml:space="preserve">application onboarding </w:t>
      </w:r>
      <w:r w:rsidR="009212C9" w:rsidRPr="007144F7">
        <w:rPr>
          <w:b/>
          <w:sz w:val="20"/>
        </w:rPr>
        <w:t xml:space="preserve">will </w:t>
      </w:r>
      <w:r w:rsidRPr="007144F7">
        <w:rPr>
          <w:b/>
          <w:sz w:val="20"/>
        </w:rPr>
        <w:t>be required</w:t>
      </w:r>
      <w:r w:rsidR="009212C9" w:rsidRPr="007144F7">
        <w:rPr>
          <w:b/>
          <w:sz w:val="20"/>
        </w:rPr>
        <w:t xml:space="preserve"> on an ongoing basis over the course of the contract</w:t>
      </w:r>
      <w:r w:rsidR="009212C9" w:rsidRPr="00387913">
        <w:rPr>
          <w:b/>
          <w:color w:val="000000" w:themeColor="text1"/>
          <w:sz w:val="20"/>
        </w:rPr>
        <w:t>.</w:t>
      </w:r>
      <w:r w:rsidRPr="00387913">
        <w:rPr>
          <w:b/>
          <w:color w:val="000000" w:themeColor="text1"/>
          <w:sz w:val="20"/>
        </w:rPr>
        <w:t xml:space="preserve"> </w:t>
      </w:r>
    </w:p>
    <w:p w14:paraId="5238C916" w14:textId="77777777" w:rsidR="00DD5583" w:rsidRDefault="00DD5583">
      <w:pPr>
        <w:pStyle w:val="ListParagraph"/>
      </w:pPr>
    </w:p>
    <w:p w14:paraId="4A7FE8F5" w14:textId="77777777" w:rsidR="00EB5EC9" w:rsidRPr="00EF6AB8" w:rsidRDefault="00EB5EC9" w:rsidP="00EB5EC9">
      <w:pPr>
        <w:numPr>
          <w:ilvl w:val="0"/>
          <w:numId w:val="100"/>
        </w:numPr>
        <w:rPr>
          <w:rFonts w:ascii="Calibri" w:hAnsi="Calibri" w:cs="Calibri"/>
        </w:rPr>
      </w:pPr>
      <w:r w:rsidRPr="00EF6AB8">
        <w:rPr>
          <w:rFonts w:ascii="Calibri" w:hAnsi="Calibri" w:cs="Calibri"/>
        </w:rPr>
        <w:t>Out-of-hours alert response: expected frequency: Can the Contracting Authority provide historical data or an estimate of the frequency of critical alerts and suspected compromise events outside business hours?</w:t>
      </w:r>
    </w:p>
    <w:p w14:paraId="2818E6A2" w14:textId="7CB270DC" w:rsidR="002E7041" w:rsidRDefault="00CE7BE5">
      <w:pPr>
        <w:pStyle w:val="ListParagraph"/>
        <w:rPr>
          <w:b/>
          <w:sz w:val="20"/>
        </w:rPr>
      </w:pPr>
      <w:r w:rsidRPr="007144F7">
        <w:rPr>
          <w:b/>
          <w:sz w:val="20"/>
        </w:rPr>
        <w:t>Historical alert volumes, true-positive rates, investigation volumes and incident volumes are not available because DCDE does not currently have an MSSP operating for this tenant and scheduled SIEM review is not yet in place.</w:t>
      </w:r>
    </w:p>
    <w:p w14:paraId="483DD6A5" w14:textId="77777777" w:rsidR="00DD5583" w:rsidRPr="007144F7" w:rsidRDefault="00DD5583">
      <w:pPr>
        <w:pStyle w:val="ListParagraph"/>
      </w:pPr>
    </w:p>
    <w:p w14:paraId="5E549058" w14:textId="77777777" w:rsidR="00EB5EC9" w:rsidRPr="00EF6AB8" w:rsidRDefault="00EB5EC9" w:rsidP="00EB5EC9">
      <w:pPr>
        <w:numPr>
          <w:ilvl w:val="0"/>
          <w:numId w:val="100"/>
        </w:numPr>
        <w:rPr>
          <w:rFonts w:ascii="Calibri" w:hAnsi="Calibri" w:cs="Calibri"/>
        </w:rPr>
      </w:pPr>
      <w:r w:rsidRPr="00EF6AB8">
        <w:rPr>
          <w:rFonts w:ascii="Calibri" w:hAnsi="Calibri" w:cs="Calibri"/>
        </w:rPr>
        <w:t>Incident response retainer: For expected call-out volumes, Can the Contracting Authority clarify the minimum retainer commitment expected, and provide any historical incident frequency data to support tenderer estimates?</w:t>
      </w:r>
    </w:p>
    <w:p w14:paraId="6D326259" w14:textId="64A0989D" w:rsidR="002E7041" w:rsidRDefault="00CE7BE5">
      <w:pPr>
        <w:pStyle w:val="ListParagraph"/>
        <w:rPr>
          <w:b/>
          <w:sz w:val="20"/>
        </w:rPr>
      </w:pPr>
      <w:r w:rsidRPr="007144F7">
        <w:rPr>
          <w:b/>
          <w:sz w:val="20"/>
        </w:rPr>
        <w:t>The baseline service must include an incident response retainer providing on-call access to suitably qualified incident response personnel for critical alerts or suspected active compromise affecting the in-scope environment. It should cover initial assessment, investigation, evidence preservation, containment advice, response coordination, escalation and post-incident reporting. Tenderers should state included hours/days, response times, access route and rates for additional support. DCDE does not have historical incident volumes for this tenant.</w:t>
      </w:r>
    </w:p>
    <w:p w14:paraId="1536D6F1" w14:textId="77777777" w:rsidR="00DD5583" w:rsidRPr="007144F7" w:rsidRDefault="00DD5583">
      <w:pPr>
        <w:pStyle w:val="ListParagraph"/>
        <w:rPr>
          <w:b/>
          <w:sz w:val="20"/>
        </w:rPr>
      </w:pPr>
    </w:p>
    <w:p w14:paraId="1D3DF6C5" w14:textId="77777777" w:rsidR="00CB396C" w:rsidRDefault="00CB396C">
      <w:pPr>
        <w:pStyle w:val="ListParagraph"/>
      </w:pPr>
    </w:p>
    <w:p w14:paraId="40F3DD21" w14:textId="77777777" w:rsidR="00D14D29" w:rsidRPr="00D14D29" w:rsidRDefault="00D14D29" w:rsidP="00D14D29">
      <w:pPr>
        <w:pStyle w:val="ListParagraph"/>
        <w:numPr>
          <w:ilvl w:val="0"/>
          <w:numId w:val="100"/>
        </w:numPr>
        <w:rPr>
          <w:rFonts w:ascii="Calibri" w:hAnsi="Calibri" w:cs="Calibri"/>
        </w:rPr>
      </w:pPr>
      <w:r w:rsidRPr="00D14D29">
        <w:rPr>
          <w:rFonts w:ascii="Calibri" w:hAnsi="Calibri" w:cs="Calibri"/>
        </w:rPr>
        <w:t>With reference to Appendix 3A, Foreign Subsidies Regulation:</w:t>
      </w:r>
    </w:p>
    <w:p w14:paraId="66770AEF" w14:textId="77777777" w:rsidR="00D14D29" w:rsidRDefault="00D14D29" w:rsidP="003637D0">
      <w:pPr>
        <w:pStyle w:val="ListParagraph"/>
        <w:rPr>
          <w:rFonts w:ascii="Calibri" w:hAnsi="Calibri" w:cs="Calibri"/>
        </w:rPr>
      </w:pPr>
      <w:r w:rsidRPr="00D14D29">
        <w:rPr>
          <w:rFonts w:ascii="Calibri" w:hAnsi="Calibri" w:cs="Calibri"/>
        </w:rPr>
        <w:t>Can the Department of Children, Disability and Equality confirm that this is no requirement to complete as part of the tender submission as this contract value does not meet the required Threshold Value of over €250 million.</w:t>
      </w:r>
    </w:p>
    <w:p w14:paraId="0CB0051E" w14:textId="631A2F21" w:rsidR="00DD5583" w:rsidRDefault="003637D0" w:rsidP="00DD5583">
      <w:pPr>
        <w:ind w:left="720"/>
        <w:rPr>
          <w:rFonts w:ascii="Calibri" w:hAnsi="Calibri" w:cs="Calibri"/>
          <w:b/>
          <w:bCs/>
        </w:rPr>
      </w:pPr>
      <w:r>
        <w:rPr>
          <w:rFonts w:ascii="Calibri" w:hAnsi="Calibri" w:cs="Calibri"/>
          <w:b/>
          <w:bCs/>
        </w:rPr>
        <w:t xml:space="preserve">DCDE can confirm this is correct. Appendix 3: Tenderers’ Statement should be completed. None of the subheadings (3A, 3A: Schedule A, 3A: Schedule B, 3A: Schedule C, 3A: Schedule D, 3A: Schedule E) are required. </w:t>
      </w:r>
    </w:p>
    <w:p w14:paraId="0591D1C3" w14:textId="77777777" w:rsidR="003637D0" w:rsidRPr="00D14D29" w:rsidRDefault="003637D0" w:rsidP="003637D0">
      <w:pPr>
        <w:pStyle w:val="ListParagraph"/>
        <w:rPr>
          <w:rFonts w:ascii="Calibri" w:hAnsi="Calibri" w:cs="Calibri"/>
        </w:rPr>
      </w:pPr>
    </w:p>
    <w:p w14:paraId="4628E90D" w14:textId="77777777" w:rsidR="00AB5DB8" w:rsidRDefault="00AB5DB8" w:rsidP="00AB5DB8">
      <w:pPr>
        <w:pStyle w:val="ListParagraph"/>
        <w:numPr>
          <w:ilvl w:val="0"/>
          <w:numId w:val="100"/>
        </w:numPr>
        <w:rPr>
          <w:rFonts w:ascii="Calibri" w:hAnsi="Calibri" w:cs="Calibri"/>
        </w:rPr>
      </w:pPr>
      <w:r w:rsidRPr="00AB5DB8">
        <w:rPr>
          <w:rFonts w:ascii="Calibri" w:hAnsi="Calibri" w:cs="Calibri"/>
        </w:rPr>
        <w:t>Please can you confirm if the terms are negotiable.</w:t>
      </w:r>
    </w:p>
    <w:p w14:paraId="4CDE7BF8" w14:textId="77777777" w:rsidR="00DD5583" w:rsidRPr="00AB5DB8" w:rsidRDefault="00DD5583" w:rsidP="00DD5583">
      <w:pPr>
        <w:pStyle w:val="ListParagraph"/>
        <w:rPr>
          <w:rFonts w:ascii="Calibri" w:hAnsi="Calibri" w:cs="Calibri"/>
        </w:rPr>
      </w:pPr>
    </w:p>
    <w:p w14:paraId="2A816EF1" w14:textId="000BA012" w:rsidR="002E7041" w:rsidRDefault="00CE7BE5">
      <w:pPr>
        <w:pStyle w:val="ListParagraph"/>
        <w:rPr>
          <w:b/>
          <w:sz w:val="20"/>
        </w:rPr>
      </w:pPr>
      <w:r w:rsidRPr="007144F7">
        <w:rPr>
          <w:b/>
          <w:sz w:val="20"/>
        </w:rPr>
        <w:t>Tenderers are required to accept the terms and conditions of the RFT and Services Contract. The terms are not subject to negotiation as part of the tender process</w:t>
      </w:r>
      <w:r w:rsidR="0027168B" w:rsidRPr="007144F7">
        <w:rPr>
          <w:b/>
          <w:sz w:val="20"/>
        </w:rPr>
        <w:t>.</w:t>
      </w:r>
    </w:p>
    <w:p w14:paraId="483758E9" w14:textId="77777777" w:rsidR="00DD5583" w:rsidRPr="007144F7" w:rsidRDefault="00DD5583">
      <w:pPr>
        <w:pStyle w:val="ListParagraph"/>
      </w:pPr>
    </w:p>
    <w:p w14:paraId="4289D783" w14:textId="77777777" w:rsidR="00AB5DB8" w:rsidRPr="00CC3A72" w:rsidRDefault="00AB5DB8" w:rsidP="00AB5DB8">
      <w:pPr>
        <w:numPr>
          <w:ilvl w:val="0"/>
          <w:numId w:val="100"/>
        </w:numPr>
        <w:rPr>
          <w:rFonts w:ascii="Calibri" w:hAnsi="Calibri" w:cs="Calibri"/>
        </w:rPr>
      </w:pPr>
      <w:r w:rsidRPr="00CC3A72">
        <w:rPr>
          <w:rFonts w:ascii="Calibri" w:hAnsi="Calibri" w:cs="Calibri"/>
        </w:rPr>
        <w:t>How many divisions in the department and is there different compliance frameworks and technology stacks across departments?</w:t>
      </w:r>
    </w:p>
    <w:p w14:paraId="3D1D8CC3" w14:textId="59088EA1" w:rsidR="002E7041" w:rsidRDefault="00CE7BE5">
      <w:pPr>
        <w:pStyle w:val="ListParagraph"/>
        <w:rPr>
          <w:b/>
          <w:sz w:val="20"/>
        </w:rPr>
      </w:pPr>
      <w:r w:rsidRPr="007144F7">
        <w:rPr>
          <w:b/>
          <w:sz w:val="20"/>
        </w:rPr>
        <w:t>DCDE has 6 divisions. The in-scope technical environment is a single DCDE Azure tenant/Fabric environment</w:t>
      </w:r>
      <w:r w:rsidR="00CB396C" w:rsidRPr="007144F7">
        <w:rPr>
          <w:b/>
          <w:sz w:val="20"/>
        </w:rPr>
        <w:t>, technology stack and compliance framework</w:t>
      </w:r>
      <w:r w:rsidRPr="007144F7">
        <w:rPr>
          <w:b/>
          <w:sz w:val="20"/>
        </w:rPr>
        <w:t xml:space="preserve">. </w:t>
      </w:r>
    </w:p>
    <w:p w14:paraId="4BB85ECD" w14:textId="77777777" w:rsidR="00DD5583" w:rsidRPr="007144F7" w:rsidRDefault="00DD5583">
      <w:pPr>
        <w:pStyle w:val="ListParagraph"/>
      </w:pPr>
    </w:p>
    <w:p w14:paraId="31ADFC51" w14:textId="77777777" w:rsidR="00AB5DB8" w:rsidRPr="00CC3A72" w:rsidRDefault="00AB5DB8" w:rsidP="00AB5DB8">
      <w:pPr>
        <w:numPr>
          <w:ilvl w:val="0"/>
          <w:numId w:val="100"/>
        </w:numPr>
        <w:rPr>
          <w:rFonts w:ascii="Calibri" w:hAnsi="Calibri" w:cs="Calibri"/>
        </w:rPr>
      </w:pPr>
      <w:r w:rsidRPr="00CC3A72">
        <w:rPr>
          <w:rFonts w:ascii="Calibri" w:hAnsi="Calibri" w:cs="Calibri"/>
        </w:rPr>
        <w:t>Do you prefer single SIEM/SOC solution for all departments or a multitenancy service for each department? And what SIEM/s are currently being used by DCDE?</w:t>
      </w:r>
    </w:p>
    <w:p w14:paraId="7AB58358" w14:textId="3854AA41" w:rsidR="002E7041" w:rsidRPr="007144F7" w:rsidRDefault="00CE7BE5">
      <w:pPr>
        <w:pStyle w:val="ListParagraph"/>
      </w:pPr>
      <w:r w:rsidRPr="007144F7">
        <w:rPr>
          <w:b/>
          <w:sz w:val="20"/>
        </w:rPr>
        <w:lastRenderedPageBreak/>
        <w:t xml:space="preserve">DCDE </w:t>
      </w:r>
      <w:r w:rsidR="0027168B" w:rsidRPr="007144F7">
        <w:rPr>
          <w:b/>
          <w:sz w:val="20"/>
        </w:rPr>
        <w:t xml:space="preserve"> has provisions for </w:t>
      </w:r>
      <w:r w:rsidRPr="007144F7">
        <w:rPr>
          <w:b/>
          <w:sz w:val="20"/>
        </w:rPr>
        <w:t>Microsoft Sentinel via a landing zone for the in-scope tenant. Tenderers should assume a single service operating against DCDE’s in-scope tenant and SIEM</w:t>
      </w:r>
      <w:r w:rsidR="00640300" w:rsidRPr="007144F7">
        <w:rPr>
          <w:b/>
          <w:sz w:val="20"/>
        </w:rPr>
        <w:t>.</w:t>
      </w:r>
    </w:p>
    <w:p w14:paraId="207CB198" w14:textId="77777777" w:rsidR="00AB5DB8" w:rsidRPr="00CC3A72" w:rsidRDefault="00AB5DB8" w:rsidP="00AB5DB8">
      <w:pPr>
        <w:numPr>
          <w:ilvl w:val="0"/>
          <w:numId w:val="100"/>
        </w:numPr>
        <w:rPr>
          <w:rFonts w:ascii="Calibri" w:hAnsi="Calibri" w:cs="Calibri"/>
        </w:rPr>
      </w:pPr>
      <w:r w:rsidRPr="00CC3A72">
        <w:rPr>
          <w:rFonts w:ascii="Calibri" w:hAnsi="Calibri" w:cs="Calibri"/>
        </w:rPr>
        <w:t xml:space="preserve">Please provide a list of </w:t>
      </w:r>
      <w:proofErr w:type="spellStart"/>
      <w:r w:rsidRPr="00CC3A72">
        <w:rPr>
          <w:rFonts w:ascii="Calibri" w:hAnsi="Calibri" w:cs="Calibri"/>
        </w:rPr>
        <w:t>datacenter</w:t>
      </w:r>
      <w:proofErr w:type="spellEnd"/>
      <w:r w:rsidRPr="00CC3A72">
        <w:rPr>
          <w:rFonts w:ascii="Calibri" w:hAnsi="Calibri" w:cs="Calibri"/>
        </w:rPr>
        <w:t xml:space="preserve"> types (are they on-prem, cloud or hybrid </w:t>
      </w:r>
      <w:proofErr w:type="spellStart"/>
      <w:r w:rsidRPr="00CC3A72">
        <w:rPr>
          <w:rFonts w:ascii="Calibri" w:hAnsi="Calibri" w:cs="Calibri"/>
        </w:rPr>
        <w:t>datacenters</w:t>
      </w:r>
      <w:proofErr w:type="spellEnd"/>
      <w:r w:rsidRPr="00CC3A72">
        <w:rPr>
          <w:rFonts w:ascii="Calibri" w:hAnsi="Calibri" w:cs="Calibri"/>
        </w:rPr>
        <w:t>)? What are number of Cloud tenants across all department divisions?</w:t>
      </w:r>
    </w:p>
    <w:p w14:paraId="6AB5D9FA" w14:textId="23145914" w:rsidR="002E7041" w:rsidRDefault="00CE7BE5">
      <w:pPr>
        <w:pStyle w:val="ListParagraph"/>
        <w:rPr>
          <w:b/>
          <w:sz w:val="20"/>
        </w:rPr>
      </w:pPr>
      <w:r w:rsidRPr="007144F7">
        <w:rPr>
          <w:b/>
          <w:sz w:val="20"/>
        </w:rPr>
        <w:t xml:space="preserve">The in-scope technical environment is a single DCDE Azure tenant/Fabric environment. </w:t>
      </w:r>
    </w:p>
    <w:p w14:paraId="27500940" w14:textId="77777777" w:rsidR="00DD5583" w:rsidRPr="007144F7" w:rsidRDefault="00DD5583">
      <w:pPr>
        <w:pStyle w:val="ListParagraph"/>
      </w:pPr>
    </w:p>
    <w:p w14:paraId="5D7829C7" w14:textId="77777777" w:rsidR="00AB5DB8" w:rsidRPr="00CC3A72" w:rsidRDefault="00AB5DB8" w:rsidP="00AB5DB8">
      <w:pPr>
        <w:numPr>
          <w:ilvl w:val="0"/>
          <w:numId w:val="100"/>
        </w:numPr>
        <w:rPr>
          <w:rFonts w:ascii="Calibri" w:hAnsi="Calibri" w:cs="Calibri"/>
        </w:rPr>
      </w:pPr>
      <w:proofErr w:type="gramStart"/>
      <w:r w:rsidRPr="00CC3A72">
        <w:rPr>
          <w:rFonts w:ascii="Calibri" w:hAnsi="Calibri" w:cs="Calibri"/>
        </w:rPr>
        <w:t>Do</w:t>
      </w:r>
      <w:proofErr w:type="gramEnd"/>
      <w:r w:rsidRPr="00CC3A72">
        <w:rPr>
          <w:rFonts w:ascii="Calibri" w:hAnsi="Calibri" w:cs="Calibri"/>
        </w:rPr>
        <w:t xml:space="preserve"> your work from home employees connect to VPN behind firewall or use cloud technologies?</w:t>
      </w:r>
    </w:p>
    <w:p w14:paraId="65E7AEF4" w14:textId="5EAA2975" w:rsidR="002E7041" w:rsidRDefault="00CE7BE5">
      <w:pPr>
        <w:pStyle w:val="ListParagraph"/>
        <w:rPr>
          <w:b/>
          <w:sz w:val="20"/>
        </w:rPr>
      </w:pPr>
      <w:r w:rsidRPr="007144F7">
        <w:rPr>
          <w:b/>
          <w:sz w:val="20"/>
        </w:rPr>
        <w:t>End-user remote access, devices, mobile devices and central desktop/M365 services are provided via the centrally hosted Government environment and are outside the scope of this tender. The MSSP scope is the DCDE tenant hosting line-of-business applications and related Azure/Fabric workloads.</w:t>
      </w:r>
    </w:p>
    <w:p w14:paraId="6F998322" w14:textId="77777777" w:rsidR="00DD5583" w:rsidRPr="007144F7" w:rsidRDefault="00DD5583">
      <w:pPr>
        <w:pStyle w:val="ListParagraph"/>
      </w:pPr>
    </w:p>
    <w:p w14:paraId="042FA38E" w14:textId="77777777" w:rsidR="00AB5DB8" w:rsidRPr="00CC3A72" w:rsidRDefault="00AB5DB8" w:rsidP="00AB5DB8">
      <w:pPr>
        <w:numPr>
          <w:ilvl w:val="0"/>
          <w:numId w:val="100"/>
        </w:numPr>
        <w:rPr>
          <w:rFonts w:ascii="Calibri" w:hAnsi="Calibri" w:cs="Calibri"/>
        </w:rPr>
      </w:pPr>
      <w:r w:rsidRPr="00CC3A72">
        <w:rPr>
          <w:rFonts w:ascii="Calibri" w:hAnsi="Calibri" w:cs="Calibri"/>
        </w:rPr>
        <w:t>What is your SIEM log ingestion per day, or per week, or per month?</w:t>
      </w:r>
    </w:p>
    <w:p w14:paraId="32A23B0E" w14:textId="4C5EC8EB" w:rsidR="002E7041" w:rsidRDefault="00CE7BE5">
      <w:pPr>
        <w:pStyle w:val="ListParagraph"/>
        <w:rPr>
          <w:b/>
          <w:sz w:val="20"/>
        </w:rPr>
      </w:pPr>
      <w:r w:rsidRPr="00F70F44">
        <w:rPr>
          <w:b/>
          <w:sz w:val="20"/>
        </w:rPr>
        <w:t xml:space="preserve"> Microsoft Sentinel is provided via a landing zone but is not yet fully operational. DCDE does not currently have an MSSP in place. The successful tenderer will assist DCDE with configuration, optimisation, onboarding, detection content, reporting and operationalisation of the current SIEM solution. DCDE will remain responsible for SIEM licensing and data ingestion/retention costs unless otherwise agreed. Current scheduled log ingestion and review are not yet operational. Data connectors are currently set for Microsoft Defender for Cloud, Network Security Groups, Azure Activity, Entra ID and Azure Monitor. NSG flow logs are not currently configured. Additional sources may include Microsoft infrastructure and line-of-business application logs, including Power Apps, Power Pages, Microsoft Fabric, SharePoint Online, Dynamics when introduced, and other sources identified during mobilisation. Current GB/day, EPS and monthly alert volumes are not available.</w:t>
      </w:r>
    </w:p>
    <w:p w14:paraId="4F928E37" w14:textId="77777777" w:rsidR="00DD5583" w:rsidRPr="00F70F44" w:rsidRDefault="00DD5583">
      <w:pPr>
        <w:pStyle w:val="ListParagraph"/>
      </w:pPr>
    </w:p>
    <w:p w14:paraId="14C051F8" w14:textId="77777777" w:rsidR="00AB5DB8" w:rsidRPr="00CC3A72" w:rsidRDefault="00AB5DB8" w:rsidP="00AB5DB8">
      <w:pPr>
        <w:numPr>
          <w:ilvl w:val="0"/>
          <w:numId w:val="100"/>
        </w:numPr>
        <w:rPr>
          <w:rFonts w:ascii="Calibri" w:hAnsi="Calibri" w:cs="Calibri"/>
        </w:rPr>
      </w:pPr>
      <w:r w:rsidRPr="00CC3A72">
        <w:rPr>
          <w:rFonts w:ascii="Calibri" w:hAnsi="Calibri" w:cs="Calibri"/>
        </w:rPr>
        <w:t>When does your current service end?</w:t>
      </w:r>
    </w:p>
    <w:p w14:paraId="31154E51" w14:textId="6B4ECA24" w:rsidR="002E7041" w:rsidRDefault="00CE7BE5">
      <w:pPr>
        <w:pStyle w:val="ListParagraph"/>
        <w:rPr>
          <w:b/>
          <w:sz w:val="20"/>
        </w:rPr>
      </w:pPr>
      <w:r w:rsidRPr="00F70F44">
        <w:rPr>
          <w:b/>
          <w:sz w:val="20"/>
        </w:rPr>
        <w:t xml:space="preserve"> There is no incumbent MSSP or SOC provider for the in-scope tenant. DCDE has a current provider for NIS2 gap analysis and cybersecurity consultancy/governance support; offboarding support is available for that workstream. No TUPE/staff transfer arrangement is anticipated.</w:t>
      </w:r>
    </w:p>
    <w:p w14:paraId="2885F966" w14:textId="77777777" w:rsidR="00DD5583" w:rsidRPr="00F70F44" w:rsidRDefault="00DD5583">
      <w:pPr>
        <w:pStyle w:val="ListParagraph"/>
      </w:pPr>
    </w:p>
    <w:p w14:paraId="196A4E3F" w14:textId="77777777" w:rsidR="00AB5DB8" w:rsidRPr="00CC3A72" w:rsidRDefault="00AB5DB8" w:rsidP="00AB5DB8">
      <w:pPr>
        <w:numPr>
          <w:ilvl w:val="0"/>
          <w:numId w:val="100"/>
        </w:numPr>
        <w:rPr>
          <w:rFonts w:ascii="Calibri" w:hAnsi="Calibri" w:cs="Calibri"/>
        </w:rPr>
      </w:pPr>
      <w:r w:rsidRPr="00CC3A72">
        <w:rPr>
          <w:rFonts w:ascii="Calibri" w:hAnsi="Calibri" w:cs="Calibri"/>
        </w:rPr>
        <w:t>What is the confirmed, or predicted contract start date?</w:t>
      </w:r>
    </w:p>
    <w:p w14:paraId="1E48920B" w14:textId="48ADC110" w:rsidR="002E7041" w:rsidRDefault="00CE7BE5">
      <w:pPr>
        <w:pStyle w:val="ListParagraph"/>
        <w:rPr>
          <w:b/>
          <w:sz w:val="20"/>
        </w:rPr>
      </w:pPr>
      <w:r w:rsidRPr="00387913">
        <w:rPr>
          <w:b/>
          <w:color w:val="000000" w:themeColor="text1"/>
          <w:sz w:val="20"/>
        </w:rPr>
        <w:t xml:space="preserve"> </w:t>
      </w:r>
      <w:r w:rsidRPr="00F70F44">
        <w:rPr>
          <w:b/>
          <w:sz w:val="20"/>
        </w:rPr>
        <w:t xml:space="preserve">The contract commencement date will follow completion of the procurement process, standstill period and contract execution. </w:t>
      </w:r>
    </w:p>
    <w:p w14:paraId="2053F691" w14:textId="77777777" w:rsidR="00DD5583" w:rsidRDefault="00DD5583">
      <w:pPr>
        <w:pStyle w:val="ListParagraph"/>
      </w:pPr>
    </w:p>
    <w:p w14:paraId="61176A97" w14:textId="77777777" w:rsidR="00AB5DB8" w:rsidRPr="00CC3A72" w:rsidRDefault="00AB5DB8" w:rsidP="00AB5DB8">
      <w:pPr>
        <w:numPr>
          <w:ilvl w:val="0"/>
          <w:numId w:val="100"/>
        </w:numPr>
        <w:rPr>
          <w:rFonts w:ascii="Calibri" w:hAnsi="Calibri" w:cs="Calibri"/>
        </w:rPr>
      </w:pPr>
      <w:r w:rsidRPr="00CC3A72">
        <w:rPr>
          <w:rFonts w:ascii="Calibri" w:hAnsi="Calibri" w:cs="Calibri"/>
        </w:rPr>
        <w:t>Can you provide a detailed scope of "future Dynamics workloads" - what they are, the timeline, and whether in-scope at contract start?</w:t>
      </w:r>
    </w:p>
    <w:p w14:paraId="5A60FE57" w14:textId="4CD45190" w:rsidR="002E7041" w:rsidRDefault="00CE7BE5">
      <w:pPr>
        <w:pStyle w:val="ListParagraph"/>
        <w:rPr>
          <w:b/>
          <w:sz w:val="20"/>
        </w:rPr>
      </w:pPr>
      <w:r w:rsidRPr="00F70F44">
        <w:rPr>
          <w:b/>
          <w:sz w:val="20"/>
        </w:rPr>
        <w:lastRenderedPageBreak/>
        <w:t xml:space="preserve"> No detailed scope or timeline has yet been set for future Dynamics workloads. Tenderers should treat Dynamics as a potential future workload that may be onboarded during the contract term if introduced by DCDE.</w:t>
      </w:r>
    </w:p>
    <w:p w14:paraId="7E5B4457" w14:textId="77777777" w:rsidR="00DD5583" w:rsidRPr="00F70F44" w:rsidRDefault="00DD5583">
      <w:pPr>
        <w:pStyle w:val="ListParagraph"/>
      </w:pPr>
    </w:p>
    <w:p w14:paraId="24C7D4E1" w14:textId="77777777" w:rsidR="00DD5583" w:rsidRDefault="00AB5DB8" w:rsidP="001441C0">
      <w:pPr>
        <w:numPr>
          <w:ilvl w:val="0"/>
          <w:numId w:val="100"/>
        </w:numPr>
        <w:rPr>
          <w:rFonts w:ascii="Calibri" w:hAnsi="Calibri" w:cs="Calibri"/>
        </w:rPr>
      </w:pPr>
      <w:r w:rsidRPr="00CC3A72">
        <w:rPr>
          <w:rFonts w:ascii="Calibri" w:hAnsi="Calibri" w:cs="Calibri"/>
        </w:rPr>
        <w:t>Please confirm further information in relation to your technology stack and service expectations:</w:t>
      </w:r>
      <w:r w:rsidR="00640300">
        <w:rPr>
          <w:rFonts w:ascii="Calibri" w:hAnsi="Calibri" w:cs="Calibri"/>
        </w:rPr>
        <w:t xml:space="preserve"> </w:t>
      </w:r>
    </w:p>
    <w:p w14:paraId="560A477D" w14:textId="0E59C42E" w:rsidR="00AB5DB8" w:rsidRDefault="001441C0" w:rsidP="00DD5583">
      <w:pPr>
        <w:ind w:left="720"/>
        <w:rPr>
          <w:rFonts w:ascii="Calibri" w:hAnsi="Calibri" w:cs="Calibri"/>
          <w:b/>
          <w:bCs/>
        </w:rPr>
      </w:pPr>
      <w:r w:rsidRPr="007144F7">
        <w:rPr>
          <w:rFonts w:ascii="Calibri" w:hAnsi="Calibri" w:cs="Calibri"/>
          <w:b/>
          <w:bCs/>
        </w:rPr>
        <w:t>DCDE's in-scope environment primarily comprises its Azure tenant and associated line-of-business applications, including Power Apps, Power Pages, Microsoft Fabric, SharePoint Online and future Dynamics workloads where introduced. Microsoft Sentinel will remain the Department's SIEM platform and will be further configured and optimised by the successful tenderer. The Department currently has approximately 800 users within scope and does not have an MSSP in place for this environment. The successful tenderer will be expected to provide cyber security consultancy, NIS2/CER compliance support, MSSP services, governance, reporting and continuous improvement activities, aligned with NCSC guidance and applicable public-sector cyber security requirements.</w:t>
      </w:r>
    </w:p>
    <w:p w14:paraId="782B49E0" w14:textId="77777777" w:rsidR="00DD5583" w:rsidRPr="001441C0" w:rsidRDefault="00DD5583" w:rsidP="00DD5583">
      <w:pPr>
        <w:ind w:left="720"/>
        <w:rPr>
          <w:rFonts w:ascii="Calibri" w:hAnsi="Calibri" w:cs="Calibri"/>
        </w:rPr>
      </w:pPr>
    </w:p>
    <w:p w14:paraId="63657839" w14:textId="77777777" w:rsidR="00AB5DB8" w:rsidRPr="00CC3A72" w:rsidRDefault="00AB5DB8" w:rsidP="00AB5DB8">
      <w:pPr>
        <w:numPr>
          <w:ilvl w:val="0"/>
          <w:numId w:val="100"/>
        </w:numPr>
        <w:rPr>
          <w:rFonts w:ascii="Calibri" w:hAnsi="Calibri" w:cs="Calibri"/>
        </w:rPr>
      </w:pPr>
      <w:r w:rsidRPr="00CC3A72">
        <w:rPr>
          <w:rFonts w:ascii="Calibri" w:hAnsi="Calibri" w:cs="Calibri"/>
        </w:rPr>
        <w:t>What are your EDR, vulnerability management, and IAM/PAM platforms?</w:t>
      </w:r>
    </w:p>
    <w:p w14:paraId="46C21F8A" w14:textId="0849D77C" w:rsidR="002E7041" w:rsidRDefault="00CE7BE5">
      <w:pPr>
        <w:pStyle w:val="ListParagraph"/>
        <w:rPr>
          <w:b/>
          <w:sz w:val="20"/>
        </w:rPr>
      </w:pPr>
      <w:r w:rsidRPr="00387913">
        <w:rPr>
          <w:b/>
          <w:color w:val="000000" w:themeColor="text1"/>
          <w:sz w:val="20"/>
        </w:rPr>
        <w:t xml:space="preserve"> </w:t>
      </w:r>
      <w:r w:rsidRPr="00F70F44">
        <w:rPr>
          <w:b/>
          <w:sz w:val="20"/>
        </w:rPr>
        <w:t>The MSSP will not cover user endpoints, mobiles or central Government Microsoft 365 services, as these are outside scope.</w:t>
      </w:r>
      <w:r w:rsidR="00011F94" w:rsidRPr="00F70F44">
        <w:rPr>
          <w:b/>
          <w:sz w:val="20"/>
        </w:rPr>
        <w:t xml:space="preserve"> Microsoft Entra External ID is used for workload IAM</w:t>
      </w:r>
      <w:r w:rsidR="009A5751" w:rsidRPr="00F70F44">
        <w:rPr>
          <w:b/>
          <w:sz w:val="20"/>
        </w:rPr>
        <w:t xml:space="preserve"> and is a control layer for the analytics platform</w:t>
      </w:r>
      <w:r w:rsidR="00011F94" w:rsidRPr="00F70F44">
        <w:rPr>
          <w:b/>
          <w:sz w:val="20"/>
        </w:rPr>
        <w:t xml:space="preserve">. </w:t>
      </w:r>
      <w:r w:rsidR="0073495A" w:rsidRPr="00F70F44">
        <w:rPr>
          <w:b/>
          <w:sz w:val="20"/>
        </w:rPr>
        <w:t>Privileged</w:t>
      </w:r>
      <w:r w:rsidR="00011F94" w:rsidRPr="00F70F44">
        <w:rPr>
          <w:b/>
          <w:sz w:val="20"/>
        </w:rPr>
        <w:t xml:space="preserve"> Identity Management </w:t>
      </w:r>
      <w:r w:rsidR="009A5751" w:rsidRPr="00F70F44">
        <w:rPr>
          <w:b/>
          <w:sz w:val="20"/>
        </w:rPr>
        <w:t>is used in Microsoft Entra for standard RBAC controls for the Azure Solution</w:t>
      </w:r>
      <w:r w:rsidR="00011F94" w:rsidRPr="00F70F44">
        <w:rPr>
          <w:b/>
          <w:sz w:val="20"/>
        </w:rPr>
        <w:t xml:space="preserve">. </w:t>
      </w:r>
    </w:p>
    <w:p w14:paraId="297AE8B1" w14:textId="77777777" w:rsidR="00DD5583" w:rsidRDefault="00DD5583">
      <w:pPr>
        <w:pStyle w:val="ListParagraph"/>
      </w:pPr>
    </w:p>
    <w:p w14:paraId="2040BC23" w14:textId="77777777" w:rsidR="00AB5DB8" w:rsidRPr="00CC3A72" w:rsidRDefault="00AB5DB8" w:rsidP="00AB5DB8">
      <w:pPr>
        <w:numPr>
          <w:ilvl w:val="0"/>
          <w:numId w:val="100"/>
        </w:numPr>
        <w:rPr>
          <w:rFonts w:ascii="Calibri" w:hAnsi="Calibri" w:cs="Calibri"/>
        </w:rPr>
      </w:pPr>
      <w:r w:rsidRPr="00CC3A72">
        <w:rPr>
          <w:rFonts w:ascii="Calibri" w:hAnsi="Calibri" w:cs="Calibri"/>
        </w:rPr>
        <w:t>What is the total number of endpoint devices and the number of employees on your network?</w:t>
      </w:r>
    </w:p>
    <w:p w14:paraId="6E7E5DBC" w14:textId="13DC5F2E" w:rsidR="002E7041" w:rsidRDefault="00CE7BE5">
      <w:pPr>
        <w:pStyle w:val="ListParagraph"/>
        <w:rPr>
          <w:b/>
          <w:sz w:val="20"/>
        </w:rPr>
      </w:pPr>
      <w:r w:rsidRPr="00F70F44">
        <w:rPr>
          <w:b/>
          <w:sz w:val="20"/>
        </w:rPr>
        <w:t xml:space="preserve"> The in-scope environment is DCDE’s Azure tenant hosting line-of-business applications and related workloads. The Department has approximately 800 users on the tenant, approximately 150 guest users from another Government Department, a small number of contractor and service accounts, and approximately 4-5 line-of-business applications with a Fabric environment. End-user devices, mobile devices, Microsoft 365 services and the central Government tenant are generally out of scope unless otherwise stated. DCDE uses a cross-tenant B2B connection to the centrally hosted Government tenant. Identities are provided from Active Directory with SSO. PIM and RBAC are in operation, with a small number of service accounts and privileged users. The precise number of privileged accounts will be confirmed during mobilisation.</w:t>
      </w:r>
    </w:p>
    <w:p w14:paraId="33940ADA" w14:textId="77777777" w:rsidR="00DD5583" w:rsidRPr="00F70F44" w:rsidRDefault="00DD5583">
      <w:pPr>
        <w:pStyle w:val="ListParagraph"/>
      </w:pPr>
    </w:p>
    <w:p w14:paraId="00DED908" w14:textId="77777777" w:rsidR="00AB5DB8" w:rsidRPr="00CC3A72" w:rsidRDefault="00AB5DB8" w:rsidP="00AB5DB8">
      <w:pPr>
        <w:numPr>
          <w:ilvl w:val="0"/>
          <w:numId w:val="100"/>
        </w:numPr>
        <w:rPr>
          <w:rFonts w:ascii="Calibri" w:hAnsi="Calibri" w:cs="Calibri"/>
        </w:rPr>
      </w:pPr>
      <w:r w:rsidRPr="00CC3A72">
        <w:rPr>
          <w:rFonts w:ascii="Calibri" w:hAnsi="Calibri" w:cs="Calibri"/>
        </w:rPr>
        <w:t>What network traffic analysis tools is in the network?</w:t>
      </w:r>
    </w:p>
    <w:p w14:paraId="037C76ED" w14:textId="58EB04A3" w:rsidR="00834AD0" w:rsidRDefault="00D77FD5" w:rsidP="00834AD0">
      <w:pPr>
        <w:ind w:left="720"/>
        <w:rPr>
          <w:b/>
          <w:sz w:val="20"/>
        </w:rPr>
      </w:pPr>
      <w:r w:rsidRPr="00F70F44">
        <w:rPr>
          <w:b/>
          <w:sz w:val="20"/>
        </w:rPr>
        <w:t xml:space="preserve">Network activity is monitored to detect </w:t>
      </w:r>
      <w:proofErr w:type="spellStart"/>
      <w:r w:rsidRPr="00F70F44">
        <w:rPr>
          <w:b/>
          <w:sz w:val="20"/>
        </w:rPr>
        <w:t>missuse</w:t>
      </w:r>
      <w:proofErr w:type="spellEnd"/>
      <w:r w:rsidRPr="00F70F44">
        <w:rPr>
          <w:b/>
          <w:sz w:val="20"/>
        </w:rPr>
        <w:t xml:space="preserve"> or attack patterns including through the collection of Firewall, VPN, and ExpressRoute logs</w:t>
      </w:r>
      <w:r w:rsidR="009C62AC" w:rsidRPr="00F70F44">
        <w:rPr>
          <w:b/>
          <w:sz w:val="20"/>
        </w:rPr>
        <w:t xml:space="preserve"> for our analytics platform</w:t>
      </w:r>
      <w:r w:rsidRPr="00F70F44">
        <w:rPr>
          <w:b/>
          <w:sz w:val="20"/>
        </w:rPr>
        <w:t>.</w:t>
      </w:r>
      <w:r w:rsidR="009C62AC" w:rsidRPr="00F70F44">
        <w:rPr>
          <w:b/>
          <w:sz w:val="20"/>
        </w:rPr>
        <w:t xml:space="preserve"> Network Watcher may also be available for some network security groups.</w:t>
      </w:r>
    </w:p>
    <w:p w14:paraId="7AC5AF07" w14:textId="77777777" w:rsidR="00DD5583" w:rsidRPr="00834AD0" w:rsidRDefault="00DD5583" w:rsidP="00834AD0">
      <w:pPr>
        <w:ind w:left="720"/>
        <w:rPr>
          <w:rFonts w:ascii="Calibri" w:hAnsi="Calibri" w:cs="Calibri"/>
        </w:rPr>
      </w:pPr>
    </w:p>
    <w:p w14:paraId="1A207FCC" w14:textId="768C67F1" w:rsidR="00AB5DB8" w:rsidRPr="00CC3A72" w:rsidRDefault="00AB5DB8" w:rsidP="00AB5DB8">
      <w:pPr>
        <w:numPr>
          <w:ilvl w:val="0"/>
          <w:numId w:val="100"/>
        </w:numPr>
        <w:rPr>
          <w:rFonts w:ascii="Calibri" w:hAnsi="Calibri" w:cs="Calibri"/>
        </w:rPr>
      </w:pPr>
      <w:r w:rsidRPr="00CC3A72">
        <w:rPr>
          <w:rFonts w:ascii="Calibri" w:hAnsi="Calibri" w:cs="Calibri"/>
        </w:rPr>
        <w:t>How many servers, databases, proxies or email servers/API solutions?</w:t>
      </w:r>
    </w:p>
    <w:p w14:paraId="6BD36F70" w14:textId="083C24DB" w:rsidR="002E7041" w:rsidRDefault="00CE7BE5">
      <w:pPr>
        <w:pStyle w:val="ListParagraph"/>
        <w:rPr>
          <w:b/>
          <w:sz w:val="20"/>
        </w:rPr>
      </w:pPr>
      <w:r w:rsidRPr="00F70F44">
        <w:rPr>
          <w:b/>
          <w:sz w:val="20"/>
        </w:rPr>
        <w:lastRenderedPageBreak/>
        <w:t xml:space="preserve"> The in-scope environment includes the DCDE Azure tenant, some VMs acting as jump boxes or gateways, Barracuda firewall VMs, serverless workloads and line-of-business application components. Email servers and central Microsoft 365 services are generally provided through the central Government tenant and are outside scope.</w:t>
      </w:r>
    </w:p>
    <w:p w14:paraId="6C783F83" w14:textId="77777777" w:rsidR="00DD5583" w:rsidRPr="00F70F44" w:rsidRDefault="00DD5583">
      <w:pPr>
        <w:pStyle w:val="ListParagraph"/>
      </w:pPr>
    </w:p>
    <w:p w14:paraId="29670437" w14:textId="77777777" w:rsidR="00AB5DB8" w:rsidRPr="00CC3A72" w:rsidRDefault="00AB5DB8" w:rsidP="00AB5DB8">
      <w:pPr>
        <w:numPr>
          <w:ilvl w:val="0"/>
          <w:numId w:val="100"/>
        </w:numPr>
        <w:rPr>
          <w:rFonts w:ascii="Calibri" w:hAnsi="Calibri" w:cs="Calibri"/>
        </w:rPr>
      </w:pPr>
      <w:r w:rsidRPr="00CC3A72">
        <w:rPr>
          <w:rFonts w:ascii="Calibri" w:hAnsi="Calibri" w:cs="Calibri"/>
        </w:rPr>
        <w:t>How many Unified Threat Management perimeter firewalls in your estate?</w:t>
      </w:r>
    </w:p>
    <w:p w14:paraId="70197470" w14:textId="065EA16E" w:rsidR="002E7041" w:rsidRDefault="00CE7BE5">
      <w:pPr>
        <w:pStyle w:val="ListParagraph"/>
        <w:rPr>
          <w:b/>
          <w:sz w:val="20"/>
        </w:rPr>
      </w:pPr>
      <w:r w:rsidRPr="00F70F44">
        <w:rPr>
          <w:b/>
          <w:sz w:val="20"/>
        </w:rPr>
        <w:t xml:space="preserve"> Network device scope is limited. Barracuda firewalls are deployed as VMs in the in-scope environment. Core network, Wi-Fi, endpoint and central Government infrastructure details are out of scope for this tender unless specifically identified during mobilisation. OT/ICS infrastructure is not in scope.</w:t>
      </w:r>
    </w:p>
    <w:p w14:paraId="3DAD6A87" w14:textId="77777777" w:rsidR="00DD5583" w:rsidRPr="00F70F44" w:rsidRDefault="00DD5583">
      <w:pPr>
        <w:pStyle w:val="ListParagraph"/>
      </w:pPr>
    </w:p>
    <w:p w14:paraId="1B94F150" w14:textId="77777777" w:rsidR="00AB5DB8" w:rsidRPr="00CC3A72" w:rsidRDefault="00AB5DB8" w:rsidP="00AB5DB8">
      <w:pPr>
        <w:numPr>
          <w:ilvl w:val="0"/>
          <w:numId w:val="100"/>
        </w:numPr>
        <w:rPr>
          <w:rFonts w:ascii="Calibri" w:hAnsi="Calibri" w:cs="Calibri"/>
        </w:rPr>
      </w:pPr>
      <w:r w:rsidRPr="00CC3A72">
        <w:rPr>
          <w:rFonts w:ascii="Calibri" w:hAnsi="Calibri" w:cs="Calibri"/>
        </w:rPr>
        <w:t>What is the number of core switches, routers and WIFI access points and who is the vendor?</w:t>
      </w:r>
    </w:p>
    <w:p w14:paraId="3BFA5105" w14:textId="7763B174" w:rsidR="002E7041" w:rsidRDefault="00CE7BE5">
      <w:pPr>
        <w:pStyle w:val="ListParagraph"/>
        <w:rPr>
          <w:b/>
          <w:sz w:val="20"/>
        </w:rPr>
      </w:pPr>
      <w:r w:rsidRPr="00387913">
        <w:rPr>
          <w:b/>
          <w:color w:val="000000" w:themeColor="text1"/>
          <w:sz w:val="20"/>
        </w:rPr>
        <w:t xml:space="preserve"> </w:t>
      </w:r>
      <w:r w:rsidRPr="00F70F44">
        <w:rPr>
          <w:b/>
          <w:sz w:val="20"/>
        </w:rPr>
        <w:t>Network device scope is limited. Core network, Wi-Fi, endpoint and central Government infrastructure details are out of scope for this tender unless specifically identified during mobilisation. OT/ICS infrastructure is not in scope.</w:t>
      </w:r>
    </w:p>
    <w:p w14:paraId="6A10C836" w14:textId="77777777" w:rsidR="00DD5583" w:rsidRDefault="00DD5583">
      <w:pPr>
        <w:pStyle w:val="ListParagraph"/>
      </w:pPr>
    </w:p>
    <w:p w14:paraId="0D03072F" w14:textId="77777777" w:rsidR="00AB5DB8" w:rsidRPr="00CC3A72" w:rsidRDefault="00AB5DB8" w:rsidP="00AB5DB8">
      <w:pPr>
        <w:numPr>
          <w:ilvl w:val="0"/>
          <w:numId w:val="100"/>
        </w:numPr>
        <w:rPr>
          <w:rFonts w:ascii="Calibri" w:hAnsi="Calibri" w:cs="Calibri"/>
        </w:rPr>
      </w:pPr>
      <w:r w:rsidRPr="00CC3A72">
        <w:rPr>
          <w:rFonts w:ascii="Calibri" w:hAnsi="Calibri" w:cs="Calibri"/>
        </w:rPr>
        <w:t>What are your required KPIs/SLAs, and what will be the reporting cadence?</w:t>
      </w:r>
    </w:p>
    <w:p w14:paraId="48374BCC" w14:textId="469BADB2" w:rsidR="002E7041" w:rsidRDefault="00CE7BE5">
      <w:pPr>
        <w:pStyle w:val="ListParagraph"/>
        <w:rPr>
          <w:b/>
          <w:sz w:val="20"/>
        </w:rPr>
      </w:pPr>
      <w:r w:rsidRPr="00387913">
        <w:rPr>
          <w:b/>
          <w:color w:val="000000" w:themeColor="text1"/>
          <w:sz w:val="20"/>
        </w:rPr>
        <w:t xml:space="preserve"> </w:t>
      </w:r>
      <w:r w:rsidRPr="00F70F44">
        <w:rPr>
          <w:b/>
          <w:sz w:val="20"/>
        </w:rPr>
        <w:t>Formal SLAs and KPIs are not yet prescribed. Tenderers should propose appropriate service levels in their response. Final acknowledgement, triage, escalation, containment, reporting and out-of-hours emergency response targets will be agreed with the successful tenderer and incorporated into the SLA/contract during mobilisation.</w:t>
      </w:r>
    </w:p>
    <w:p w14:paraId="727436BB" w14:textId="77777777" w:rsidR="00DD5583" w:rsidRDefault="00DD5583">
      <w:pPr>
        <w:pStyle w:val="ListParagraph"/>
      </w:pPr>
    </w:p>
    <w:p w14:paraId="0C63B405" w14:textId="77777777" w:rsidR="00AB5DB8" w:rsidRPr="00CC3A72" w:rsidRDefault="00AB5DB8" w:rsidP="00AB5DB8">
      <w:pPr>
        <w:numPr>
          <w:ilvl w:val="0"/>
          <w:numId w:val="100"/>
        </w:numPr>
        <w:rPr>
          <w:rFonts w:ascii="Calibri" w:hAnsi="Calibri" w:cs="Calibri"/>
        </w:rPr>
      </w:pPr>
      <w:r w:rsidRPr="00CC3A72">
        <w:rPr>
          <w:rFonts w:ascii="Calibri" w:hAnsi="Calibri" w:cs="Calibri"/>
        </w:rPr>
        <w:t>Can the Contracting Authority share the outputs of the existing NIS2 readiness assessment (or a summary of findings) with Tenderers, specifically the number of gaps identified, their severity or priority classification, and the control domains under which they fall, so that the initial 8–9 month gap-closure phase can be accurately resourced and priced?</w:t>
      </w:r>
    </w:p>
    <w:p w14:paraId="67FDCE4C" w14:textId="5D63578F" w:rsidR="002E7041" w:rsidRDefault="00CE7BE5">
      <w:pPr>
        <w:pStyle w:val="ListParagraph"/>
        <w:rPr>
          <w:b/>
          <w:sz w:val="20"/>
        </w:rPr>
      </w:pPr>
      <w:r w:rsidRPr="00F70F44">
        <w:rPr>
          <w:b/>
          <w:sz w:val="20"/>
        </w:rPr>
        <w:t xml:space="preserve"> A NIS2 readiness assessment has been completed. Details are addressed in section 1.2 of the RFT. The recommendations from the gap analysis are grouped into 8 initiatives, 4 of which remain outstanding. DCDE’s target is to reach approximately 3.5 on the CyFun scale. Further detail may be shared with the successful supplier subject to confidentiality and procurement requirements. The successful tenderer should support DCDE in aligning with NIS2, CER where applicable, CyFun, Irish Risk Management Measures, the National Cyber Security Bill and relevant NCSC guidance. DCDE expects a pragmatic mapping approach, with CyFun and the Irish risk management measures used as the operational assurance model where relevant, while recognising that statutory obligations and final competent-authority requirements will prevail once confirmed.</w:t>
      </w:r>
    </w:p>
    <w:p w14:paraId="012AD95D" w14:textId="77777777" w:rsidR="00DD5583" w:rsidRPr="00F70F44" w:rsidRDefault="00DD5583">
      <w:pPr>
        <w:pStyle w:val="ListParagraph"/>
      </w:pPr>
    </w:p>
    <w:p w14:paraId="0EE03971" w14:textId="77777777" w:rsidR="00AB5DB8" w:rsidRPr="00CC3A72" w:rsidRDefault="00AB5DB8" w:rsidP="00AB5DB8">
      <w:pPr>
        <w:numPr>
          <w:ilvl w:val="0"/>
          <w:numId w:val="100"/>
        </w:numPr>
        <w:rPr>
          <w:rFonts w:ascii="Calibri" w:hAnsi="Calibri" w:cs="Calibri"/>
        </w:rPr>
      </w:pPr>
      <w:r w:rsidRPr="00CC3A72">
        <w:rPr>
          <w:rFonts w:ascii="Calibri" w:hAnsi="Calibri" w:cs="Calibri"/>
        </w:rPr>
        <w:t>Does the gap-closure implementation support described in Appendix 1 require hands-on technical implementation (for example, configuration of IAM/PAM, MFA and cryptographic controls), or advisory and design support only, with implementation performed by the Contracting Authority, its infrastructure partner or in-house teams?</w:t>
      </w:r>
    </w:p>
    <w:p w14:paraId="6E74266A" w14:textId="4B1DD74D" w:rsidR="00F70F44" w:rsidRDefault="002652DC" w:rsidP="00834AD0">
      <w:pPr>
        <w:ind w:left="720"/>
        <w:rPr>
          <w:b/>
          <w:sz w:val="20"/>
        </w:rPr>
      </w:pPr>
      <w:r w:rsidRPr="00F70F44">
        <w:rPr>
          <w:b/>
          <w:sz w:val="20"/>
        </w:rPr>
        <w:lastRenderedPageBreak/>
        <w:t xml:space="preserve">The </w:t>
      </w:r>
      <w:proofErr w:type="spellStart"/>
      <w:r w:rsidRPr="00F70F44">
        <w:rPr>
          <w:b/>
          <w:sz w:val="20"/>
        </w:rPr>
        <w:t>the</w:t>
      </w:r>
      <w:proofErr w:type="spellEnd"/>
      <w:r w:rsidRPr="00F70F44">
        <w:rPr>
          <w:b/>
          <w:sz w:val="20"/>
        </w:rPr>
        <w:t xml:space="preserve"> gap-closure implementation support described in Appendix 1 requires advisory and design support only, with implementation performed by the Contracting Authority, its infrastructure partner or in-house teams.</w:t>
      </w:r>
    </w:p>
    <w:p w14:paraId="59CA0B4A" w14:textId="77777777" w:rsidR="00DD5583" w:rsidRPr="00F70F44" w:rsidRDefault="00DD5583" w:rsidP="00834AD0">
      <w:pPr>
        <w:ind w:left="720"/>
        <w:rPr>
          <w:rFonts w:ascii="Calibri" w:hAnsi="Calibri" w:cs="Calibri"/>
        </w:rPr>
      </w:pPr>
    </w:p>
    <w:p w14:paraId="19606FBC" w14:textId="6117F08C" w:rsidR="00AB5DB8" w:rsidRPr="00CC3A72" w:rsidRDefault="00AB5DB8" w:rsidP="00AB5DB8">
      <w:pPr>
        <w:numPr>
          <w:ilvl w:val="0"/>
          <w:numId w:val="100"/>
        </w:numPr>
        <w:rPr>
          <w:rFonts w:ascii="Calibri" w:hAnsi="Calibri" w:cs="Calibri"/>
        </w:rPr>
      </w:pPr>
      <w:r w:rsidRPr="00CC3A72">
        <w:rPr>
          <w:rFonts w:ascii="Calibri" w:hAnsi="Calibri" w:cs="Calibri"/>
        </w:rPr>
        <w:t>Has the Contracting Authority been designated, or does it expect to be designated, as an Essential or Important entity under NIS2 and/or the National Cyber Security Bill 2024? Do CER critical entity obligations formally apply to the Contracting Authority and, if so, is the scope limited to cyber resilience or does it extend to physical and operational resilience measures?</w:t>
      </w:r>
    </w:p>
    <w:p w14:paraId="17999D67" w14:textId="28E9C883" w:rsidR="008A4CD7" w:rsidRPr="00387913" w:rsidRDefault="00E521FB" w:rsidP="008A4CD7">
      <w:pPr>
        <w:pStyle w:val="ListParagraph"/>
        <w:rPr>
          <w:b/>
          <w:color w:val="000000" w:themeColor="text1"/>
          <w:sz w:val="20"/>
        </w:rPr>
      </w:pPr>
      <w:r w:rsidRPr="00F70F44">
        <w:rPr>
          <w:b/>
          <w:sz w:val="20"/>
        </w:rPr>
        <w:t>DCDE has not been publicly identified as a designated Essential or Important Entity under Ireland</w:t>
      </w:r>
      <w:r w:rsidR="00F70F44">
        <w:rPr>
          <w:b/>
          <w:sz w:val="20"/>
        </w:rPr>
        <w:t>’</w:t>
      </w:r>
      <w:r w:rsidRPr="00F70F44">
        <w:rPr>
          <w:b/>
          <w:sz w:val="20"/>
        </w:rPr>
        <w:t>s NIS2 transposition framework. However, as a central Government Department,</w:t>
      </w:r>
      <w:r w:rsidR="008A4CD7" w:rsidRPr="00F70F44">
        <w:rPr>
          <w:b/>
          <w:sz w:val="20"/>
        </w:rPr>
        <w:t xml:space="preserve"> DCDE is likely to fall within the scope of NIS2 as a public administration entity </w:t>
      </w:r>
      <w:r w:rsidRPr="00F70F44">
        <w:rPr>
          <w:b/>
          <w:sz w:val="20"/>
        </w:rPr>
        <w:t>as the Irish legislative framework is finalised.</w:t>
      </w:r>
      <w:r w:rsidR="008A4CD7" w:rsidRPr="00F70F44">
        <w:rPr>
          <w:rFonts w:ascii="Segoe UI" w:eastAsia="Times New Roman" w:hAnsi="Segoe UI" w:cs="Segoe UI"/>
          <w:kern w:val="0"/>
          <w:sz w:val="21"/>
          <w:szCs w:val="21"/>
          <w:lang w:eastAsia="en-IE"/>
          <w14:ligatures w14:val="none"/>
        </w:rPr>
        <w:t xml:space="preserve"> </w:t>
      </w:r>
      <w:r w:rsidR="008A4CD7" w:rsidRPr="00F70F44">
        <w:rPr>
          <w:b/>
          <w:sz w:val="20"/>
        </w:rPr>
        <w:t>DCDE is designated as a Critical Entity under the European Union (Resilience of Critical Entities) Regulations 2024 and is therefore subject to resilience obligations that extend beyond cybersecurity to include physical security, operational resilience, business continuity, incident management, crisis response and recovery planning for the delivery of essential services.</w:t>
      </w:r>
    </w:p>
    <w:p w14:paraId="204D7259" w14:textId="7B383B67" w:rsidR="00E521FB" w:rsidRPr="00387913" w:rsidRDefault="00E521FB" w:rsidP="00E521FB">
      <w:pPr>
        <w:pStyle w:val="ListParagraph"/>
        <w:rPr>
          <w:b/>
          <w:color w:val="000000" w:themeColor="text1"/>
          <w:sz w:val="20"/>
        </w:rPr>
      </w:pPr>
    </w:p>
    <w:p w14:paraId="70EAB75C" w14:textId="562894DA" w:rsidR="00E521FB" w:rsidRPr="00387913" w:rsidRDefault="00E521FB" w:rsidP="00E521FB">
      <w:pPr>
        <w:pStyle w:val="ListParagraph"/>
        <w:rPr>
          <w:b/>
          <w:color w:val="000000" w:themeColor="text1"/>
          <w:sz w:val="20"/>
        </w:rPr>
      </w:pPr>
    </w:p>
    <w:p w14:paraId="23AB4BA7" w14:textId="778927D9" w:rsidR="002E7041" w:rsidRDefault="002E7041">
      <w:pPr>
        <w:pStyle w:val="ListParagraph"/>
      </w:pPr>
    </w:p>
    <w:p w14:paraId="7D81FCA9" w14:textId="77777777" w:rsidR="00AB5DB8" w:rsidRPr="00CC3A72" w:rsidRDefault="00AB5DB8" w:rsidP="00AB5DB8">
      <w:pPr>
        <w:numPr>
          <w:ilvl w:val="0"/>
          <w:numId w:val="100"/>
        </w:numPr>
        <w:rPr>
          <w:rFonts w:ascii="Calibri" w:hAnsi="Calibri" w:cs="Calibri"/>
        </w:rPr>
      </w:pPr>
      <w:r w:rsidRPr="00CC3A72">
        <w:rPr>
          <w:rFonts w:ascii="Calibri" w:hAnsi="Calibri" w:cs="Calibri"/>
        </w:rPr>
        <w:t>The RFT references NIS2, CER, CyFun, the Irish Risk Management Measures and the National Cyber Security Bill 2024. Can the Contracting Authority confirm which framework will act as the primary control baseline for gap closure and assurance activity and, if CyFun, which assurance level (Basic, Important or Essential) is being targeted?</w:t>
      </w:r>
    </w:p>
    <w:p w14:paraId="26592708" w14:textId="3D4942F1" w:rsidR="00ED0BDD" w:rsidRPr="00387913" w:rsidRDefault="00ED0BDD" w:rsidP="00ED0BDD">
      <w:pPr>
        <w:pStyle w:val="ListParagraph"/>
        <w:rPr>
          <w:b/>
          <w:color w:val="000000" w:themeColor="text1"/>
          <w:sz w:val="20"/>
        </w:rPr>
      </w:pPr>
      <w:r w:rsidRPr="00F70F44">
        <w:rPr>
          <w:b/>
          <w:sz w:val="20"/>
        </w:rPr>
        <w:t>DCDE</w:t>
      </w:r>
      <w:r w:rsidR="00F70F44">
        <w:rPr>
          <w:b/>
          <w:sz w:val="20"/>
        </w:rPr>
        <w:t>’</w:t>
      </w:r>
      <w:r w:rsidRPr="00F70F44">
        <w:rPr>
          <w:b/>
          <w:sz w:val="20"/>
        </w:rPr>
        <w:t>s approach is to align assurance and gap closure activities with the requirements of NIS2 and associated Irish implementing measures, while also supporting its obligations as a designated Critical Entity under the CER Regulations. The NCSC</w:t>
      </w:r>
      <w:r w:rsidR="00F70F44">
        <w:rPr>
          <w:b/>
          <w:sz w:val="20"/>
        </w:rPr>
        <w:t>’</w:t>
      </w:r>
      <w:r w:rsidRPr="00F70F44">
        <w:rPr>
          <w:b/>
          <w:sz w:val="20"/>
        </w:rPr>
        <w:t xml:space="preserve">s Risk Management Measures (RMM) and Cyber Fundamentals (CyFun) frameworks are expected to provide the principal operational cyber security baseline for assessment and improvement activities. DCDE’s target is to reach approximately 3.5 on the CyFun scale. </w:t>
      </w:r>
    </w:p>
    <w:p w14:paraId="7EC6EC08" w14:textId="453B2A8F" w:rsidR="002E7041" w:rsidRDefault="002E7041">
      <w:pPr>
        <w:pStyle w:val="ListParagraph"/>
      </w:pPr>
    </w:p>
    <w:p w14:paraId="3059ECDD" w14:textId="77777777" w:rsidR="00AB5DB8" w:rsidRPr="00CC3A72" w:rsidRDefault="00AB5DB8" w:rsidP="00AB5DB8">
      <w:pPr>
        <w:numPr>
          <w:ilvl w:val="0"/>
          <w:numId w:val="100"/>
        </w:numPr>
        <w:rPr>
          <w:rFonts w:ascii="Calibri" w:hAnsi="Calibri" w:cs="Calibri"/>
        </w:rPr>
      </w:pPr>
      <w:r w:rsidRPr="00CC3A72">
        <w:rPr>
          <w:rFonts w:ascii="Calibri" w:hAnsi="Calibri" w:cs="Calibri"/>
        </w:rPr>
        <w:t>Can the Contracting Authority indicate the anticipated volume of the lighter-touch continuous improvement and assurance support following the initial phase (for example, expected days per month or FTE equivalent), or should Tenderers state and price their own assumption in this regard?</w:t>
      </w:r>
    </w:p>
    <w:p w14:paraId="04E09ACD" w14:textId="3E99F0CA" w:rsidR="002E7041" w:rsidRDefault="00CE7BE5">
      <w:pPr>
        <w:pStyle w:val="ListParagraph"/>
        <w:rPr>
          <w:b/>
          <w:sz w:val="20"/>
        </w:rPr>
      </w:pPr>
      <w:r w:rsidRPr="00F70F44">
        <w:rPr>
          <w:b/>
          <w:sz w:val="20"/>
        </w:rPr>
        <w:t>Tenderers should base their response on the information provided in the RFT and clarifications. Where precise volumes or processes are not currently available, tenderers should state clear assumptions and propose an approach to confirm and baseline the position during mobilisation with DCDE.</w:t>
      </w:r>
    </w:p>
    <w:p w14:paraId="62D1549F" w14:textId="77777777" w:rsidR="00DD5583" w:rsidRPr="00F70F44" w:rsidRDefault="00DD5583">
      <w:pPr>
        <w:pStyle w:val="ListParagraph"/>
      </w:pPr>
    </w:p>
    <w:p w14:paraId="379F6D03" w14:textId="359AE263" w:rsidR="00AB5DB8" w:rsidRPr="00CC3A72" w:rsidRDefault="00AB5DB8" w:rsidP="00AB5DB8">
      <w:pPr>
        <w:numPr>
          <w:ilvl w:val="0"/>
          <w:numId w:val="100"/>
        </w:numPr>
        <w:rPr>
          <w:rFonts w:ascii="Calibri" w:hAnsi="Calibri" w:cs="Calibri"/>
        </w:rPr>
      </w:pPr>
      <w:r w:rsidRPr="00CC3A72">
        <w:rPr>
          <w:rFonts w:ascii="Calibri" w:hAnsi="Calibri" w:cs="Calibri"/>
        </w:rPr>
        <w:t>What is the current maturity of the Contracting Authority</w:t>
      </w:r>
      <w:r w:rsidR="00F70F44">
        <w:rPr>
          <w:rFonts w:ascii="Calibri" w:hAnsi="Calibri" w:cs="Calibri"/>
        </w:rPr>
        <w:t>’</w:t>
      </w:r>
      <w:r w:rsidRPr="00CC3A72">
        <w:rPr>
          <w:rFonts w:ascii="Calibri" w:hAnsi="Calibri" w:cs="Calibri"/>
        </w:rPr>
        <w:t xml:space="preserve">s governance documentation? Approximately how many security policies, standards and procedures exist and require review or update, versus how many must be developed from first principles? </w:t>
      </w:r>
      <w:r w:rsidRPr="00CC3A72">
        <w:rPr>
          <w:rFonts w:ascii="Calibri" w:hAnsi="Calibri" w:cs="Calibri"/>
        </w:rPr>
        <w:lastRenderedPageBreak/>
        <w:t>Does the Contracting Authority operate an existing risk register and risk management framework, and is a GRC tool or platform available, or should any such tooling be included in Tenderers</w:t>
      </w:r>
      <w:r w:rsidR="00F70F44">
        <w:rPr>
          <w:rFonts w:ascii="Calibri" w:hAnsi="Calibri" w:cs="Calibri"/>
        </w:rPr>
        <w:t>’</w:t>
      </w:r>
      <w:r w:rsidRPr="00CC3A72">
        <w:rPr>
          <w:rFonts w:ascii="Calibri" w:hAnsi="Calibri" w:cs="Calibri"/>
        </w:rPr>
        <w:t xml:space="preserve"> pricing?</w:t>
      </w:r>
    </w:p>
    <w:p w14:paraId="7A25CAF4" w14:textId="11EBC756" w:rsidR="002E7041" w:rsidRDefault="00CE7BE5">
      <w:pPr>
        <w:pStyle w:val="ListParagraph"/>
        <w:rPr>
          <w:b/>
          <w:sz w:val="20"/>
        </w:rPr>
      </w:pPr>
      <w:r w:rsidRPr="00F70F44">
        <w:rPr>
          <w:b/>
          <w:sz w:val="20"/>
        </w:rPr>
        <w:t>Relevant governance documentation is under development and will require both review/enhancement and creation of new material in partnership with DCDE. DCDE retains ownership of risk management and risk appetite decisions, with the supplier expected to support maintenance, evidence, recommendations and continuous improvement. Tenderers should state any assumptions regarding GRC tooling; no dedicated GRC platform is confirmed.</w:t>
      </w:r>
    </w:p>
    <w:p w14:paraId="3AA862E6" w14:textId="77777777" w:rsidR="00DD5583" w:rsidRDefault="00DD5583">
      <w:pPr>
        <w:pStyle w:val="ListParagraph"/>
      </w:pPr>
    </w:p>
    <w:p w14:paraId="16E7DBB1" w14:textId="77777777" w:rsidR="00AB5DB8" w:rsidRPr="00CC3A72" w:rsidRDefault="00AB5DB8" w:rsidP="00AB5DB8">
      <w:pPr>
        <w:numPr>
          <w:ilvl w:val="0"/>
          <w:numId w:val="100"/>
        </w:numPr>
        <w:rPr>
          <w:rFonts w:ascii="Calibri" w:hAnsi="Calibri" w:cs="Calibri"/>
        </w:rPr>
      </w:pPr>
      <w:r w:rsidRPr="00CC3A72">
        <w:rPr>
          <w:rFonts w:ascii="Calibri" w:hAnsi="Calibri" w:cs="Calibri"/>
        </w:rPr>
        <w:t>For the vulnerability management element of the Services, will the Contracting Authority provide vulnerability scanning tooling (as with the SIEM tooling referenced in Appendix 1), or are Tenderers expected to include vulnerability management tooling and licensing within their price? Can the Contracting Authority confirm the approximate scope of assets in scope, including the number of users, endpoints, servers, cloud/SaaS platforms and externally facing services, together with the expected scanning cadence?</w:t>
      </w:r>
    </w:p>
    <w:p w14:paraId="57E3E240" w14:textId="5E7E6386" w:rsidR="002E7041" w:rsidRDefault="00367DBA">
      <w:pPr>
        <w:pStyle w:val="ListParagraph"/>
        <w:rPr>
          <w:b/>
          <w:sz w:val="20"/>
        </w:rPr>
      </w:pPr>
      <w:r w:rsidRPr="00F70F44">
        <w:rPr>
          <w:b/>
          <w:sz w:val="20"/>
        </w:rPr>
        <w:t>DCDE expects the successful tenderer to work with the tooling currently available within the Department and to provide advice on the most appropriate vulnerability management approach, tooling configuration and operating model for the in-scope environment. Tenderers are not required to include core vulnerability scanning tooling or licensing costs within their baseline price unless they are proposing an optional enhancement. Where additional tooling is recommended, tenderers should clearly identify the rationale, licensing implications and associated costs separately in their tender response. The successful tenderer will be expected to support vulnerability identification, prioritisation, reporting and remediation advice in collaboration with DCDE and its infrastructure partners.</w:t>
      </w:r>
      <w:r w:rsidR="00834AD0">
        <w:rPr>
          <w:b/>
          <w:sz w:val="20"/>
        </w:rPr>
        <w:t xml:space="preserve"> </w:t>
      </w:r>
      <w:r w:rsidR="00CE7BE5" w:rsidRPr="00F70F44">
        <w:rPr>
          <w:b/>
          <w:sz w:val="20"/>
        </w:rPr>
        <w:t>The in-scope environment is DCDE’s Azure tenant hosting line-of-business applications and related workloads. The Department has approximately 800 users on the tenant, approximately 150 guest users from another Government Department, a small number of contractor and service accounts, and approximately 4-5 line-of-business applications with a Fabric environment. End-user devices, mobile devices, Microsoft 365 services and the central Government tenant are generally out of scope unless otherwise stated. DCDE uses a cross-tenant B2B connection to the centrally hosted Government tenant. Identities are provided from Active Directory with SSO. PIM and RBAC are in operation, with a small number of service accounts and privileged users. The precise number of privileged accounts will be confirmed during mobilisation.</w:t>
      </w:r>
    </w:p>
    <w:p w14:paraId="7A241E6D" w14:textId="77777777" w:rsidR="00DD5583" w:rsidRPr="00F70F44" w:rsidRDefault="00DD5583">
      <w:pPr>
        <w:pStyle w:val="ListParagraph"/>
      </w:pPr>
    </w:p>
    <w:p w14:paraId="5C6B9FFE" w14:textId="77777777" w:rsidR="00AB5DB8" w:rsidRPr="00CC3A72" w:rsidRDefault="00AB5DB8" w:rsidP="00AB5DB8">
      <w:pPr>
        <w:numPr>
          <w:ilvl w:val="0"/>
          <w:numId w:val="100"/>
        </w:numPr>
        <w:rPr>
          <w:rFonts w:ascii="Calibri" w:hAnsi="Calibri" w:cs="Calibri"/>
        </w:rPr>
      </w:pPr>
      <w:r w:rsidRPr="00CC3A72">
        <w:rPr>
          <w:rFonts w:ascii="Calibri" w:hAnsi="Calibri" w:cs="Calibri"/>
        </w:rPr>
        <w:t>Is the successful Tenderer responsible for the remediation of identified vulnerabilities, or for identification, prioritisation, tracking and remediation advice only, with remediation performed by the Contracting Authority and/or its infrastructure partner? Is penetration testing within scope under supplier assurance, vulnerability management and technical advisory support and, if so, what frequency and scope should be assumed?</w:t>
      </w:r>
    </w:p>
    <w:p w14:paraId="27E5BEF2" w14:textId="5B916F39" w:rsidR="002E7041" w:rsidRDefault="00CE7BE5">
      <w:pPr>
        <w:pStyle w:val="ListParagraph"/>
        <w:rPr>
          <w:b/>
          <w:sz w:val="20"/>
        </w:rPr>
      </w:pPr>
      <w:r w:rsidRPr="00F70F44">
        <w:rPr>
          <w:b/>
          <w:sz w:val="20"/>
        </w:rPr>
        <w:t xml:space="preserve">The successful tenderer is expected to work with available tooling and advise DCDE on appropriate vulnerability management tooling, configuration and process. The focus is identification, prioritisation, reporting, tracking and remediation advice. Actual remediation will normally be performed by DCDE, its infrastructure partner or relevant </w:t>
      </w:r>
      <w:r w:rsidRPr="00F70F44">
        <w:rPr>
          <w:b/>
          <w:sz w:val="20"/>
        </w:rPr>
        <w:lastRenderedPageBreak/>
        <w:t>application/infrastructure suppliers unless otherwise agreed.</w:t>
      </w:r>
      <w:r w:rsidR="00367DBA" w:rsidRPr="00F70F44">
        <w:t xml:space="preserve"> </w:t>
      </w:r>
      <w:r w:rsidR="00367DBA" w:rsidRPr="00F70F44">
        <w:rPr>
          <w:b/>
          <w:sz w:val="20"/>
        </w:rPr>
        <w:t>Penetration testing is not a mandatory baseline requirement under this contract. The successful tenderer will be expected to review penetration test results, provide remediation advice, support risk prioritisation and assist DCDE in addressing identified findings.</w:t>
      </w:r>
    </w:p>
    <w:p w14:paraId="4091690D" w14:textId="77777777" w:rsidR="00DD5583" w:rsidRDefault="00DD5583">
      <w:pPr>
        <w:pStyle w:val="ListParagraph"/>
      </w:pPr>
    </w:p>
    <w:p w14:paraId="33DB246E" w14:textId="77777777" w:rsidR="00AB5DB8" w:rsidRPr="00CC3A72" w:rsidRDefault="00AB5DB8" w:rsidP="00AB5DB8">
      <w:pPr>
        <w:numPr>
          <w:ilvl w:val="0"/>
          <w:numId w:val="100"/>
        </w:numPr>
        <w:rPr>
          <w:rFonts w:ascii="Calibri" w:hAnsi="Calibri" w:cs="Calibri"/>
        </w:rPr>
      </w:pPr>
      <w:r w:rsidRPr="00CC3A72">
        <w:rPr>
          <w:rFonts w:ascii="Calibri" w:hAnsi="Calibri" w:cs="Calibri"/>
        </w:rPr>
        <w:t>Approximately how many third-party suppliers are in scope for supplier assurance activity, and what depth of assessment is expected per annum (for example, questionnaire-based review, contractual review, or detailed/on-site audit)?</w:t>
      </w:r>
    </w:p>
    <w:p w14:paraId="7911539E" w14:textId="7564C5EE" w:rsidR="002E7041" w:rsidRDefault="00CE7BE5">
      <w:pPr>
        <w:pStyle w:val="ListParagraph"/>
        <w:rPr>
          <w:b/>
          <w:sz w:val="20"/>
        </w:rPr>
      </w:pPr>
      <w:r w:rsidRPr="00F70F44">
        <w:rPr>
          <w:b/>
          <w:sz w:val="20"/>
        </w:rPr>
        <w:t>The number of third-party suppliers requiring assurance has not yet been finalised. Tenderers should propose a scalable supplier assurance approach, such as questionnaire-based review, risk-based prioritisation, contract/security evidence review and escalation for higher-risk suppliers, with detailed or on-site audits only where agreed.</w:t>
      </w:r>
    </w:p>
    <w:p w14:paraId="06A305AB" w14:textId="77777777" w:rsidR="00DD5583" w:rsidRPr="00F70F44" w:rsidRDefault="00DD5583">
      <w:pPr>
        <w:pStyle w:val="ListParagraph"/>
      </w:pPr>
    </w:p>
    <w:p w14:paraId="28C1D56D" w14:textId="77777777" w:rsidR="00AB5DB8" w:rsidRPr="00CC3A72" w:rsidRDefault="00AB5DB8" w:rsidP="00AB5DB8">
      <w:pPr>
        <w:numPr>
          <w:ilvl w:val="0"/>
          <w:numId w:val="100"/>
        </w:numPr>
        <w:rPr>
          <w:rFonts w:ascii="Calibri" w:hAnsi="Calibri" w:cs="Calibri"/>
        </w:rPr>
      </w:pPr>
      <w:r w:rsidRPr="00CC3A72">
        <w:rPr>
          <w:rFonts w:ascii="Calibri" w:hAnsi="Calibri" w:cs="Calibri"/>
        </w:rPr>
        <w:t>In respect of business continuity and disaster recovery support, do a current business impact analysis, business continuity plan and disaster recovery plans exist, and how many critical services or systems are in scope? How many business continuity, disaster recovery or incident response exercises (for example, tabletop exercises) per annum should be assumed within the baseline price?</w:t>
      </w:r>
    </w:p>
    <w:p w14:paraId="2F258859" w14:textId="22301802" w:rsidR="002E7041" w:rsidRDefault="00CE7BE5">
      <w:pPr>
        <w:pStyle w:val="ListParagraph"/>
        <w:rPr>
          <w:b/>
          <w:sz w:val="20"/>
        </w:rPr>
      </w:pPr>
      <w:r w:rsidRPr="00F70F44">
        <w:rPr>
          <w:b/>
          <w:sz w:val="20"/>
        </w:rPr>
        <w:t xml:space="preserve">Business continuity, disaster recovery, crisis management and incident management documentation is currently being developed. DCDE expects the successful tenderer to support review, enhancement, testing and knowledge transfer as part of the service. </w:t>
      </w:r>
      <w:r w:rsidR="004D7B35" w:rsidRPr="00F70F44">
        <w:rPr>
          <w:b/>
          <w:sz w:val="20"/>
        </w:rPr>
        <w:t xml:space="preserve"> Roughly 30 units have been identified with critical systems/processes with differing degrees of criticality for each.</w:t>
      </w:r>
      <w:r w:rsidR="00666092" w:rsidRPr="00F70F44">
        <w:t xml:space="preserve"> </w:t>
      </w:r>
      <w:r w:rsidR="00666092" w:rsidRPr="00F70F44">
        <w:rPr>
          <w:b/>
          <w:sz w:val="20"/>
        </w:rPr>
        <w:t>DCDE does not prescribe a fixed number of business continuity, disaster recovery or incident response exercises within the baseline service. Tenderers should propose a proportionate approach based on good practice, the Department</w:t>
      </w:r>
      <w:r w:rsidR="00F70F44">
        <w:rPr>
          <w:b/>
          <w:sz w:val="20"/>
        </w:rPr>
        <w:t>’</w:t>
      </w:r>
      <w:r w:rsidR="00666092" w:rsidRPr="00F70F44">
        <w:rPr>
          <w:b/>
          <w:sz w:val="20"/>
        </w:rPr>
        <w:t>s risk profile and applicable NIS2/CER obligations. As a planning assumption, DCDE would expect at least one business continuity/disaster recovery exercise and one incident response or tabletop exercise annually, together with any additional exercises recommended by the successful tenderer or required by emerging business, audit or regulatory requirements. The final exercise schedule will be agreed with the successful tenderer during mobilisation and contract governance.</w:t>
      </w:r>
    </w:p>
    <w:p w14:paraId="73A1B84B" w14:textId="77777777" w:rsidR="00DD5583" w:rsidRDefault="00DD5583">
      <w:pPr>
        <w:pStyle w:val="ListParagraph"/>
      </w:pPr>
    </w:p>
    <w:p w14:paraId="4DEC7853" w14:textId="77777777" w:rsidR="00AB5DB8" w:rsidRPr="00CC3A72" w:rsidRDefault="00AB5DB8" w:rsidP="00AB5DB8">
      <w:pPr>
        <w:numPr>
          <w:ilvl w:val="0"/>
          <w:numId w:val="100"/>
        </w:numPr>
        <w:rPr>
          <w:rFonts w:ascii="Calibri" w:hAnsi="Calibri" w:cs="Calibri"/>
        </w:rPr>
      </w:pPr>
      <w:r w:rsidRPr="00CC3A72">
        <w:rPr>
          <w:rFonts w:ascii="Calibri" w:hAnsi="Calibri" w:cs="Calibri"/>
        </w:rPr>
        <w:t>In respect of training, knowledge transfer and awareness support, can the Contracting Authority confirm the approximate audience size, the expected number and format of sessions per annum, and whether phishing simulation is within scope?</w:t>
      </w:r>
    </w:p>
    <w:p w14:paraId="03D0F8A0" w14:textId="2A15D6A0" w:rsidR="002E7041" w:rsidRDefault="002D7B79">
      <w:pPr>
        <w:pStyle w:val="ListParagraph"/>
        <w:rPr>
          <w:b/>
          <w:color w:val="000000" w:themeColor="text1"/>
          <w:sz w:val="20"/>
        </w:rPr>
      </w:pPr>
      <w:r w:rsidRPr="00F70F44">
        <w:rPr>
          <w:b/>
          <w:sz w:val="20"/>
        </w:rPr>
        <w:t xml:space="preserve">The staff cohort requiring cybersecurity awareness training is approximately 800 employees. Training is delivered through a third-party platform, which is capable of incorporating custom content or </w:t>
      </w:r>
      <w:r w:rsidR="00DF685C" w:rsidRPr="00F70F44">
        <w:rPr>
          <w:b/>
          <w:sz w:val="20"/>
        </w:rPr>
        <w:t xml:space="preserve">the </w:t>
      </w:r>
      <w:r w:rsidRPr="00F70F44">
        <w:rPr>
          <w:b/>
          <w:sz w:val="20"/>
        </w:rPr>
        <w:t xml:space="preserve">commission of tailored training materials where required. It is not anticipated that the successful tenderer would be required to deliver training </w:t>
      </w:r>
      <w:r w:rsidR="0046685D" w:rsidRPr="00F70F44">
        <w:rPr>
          <w:b/>
          <w:sz w:val="20"/>
        </w:rPr>
        <w:t>sessions but</w:t>
      </w:r>
      <w:r w:rsidRPr="00F70F44">
        <w:rPr>
          <w:b/>
          <w:sz w:val="20"/>
        </w:rPr>
        <w:t xml:space="preserve"> instead provide </w:t>
      </w:r>
      <w:r w:rsidR="00DF685C" w:rsidRPr="00F70F44">
        <w:rPr>
          <w:b/>
          <w:sz w:val="20"/>
        </w:rPr>
        <w:t>advisory support to</w:t>
      </w:r>
      <w:r w:rsidRPr="00F70F44">
        <w:rPr>
          <w:b/>
          <w:sz w:val="20"/>
        </w:rPr>
        <w:t xml:space="preserve"> training requirements</w:t>
      </w:r>
      <w:r w:rsidRPr="00387913">
        <w:rPr>
          <w:b/>
          <w:color w:val="000000" w:themeColor="text1"/>
          <w:sz w:val="20"/>
        </w:rPr>
        <w:t>.</w:t>
      </w:r>
      <w:r w:rsidR="00877D15" w:rsidRPr="00387913">
        <w:rPr>
          <w:b/>
          <w:color w:val="000000" w:themeColor="text1"/>
          <w:sz w:val="20"/>
        </w:rPr>
        <w:t xml:space="preserve"> </w:t>
      </w:r>
    </w:p>
    <w:p w14:paraId="03D142D6" w14:textId="77777777" w:rsidR="00DD5583" w:rsidRDefault="00DD5583">
      <w:pPr>
        <w:pStyle w:val="ListParagraph"/>
      </w:pPr>
    </w:p>
    <w:p w14:paraId="02DEB7E5" w14:textId="77777777" w:rsidR="00AB5DB8" w:rsidRPr="00CC3A72" w:rsidRDefault="00AB5DB8" w:rsidP="00AB5DB8">
      <w:pPr>
        <w:numPr>
          <w:ilvl w:val="0"/>
          <w:numId w:val="100"/>
        </w:numPr>
        <w:rPr>
          <w:rFonts w:ascii="Calibri" w:hAnsi="Calibri" w:cs="Calibri"/>
        </w:rPr>
      </w:pPr>
      <w:r w:rsidRPr="00CC3A72">
        <w:rPr>
          <w:rFonts w:ascii="Calibri" w:hAnsi="Calibri" w:cs="Calibri"/>
        </w:rPr>
        <w:t xml:space="preserve">Appendix 1 states that AI and SaaS security reviews are within scope “where required”. Should Tenderers assume a defined number of such reviews within the baseline </w:t>
      </w:r>
      <w:r w:rsidRPr="00CC3A72">
        <w:rPr>
          <w:rFonts w:ascii="Calibri" w:hAnsi="Calibri" w:cs="Calibri"/>
        </w:rPr>
        <w:lastRenderedPageBreak/>
        <w:t>price and, if so, how many per annum, or are these to be delivered via drawdown days at the quoted rates?</w:t>
      </w:r>
    </w:p>
    <w:p w14:paraId="35416E49" w14:textId="22D7800F" w:rsidR="002E7041" w:rsidRDefault="00CE7BE5">
      <w:pPr>
        <w:pStyle w:val="ListParagraph"/>
        <w:rPr>
          <w:b/>
          <w:sz w:val="20"/>
        </w:rPr>
      </w:pPr>
      <w:r w:rsidRPr="00F70F44">
        <w:rPr>
          <w:b/>
          <w:sz w:val="20"/>
        </w:rPr>
        <w:t>No fixed annual volume of drawdown days can be confirmed at this stage. Tenderers should provide clearly separated daily rates and state any assumptions. Drawdown work will be commissioned only where required and subject to DCDE approval, budget availability and the contractual arrangements.</w:t>
      </w:r>
    </w:p>
    <w:p w14:paraId="582DD514" w14:textId="77777777" w:rsidR="00DD5583" w:rsidRDefault="00DD5583">
      <w:pPr>
        <w:pStyle w:val="ListParagraph"/>
      </w:pPr>
    </w:p>
    <w:p w14:paraId="2A30B2CD" w14:textId="77777777" w:rsidR="00AB5DB8" w:rsidRPr="00CC3A72" w:rsidRDefault="00AB5DB8" w:rsidP="00AB5DB8">
      <w:pPr>
        <w:numPr>
          <w:ilvl w:val="0"/>
          <w:numId w:val="100"/>
        </w:numPr>
        <w:rPr>
          <w:rFonts w:ascii="Calibri" w:hAnsi="Calibri" w:cs="Calibri"/>
        </w:rPr>
      </w:pPr>
      <w:r w:rsidRPr="00CC3A72">
        <w:rPr>
          <w:rFonts w:ascii="Calibri" w:hAnsi="Calibri" w:cs="Calibri"/>
        </w:rPr>
        <w:t>Should Tenderers assume any indicative volume of additional drawdown days (Appendix 2, item 7) within the evaluated four-year Total, or are drawdown rates excluded from the Total Cost that goes forward for assessment of marks for cost?</w:t>
      </w:r>
    </w:p>
    <w:p w14:paraId="29482982" w14:textId="40588150" w:rsidR="002E7041" w:rsidRDefault="00CE7BE5">
      <w:pPr>
        <w:pStyle w:val="ListParagraph"/>
        <w:rPr>
          <w:b/>
          <w:sz w:val="20"/>
        </w:rPr>
      </w:pPr>
      <w:r w:rsidRPr="00F70F44">
        <w:rPr>
          <w:b/>
          <w:sz w:val="20"/>
        </w:rPr>
        <w:t>Tenderers should provide clear pricing assumptions and separate the items identified in Appendix 2, including optional 24x7 monitoring, additional drawdown rates and exit/transition costs. The evaluated Total should reflect the maximum four-year term and include the required baseline services. Optional services should be clearly identified separately so DCDE can assess value for money and decide whether to award or activate them.</w:t>
      </w:r>
    </w:p>
    <w:p w14:paraId="48FDBBB2" w14:textId="77777777" w:rsidR="00DD5583" w:rsidRPr="00F70F44" w:rsidRDefault="00DD5583">
      <w:pPr>
        <w:pStyle w:val="ListParagraph"/>
      </w:pPr>
    </w:p>
    <w:p w14:paraId="506D1B32" w14:textId="77777777" w:rsidR="00AB5DB8" w:rsidRPr="00CC3A72" w:rsidRDefault="00AB5DB8" w:rsidP="00AB5DB8">
      <w:pPr>
        <w:numPr>
          <w:ilvl w:val="0"/>
          <w:numId w:val="100"/>
        </w:numPr>
        <w:rPr>
          <w:rFonts w:ascii="Calibri" w:hAnsi="Calibri" w:cs="Calibri"/>
        </w:rPr>
      </w:pPr>
      <w:r w:rsidRPr="00CC3A72">
        <w:rPr>
          <w:rFonts w:ascii="Calibri" w:hAnsi="Calibri" w:cs="Calibri"/>
        </w:rPr>
        <w:t>The narrative in Appendix 2 requires pricing for exit/transition costs, data return/deletion and knowledge transfer (item 8); however, no corresponding line appears in the pricing table. Can the Contracting Authority confirm whether these costs should be included within an existing line item or added as a separate row, and whether they form part of the evaluated Total?</w:t>
      </w:r>
    </w:p>
    <w:p w14:paraId="04B92522" w14:textId="1E65A6F1" w:rsidR="002E7041" w:rsidRDefault="00CE7BE5">
      <w:pPr>
        <w:pStyle w:val="ListParagraph"/>
        <w:rPr>
          <w:b/>
          <w:sz w:val="20"/>
        </w:rPr>
      </w:pPr>
      <w:r w:rsidRPr="00F70F44">
        <w:rPr>
          <w:b/>
          <w:sz w:val="20"/>
        </w:rPr>
        <w:t>Tenderers should provide clear pricing assumptions and separate the items identified in Appendix 2, including optional 24x7 monitoring, additional drawdown rates and exit/transition costs. The evaluated Total should reflect the maximum four-year term and include the required baseline services. Optional services should be clearly identified separately so DCDE can assess value for money and decide whether to award or activate them.</w:t>
      </w:r>
    </w:p>
    <w:p w14:paraId="7B174505" w14:textId="77777777" w:rsidR="00DD5583" w:rsidRDefault="00DD5583">
      <w:pPr>
        <w:pStyle w:val="ListParagraph"/>
        <w:rPr>
          <w:b/>
          <w:sz w:val="20"/>
        </w:rPr>
      </w:pPr>
    </w:p>
    <w:p w14:paraId="44C5E0F7" w14:textId="77777777" w:rsidR="00DD5583" w:rsidRPr="00F70F44" w:rsidRDefault="00DD5583">
      <w:pPr>
        <w:pStyle w:val="ListParagraph"/>
      </w:pPr>
    </w:p>
    <w:p w14:paraId="4DD24645" w14:textId="0043C92A" w:rsidR="00AB5DB8" w:rsidRPr="00AB5DB8" w:rsidRDefault="00AB5DB8" w:rsidP="00AB5DB8">
      <w:pPr>
        <w:pStyle w:val="ListParagraph"/>
        <w:numPr>
          <w:ilvl w:val="0"/>
          <w:numId w:val="100"/>
        </w:numPr>
        <w:rPr>
          <w:rFonts w:ascii="Calibri" w:hAnsi="Calibri" w:cs="Calibri"/>
        </w:rPr>
      </w:pPr>
      <w:r w:rsidRPr="00AB5DB8">
        <w:rPr>
          <w:rFonts w:ascii="Calibri" w:hAnsi="Calibri" w:cs="Calibri"/>
          <w:b/>
          <w:bCs/>
        </w:rPr>
        <w:t xml:space="preserve">Pricing </w:t>
      </w:r>
      <w:r w:rsidR="00F70F44">
        <w:rPr>
          <w:rFonts w:ascii="Calibri" w:hAnsi="Calibri" w:cs="Calibri"/>
          <w:b/>
          <w:bCs/>
        </w:rPr>
        <w:t>–</w:t>
      </w:r>
      <w:r w:rsidRPr="00AB5DB8">
        <w:rPr>
          <w:rFonts w:ascii="Calibri" w:hAnsi="Calibri" w:cs="Calibri"/>
          <w:b/>
          <w:bCs/>
        </w:rPr>
        <w:t xml:space="preserve"> 1. Review of existing NIS2 readiness assessment outputs and</w:t>
      </w:r>
      <w:r>
        <w:rPr>
          <w:rFonts w:ascii="Calibri" w:hAnsi="Calibri" w:cs="Calibri"/>
          <w:b/>
          <w:bCs/>
        </w:rPr>
        <w:t xml:space="preserve"> </w:t>
      </w:r>
      <w:r w:rsidRPr="00AB5DB8">
        <w:rPr>
          <w:rFonts w:ascii="Calibri" w:hAnsi="Calibri" w:cs="Calibri"/>
          <w:b/>
          <w:bCs/>
        </w:rPr>
        <w:t>implementation planning</w:t>
      </w:r>
    </w:p>
    <w:p w14:paraId="16DE9265" w14:textId="77777777" w:rsidR="00AB5DB8" w:rsidRDefault="00AB5DB8" w:rsidP="00AB5DB8">
      <w:pPr>
        <w:pStyle w:val="ListParagraph"/>
        <w:rPr>
          <w:rFonts w:ascii="Calibri" w:hAnsi="Calibri" w:cs="Calibri"/>
        </w:rPr>
      </w:pPr>
      <w:r w:rsidRPr="00AB5DB8">
        <w:rPr>
          <w:rFonts w:ascii="Calibri" w:hAnsi="Calibri" w:cs="Calibri"/>
        </w:rPr>
        <w:t>To support the development of an accurate cost proposal, could the Contracting Authority provide further information regarding the NIS2 readiness assessment outputs referenced, such as the level of detail available, the approximate size of the assessment, and whether any summary findings can be shared with bidders?</w:t>
      </w:r>
    </w:p>
    <w:p w14:paraId="17524CA8" w14:textId="77777777" w:rsidR="00DD5583" w:rsidRPr="00AB5DB8" w:rsidRDefault="00DD5583" w:rsidP="00AB5DB8">
      <w:pPr>
        <w:pStyle w:val="ListParagraph"/>
        <w:rPr>
          <w:rFonts w:ascii="Calibri" w:hAnsi="Calibri" w:cs="Calibri"/>
        </w:rPr>
      </w:pPr>
    </w:p>
    <w:p w14:paraId="73A2F18C" w14:textId="35AE6105" w:rsidR="002E7041" w:rsidRDefault="00CE7BE5">
      <w:pPr>
        <w:pStyle w:val="ListParagraph"/>
        <w:rPr>
          <w:b/>
          <w:sz w:val="20"/>
        </w:rPr>
      </w:pPr>
      <w:r w:rsidRPr="00387913">
        <w:rPr>
          <w:b/>
          <w:color w:val="000000" w:themeColor="text1"/>
          <w:sz w:val="20"/>
        </w:rPr>
        <w:t xml:space="preserve"> </w:t>
      </w:r>
      <w:r w:rsidRPr="00F70F44">
        <w:rPr>
          <w:b/>
          <w:sz w:val="20"/>
        </w:rPr>
        <w:t xml:space="preserve">A NIS2 readiness assessment has been completed. Details are addressed in section 1.2 of the RFT. The recommendations from the gap analysis are grouped into 8 initiatives, 4 of which remain outstanding. DCDE’s target is to reach approximately 3.5 on the CyFun scale. Further detail may be shared with the successful supplier subject to confidentiality and procurement requirements. The successful tenderer should support DCDE in aligning with NIS2, CER where applicable, CyFun, Irish Risk Management Measures, the National Cyber Security Bill and relevant NCSC guidance. DCDE expects a pragmatic mapping approach, </w:t>
      </w:r>
      <w:r w:rsidRPr="00F70F44">
        <w:rPr>
          <w:b/>
          <w:sz w:val="20"/>
        </w:rPr>
        <w:lastRenderedPageBreak/>
        <w:t>with CyFun and the Irish risk management measures used as the operational assurance model where relevant, while recognising that statutory obligations and final competent-authority requirements will prevail once confirmed.</w:t>
      </w:r>
    </w:p>
    <w:p w14:paraId="5D3854C2" w14:textId="77777777" w:rsidR="00DD5583" w:rsidRDefault="00DD5583">
      <w:pPr>
        <w:pStyle w:val="ListParagraph"/>
        <w:rPr>
          <w:b/>
          <w:sz w:val="20"/>
        </w:rPr>
      </w:pPr>
    </w:p>
    <w:p w14:paraId="0EB78738" w14:textId="77777777" w:rsidR="00F70F44" w:rsidRDefault="00F70F44">
      <w:pPr>
        <w:pStyle w:val="ListParagraph"/>
      </w:pPr>
    </w:p>
    <w:p w14:paraId="4D19854A" w14:textId="77777777" w:rsidR="00AB5DB8" w:rsidRPr="00AB5DB8" w:rsidRDefault="00AB5DB8" w:rsidP="00AB5DB8">
      <w:pPr>
        <w:pStyle w:val="ListParagraph"/>
        <w:numPr>
          <w:ilvl w:val="0"/>
          <w:numId w:val="100"/>
        </w:numPr>
        <w:rPr>
          <w:rFonts w:ascii="Calibri" w:hAnsi="Calibri" w:cs="Calibri"/>
        </w:rPr>
      </w:pPr>
      <w:r w:rsidRPr="00AB5DB8">
        <w:rPr>
          <w:rFonts w:ascii="Calibri" w:hAnsi="Calibri" w:cs="Calibri"/>
          <w:b/>
          <w:bCs/>
        </w:rPr>
        <w:t>Pricing 2. NIS2/CER gap-closure implementation support for first 8–9 months</w:t>
      </w:r>
    </w:p>
    <w:p w14:paraId="671B446B" w14:textId="77777777" w:rsidR="00AB5DB8" w:rsidRDefault="00AB5DB8" w:rsidP="00AB5DB8">
      <w:pPr>
        <w:pStyle w:val="ListParagraph"/>
        <w:rPr>
          <w:rFonts w:ascii="Calibri" w:hAnsi="Calibri" w:cs="Calibri"/>
        </w:rPr>
      </w:pPr>
      <w:r w:rsidRPr="00AB5DB8">
        <w:rPr>
          <w:rFonts w:ascii="Calibri" w:hAnsi="Calibri" w:cs="Calibri"/>
        </w:rPr>
        <w:t>To assist bidders in estimating the level of implementation support required over the initial 8–9-month period, could the Contracting Authority provide any additional information on the nature, scale and maturity of the NIS2/CER gaps identified, or an indication of the anticipated remediation activities to be undertaken?</w:t>
      </w:r>
    </w:p>
    <w:p w14:paraId="28C440A1" w14:textId="77777777" w:rsidR="00DD5583" w:rsidRPr="00AB5DB8" w:rsidRDefault="00DD5583" w:rsidP="00AB5DB8">
      <w:pPr>
        <w:pStyle w:val="ListParagraph"/>
        <w:rPr>
          <w:rFonts w:ascii="Calibri" w:hAnsi="Calibri" w:cs="Calibri"/>
        </w:rPr>
      </w:pPr>
    </w:p>
    <w:p w14:paraId="1C1CA33A" w14:textId="7DCCC5B8" w:rsidR="002E7041" w:rsidRDefault="00CE7BE5">
      <w:pPr>
        <w:pStyle w:val="ListParagraph"/>
        <w:rPr>
          <w:b/>
          <w:sz w:val="20"/>
        </w:rPr>
      </w:pPr>
      <w:r w:rsidRPr="00F70F44">
        <w:rPr>
          <w:b/>
          <w:sz w:val="20"/>
        </w:rPr>
        <w:t xml:space="preserve"> </w:t>
      </w:r>
      <w:r w:rsidR="0047797B" w:rsidRPr="00F70F44">
        <w:rPr>
          <w:b/>
          <w:sz w:val="20"/>
        </w:rPr>
        <w:t xml:space="preserve"> A NIS2 readiness assessment has been completed. Details are addressed in section 1.2 of the RFT. The recommendations from the gap analysis are grouped into 8 initiatives, 4 of which remain outstanding. DCDE’s target is to reach approximately 3.5 on the CyFun scale. Further detail may be shared with the successful supplier subject to confidentiality and procurement requirements. The successful tenderer should support DCDE in aligning with NIS2, CER where applicable, CyFun, Irish Risk Management Measures, the National Cyber Security Bill and relevant NCSC guidance. DCDE expects a pragmatic mapping approach, with CyFun and the Irish risk management measures used as the operational assurance model where relevant, while recognising that statutory obligations and final competent-authority requirements will prevail once confirmed.</w:t>
      </w:r>
    </w:p>
    <w:p w14:paraId="183A0E5D" w14:textId="77777777" w:rsidR="00DD5583" w:rsidRPr="00F70F44" w:rsidRDefault="00DD5583">
      <w:pPr>
        <w:pStyle w:val="ListParagraph"/>
      </w:pPr>
    </w:p>
    <w:p w14:paraId="11AEA032" w14:textId="77777777" w:rsidR="00AB5DB8" w:rsidRPr="009427C7" w:rsidRDefault="00AB5DB8" w:rsidP="00AB5DB8">
      <w:pPr>
        <w:numPr>
          <w:ilvl w:val="0"/>
          <w:numId w:val="100"/>
        </w:numPr>
        <w:rPr>
          <w:rFonts w:ascii="Calibri" w:hAnsi="Calibri" w:cs="Calibri"/>
        </w:rPr>
      </w:pPr>
      <w:r w:rsidRPr="009427C7">
        <w:rPr>
          <w:rFonts w:ascii="Calibri" w:hAnsi="Calibri" w:cs="Calibri"/>
        </w:rPr>
        <w:t xml:space="preserve">The entire first 8-9 month phase is defined as closing “remaining gaps identified through the Department’s NIS2 readiness assessment”, but the assessment outputs are not in the tender </w:t>
      </w:r>
      <w:proofErr w:type="spellStart"/>
      <w:r w:rsidRPr="009427C7">
        <w:rPr>
          <w:rFonts w:ascii="Calibri" w:hAnsi="Calibri" w:cs="Calibri"/>
        </w:rPr>
        <w:t>pack.Can</w:t>
      </w:r>
      <w:proofErr w:type="spellEnd"/>
      <w:r w:rsidRPr="009427C7">
        <w:rPr>
          <w:rFonts w:ascii="Calibri" w:hAnsi="Calibri" w:cs="Calibri"/>
        </w:rPr>
        <w:t xml:space="preserve"> the Department confirm whether it will share the existing NIS2 readiness assessment outputs (gap register / findings), or at minimum a summary of the number and severity of open gaps, prior to the tender submission deadline? It will support the sizing for the Phase 1 effort and pricing.</w:t>
      </w:r>
    </w:p>
    <w:p w14:paraId="73445383" w14:textId="33CA19EF" w:rsidR="002E7041" w:rsidRDefault="00CE7BE5">
      <w:pPr>
        <w:pStyle w:val="ListParagraph"/>
        <w:rPr>
          <w:b/>
          <w:sz w:val="20"/>
        </w:rPr>
      </w:pPr>
      <w:r w:rsidRPr="00387913">
        <w:rPr>
          <w:b/>
          <w:color w:val="000000" w:themeColor="text1"/>
          <w:sz w:val="20"/>
        </w:rPr>
        <w:t xml:space="preserve"> </w:t>
      </w:r>
      <w:r w:rsidR="00217EC7" w:rsidRPr="00217EC7">
        <w:rPr>
          <w:rFonts w:ascii="Calibri" w:hAnsi="Calibri" w:cs="Calibri"/>
        </w:rPr>
        <w:t xml:space="preserve"> </w:t>
      </w:r>
      <w:r w:rsidR="006520DA" w:rsidRPr="00387913">
        <w:rPr>
          <w:b/>
          <w:color w:val="000000" w:themeColor="text1"/>
          <w:sz w:val="20"/>
        </w:rPr>
        <w:t xml:space="preserve"> </w:t>
      </w:r>
      <w:r w:rsidR="006520DA" w:rsidRPr="00F70F44">
        <w:rPr>
          <w:b/>
          <w:sz w:val="20"/>
        </w:rPr>
        <w:t>A NIS2 readiness assessment has been completed. Details are addressed in section 1.2 of the RFT. The recommendations from the gap analysis are grouped into 8 initiatives, 4 of which remain outstanding. DCDE’s target is to reach approximately 3.5 on the CyFun scale. Further detail will be shared with the successful supplier subject to confidentiality and procurement requirements.</w:t>
      </w:r>
    </w:p>
    <w:p w14:paraId="402B1F9C" w14:textId="77777777" w:rsidR="00DD5583" w:rsidRDefault="00DD5583">
      <w:pPr>
        <w:pStyle w:val="ListParagraph"/>
      </w:pPr>
    </w:p>
    <w:p w14:paraId="1F44AF05" w14:textId="77777777" w:rsidR="00AB5DB8" w:rsidRPr="009427C7" w:rsidRDefault="00AB5DB8" w:rsidP="00AB5DB8">
      <w:pPr>
        <w:numPr>
          <w:ilvl w:val="0"/>
          <w:numId w:val="100"/>
        </w:numPr>
        <w:rPr>
          <w:rFonts w:ascii="Calibri" w:hAnsi="Calibri" w:cs="Calibri"/>
        </w:rPr>
      </w:pPr>
      <w:r w:rsidRPr="009427C7">
        <w:rPr>
          <w:rFonts w:ascii="Calibri" w:hAnsi="Calibri" w:cs="Calibri"/>
        </w:rPr>
        <w:t>Is there a fixed regulatory or internal compliance deadline (e.g. a NIS2 competent-authority milestone) that the initial </w:t>
      </w:r>
      <w:proofErr w:type="gramStart"/>
      <w:r w:rsidRPr="009427C7">
        <w:rPr>
          <w:rFonts w:ascii="Calibri" w:hAnsi="Calibri" w:cs="Calibri"/>
        </w:rPr>
        <w:t>8-9 month</w:t>
      </w:r>
      <w:proofErr w:type="gramEnd"/>
      <w:r w:rsidRPr="009427C7">
        <w:rPr>
          <w:rFonts w:ascii="Calibri" w:hAnsi="Calibri" w:cs="Calibri"/>
        </w:rPr>
        <w:t> gap-closure phase must meet? </w:t>
      </w:r>
    </w:p>
    <w:p w14:paraId="28FB11FC" w14:textId="43890409" w:rsidR="002E7041" w:rsidRDefault="002B37F3">
      <w:pPr>
        <w:pStyle w:val="ListParagraph"/>
        <w:rPr>
          <w:b/>
          <w:sz w:val="20"/>
        </w:rPr>
      </w:pPr>
      <w:r w:rsidRPr="00F70F44">
        <w:rPr>
          <w:b/>
          <w:sz w:val="20"/>
        </w:rPr>
        <w:t>There is currently no operative NIS2 registration deadline imposed by our competent authority.</w:t>
      </w:r>
    </w:p>
    <w:p w14:paraId="305EDF5E" w14:textId="77777777" w:rsidR="00DD5583" w:rsidRPr="00F70F44" w:rsidRDefault="00DD5583">
      <w:pPr>
        <w:pStyle w:val="ListParagraph"/>
      </w:pPr>
    </w:p>
    <w:p w14:paraId="42EDA8BE" w14:textId="77777777" w:rsidR="00AB5DB8" w:rsidRPr="009427C7" w:rsidRDefault="00AB5DB8" w:rsidP="00AB5DB8">
      <w:pPr>
        <w:numPr>
          <w:ilvl w:val="0"/>
          <w:numId w:val="100"/>
        </w:numPr>
        <w:rPr>
          <w:rFonts w:ascii="Calibri" w:hAnsi="Calibri" w:cs="Calibri"/>
        </w:rPr>
      </w:pPr>
      <w:r w:rsidRPr="009427C7">
        <w:rPr>
          <w:rFonts w:ascii="Calibri" w:hAnsi="Calibri" w:cs="Calibri"/>
        </w:rPr>
        <w:t>How many log sources / applications are in scope at go-live, and what is the estimated log or data volume (e.g. GB/day or events per second)? (MSSP monitoring, triage and reporting cannot be priced reliably without ingest volumes. Scope lists Power Apps, Power Pages, Microsoft Fabric, SharePoint and future Dynamics plus 'any other line-of-business applications', which is open-ended.)</w:t>
      </w:r>
    </w:p>
    <w:p w14:paraId="1DE1AECA" w14:textId="6B51A37D" w:rsidR="00294444" w:rsidRPr="00F70F44" w:rsidRDefault="00CE7BE5" w:rsidP="00294444">
      <w:pPr>
        <w:pStyle w:val="ListParagraph"/>
        <w:rPr>
          <w:b/>
          <w:sz w:val="20"/>
        </w:rPr>
      </w:pPr>
      <w:r w:rsidRPr="00F70F44">
        <w:rPr>
          <w:b/>
          <w:sz w:val="20"/>
        </w:rPr>
        <w:lastRenderedPageBreak/>
        <w:t xml:space="preserve"> </w:t>
      </w:r>
      <w:r w:rsidR="00294444" w:rsidRPr="00F70F44">
        <w:t xml:space="preserve"> </w:t>
      </w:r>
      <w:r w:rsidR="00294444" w:rsidRPr="00F70F44">
        <w:rPr>
          <w:b/>
          <w:sz w:val="20"/>
        </w:rPr>
        <w:t>At go-live, tenderers should assume an environment comprising approximately 4-5 line-of-business applications, together with Microsoft Fabric and associated Azure tenant services. Current configured log sources include Microsoft Defender for Cloud, Azure Activity, Entra ID, Azure Monitor and Network Security Groups, with additional Microsoft-based workloads such as Power Apps, Power Pages, SharePoint Online and future Dynamics workloads expected to be onboarded during the contract term. DCDE does not currently have an MSSP in place and therefore does not have reliable historic log-ingestion, EPS or alert-volume data available. Tenderers should state any sizing assumptions used in their pricing and describe how final onboarding, log volumes and monitoring scope will be validated during mobilisation.</w:t>
      </w:r>
    </w:p>
    <w:p w14:paraId="326F63B5" w14:textId="75FB390C" w:rsidR="002E7041" w:rsidRDefault="002E7041">
      <w:pPr>
        <w:pStyle w:val="ListParagraph"/>
      </w:pPr>
    </w:p>
    <w:p w14:paraId="7650D2B2" w14:textId="77777777" w:rsidR="00AB5DB8" w:rsidRPr="009427C7" w:rsidRDefault="00AB5DB8" w:rsidP="00AB5DB8">
      <w:pPr>
        <w:numPr>
          <w:ilvl w:val="0"/>
          <w:numId w:val="100"/>
        </w:numPr>
        <w:rPr>
          <w:rFonts w:ascii="Calibri" w:hAnsi="Calibri" w:cs="Calibri"/>
        </w:rPr>
      </w:pPr>
      <w:r w:rsidRPr="009427C7">
        <w:rPr>
          <w:rFonts w:ascii="Calibri" w:hAnsi="Calibri" w:cs="Calibri"/>
        </w:rPr>
        <w:t>How many users, endpoints and privileged accounts are within the DCDE environment to be monitored?</w:t>
      </w:r>
    </w:p>
    <w:p w14:paraId="15AFDC7F" w14:textId="35F9DF0F" w:rsidR="002E7041" w:rsidRDefault="00CE7BE5">
      <w:pPr>
        <w:pStyle w:val="ListParagraph"/>
        <w:rPr>
          <w:b/>
          <w:sz w:val="20"/>
        </w:rPr>
      </w:pPr>
      <w:r w:rsidRPr="00F70F44">
        <w:rPr>
          <w:b/>
          <w:sz w:val="20"/>
        </w:rPr>
        <w:t xml:space="preserve"> The in-scope environment is DCDE’s Azure tenant hosting line-of-business applications and related workloads. The Department has approximately 800 users on the tenant, approximately 150 guest users from another Government Department, a small number of contractor and service accounts, and approximately 4-5 line-of-business applications with a Fabric environment. End-user devices, mobile devices, Microsoft 365 services and the central Government tenant are generally out of scope unless otherwise stated. DCDE uses a cross-tenant B2B connection to the centrally hosted Government tenant. Identities are provided from Active Directory with SSO. PIM and RBAC are in operation, with a small number of service accounts and privileged users. The precise number of privileged accounts will be confirmed during mobilisation.</w:t>
      </w:r>
    </w:p>
    <w:p w14:paraId="5717824B" w14:textId="77777777" w:rsidR="00DD5583" w:rsidRPr="00F70F44" w:rsidRDefault="00DD5583">
      <w:pPr>
        <w:pStyle w:val="ListParagraph"/>
      </w:pPr>
    </w:p>
    <w:p w14:paraId="16AAA1EC" w14:textId="77777777" w:rsidR="00AB5DB8" w:rsidRPr="009427C7" w:rsidRDefault="00AB5DB8" w:rsidP="00AB5DB8">
      <w:pPr>
        <w:numPr>
          <w:ilvl w:val="0"/>
          <w:numId w:val="100"/>
        </w:numPr>
        <w:rPr>
          <w:rFonts w:ascii="Calibri" w:hAnsi="Calibri" w:cs="Calibri"/>
        </w:rPr>
      </w:pPr>
      <w:r w:rsidRPr="009427C7">
        <w:rPr>
          <w:rFonts w:ascii="Calibri" w:hAnsi="Calibri" w:cs="Calibri"/>
        </w:rPr>
        <w:t>Please confirm the SIEM platform DCDE will provide (the Power Platform / Fabric footprint suggests Microsoft Sentinel). </w:t>
      </w:r>
    </w:p>
    <w:p w14:paraId="2B128D8A" w14:textId="4DEF049C" w:rsidR="002E7041" w:rsidRDefault="00CE7BE5">
      <w:pPr>
        <w:pStyle w:val="ListParagraph"/>
        <w:rPr>
          <w:b/>
          <w:sz w:val="20"/>
        </w:rPr>
      </w:pPr>
      <w:r w:rsidRPr="00387913">
        <w:rPr>
          <w:b/>
          <w:color w:val="000000" w:themeColor="text1"/>
          <w:sz w:val="20"/>
        </w:rPr>
        <w:t xml:space="preserve"> </w:t>
      </w:r>
      <w:r w:rsidR="004F3B32" w:rsidRPr="00387913">
        <w:rPr>
          <w:b/>
          <w:color w:val="000000" w:themeColor="text1"/>
          <w:sz w:val="20"/>
        </w:rPr>
        <w:t xml:space="preserve"> </w:t>
      </w:r>
      <w:r w:rsidR="004F3B32" w:rsidRPr="00F70F44">
        <w:rPr>
          <w:b/>
          <w:sz w:val="20"/>
        </w:rPr>
        <w:t>Microsoft Sentinel is provided via a landing zone but is not yet fully operational. DCDE does not currently have an MSSP in place. The successful tenderer will assist DCDE with configuration, optimisation, onboarding, detection content, reporting and operationalisation of the current SIEM solution. DCDE will remain responsible for SIEM licensing and data ingestion/retention costs unless otherwise agreed.</w:t>
      </w:r>
    </w:p>
    <w:p w14:paraId="3FB81587" w14:textId="77777777" w:rsidR="00DD5583" w:rsidRPr="00F70F44" w:rsidRDefault="00DD5583">
      <w:pPr>
        <w:pStyle w:val="ListParagraph"/>
      </w:pPr>
    </w:p>
    <w:p w14:paraId="01CCA075" w14:textId="77777777" w:rsidR="00AB5DB8" w:rsidRPr="009427C7" w:rsidRDefault="00AB5DB8" w:rsidP="00AB5DB8">
      <w:pPr>
        <w:numPr>
          <w:ilvl w:val="0"/>
          <w:numId w:val="100"/>
        </w:numPr>
        <w:rPr>
          <w:rFonts w:ascii="Calibri" w:hAnsi="Calibri" w:cs="Calibri"/>
        </w:rPr>
      </w:pPr>
      <w:r w:rsidRPr="009427C7">
        <w:rPr>
          <w:rFonts w:ascii="Calibri" w:hAnsi="Calibri" w:cs="Calibri"/>
        </w:rPr>
        <w:t>For the MDR/EDR integration requirement, is there an existing EDR/XDR product in place, or is that tooling assumed to be DCDE-provided (as with the SIEM)? </w:t>
      </w:r>
    </w:p>
    <w:p w14:paraId="070C1C34" w14:textId="6590BD6B" w:rsidR="00D153C7" w:rsidRPr="00F70F44" w:rsidRDefault="00CE7BE5" w:rsidP="00D153C7">
      <w:pPr>
        <w:pStyle w:val="ListParagraph"/>
        <w:rPr>
          <w:b/>
          <w:sz w:val="20"/>
        </w:rPr>
      </w:pPr>
      <w:r w:rsidRPr="00F70F44">
        <w:rPr>
          <w:b/>
          <w:sz w:val="20"/>
        </w:rPr>
        <w:t xml:space="preserve"> </w:t>
      </w:r>
    </w:p>
    <w:p w14:paraId="3B8BF8E2" w14:textId="77777777" w:rsidR="00834AD0" w:rsidRDefault="00D153C7" w:rsidP="00834AD0">
      <w:pPr>
        <w:pStyle w:val="ListParagraph"/>
        <w:rPr>
          <w:b/>
          <w:sz w:val="20"/>
        </w:rPr>
      </w:pPr>
      <w:r w:rsidRPr="00F70F44">
        <w:rPr>
          <w:b/>
          <w:sz w:val="20"/>
        </w:rPr>
        <w:t>DCDE does not currently engage a Managed Security Services Provider (MSSP). The successful tenderer will be expected to provide expert guidance and support in relation to the recommendation, configuration, optimisation, onboarding, operationalisation, detection content development, and reporting of any security solutions deployed under this engagement.</w:t>
      </w:r>
      <w:r w:rsidR="001666A7" w:rsidRPr="00F70F44">
        <w:rPr>
          <w:b/>
          <w:sz w:val="20"/>
        </w:rPr>
        <w:t xml:space="preserve"> Tooling will be provided by DCDE (as with the SIEM).</w:t>
      </w:r>
      <w:r w:rsidRPr="00F70F44">
        <w:rPr>
          <w:b/>
          <w:sz w:val="20"/>
        </w:rPr>
        <w:t>Unless explicitly stated otherwise, end-user devices, mobile devices, Microsoft 365 services, and the central Government tenant are considered out of scope. However, there may be opportunities to leverage a cloud-native unified security platform, such as Microsoft Defender for Cloud, which is currently enabled for selected resources within the Azure environment.</w:t>
      </w:r>
    </w:p>
    <w:p w14:paraId="04516BCD" w14:textId="77777777" w:rsidR="00834AD0" w:rsidRDefault="00834AD0" w:rsidP="00834AD0">
      <w:pPr>
        <w:rPr>
          <w:rFonts w:ascii="Calibri" w:hAnsi="Calibri" w:cs="Calibri"/>
        </w:rPr>
      </w:pPr>
    </w:p>
    <w:p w14:paraId="7945AFFF" w14:textId="607B5993" w:rsidR="00DD5583" w:rsidRPr="00DD5583" w:rsidRDefault="00AB5DB8" w:rsidP="00DD5583">
      <w:pPr>
        <w:numPr>
          <w:ilvl w:val="0"/>
          <w:numId w:val="100"/>
        </w:numPr>
        <w:rPr>
          <w:rFonts w:ascii="Calibri" w:hAnsi="Calibri" w:cs="Calibri"/>
        </w:rPr>
      </w:pPr>
      <w:r w:rsidRPr="00834AD0">
        <w:rPr>
          <w:rFonts w:ascii="Calibri" w:hAnsi="Calibri" w:cs="Calibri"/>
        </w:rPr>
        <w:t>What sizing should tenderers assume for the incident response retainer capability (e.g. number of retained days, or is it drawdown), and is there an expected annual alert/incident volume to price triage and escalation against? </w:t>
      </w:r>
    </w:p>
    <w:p w14:paraId="77CAA776" w14:textId="7CBFAF86" w:rsidR="002E7041" w:rsidRDefault="007F0761" w:rsidP="00CD51CB">
      <w:pPr>
        <w:pStyle w:val="ListParagraph"/>
        <w:rPr>
          <w:b/>
          <w:sz w:val="20"/>
        </w:rPr>
      </w:pPr>
      <w:r w:rsidRPr="007F0761">
        <w:t xml:space="preserve"> </w:t>
      </w:r>
      <w:r w:rsidR="00CD51CB" w:rsidRPr="00F70F44">
        <w:rPr>
          <w:b/>
          <w:sz w:val="20"/>
        </w:rPr>
        <w:t>The baseline service must include an incident-response retainer providing on-call access to suitably qualified incident-response personnel for critical alerts or suspected active compromise affecting the in-scope environment. The retainer should cover initial assessment, investigation, evidence preservation, containment advice, response coordination, escalation and post-incident reporting. Tenderers should state the number of response hours included annually, the applicable response times, how the service is accessed and their rates for any additional support above the included allocation. Investigation of critical alerts outside business hours should form part of the baseline emergency response arrangements. As a way of estimating, we have not had the misfortune of needing to implement our current incident response procedures to date, and this will only be needed if a trigger is required. It aligns with our requirements under CER and NIS2.</w:t>
      </w:r>
    </w:p>
    <w:p w14:paraId="5FC956C2" w14:textId="77777777" w:rsidR="00DD5583" w:rsidRPr="00387913" w:rsidRDefault="00DD5583" w:rsidP="00CD51CB">
      <w:pPr>
        <w:pStyle w:val="ListParagraph"/>
        <w:rPr>
          <w:b/>
          <w:color w:val="000000" w:themeColor="text1"/>
          <w:sz w:val="20"/>
        </w:rPr>
      </w:pPr>
    </w:p>
    <w:p w14:paraId="34876323" w14:textId="77777777" w:rsidR="00AB5DB8" w:rsidRPr="009427C7" w:rsidRDefault="00AB5DB8" w:rsidP="00834AD0">
      <w:pPr>
        <w:numPr>
          <w:ilvl w:val="0"/>
          <w:numId w:val="100"/>
        </w:numPr>
        <w:rPr>
          <w:rFonts w:ascii="Calibri" w:hAnsi="Calibri" w:cs="Calibri"/>
        </w:rPr>
      </w:pPr>
      <w:r w:rsidRPr="009427C7">
        <w:rPr>
          <w:rFonts w:ascii="Calibri" w:hAnsi="Calibri" w:cs="Calibri"/>
        </w:rPr>
        <w:t>For out-of-hours emergency response, what response-time SLA is expected, and is a defined on-call rota required within the baseline price rather than as a priced drawdown? </w:t>
      </w:r>
    </w:p>
    <w:p w14:paraId="48F30690" w14:textId="60BD98F8" w:rsidR="002E7041" w:rsidRDefault="00CE7BE5">
      <w:pPr>
        <w:pStyle w:val="ListParagraph"/>
        <w:rPr>
          <w:b/>
          <w:sz w:val="20"/>
        </w:rPr>
      </w:pPr>
      <w:r w:rsidRPr="00387913">
        <w:rPr>
          <w:b/>
          <w:color w:val="000000" w:themeColor="text1"/>
          <w:sz w:val="20"/>
        </w:rPr>
        <w:t xml:space="preserve"> </w:t>
      </w:r>
      <w:r w:rsidR="007F0761" w:rsidRPr="007F0761">
        <w:t xml:space="preserve"> </w:t>
      </w:r>
      <w:r w:rsidR="007F0761" w:rsidRPr="00F70F44">
        <w:rPr>
          <w:b/>
          <w:sz w:val="20"/>
        </w:rPr>
        <w:t xml:space="preserve">For pricing purposes, tenderers should assume that out-of-hours emergency response capability, including an on-call escalation arrangement, is included within the baseline service. DCDE has not prescribed a specific response-time SLA; however, tenderers should propose response and mobilisation times aligned with industry best practice for critical cyber security incidents and clearly identify any associated assumptions, limitations or service dependencies. </w:t>
      </w:r>
    </w:p>
    <w:p w14:paraId="391E925F" w14:textId="77777777" w:rsidR="00DD5583" w:rsidRPr="00F70F44" w:rsidRDefault="00DD5583">
      <w:pPr>
        <w:pStyle w:val="ListParagraph"/>
      </w:pPr>
    </w:p>
    <w:p w14:paraId="2E4F9BC7" w14:textId="77777777" w:rsidR="00AB5DB8" w:rsidRPr="009427C7" w:rsidRDefault="00AB5DB8" w:rsidP="00AB5DB8">
      <w:pPr>
        <w:numPr>
          <w:ilvl w:val="0"/>
          <w:numId w:val="100"/>
        </w:numPr>
        <w:rPr>
          <w:rFonts w:ascii="Calibri" w:hAnsi="Calibri" w:cs="Calibri"/>
        </w:rPr>
      </w:pPr>
      <w:r w:rsidRPr="009427C7">
        <w:rPr>
          <w:rFonts w:ascii="Calibri" w:hAnsi="Calibri" w:cs="Calibri"/>
        </w:rPr>
        <w:t>Does the evaluated 'Total' that carries forward for the 300 cost marks include the optional 24x7 monitoring and the additional drawdown days/rates, or only the baseline line items?</w:t>
      </w:r>
    </w:p>
    <w:p w14:paraId="439E0B76" w14:textId="64A25482" w:rsidR="007F0761" w:rsidRDefault="00CE7BE5">
      <w:pPr>
        <w:pStyle w:val="ListParagraph"/>
        <w:rPr>
          <w:b/>
          <w:sz w:val="20"/>
        </w:rPr>
      </w:pPr>
      <w:r w:rsidRPr="00387913">
        <w:rPr>
          <w:b/>
          <w:color w:val="000000" w:themeColor="text1"/>
          <w:sz w:val="20"/>
        </w:rPr>
        <w:t xml:space="preserve"> </w:t>
      </w:r>
      <w:r w:rsidR="007F0761" w:rsidRPr="00387913">
        <w:rPr>
          <w:b/>
          <w:color w:val="000000" w:themeColor="text1"/>
          <w:sz w:val="20"/>
        </w:rPr>
        <w:t xml:space="preserve"> </w:t>
      </w:r>
      <w:r w:rsidR="007F0761" w:rsidRPr="00F70F44">
        <w:rPr>
          <w:b/>
          <w:sz w:val="20"/>
        </w:rPr>
        <w:t>For evaluation purposes, tenderers should assume that the 300 cost marks are based solely on the baseline priced services and line items identified in the pricing schedule. Optional services, including any optional 24x7 monitoring services and additional drawdown days/rates, are not included in the evaluated total.</w:t>
      </w:r>
    </w:p>
    <w:p w14:paraId="25E638ED" w14:textId="77777777" w:rsidR="00F70F44" w:rsidRPr="00F70F44" w:rsidRDefault="00F70F44">
      <w:pPr>
        <w:pStyle w:val="ListParagraph"/>
      </w:pPr>
    </w:p>
    <w:p w14:paraId="1557E10B" w14:textId="7D0A5F16" w:rsidR="00AB5DB8" w:rsidRPr="00834AD0" w:rsidRDefault="00AB5DB8" w:rsidP="00834AD0">
      <w:pPr>
        <w:numPr>
          <w:ilvl w:val="0"/>
          <w:numId w:val="100"/>
        </w:numPr>
        <w:rPr>
          <w:rFonts w:ascii="Calibri" w:hAnsi="Calibri" w:cs="Calibri"/>
        </w:rPr>
      </w:pPr>
      <w:r w:rsidRPr="00834AD0">
        <w:rPr>
          <w:rFonts w:ascii="Calibri" w:hAnsi="Calibri" w:cs="Calibri"/>
        </w:rPr>
        <w:t>The €1.4m cap covers the full four years including both 12-month extensions. Should recurring MSSP and assurance costs be priced across the full four years within the single Total, and how should tenderers present per-annum versus whole-of-life figures given the pricing table has no per-year columns?</w:t>
      </w:r>
    </w:p>
    <w:p w14:paraId="452854B9" w14:textId="4290E714" w:rsidR="009A312C" w:rsidRPr="00D11CED" w:rsidRDefault="00CE7BE5">
      <w:pPr>
        <w:pStyle w:val="ListParagraph"/>
      </w:pPr>
      <w:r w:rsidRPr="00D11CED">
        <w:rPr>
          <w:b/>
          <w:sz w:val="20"/>
        </w:rPr>
        <w:t xml:space="preserve"> </w:t>
      </w:r>
      <w:r w:rsidR="009A312C" w:rsidRPr="00D11CED">
        <w:t xml:space="preserve"> </w:t>
      </w:r>
      <w:r w:rsidR="009A312C" w:rsidRPr="00D11CED">
        <w:rPr>
          <w:b/>
          <w:sz w:val="20"/>
        </w:rPr>
        <w:t xml:space="preserve">Yes. The maximum contract value of €1.4 million (excluding VAT) applies to the full potential contract term, including the initial two-year period and both optional 12-month extensions. Tenderers should therefore submit pricing on a whole-of-life basis covering the maximum four-year term. Where annual costs are relevant, tenderers may provide an indicative annual breakdown within their pricing submission; however, the Total Tender Price should reflect the aggregate cost over the full four-year period. </w:t>
      </w:r>
    </w:p>
    <w:p w14:paraId="0E1D0A8B" w14:textId="77777777" w:rsidR="00834AD0" w:rsidRDefault="00834AD0" w:rsidP="007144F7">
      <w:pPr>
        <w:pStyle w:val="ListParagraph"/>
        <w:rPr>
          <w:rFonts w:ascii="Calibri" w:hAnsi="Calibri" w:cs="Calibri"/>
        </w:rPr>
      </w:pPr>
    </w:p>
    <w:p w14:paraId="166246B2" w14:textId="35D89079" w:rsidR="00AB5DB8" w:rsidRPr="00834AD0" w:rsidRDefault="00AB5DB8" w:rsidP="00834AD0">
      <w:pPr>
        <w:numPr>
          <w:ilvl w:val="0"/>
          <w:numId w:val="100"/>
        </w:numPr>
        <w:rPr>
          <w:rFonts w:ascii="Calibri" w:hAnsi="Calibri" w:cs="Calibri"/>
        </w:rPr>
      </w:pPr>
      <w:r w:rsidRPr="00834AD0">
        <w:rPr>
          <w:rFonts w:ascii="Calibri" w:hAnsi="Calibri" w:cs="Calibri"/>
        </w:rPr>
        <w:t>Clause 2.10.6 (price variation / indexation) is marked “Not Used” and left blank. Can tenderers take it that all rates are fixed for the full four-year term with no indexation? </w:t>
      </w:r>
    </w:p>
    <w:p w14:paraId="533EDA94" w14:textId="4BFDBAAA" w:rsidR="002E7041" w:rsidRDefault="00CE7BE5">
      <w:pPr>
        <w:pStyle w:val="ListParagraph"/>
        <w:rPr>
          <w:b/>
          <w:sz w:val="20"/>
        </w:rPr>
      </w:pPr>
      <w:r w:rsidRPr="00D11CED">
        <w:rPr>
          <w:b/>
          <w:sz w:val="20"/>
        </w:rPr>
        <w:t xml:space="preserve"> Section 2.10.6 is marked Not Used and is not applicable. Tenderers should price on the basis specified in the RFT and clearly state any assumptions. Prices must remain valid for the period specified in the RFT.</w:t>
      </w:r>
    </w:p>
    <w:p w14:paraId="4F0350C4" w14:textId="77777777" w:rsidR="00DD5583" w:rsidRPr="00D11CED" w:rsidRDefault="00DD5583">
      <w:pPr>
        <w:pStyle w:val="ListParagraph"/>
      </w:pPr>
    </w:p>
    <w:p w14:paraId="2D543749" w14:textId="77777777" w:rsidR="00AB5DB8" w:rsidRPr="009427C7" w:rsidRDefault="00AB5DB8" w:rsidP="00AB5DB8">
      <w:pPr>
        <w:numPr>
          <w:ilvl w:val="0"/>
          <w:numId w:val="100"/>
        </w:numPr>
        <w:rPr>
          <w:rFonts w:ascii="Calibri" w:hAnsi="Calibri" w:cs="Calibri"/>
        </w:rPr>
      </w:pPr>
      <w:r w:rsidRPr="009427C7">
        <w:rPr>
          <w:rFonts w:ascii="Calibri" w:hAnsi="Calibri" w:cs="Calibri"/>
        </w:rPr>
        <w:t>Can the Department confirm the split of responsibilities between the appointed partner, the existing infrastructure partner and DCDE’s in-house team for the infrastructure/security strengthening work (i.e. what the successful tenderer is expected to do versus </w:t>
      </w:r>
      <w:proofErr w:type="gramStart"/>
      <w:r w:rsidRPr="009427C7">
        <w:rPr>
          <w:rFonts w:ascii="Calibri" w:hAnsi="Calibri" w:cs="Calibri"/>
        </w:rPr>
        <w:t>advise</w:t>
      </w:r>
      <w:proofErr w:type="gramEnd"/>
      <w:r w:rsidRPr="009427C7">
        <w:rPr>
          <w:rFonts w:ascii="Calibri" w:hAnsi="Calibri" w:cs="Calibri"/>
        </w:rPr>
        <w:t>/assure)?</w:t>
      </w:r>
    </w:p>
    <w:p w14:paraId="12D9A4FE" w14:textId="5FEEE1C6" w:rsidR="002E7041" w:rsidRDefault="00CE7BE5">
      <w:pPr>
        <w:pStyle w:val="ListParagraph"/>
        <w:rPr>
          <w:b/>
          <w:sz w:val="20"/>
        </w:rPr>
      </w:pPr>
      <w:r w:rsidRPr="00D11CED">
        <w:rPr>
          <w:b/>
          <w:sz w:val="20"/>
        </w:rPr>
        <w:t xml:space="preserve"> The successful tenderer is expected to collaborate with DCDE, the current infrastructure partner and internal teams. The supplier will advise, assure, monitor, triage, recommend and support remediation, while hands-on implementation will generally be undertaken by DCDE, the infrastructure partner or relevant delivery suppliers unless specifically authorised. </w:t>
      </w:r>
      <w:r w:rsidR="00413E5F" w:rsidRPr="00D11CED">
        <w:rPr>
          <w:b/>
          <w:sz w:val="20"/>
        </w:rPr>
        <w:t xml:space="preserve">Roles and responsibilities </w:t>
      </w:r>
      <w:r w:rsidRPr="00D11CED">
        <w:rPr>
          <w:b/>
          <w:sz w:val="20"/>
        </w:rPr>
        <w:t>will be agreed during mobilisation.</w:t>
      </w:r>
    </w:p>
    <w:p w14:paraId="6CC0D76B" w14:textId="77777777" w:rsidR="00DD5583" w:rsidRPr="00D11CED" w:rsidRDefault="00DD5583">
      <w:pPr>
        <w:pStyle w:val="ListParagraph"/>
      </w:pPr>
    </w:p>
    <w:p w14:paraId="429B63F6" w14:textId="77777777" w:rsidR="00AB5DB8" w:rsidRPr="009427C7" w:rsidRDefault="00AB5DB8" w:rsidP="00AB5DB8">
      <w:pPr>
        <w:numPr>
          <w:ilvl w:val="0"/>
          <w:numId w:val="100"/>
        </w:numPr>
        <w:rPr>
          <w:rFonts w:ascii="Calibri" w:hAnsi="Calibri" w:cs="Calibri"/>
        </w:rPr>
      </w:pPr>
      <w:r w:rsidRPr="009427C7">
        <w:rPr>
          <w:rFonts w:ascii="Calibri" w:hAnsi="Calibri" w:cs="Calibri"/>
        </w:rPr>
        <w:t>Is there an incumbent supplier currently providing any of these services, and does the Department consider that TUPE (SI 131/2003, giving effect to Directive 2001/23/EC) applies to this contract?</w:t>
      </w:r>
    </w:p>
    <w:p w14:paraId="5E56BD57" w14:textId="6A5856D9" w:rsidR="002E7041" w:rsidRDefault="00CE7BE5">
      <w:pPr>
        <w:pStyle w:val="ListParagraph"/>
        <w:rPr>
          <w:b/>
          <w:sz w:val="20"/>
        </w:rPr>
      </w:pPr>
      <w:r w:rsidRPr="00387913">
        <w:rPr>
          <w:b/>
          <w:color w:val="000000" w:themeColor="text1"/>
          <w:sz w:val="20"/>
        </w:rPr>
        <w:t xml:space="preserve"> </w:t>
      </w:r>
      <w:r w:rsidRPr="00D11CED">
        <w:rPr>
          <w:b/>
          <w:sz w:val="20"/>
        </w:rPr>
        <w:t xml:space="preserve">There is no incumbent MSSP or SOC provider for the in-scope tenant. DCDE has a current provider for NIS2 gap analysis and cybersecurity consultancy/governance support; </w:t>
      </w:r>
      <w:r w:rsidR="003E3E7E" w:rsidRPr="00D11CED">
        <w:rPr>
          <w:b/>
          <w:sz w:val="20"/>
        </w:rPr>
        <w:t xml:space="preserve">appropriate transition information will be shared </w:t>
      </w:r>
      <w:r w:rsidRPr="00D11CED">
        <w:rPr>
          <w:b/>
          <w:sz w:val="20"/>
        </w:rPr>
        <w:t>for that workstream.</w:t>
      </w:r>
      <w:r w:rsidR="003E3E7E" w:rsidRPr="00D11CED">
        <w:rPr>
          <w:b/>
          <w:sz w:val="20"/>
        </w:rPr>
        <w:t xml:space="preserve"> </w:t>
      </w:r>
      <w:r w:rsidRPr="00D11CED">
        <w:rPr>
          <w:b/>
          <w:sz w:val="20"/>
        </w:rPr>
        <w:t>No TUPE/staff transfer arrangement is</w:t>
      </w:r>
      <w:r w:rsidR="00413E5F" w:rsidRPr="00D11CED">
        <w:rPr>
          <w:b/>
          <w:sz w:val="20"/>
        </w:rPr>
        <w:t xml:space="preserve"> required</w:t>
      </w:r>
      <w:r w:rsidRPr="00D11CED">
        <w:rPr>
          <w:b/>
          <w:sz w:val="20"/>
        </w:rPr>
        <w:t>.</w:t>
      </w:r>
    </w:p>
    <w:p w14:paraId="6F607B49" w14:textId="77777777" w:rsidR="00DD5583" w:rsidRPr="00D11CED" w:rsidRDefault="00DD5583">
      <w:pPr>
        <w:pStyle w:val="ListParagraph"/>
      </w:pPr>
    </w:p>
    <w:p w14:paraId="40AA9ECD" w14:textId="77777777" w:rsidR="00AB5DB8" w:rsidRPr="009427C7" w:rsidRDefault="00AB5DB8" w:rsidP="00AB5DB8">
      <w:pPr>
        <w:numPr>
          <w:ilvl w:val="0"/>
          <w:numId w:val="100"/>
        </w:numPr>
        <w:rPr>
          <w:rFonts w:ascii="Calibri" w:hAnsi="Calibri" w:cs="Calibri"/>
        </w:rPr>
      </w:pPr>
      <w:r w:rsidRPr="009427C7">
        <w:rPr>
          <w:rFonts w:ascii="Calibri" w:hAnsi="Calibri" w:cs="Calibri"/>
        </w:rPr>
        <w:t>What is the liability cap in the Services Contract (Appendix 5), and are there any uncapped liabilities or SLA service-credit regimes?</w:t>
      </w:r>
    </w:p>
    <w:p w14:paraId="6C9B0366" w14:textId="5A08AE94" w:rsidR="002E7041" w:rsidRDefault="00CE7BE5">
      <w:pPr>
        <w:pStyle w:val="ListParagraph"/>
        <w:rPr>
          <w:b/>
          <w:sz w:val="20"/>
        </w:rPr>
      </w:pPr>
      <w:r w:rsidRPr="00D11CED">
        <w:rPr>
          <w:b/>
          <w:sz w:val="20"/>
        </w:rPr>
        <w:t xml:space="preserve"> The liability position is as set out in Appendix 5, Schedule A, clause 5 of the Services Contract. The RFT does not prescribe a separate service-credit regime. Tenderers should price on the basis of the published contract terms.</w:t>
      </w:r>
    </w:p>
    <w:p w14:paraId="6F755722" w14:textId="77777777" w:rsidR="00DD5583" w:rsidRPr="00D11CED" w:rsidRDefault="00DD5583">
      <w:pPr>
        <w:pStyle w:val="ListParagraph"/>
      </w:pPr>
    </w:p>
    <w:p w14:paraId="11DE5399" w14:textId="77777777" w:rsidR="00AB5DB8" w:rsidRPr="009427C7" w:rsidRDefault="00AB5DB8" w:rsidP="00AB5DB8">
      <w:pPr>
        <w:numPr>
          <w:ilvl w:val="0"/>
          <w:numId w:val="100"/>
        </w:numPr>
        <w:rPr>
          <w:rFonts w:ascii="Calibri" w:hAnsi="Calibri" w:cs="Calibri"/>
        </w:rPr>
      </w:pPr>
      <w:r w:rsidRPr="009427C7">
        <w:rPr>
          <w:rFonts w:ascii="Calibri" w:hAnsi="Calibri" w:cs="Calibri"/>
        </w:rPr>
        <w:t>Does the evaluated scope include the tabletop exercises and penetration-test reviews referenced in the contract notice, and if so at what assumed frequency/volume over the term? (these activities appear in the notice but are not itemised in the pricing schedule)</w:t>
      </w:r>
    </w:p>
    <w:p w14:paraId="300A275F" w14:textId="1A1E4540" w:rsidR="00833022" w:rsidRDefault="00CE7BE5" w:rsidP="00833022">
      <w:pPr>
        <w:pStyle w:val="ListParagraph"/>
        <w:rPr>
          <w:b/>
          <w:sz w:val="20"/>
        </w:rPr>
      </w:pPr>
      <w:r w:rsidRPr="00D82334">
        <w:rPr>
          <w:b/>
          <w:sz w:val="20"/>
        </w:rPr>
        <w:t xml:space="preserve"> </w:t>
      </w:r>
      <w:r w:rsidR="00833022" w:rsidRPr="00D82334">
        <w:rPr>
          <w:b/>
          <w:sz w:val="20"/>
        </w:rPr>
        <w:t xml:space="preserve"> DCDE does not prescribe a fixed number of business continuity, disaster recovery or incident response exercises or penetration-test reviews within the baseline service. Tenderers should propose a proportionate approach based on good practice, the Department's risk profile and applicable NIS2/CER obligations. As a planning assumption, DCDE would expect at least one business continuity/disaster recovery exercise and one incident response or tabletop exercise annually, together with any additional exercises recommended by the successful tenderer or required by emerging business, audit or </w:t>
      </w:r>
      <w:r w:rsidR="00833022" w:rsidRPr="00D82334">
        <w:rPr>
          <w:b/>
          <w:sz w:val="20"/>
        </w:rPr>
        <w:lastRenderedPageBreak/>
        <w:t>regulatory requirements. Penetration-test reviews would likely be at a similar cadence. The final exercise schedule and penetration-test reviews will be agreed with the successful tenderer during mobilisation and contract governance.</w:t>
      </w:r>
    </w:p>
    <w:p w14:paraId="27162DA5" w14:textId="77777777" w:rsidR="00834AD0" w:rsidRDefault="00834AD0" w:rsidP="00833022">
      <w:pPr>
        <w:pStyle w:val="ListParagraph"/>
        <w:rPr>
          <w:b/>
          <w:sz w:val="20"/>
        </w:rPr>
      </w:pPr>
    </w:p>
    <w:p w14:paraId="5946B2EA" w14:textId="551732DB" w:rsidR="00AB5DB8" w:rsidRPr="00834AD0" w:rsidRDefault="00AB5DB8" w:rsidP="00834AD0">
      <w:pPr>
        <w:numPr>
          <w:ilvl w:val="0"/>
          <w:numId w:val="100"/>
        </w:numPr>
        <w:rPr>
          <w:rFonts w:ascii="Calibri" w:hAnsi="Calibri" w:cs="Calibri"/>
        </w:rPr>
      </w:pPr>
      <w:r w:rsidRPr="00834AD0">
        <w:rPr>
          <w:rFonts w:ascii="Calibri" w:hAnsi="Calibri" w:cs="Calibri"/>
          <w:b/>
          <w:bCs/>
        </w:rPr>
        <w:t>1.6 Estimated Contract Value</w:t>
      </w:r>
      <w:r w:rsidRPr="00834AD0">
        <w:rPr>
          <w:rFonts w:ascii="Calibri" w:hAnsi="Calibri" w:cs="Calibri"/>
        </w:rPr>
        <w:t> – please confirm how individual work packages or Statements of Work will be commissioned throughout the Contract Term.</w:t>
      </w:r>
    </w:p>
    <w:p w14:paraId="084A8E68" w14:textId="165367CB" w:rsidR="002E7041" w:rsidRDefault="00CE7BE5">
      <w:pPr>
        <w:pStyle w:val="ListParagraph"/>
        <w:rPr>
          <w:b/>
          <w:sz w:val="20"/>
        </w:rPr>
      </w:pPr>
      <w:r w:rsidRPr="00D82334">
        <w:rPr>
          <w:b/>
          <w:sz w:val="20"/>
        </w:rPr>
        <w:t xml:space="preserve"> No fixed annual volume of drawdown days can be confirmed at this stage. Tenderers should provide clearly separated daily rates by role/seniority and state any assumptions. Drawdown work will be commissioned only where required and subject to DCDE approval, budget availability and the contractual arrangements.</w:t>
      </w:r>
    </w:p>
    <w:p w14:paraId="2959F1AF" w14:textId="77777777" w:rsidR="00DD5583" w:rsidRPr="00D82334" w:rsidRDefault="00DD5583">
      <w:pPr>
        <w:pStyle w:val="ListParagraph"/>
      </w:pPr>
    </w:p>
    <w:p w14:paraId="2F45E5A1" w14:textId="77777777" w:rsidR="00AB5DB8" w:rsidRDefault="00AB5DB8" w:rsidP="00AB5DB8">
      <w:pPr>
        <w:pStyle w:val="ListParagraph"/>
        <w:numPr>
          <w:ilvl w:val="0"/>
          <w:numId w:val="100"/>
        </w:numPr>
        <w:rPr>
          <w:rFonts w:ascii="Calibri" w:hAnsi="Calibri" w:cs="Calibri"/>
        </w:rPr>
      </w:pPr>
      <w:r w:rsidRPr="00AB5DB8">
        <w:rPr>
          <w:rFonts w:ascii="Calibri" w:hAnsi="Calibri" w:cs="Calibri"/>
          <w:b/>
          <w:bCs/>
        </w:rPr>
        <w:t>2.1 Data Protection</w:t>
      </w:r>
      <w:r w:rsidRPr="00AB5DB8">
        <w:rPr>
          <w:rFonts w:ascii="Calibri" w:hAnsi="Calibri" w:cs="Calibri"/>
        </w:rPr>
        <w:t> - Please confirm that the Controller-to-Controller relationship described in paragraph 2.1.4 applies solely to the procurement process and that the data protection roles applicable during contract performance are governed exclusively by the Services Contract.</w:t>
      </w:r>
    </w:p>
    <w:p w14:paraId="6E8723E6" w14:textId="77777777" w:rsidR="00DD5583" w:rsidRPr="00AB5DB8" w:rsidRDefault="00DD5583" w:rsidP="00DD5583">
      <w:pPr>
        <w:pStyle w:val="ListParagraph"/>
        <w:rPr>
          <w:rFonts w:ascii="Calibri" w:hAnsi="Calibri" w:cs="Calibri"/>
        </w:rPr>
      </w:pPr>
    </w:p>
    <w:p w14:paraId="27870DA8" w14:textId="18C18B6C" w:rsidR="002E7041" w:rsidRDefault="00CE7BE5">
      <w:pPr>
        <w:pStyle w:val="ListParagraph"/>
        <w:rPr>
          <w:b/>
          <w:sz w:val="20"/>
        </w:rPr>
      </w:pPr>
      <w:r w:rsidRPr="00D82334">
        <w:rPr>
          <w:b/>
          <w:sz w:val="20"/>
        </w:rPr>
        <w:t xml:space="preserve"> The Controller-to-Controller wording in paragraph 2.1.4 relates to the procurement process. Data protection roles during contract performance will be governed by the Services Contract, including Schedule A clause 25 and Schedule E, which identify DCDE as Controller and the Contractor as Processor for relevant Personal Data unless otherwise agreed.</w:t>
      </w:r>
    </w:p>
    <w:p w14:paraId="1722C079" w14:textId="77777777" w:rsidR="00BD2B2E" w:rsidRDefault="00BD2B2E">
      <w:pPr>
        <w:pStyle w:val="ListParagraph"/>
        <w:rPr>
          <w:b/>
          <w:sz w:val="20"/>
        </w:rPr>
      </w:pPr>
    </w:p>
    <w:p w14:paraId="1A9E7902" w14:textId="77777777" w:rsidR="00BD2B2E" w:rsidRPr="00D82334" w:rsidRDefault="00BD2B2E">
      <w:pPr>
        <w:pStyle w:val="ListParagraph"/>
      </w:pPr>
    </w:p>
    <w:p w14:paraId="0323BA68" w14:textId="77777777" w:rsidR="00AB5DB8" w:rsidRDefault="00AB5DB8" w:rsidP="00AB5DB8">
      <w:pPr>
        <w:pStyle w:val="ListParagraph"/>
        <w:numPr>
          <w:ilvl w:val="0"/>
          <w:numId w:val="100"/>
        </w:numPr>
        <w:rPr>
          <w:rFonts w:ascii="Calibri" w:hAnsi="Calibri" w:cs="Calibri"/>
        </w:rPr>
      </w:pPr>
      <w:r w:rsidRPr="00AB5DB8">
        <w:rPr>
          <w:rFonts w:ascii="Calibri" w:hAnsi="Calibri" w:cs="Calibri"/>
          <w:b/>
          <w:bCs/>
        </w:rPr>
        <w:t>Appendix 1:Services </w:t>
      </w:r>
      <w:r w:rsidRPr="00AB5DB8">
        <w:rPr>
          <w:rFonts w:ascii="Calibri" w:hAnsi="Calibri" w:cs="Calibri"/>
        </w:rPr>
        <w:t>– please confirm</w:t>
      </w:r>
    </w:p>
    <w:p w14:paraId="41DAA3F3" w14:textId="77777777" w:rsidR="00AB5DB8" w:rsidRPr="000F0E67" w:rsidRDefault="00AB5DB8" w:rsidP="00AB5DB8">
      <w:pPr>
        <w:numPr>
          <w:ilvl w:val="0"/>
          <w:numId w:val="80"/>
        </w:numPr>
        <w:rPr>
          <w:rFonts w:ascii="Calibri" w:hAnsi="Calibri" w:cs="Calibri"/>
        </w:rPr>
      </w:pPr>
      <w:r w:rsidRPr="000F0E67">
        <w:rPr>
          <w:rFonts w:ascii="Calibri" w:hAnsi="Calibri" w:cs="Calibri"/>
        </w:rPr>
        <w:t>which services form part of the mandatory baseline Services;</w:t>
      </w:r>
    </w:p>
    <w:p w14:paraId="7BD06B25" w14:textId="540E7C4F" w:rsidR="002E7041" w:rsidRPr="00D82334" w:rsidRDefault="00CE7BE5">
      <w:pPr>
        <w:pStyle w:val="ListParagraph"/>
      </w:pPr>
      <w:r w:rsidRPr="00387913">
        <w:rPr>
          <w:b/>
          <w:color w:val="000000" w:themeColor="text1"/>
          <w:sz w:val="20"/>
        </w:rPr>
        <w:t xml:space="preserve"> </w:t>
      </w:r>
      <w:r w:rsidR="007E48EE" w:rsidRPr="007E48EE">
        <w:t xml:space="preserve"> </w:t>
      </w:r>
      <w:r w:rsidR="007E48EE" w:rsidRPr="00D82334">
        <w:rPr>
          <w:b/>
          <w:sz w:val="20"/>
        </w:rPr>
        <w:t xml:space="preserve">The mandatory baseline Services comprise NIS2/CER compliance and assurance support, cyber security consultancy, governance and policy support, SIEM/SOC onboarding and management, business-hours MSSP monitoring, incident-response retainer capability, vulnerability management advisory support, threat intelligence reporting, supplier assurance support, reporting, and ongoing security improvement activities as specified in Appendix 1. </w:t>
      </w:r>
    </w:p>
    <w:p w14:paraId="05AB5F1C" w14:textId="77777777" w:rsidR="00AB5DB8" w:rsidRPr="000F0E67" w:rsidRDefault="00AB5DB8" w:rsidP="00AB5DB8">
      <w:pPr>
        <w:numPr>
          <w:ilvl w:val="0"/>
          <w:numId w:val="81"/>
        </w:numPr>
        <w:rPr>
          <w:rFonts w:ascii="Calibri" w:hAnsi="Calibri" w:cs="Calibri"/>
        </w:rPr>
      </w:pPr>
      <w:r w:rsidRPr="000F0E67">
        <w:rPr>
          <w:rFonts w:ascii="Calibri" w:hAnsi="Calibri" w:cs="Calibri"/>
        </w:rPr>
        <w:t>which services are optional and may only be commissioned at the Contracting Authority's discretion;</w:t>
      </w:r>
    </w:p>
    <w:p w14:paraId="1A6C619B" w14:textId="4AC3C6E1" w:rsidR="002E7041" w:rsidRPr="00D82334" w:rsidRDefault="00CE7BE5">
      <w:pPr>
        <w:pStyle w:val="ListParagraph"/>
      </w:pPr>
      <w:r w:rsidRPr="00387913">
        <w:rPr>
          <w:b/>
          <w:color w:val="000000" w:themeColor="text1"/>
          <w:sz w:val="20"/>
        </w:rPr>
        <w:t xml:space="preserve"> </w:t>
      </w:r>
      <w:r w:rsidR="007E48EE" w:rsidRPr="007E48EE">
        <w:t xml:space="preserve"> </w:t>
      </w:r>
      <w:r w:rsidR="007E48EE" w:rsidRPr="00D82334">
        <w:rPr>
          <w:b/>
          <w:sz w:val="20"/>
        </w:rPr>
        <w:t xml:space="preserve">Optional services include the 24x7 monitoring capability, any additional consultancy or specialist services commissioned through Statements of Work or drawdown arrangements, and any enhanced services not included within the agreed baseline scope. Such services may be activated or commissioned solely at DCDE's discretion, subject to operational requirements and budget availability. </w:t>
      </w:r>
    </w:p>
    <w:p w14:paraId="4AE94622" w14:textId="77777777" w:rsidR="00AB5DB8" w:rsidRPr="000F0E67" w:rsidRDefault="00AB5DB8" w:rsidP="00AB5DB8">
      <w:pPr>
        <w:numPr>
          <w:ilvl w:val="0"/>
          <w:numId w:val="82"/>
        </w:numPr>
        <w:rPr>
          <w:rFonts w:ascii="Calibri" w:hAnsi="Calibri" w:cs="Calibri"/>
        </w:rPr>
      </w:pPr>
      <w:r w:rsidRPr="000F0E67">
        <w:rPr>
          <w:rFonts w:ascii="Calibri" w:hAnsi="Calibri" w:cs="Calibri"/>
        </w:rPr>
        <w:t>which services are intended to be delivered through drawdown arrangements; and</w:t>
      </w:r>
    </w:p>
    <w:p w14:paraId="7234637C" w14:textId="53B179F5" w:rsidR="002E7041" w:rsidRPr="00D82334" w:rsidRDefault="002C42B2">
      <w:pPr>
        <w:pStyle w:val="ListParagraph"/>
      </w:pPr>
      <w:r w:rsidRPr="00D82334">
        <w:t xml:space="preserve"> </w:t>
      </w:r>
      <w:r w:rsidRPr="00D82334">
        <w:rPr>
          <w:b/>
          <w:sz w:val="20"/>
        </w:rPr>
        <w:t xml:space="preserve">Services outside the agreed baseline scope may be commissioned through drawdown arrangements. These may include additional specialist consultancy, security architecture reviews, supplier assurance activities, audits, compliance support, incident response </w:t>
      </w:r>
      <w:r w:rsidRPr="00D82334">
        <w:rPr>
          <w:b/>
          <w:sz w:val="20"/>
        </w:rPr>
        <w:lastRenderedPageBreak/>
        <w:t xml:space="preserve">beyond the included retainer, and other ad hoc cyber security services requested by DCDE during the contract term. </w:t>
      </w:r>
    </w:p>
    <w:p w14:paraId="5ED983C8" w14:textId="77777777" w:rsidR="00AB5DB8" w:rsidRPr="000F0E67" w:rsidRDefault="00AB5DB8" w:rsidP="00AB5DB8">
      <w:pPr>
        <w:numPr>
          <w:ilvl w:val="0"/>
          <w:numId w:val="83"/>
        </w:numPr>
        <w:rPr>
          <w:rFonts w:ascii="Calibri" w:hAnsi="Calibri" w:cs="Calibri"/>
        </w:rPr>
      </w:pPr>
      <w:r w:rsidRPr="000F0E67">
        <w:rPr>
          <w:rFonts w:ascii="Calibri" w:hAnsi="Calibri" w:cs="Calibri"/>
        </w:rPr>
        <w:t>whether optional services will only be procured where separately requested by the Contracting Authority.</w:t>
      </w:r>
    </w:p>
    <w:p w14:paraId="115B6B95" w14:textId="5AA08C23" w:rsidR="001A21D5" w:rsidRPr="00387913" w:rsidRDefault="00CE7BE5" w:rsidP="001A21D5">
      <w:pPr>
        <w:pStyle w:val="ListParagraph"/>
        <w:rPr>
          <w:b/>
          <w:color w:val="000000" w:themeColor="text1"/>
          <w:sz w:val="20"/>
        </w:rPr>
      </w:pPr>
      <w:r w:rsidRPr="00D82334">
        <w:rPr>
          <w:b/>
          <w:sz w:val="20"/>
        </w:rPr>
        <w:t xml:space="preserve"> </w:t>
      </w:r>
      <w:r w:rsidR="001A21D5" w:rsidRPr="00D82334">
        <w:rPr>
          <w:b/>
          <w:sz w:val="20"/>
        </w:rPr>
        <w:t>The procurement of optional services may be considered following recommendations from the successful tenderer and subject to the Department’s requirements, approval, and agreement.</w:t>
      </w:r>
    </w:p>
    <w:p w14:paraId="59A173AF" w14:textId="05ACF94E" w:rsidR="002E7041" w:rsidRDefault="002E7041">
      <w:pPr>
        <w:pStyle w:val="ListParagraph"/>
      </w:pPr>
    </w:p>
    <w:p w14:paraId="21DFED39" w14:textId="77777777" w:rsidR="00AB5DB8" w:rsidRPr="00AB5DB8" w:rsidRDefault="00AB5DB8" w:rsidP="00AB5DB8">
      <w:pPr>
        <w:pStyle w:val="ListParagraph"/>
        <w:rPr>
          <w:rFonts w:ascii="Calibri" w:hAnsi="Calibri" w:cs="Calibri"/>
        </w:rPr>
      </w:pPr>
    </w:p>
    <w:p w14:paraId="269C65B9" w14:textId="77777777" w:rsidR="00AB5DB8" w:rsidRDefault="00AB5DB8" w:rsidP="00AB5DB8">
      <w:pPr>
        <w:pStyle w:val="ListParagraph"/>
        <w:numPr>
          <w:ilvl w:val="0"/>
          <w:numId w:val="100"/>
        </w:numPr>
        <w:rPr>
          <w:rFonts w:ascii="Calibri" w:hAnsi="Calibri" w:cs="Calibri"/>
        </w:rPr>
      </w:pPr>
      <w:r w:rsidRPr="00AB5DB8">
        <w:rPr>
          <w:rFonts w:ascii="Calibri" w:hAnsi="Calibri" w:cs="Calibri"/>
          <w:b/>
          <w:bCs/>
        </w:rPr>
        <w:t>Appendix 1:Active Remediation</w:t>
      </w:r>
      <w:r w:rsidRPr="00AB5DB8">
        <w:rPr>
          <w:rFonts w:ascii="Calibri" w:hAnsi="Calibri" w:cs="Calibri"/>
        </w:rPr>
        <w:t> – please confirm</w:t>
      </w:r>
    </w:p>
    <w:p w14:paraId="1B5FF291" w14:textId="77777777" w:rsidR="00AB5DB8" w:rsidRPr="000F0E67" w:rsidRDefault="00AB5DB8" w:rsidP="00AB5DB8">
      <w:pPr>
        <w:numPr>
          <w:ilvl w:val="0"/>
          <w:numId w:val="84"/>
        </w:numPr>
        <w:rPr>
          <w:rFonts w:ascii="Calibri" w:hAnsi="Calibri" w:cs="Calibri"/>
        </w:rPr>
      </w:pPr>
      <w:r w:rsidRPr="000F0E67">
        <w:rPr>
          <w:rFonts w:ascii="Calibri" w:hAnsi="Calibri" w:cs="Calibri"/>
        </w:rPr>
        <w:t>the approval process for remediation activities;</w:t>
      </w:r>
    </w:p>
    <w:p w14:paraId="4AE96EDB" w14:textId="5C2CF647" w:rsidR="002E7041" w:rsidRDefault="00CE7BE5">
      <w:pPr>
        <w:pStyle w:val="ListParagraph"/>
      </w:pPr>
      <w:r w:rsidRPr="00387913">
        <w:rPr>
          <w:b/>
          <w:color w:val="000000" w:themeColor="text1"/>
          <w:sz w:val="20"/>
        </w:rPr>
        <w:t xml:space="preserve"> </w:t>
      </w:r>
      <w:r w:rsidR="002C42B2" w:rsidRPr="002C42B2">
        <w:t xml:space="preserve"> </w:t>
      </w:r>
      <w:r w:rsidR="002C42B2" w:rsidRPr="000F720F">
        <w:rPr>
          <w:b/>
          <w:sz w:val="20"/>
        </w:rPr>
        <w:t>All remediation activities shall be agreed with DCDE through the appropriate operational governance and change-management processes. The successful tenderer may recommend and support remediation actions, but implementation will normally be undertaken by DCDE, its infrastructure partner or relevant suppliers unless otherwise agreed. Emergency actions may follow pre-agreed escalation procedures.</w:t>
      </w:r>
    </w:p>
    <w:p w14:paraId="784E9AA7" w14:textId="77777777" w:rsidR="00AB5DB8" w:rsidRPr="000F0E67" w:rsidRDefault="00AB5DB8" w:rsidP="00AB5DB8">
      <w:pPr>
        <w:numPr>
          <w:ilvl w:val="0"/>
          <w:numId w:val="85"/>
        </w:numPr>
        <w:rPr>
          <w:rFonts w:ascii="Calibri" w:hAnsi="Calibri" w:cs="Calibri"/>
        </w:rPr>
      </w:pPr>
      <w:r w:rsidRPr="000F0E67">
        <w:rPr>
          <w:rFonts w:ascii="Calibri" w:hAnsi="Calibri" w:cs="Calibri"/>
        </w:rPr>
        <w:t>the circumstances in which the Contractor may implement emergency containment actions;</w:t>
      </w:r>
    </w:p>
    <w:p w14:paraId="7A8FE35D" w14:textId="43F0DA49" w:rsidR="002E7041" w:rsidRPr="000F720F" w:rsidRDefault="00CE7BE5">
      <w:pPr>
        <w:pStyle w:val="ListParagraph"/>
      </w:pPr>
      <w:r w:rsidRPr="00387913">
        <w:rPr>
          <w:b/>
          <w:color w:val="000000" w:themeColor="text1"/>
          <w:sz w:val="20"/>
        </w:rPr>
        <w:t xml:space="preserve"> </w:t>
      </w:r>
      <w:r w:rsidRPr="000F720F">
        <w:rPr>
          <w:b/>
          <w:sz w:val="20"/>
        </w:rPr>
        <w:t>Active remediation may include containment advice and agreed actions such as disabling accounts, blocking IP addresses, revoking sessions or equivalent measures. Such actions require DCDE approval unless covered by a pre-approved emergency runbook agreed during mobilisation. Operational change management procedures will apply unless otherwise agreed for emergency containment.</w:t>
      </w:r>
    </w:p>
    <w:p w14:paraId="7D1259CC" w14:textId="77777777" w:rsidR="00AB5DB8" w:rsidRPr="000F0E67" w:rsidRDefault="00AB5DB8" w:rsidP="00AB5DB8">
      <w:pPr>
        <w:numPr>
          <w:ilvl w:val="0"/>
          <w:numId w:val="86"/>
        </w:numPr>
        <w:rPr>
          <w:rFonts w:ascii="Calibri" w:hAnsi="Calibri" w:cs="Calibri"/>
        </w:rPr>
      </w:pPr>
      <w:r w:rsidRPr="000F0E67">
        <w:rPr>
          <w:rFonts w:ascii="Calibri" w:hAnsi="Calibri" w:cs="Calibri"/>
        </w:rPr>
        <w:t>whether all remediation actions remain subject to the Department's operational change management procedures unless otherwise agreed; and</w:t>
      </w:r>
    </w:p>
    <w:p w14:paraId="301CA5C9" w14:textId="09F2E9DB" w:rsidR="00BA1AC5" w:rsidRPr="000F720F" w:rsidRDefault="00CE7BE5" w:rsidP="00BA1AC5">
      <w:pPr>
        <w:pStyle w:val="ListParagraph"/>
      </w:pPr>
      <w:r w:rsidRPr="00387913">
        <w:rPr>
          <w:b/>
          <w:color w:val="000000" w:themeColor="text1"/>
          <w:sz w:val="20"/>
        </w:rPr>
        <w:t xml:space="preserve"> </w:t>
      </w:r>
      <w:r w:rsidR="00BA1AC5" w:rsidRPr="00387913">
        <w:rPr>
          <w:b/>
          <w:color w:val="000000" w:themeColor="text1"/>
          <w:sz w:val="20"/>
        </w:rPr>
        <w:t xml:space="preserve"> </w:t>
      </w:r>
      <w:r w:rsidR="00BA1AC5" w:rsidRPr="000F720F">
        <w:rPr>
          <w:b/>
          <w:sz w:val="20"/>
        </w:rPr>
        <w:t>Active remediation may include containment advice and agreed actions such as disabling accounts, blocking IP addresses, revoking sessions or equivalent measures. Such actions require DCDE approval unless covered by a pre-approved emergency runbook agreed during mobilisation. Operational change management procedures will apply unless otherwise agreed for emergency containment.</w:t>
      </w:r>
    </w:p>
    <w:p w14:paraId="440BE06B" w14:textId="5610E4C3" w:rsidR="002E7041" w:rsidRDefault="002E7041">
      <w:pPr>
        <w:pStyle w:val="ListParagraph"/>
      </w:pPr>
    </w:p>
    <w:p w14:paraId="16AD45B6" w14:textId="77777777" w:rsidR="00AB5DB8" w:rsidRPr="000F0E67" w:rsidRDefault="00AB5DB8" w:rsidP="00AB5DB8">
      <w:pPr>
        <w:numPr>
          <w:ilvl w:val="0"/>
          <w:numId w:val="87"/>
        </w:numPr>
        <w:rPr>
          <w:rFonts w:ascii="Calibri" w:hAnsi="Calibri" w:cs="Calibri"/>
        </w:rPr>
      </w:pPr>
      <w:r w:rsidRPr="000F0E67">
        <w:rPr>
          <w:rFonts w:ascii="Calibri" w:hAnsi="Calibri" w:cs="Calibri"/>
        </w:rPr>
        <w:t>the respective responsibilities of the Contractor and the Department for implementing remediation measures.</w:t>
      </w:r>
    </w:p>
    <w:p w14:paraId="10580C9F" w14:textId="47022709" w:rsidR="002E7041" w:rsidRPr="00387913" w:rsidRDefault="00CE7BE5" w:rsidP="002C42B2">
      <w:pPr>
        <w:pStyle w:val="ListParagraph"/>
        <w:rPr>
          <w:b/>
          <w:color w:val="000000" w:themeColor="text1"/>
          <w:sz w:val="20"/>
        </w:rPr>
      </w:pPr>
      <w:r w:rsidRPr="00387913">
        <w:rPr>
          <w:b/>
          <w:color w:val="000000" w:themeColor="text1"/>
          <w:sz w:val="20"/>
        </w:rPr>
        <w:t xml:space="preserve"> </w:t>
      </w:r>
      <w:r w:rsidR="002C42B2" w:rsidRPr="002C42B2">
        <w:rPr>
          <w:rFonts w:ascii="Segoe UI" w:eastAsia="Times New Roman" w:hAnsi="Segoe UI" w:cs="Segoe UI"/>
          <w:kern w:val="0"/>
          <w:sz w:val="21"/>
          <w:szCs w:val="21"/>
          <w:lang w:eastAsia="en-IE"/>
          <w14:ligatures w14:val="none"/>
        </w:rPr>
        <w:t xml:space="preserve"> </w:t>
      </w:r>
      <w:r w:rsidR="002C42B2" w:rsidRPr="000F720F">
        <w:rPr>
          <w:b/>
          <w:sz w:val="20"/>
        </w:rPr>
        <w:t>The Contractor will identify, prioritise and recommend remediation measures, provide implementation guidance, and support tracking and assurance activities. Remediation will normally be implemented by DCDE, its infrastructure partner, or relevant application/service owners. Emergency containment actions may be undertaken by the Contractor where pre-approved and agreed through established procedures.</w:t>
      </w:r>
    </w:p>
    <w:p w14:paraId="1CE8D767" w14:textId="77777777" w:rsidR="00AB5DB8" w:rsidRDefault="00AB5DB8" w:rsidP="00AB5DB8">
      <w:pPr>
        <w:pStyle w:val="ListParagraph"/>
        <w:rPr>
          <w:rFonts w:ascii="Calibri" w:hAnsi="Calibri" w:cs="Calibri"/>
        </w:rPr>
      </w:pPr>
    </w:p>
    <w:p w14:paraId="0B64287C" w14:textId="77777777" w:rsidR="00BD2B2E" w:rsidRPr="00AB5DB8" w:rsidRDefault="00BD2B2E" w:rsidP="00AB5DB8">
      <w:pPr>
        <w:pStyle w:val="ListParagraph"/>
        <w:rPr>
          <w:rFonts w:ascii="Calibri" w:hAnsi="Calibri" w:cs="Calibri"/>
        </w:rPr>
      </w:pPr>
    </w:p>
    <w:p w14:paraId="2B9C4144" w14:textId="77777777" w:rsidR="00AB5DB8" w:rsidRDefault="00AB5DB8" w:rsidP="00AB5DB8">
      <w:pPr>
        <w:pStyle w:val="ListParagraph"/>
        <w:numPr>
          <w:ilvl w:val="0"/>
          <w:numId w:val="100"/>
        </w:numPr>
        <w:rPr>
          <w:rFonts w:ascii="Calibri" w:hAnsi="Calibri" w:cs="Calibri"/>
        </w:rPr>
      </w:pPr>
      <w:r w:rsidRPr="00AB5DB8">
        <w:rPr>
          <w:rFonts w:ascii="Calibri" w:hAnsi="Calibri" w:cs="Calibri"/>
          <w:b/>
          <w:bCs/>
        </w:rPr>
        <w:t>Appendix 5: Services Contract - Clause 1: Contract Documents and Order of Precedence</w:t>
      </w:r>
      <w:r>
        <w:rPr>
          <w:rFonts w:ascii="Calibri" w:hAnsi="Calibri" w:cs="Calibri"/>
          <w:b/>
          <w:bCs/>
        </w:rPr>
        <w:t xml:space="preserve"> </w:t>
      </w:r>
      <w:r w:rsidRPr="00AB5DB8">
        <w:rPr>
          <w:rFonts w:ascii="Calibri" w:hAnsi="Calibri" w:cs="Calibri"/>
        </w:rPr>
        <w:t>Please confirm that:</w:t>
      </w:r>
    </w:p>
    <w:p w14:paraId="2480A60C" w14:textId="77777777" w:rsidR="00AB5DB8" w:rsidRPr="000F0E67" w:rsidRDefault="00AB5DB8" w:rsidP="00AB5DB8">
      <w:pPr>
        <w:numPr>
          <w:ilvl w:val="0"/>
          <w:numId w:val="88"/>
        </w:numPr>
        <w:rPr>
          <w:rFonts w:ascii="Calibri" w:hAnsi="Calibri" w:cs="Calibri"/>
        </w:rPr>
      </w:pPr>
      <w:r w:rsidRPr="000F0E67">
        <w:rPr>
          <w:rFonts w:ascii="Calibri" w:hAnsi="Calibri" w:cs="Calibri"/>
        </w:rPr>
        <w:lastRenderedPageBreak/>
        <w:t>formal RFT Clarifications issued by the Contracting Authority form part of the RFT for contractual purposes;</w:t>
      </w:r>
    </w:p>
    <w:p w14:paraId="766ED3C0" w14:textId="38A0721D" w:rsidR="002E7041" w:rsidRPr="004D52E2" w:rsidRDefault="00CE7BE5">
      <w:pPr>
        <w:pStyle w:val="ListParagraph"/>
      </w:pPr>
      <w:r w:rsidRPr="004D52E2">
        <w:rPr>
          <w:b/>
          <w:sz w:val="20"/>
        </w:rPr>
        <w:t xml:space="preserve"> The Services Contract provides that the RFT includes RFT Clarifications and that the Submission includes Submission Clarifications. The order of precedence is as stated in the Services Contract. Where a clarification formally amends or supplements the RFT or Submission, it will be treated in accordance with the contract documents and applicable order of precedence.</w:t>
      </w:r>
    </w:p>
    <w:p w14:paraId="14BE7233" w14:textId="77777777" w:rsidR="00AB5DB8" w:rsidRPr="000F0E67" w:rsidRDefault="00AB5DB8" w:rsidP="00AB5DB8">
      <w:pPr>
        <w:numPr>
          <w:ilvl w:val="0"/>
          <w:numId w:val="89"/>
        </w:numPr>
        <w:rPr>
          <w:rFonts w:ascii="Calibri" w:hAnsi="Calibri" w:cs="Calibri"/>
        </w:rPr>
      </w:pPr>
      <w:r w:rsidRPr="000F0E67">
        <w:rPr>
          <w:rFonts w:ascii="Calibri" w:hAnsi="Calibri" w:cs="Calibri"/>
        </w:rPr>
        <w:t>Submission Clarifications form part of the Contractor's Submission; and</w:t>
      </w:r>
    </w:p>
    <w:p w14:paraId="692FD555" w14:textId="7E46A74F" w:rsidR="002E7041" w:rsidRPr="004D52E2" w:rsidRDefault="00CE7BE5">
      <w:pPr>
        <w:pStyle w:val="ListParagraph"/>
      </w:pPr>
      <w:r w:rsidRPr="004D52E2">
        <w:rPr>
          <w:b/>
          <w:sz w:val="20"/>
        </w:rPr>
        <w:t xml:space="preserve"> The Services Contract provides that the RFT includes RFT Clarifications and that the Submission includes Submission Clarifications. The order of precedence is as stated in the Services Contract. Where a clarification formally amends or supplements the RFT or Submission, it will be treated in accordance with the contract documents and applicable order of precedence.</w:t>
      </w:r>
    </w:p>
    <w:p w14:paraId="6B1810AB" w14:textId="77777777" w:rsidR="00AB5DB8" w:rsidRPr="000F0E67" w:rsidRDefault="00AB5DB8" w:rsidP="00AB5DB8">
      <w:pPr>
        <w:numPr>
          <w:ilvl w:val="0"/>
          <w:numId w:val="90"/>
        </w:numPr>
        <w:rPr>
          <w:rFonts w:ascii="Calibri" w:hAnsi="Calibri" w:cs="Calibri"/>
        </w:rPr>
      </w:pPr>
      <w:r w:rsidRPr="000F0E67">
        <w:rPr>
          <w:rFonts w:ascii="Calibri" w:hAnsi="Calibri" w:cs="Calibri"/>
        </w:rPr>
        <w:t>where a clarification expressly amends or supplements the RFT or Submission, the clarification shall prevail over the inconsistent wording in the relevant original document.</w:t>
      </w:r>
    </w:p>
    <w:p w14:paraId="15445474" w14:textId="778D8DAA" w:rsidR="002E7041" w:rsidRPr="004D52E2" w:rsidRDefault="00CE7BE5">
      <w:pPr>
        <w:pStyle w:val="ListParagraph"/>
      </w:pPr>
      <w:r w:rsidRPr="004D52E2">
        <w:rPr>
          <w:b/>
          <w:sz w:val="20"/>
        </w:rPr>
        <w:t xml:space="preserve"> The Services Contract provides that the RFT includes RFT Clarifications and that the Submission includes Submission Clarifications. The order of precedence is as stated in the Services Contract. Where a clarification formally amends or supplements the RFT or Submission, it will be treated in accordance with the contract documents and applicable order of precedence.</w:t>
      </w:r>
    </w:p>
    <w:p w14:paraId="7968A201" w14:textId="77777777" w:rsidR="00AB5DB8" w:rsidRDefault="00AB5DB8" w:rsidP="00AB5DB8">
      <w:pPr>
        <w:pStyle w:val="ListParagraph"/>
        <w:rPr>
          <w:rFonts w:ascii="Calibri" w:hAnsi="Calibri" w:cs="Calibri"/>
        </w:rPr>
      </w:pPr>
    </w:p>
    <w:p w14:paraId="5819B6AA" w14:textId="77777777" w:rsidR="00BD2B2E" w:rsidRPr="00AB5DB8" w:rsidRDefault="00BD2B2E" w:rsidP="00AB5DB8">
      <w:pPr>
        <w:pStyle w:val="ListParagraph"/>
        <w:rPr>
          <w:rFonts w:ascii="Calibri" w:hAnsi="Calibri" w:cs="Calibri"/>
        </w:rPr>
      </w:pPr>
    </w:p>
    <w:p w14:paraId="3E1C0596" w14:textId="77777777" w:rsidR="00AB5DB8" w:rsidRDefault="00AB5DB8" w:rsidP="00AB5DB8">
      <w:pPr>
        <w:pStyle w:val="ListParagraph"/>
        <w:numPr>
          <w:ilvl w:val="0"/>
          <w:numId w:val="100"/>
        </w:numPr>
        <w:rPr>
          <w:rFonts w:ascii="Calibri" w:hAnsi="Calibri" w:cs="Calibri"/>
        </w:rPr>
      </w:pPr>
      <w:r w:rsidRPr="00AB5DB8">
        <w:rPr>
          <w:rFonts w:ascii="Calibri" w:hAnsi="Calibri" w:cs="Calibri"/>
          <w:b/>
          <w:bCs/>
        </w:rPr>
        <w:t>Clause 2: Scope of the Services</w:t>
      </w:r>
      <w:r w:rsidRPr="00AB5DB8">
        <w:rPr>
          <w:rFonts w:ascii="Calibri" w:hAnsi="Calibri" w:cs="Calibri"/>
        </w:rPr>
        <w:t> - Please confirm that the Contractor will only be required to provide the Services falling within the final agreed contractual scope and that any material addition to or change in the Services following contract award will be managed through the contractual change control process.</w:t>
      </w:r>
    </w:p>
    <w:p w14:paraId="1DC9BFE6" w14:textId="77777777" w:rsidR="00BD2B2E" w:rsidRPr="00AB5DB8" w:rsidRDefault="00BD2B2E" w:rsidP="00BD2B2E">
      <w:pPr>
        <w:pStyle w:val="ListParagraph"/>
        <w:rPr>
          <w:rFonts w:ascii="Calibri" w:hAnsi="Calibri" w:cs="Calibri"/>
        </w:rPr>
      </w:pPr>
    </w:p>
    <w:p w14:paraId="540F23D5" w14:textId="0C80984A" w:rsidR="002E7041" w:rsidRDefault="00CE7BE5">
      <w:pPr>
        <w:pStyle w:val="ListParagraph"/>
        <w:rPr>
          <w:b/>
          <w:sz w:val="20"/>
        </w:rPr>
      </w:pPr>
      <w:r w:rsidRPr="00387913">
        <w:rPr>
          <w:b/>
          <w:color w:val="000000" w:themeColor="text1"/>
          <w:sz w:val="20"/>
        </w:rPr>
        <w:t xml:space="preserve"> </w:t>
      </w:r>
      <w:r w:rsidRPr="004D52E2">
        <w:rPr>
          <w:b/>
          <w:sz w:val="20"/>
        </w:rPr>
        <w:t>The Contractor will be required to provide the Services within the final agreed contractual scope. Any material addition to or change in the Services following contract award will be managed through the contractual change control process, subject always to DCDE’s public procurement obligations.</w:t>
      </w:r>
    </w:p>
    <w:p w14:paraId="52D15102" w14:textId="77777777" w:rsidR="00BD2B2E" w:rsidRDefault="00BD2B2E">
      <w:pPr>
        <w:pStyle w:val="ListParagraph"/>
        <w:rPr>
          <w:b/>
          <w:sz w:val="20"/>
        </w:rPr>
      </w:pPr>
    </w:p>
    <w:p w14:paraId="60EC70C2" w14:textId="77777777" w:rsidR="00BD2B2E" w:rsidRPr="004D52E2" w:rsidRDefault="00BD2B2E">
      <w:pPr>
        <w:pStyle w:val="ListParagraph"/>
      </w:pPr>
    </w:p>
    <w:p w14:paraId="63DE8223" w14:textId="77777777" w:rsidR="00AB5DB8" w:rsidRDefault="00AB5DB8" w:rsidP="00AB5DB8">
      <w:pPr>
        <w:pStyle w:val="ListParagraph"/>
        <w:numPr>
          <w:ilvl w:val="0"/>
          <w:numId w:val="100"/>
        </w:numPr>
        <w:rPr>
          <w:rFonts w:ascii="Calibri" w:hAnsi="Calibri" w:cs="Calibri"/>
        </w:rPr>
      </w:pPr>
      <w:r w:rsidRPr="00AB5DB8">
        <w:rPr>
          <w:rFonts w:ascii="Calibri" w:hAnsi="Calibri" w:cs="Calibri"/>
          <w:b/>
          <w:bCs/>
        </w:rPr>
        <w:t>Clause 1(B)(2):</w:t>
      </w:r>
      <w:r w:rsidRPr="00AB5DB8">
        <w:rPr>
          <w:rFonts w:ascii="Calibri" w:hAnsi="Calibri" w:cs="Calibri"/>
        </w:rPr>
        <w:t> Client Policies and Governance Requirements - Please confirm that any new policies, governance requirements or operational procedures introduced after Contract commencement that materially affect the scope, delivery or cost of the Services will be subject to the contractual change control process and any associated adjustment to the Charges where appropriate.</w:t>
      </w:r>
    </w:p>
    <w:p w14:paraId="6F83A97C" w14:textId="77777777" w:rsidR="00BD2B2E" w:rsidRPr="00AB5DB8" w:rsidRDefault="00BD2B2E" w:rsidP="00BD2B2E">
      <w:pPr>
        <w:pStyle w:val="ListParagraph"/>
        <w:rPr>
          <w:rFonts w:ascii="Calibri" w:hAnsi="Calibri" w:cs="Calibri"/>
        </w:rPr>
      </w:pPr>
    </w:p>
    <w:p w14:paraId="6A3357CC" w14:textId="3C5F0728" w:rsidR="002E7041" w:rsidRDefault="00CE7BE5">
      <w:pPr>
        <w:pStyle w:val="ListParagraph"/>
      </w:pPr>
      <w:r w:rsidRPr="004D52E2">
        <w:rPr>
          <w:b/>
          <w:sz w:val="20"/>
        </w:rPr>
        <w:t xml:space="preserve"> The Contractor must comply with applicable DCDE policies and governance requirements notified under the contract. Where a new requirement introduced after commencement materially affects scope, delivery or cost, the parties will manage the matter through the contract management and change control provisions, subject to public procurement rules.</w:t>
      </w:r>
    </w:p>
    <w:p w14:paraId="4EBC1A34" w14:textId="77777777" w:rsidR="001F06FA" w:rsidRDefault="001F06FA" w:rsidP="001F06FA">
      <w:pPr>
        <w:pStyle w:val="ListParagraph"/>
        <w:numPr>
          <w:ilvl w:val="0"/>
          <w:numId w:val="100"/>
        </w:numPr>
        <w:rPr>
          <w:rFonts w:ascii="Calibri" w:hAnsi="Calibri" w:cs="Calibri"/>
        </w:rPr>
      </w:pPr>
      <w:r w:rsidRPr="001F06FA">
        <w:rPr>
          <w:rFonts w:ascii="Calibri" w:hAnsi="Calibri" w:cs="Calibri"/>
          <w:b/>
          <w:bCs/>
        </w:rPr>
        <w:lastRenderedPageBreak/>
        <w:t>Clause 1(F)</w:t>
      </w:r>
      <w:r w:rsidRPr="001F06FA">
        <w:rPr>
          <w:rFonts w:ascii="Calibri" w:hAnsi="Calibri" w:cs="Calibri"/>
        </w:rPr>
        <w:t>: Client Dependencies - Please confirm that where delivery of the Services is delayed due to any act, omission or dependency attributable to the Client, the relevant delivery dates, milestones and associated Service Levels will be adjusted accordingly.</w:t>
      </w:r>
    </w:p>
    <w:p w14:paraId="48E6F3CD" w14:textId="77777777" w:rsidR="00BD2B2E" w:rsidRPr="001F06FA" w:rsidRDefault="00BD2B2E" w:rsidP="00BD2B2E">
      <w:pPr>
        <w:pStyle w:val="ListParagraph"/>
        <w:rPr>
          <w:rFonts w:ascii="Calibri" w:hAnsi="Calibri" w:cs="Calibri"/>
        </w:rPr>
      </w:pPr>
    </w:p>
    <w:p w14:paraId="214628B7" w14:textId="24A24CD2" w:rsidR="002E7041" w:rsidRDefault="00CE7BE5">
      <w:pPr>
        <w:pStyle w:val="ListParagraph"/>
        <w:rPr>
          <w:b/>
          <w:sz w:val="20"/>
        </w:rPr>
      </w:pPr>
      <w:r w:rsidRPr="00192DF9">
        <w:rPr>
          <w:b/>
          <w:sz w:val="20"/>
        </w:rPr>
        <w:t xml:space="preserve"> Where delivery depends on DCDE inputs, access, approvals or decisions, the parties will agree reasonable timelines and manage dependencies through contract management. Any impact on delivery dates, milestones or service levels will be addressed through the contract governance and change control mechanisms where appropriate.</w:t>
      </w:r>
    </w:p>
    <w:p w14:paraId="35F3A38C" w14:textId="77777777" w:rsidR="00BD2B2E" w:rsidRDefault="00BD2B2E">
      <w:pPr>
        <w:pStyle w:val="ListParagraph"/>
        <w:rPr>
          <w:b/>
          <w:sz w:val="20"/>
        </w:rPr>
      </w:pPr>
    </w:p>
    <w:p w14:paraId="544816B3" w14:textId="77777777" w:rsidR="00BD2B2E" w:rsidRDefault="00BD2B2E">
      <w:pPr>
        <w:pStyle w:val="ListParagraph"/>
      </w:pPr>
    </w:p>
    <w:p w14:paraId="1B94B692" w14:textId="77777777" w:rsidR="001F06FA" w:rsidRDefault="001F06FA" w:rsidP="001F06FA">
      <w:pPr>
        <w:pStyle w:val="ListParagraph"/>
        <w:numPr>
          <w:ilvl w:val="0"/>
          <w:numId w:val="100"/>
        </w:numPr>
        <w:rPr>
          <w:rFonts w:ascii="Calibri" w:hAnsi="Calibri" w:cs="Calibri"/>
        </w:rPr>
      </w:pPr>
      <w:r w:rsidRPr="001F06FA">
        <w:rPr>
          <w:rFonts w:ascii="Calibri" w:hAnsi="Calibri" w:cs="Calibri"/>
          <w:b/>
          <w:bCs/>
        </w:rPr>
        <w:t>Clause 2:</w:t>
      </w:r>
      <w:r w:rsidRPr="001F06FA">
        <w:rPr>
          <w:rFonts w:ascii="Calibri" w:hAnsi="Calibri" w:cs="Calibri"/>
        </w:rPr>
        <w:t> Key Personnel</w:t>
      </w:r>
      <w:r>
        <w:rPr>
          <w:rFonts w:ascii="Calibri" w:hAnsi="Calibri" w:cs="Calibri"/>
        </w:rPr>
        <w:t xml:space="preserve"> </w:t>
      </w:r>
      <w:r w:rsidRPr="001F06FA">
        <w:rPr>
          <w:rFonts w:ascii="Calibri" w:hAnsi="Calibri" w:cs="Calibri"/>
        </w:rPr>
        <w:t>Please confirm:</w:t>
      </w:r>
    </w:p>
    <w:p w14:paraId="332CBA75" w14:textId="77777777" w:rsidR="001F06FA" w:rsidRPr="001F06FA" w:rsidRDefault="001F06FA" w:rsidP="001F06FA">
      <w:pPr>
        <w:pStyle w:val="ListParagraph"/>
        <w:numPr>
          <w:ilvl w:val="0"/>
          <w:numId w:val="75"/>
        </w:numPr>
        <w:rPr>
          <w:rFonts w:ascii="Calibri" w:hAnsi="Calibri" w:cs="Calibri"/>
        </w:rPr>
      </w:pPr>
      <w:r w:rsidRPr="001F06FA">
        <w:rPr>
          <w:rFonts w:ascii="Calibri" w:hAnsi="Calibri" w:cs="Calibri"/>
        </w:rPr>
        <w:t>the criteria the Client will apply when assessing proposed replacement Key Personnel; and</w:t>
      </w:r>
    </w:p>
    <w:p w14:paraId="2D63BC63" w14:textId="663EF3B6" w:rsidR="00BD2B2E" w:rsidRDefault="00BD2B2E">
      <w:pPr>
        <w:pStyle w:val="ListParagraph"/>
        <w:rPr>
          <w:b/>
          <w:sz w:val="20"/>
        </w:rPr>
      </w:pPr>
    </w:p>
    <w:p w14:paraId="55F9F5EA" w14:textId="6C9BBB0C" w:rsidR="002E7041" w:rsidRDefault="00CE7BE5">
      <w:pPr>
        <w:pStyle w:val="ListParagraph"/>
        <w:rPr>
          <w:b/>
          <w:sz w:val="20"/>
        </w:rPr>
      </w:pPr>
      <w:r w:rsidRPr="00192DF9">
        <w:rPr>
          <w:b/>
          <w:sz w:val="20"/>
        </w:rPr>
        <w:t>Replacement Key Personnel must demonstrate equivalent experience, expertise, qualifications and availability to the personnel being replaced. DCDE will assess suitability by reference to the contract requirements and the successful tenderer’s submission. Approval timescales will be managed reasonably through contract governance.</w:t>
      </w:r>
    </w:p>
    <w:p w14:paraId="7C2CAB6C" w14:textId="77777777" w:rsidR="00BD2B2E" w:rsidRPr="00192DF9" w:rsidRDefault="00BD2B2E">
      <w:pPr>
        <w:pStyle w:val="ListParagraph"/>
      </w:pPr>
    </w:p>
    <w:p w14:paraId="715C02EC" w14:textId="77777777" w:rsidR="001F06FA" w:rsidRPr="001F06FA" w:rsidRDefault="001F06FA" w:rsidP="001F06FA">
      <w:pPr>
        <w:pStyle w:val="ListParagraph"/>
        <w:numPr>
          <w:ilvl w:val="0"/>
          <w:numId w:val="75"/>
        </w:numPr>
        <w:rPr>
          <w:rFonts w:ascii="Calibri" w:hAnsi="Calibri" w:cs="Calibri"/>
        </w:rPr>
      </w:pPr>
      <w:r w:rsidRPr="001F06FA">
        <w:rPr>
          <w:rFonts w:ascii="Calibri" w:hAnsi="Calibri" w:cs="Calibri"/>
        </w:rPr>
        <w:t>the anticipated timescale for approving or rejecting a proposed replacement.</w:t>
      </w:r>
    </w:p>
    <w:p w14:paraId="2F7620D2" w14:textId="61D5EEAE" w:rsidR="00BD2B2E" w:rsidRDefault="00BD2B2E" w:rsidP="0012473B">
      <w:pPr>
        <w:pStyle w:val="ListParagraph"/>
        <w:rPr>
          <w:rFonts w:ascii="Segoe UI" w:eastAsia="Times New Roman" w:hAnsi="Segoe UI" w:cs="Segoe UI"/>
          <w:kern w:val="0"/>
          <w:sz w:val="21"/>
          <w:szCs w:val="21"/>
          <w:lang w:eastAsia="en-IE"/>
          <w14:ligatures w14:val="none"/>
        </w:rPr>
      </w:pPr>
    </w:p>
    <w:p w14:paraId="329ACF2A" w14:textId="55F4E806" w:rsidR="0012473B" w:rsidRPr="00192DF9" w:rsidRDefault="0012473B" w:rsidP="0012473B">
      <w:pPr>
        <w:pStyle w:val="ListParagraph"/>
        <w:rPr>
          <w:b/>
          <w:sz w:val="20"/>
        </w:rPr>
      </w:pPr>
      <w:r w:rsidRPr="00192DF9">
        <w:rPr>
          <w:b/>
          <w:sz w:val="20"/>
        </w:rPr>
        <w:t>DCDE will assess proposed replacement personnel based on the requirements of the contract and the qualifications, experience and suitability of the proposed replacement. DCDE will endeavour to review and respond to replacement requests within a reasonable timeframe, having regard to operational requirements and the urgency of the request.</w:t>
      </w:r>
    </w:p>
    <w:p w14:paraId="71E90DAB" w14:textId="780A4BF5" w:rsidR="002E7041" w:rsidRDefault="002E7041">
      <w:pPr>
        <w:pStyle w:val="ListParagraph"/>
      </w:pPr>
    </w:p>
    <w:p w14:paraId="14BE55BB" w14:textId="77777777" w:rsidR="001F06FA" w:rsidRPr="001F06FA" w:rsidRDefault="001F06FA" w:rsidP="001F06FA">
      <w:pPr>
        <w:pStyle w:val="ListParagraph"/>
        <w:rPr>
          <w:rFonts w:ascii="Calibri" w:hAnsi="Calibri" w:cs="Calibri"/>
        </w:rPr>
      </w:pPr>
    </w:p>
    <w:p w14:paraId="64EB9D1B" w14:textId="77777777" w:rsidR="00743B1F" w:rsidRDefault="00743B1F" w:rsidP="00743B1F">
      <w:pPr>
        <w:pStyle w:val="ListParagraph"/>
        <w:numPr>
          <w:ilvl w:val="0"/>
          <w:numId w:val="100"/>
        </w:numPr>
        <w:rPr>
          <w:rFonts w:ascii="Calibri" w:hAnsi="Calibri" w:cs="Calibri"/>
        </w:rPr>
      </w:pPr>
      <w:r w:rsidRPr="00743B1F">
        <w:rPr>
          <w:rFonts w:ascii="Calibri" w:hAnsi="Calibri" w:cs="Calibri"/>
          <w:b/>
          <w:bCs/>
        </w:rPr>
        <w:t>Clause 3(B)(1):</w:t>
      </w:r>
      <w:r w:rsidRPr="00743B1F">
        <w:rPr>
          <w:rFonts w:ascii="Calibri" w:hAnsi="Calibri" w:cs="Calibri"/>
        </w:rPr>
        <w:t> Payment Milestones - Please confirm where the contractual milestones, acceptance criteria and operational requirements relevant to payment are defined.</w:t>
      </w:r>
    </w:p>
    <w:p w14:paraId="1589FED1" w14:textId="77777777" w:rsidR="00BD2B2E" w:rsidRPr="00743B1F" w:rsidRDefault="00BD2B2E" w:rsidP="00BD2B2E">
      <w:pPr>
        <w:pStyle w:val="ListParagraph"/>
        <w:rPr>
          <w:rFonts w:ascii="Calibri" w:hAnsi="Calibri" w:cs="Calibri"/>
        </w:rPr>
      </w:pPr>
    </w:p>
    <w:p w14:paraId="3DF6FB29" w14:textId="658E176C" w:rsidR="002E7041" w:rsidRDefault="00CE7BE5">
      <w:pPr>
        <w:pStyle w:val="ListParagraph"/>
        <w:rPr>
          <w:b/>
          <w:sz w:val="20"/>
        </w:rPr>
      </w:pPr>
      <w:r w:rsidRPr="00387913">
        <w:rPr>
          <w:b/>
          <w:color w:val="000000" w:themeColor="text1"/>
          <w:sz w:val="20"/>
        </w:rPr>
        <w:t xml:space="preserve"> </w:t>
      </w:r>
      <w:r w:rsidRPr="00192DF9">
        <w:rPr>
          <w:b/>
          <w:sz w:val="20"/>
        </w:rPr>
        <w:t>Payment arrangements, milestones, acceptance criteria and operational requirements will be defined in the agreed contract schedules, approved work packages or Statements of Work, and will be managed in accordance with Appendix 5, Schedule A, clause 3.</w:t>
      </w:r>
    </w:p>
    <w:p w14:paraId="50238FAA" w14:textId="77777777" w:rsidR="00BD2B2E" w:rsidRDefault="00BD2B2E">
      <w:pPr>
        <w:pStyle w:val="ListParagraph"/>
        <w:rPr>
          <w:b/>
          <w:sz w:val="20"/>
        </w:rPr>
      </w:pPr>
    </w:p>
    <w:p w14:paraId="07DCF65E" w14:textId="77777777" w:rsidR="00BD2B2E" w:rsidRDefault="00BD2B2E">
      <w:pPr>
        <w:pStyle w:val="ListParagraph"/>
      </w:pPr>
    </w:p>
    <w:p w14:paraId="470E3261" w14:textId="77777777" w:rsidR="00743B1F" w:rsidRDefault="00743B1F" w:rsidP="00743B1F">
      <w:pPr>
        <w:pStyle w:val="ListParagraph"/>
        <w:numPr>
          <w:ilvl w:val="0"/>
          <w:numId w:val="100"/>
        </w:numPr>
        <w:rPr>
          <w:rFonts w:ascii="Calibri" w:hAnsi="Calibri" w:cs="Calibri"/>
        </w:rPr>
      </w:pPr>
      <w:r w:rsidRPr="00743B1F">
        <w:rPr>
          <w:rFonts w:ascii="Calibri" w:hAnsi="Calibri" w:cs="Calibri"/>
          <w:b/>
          <w:bCs/>
        </w:rPr>
        <w:t>Clause 3(D)</w:t>
      </w:r>
      <w:r w:rsidRPr="00743B1F">
        <w:rPr>
          <w:rFonts w:ascii="Calibri" w:hAnsi="Calibri" w:cs="Calibri"/>
        </w:rPr>
        <w:t>: Set-off Rights - Please confirm that the Client's contractual right of set-off applies only to amounts that are undisputed or finally determined to be payable.</w:t>
      </w:r>
    </w:p>
    <w:p w14:paraId="45AE7859" w14:textId="77777777" w:rsidR="00BD2B2E" w:rsidRPr="00743B1F" w:rsidRDefault="00BD2B2E" w:rsidP="00BD2B2E">
      <w:pPr>
        <w:pStyle w:val="ListParagraph"/>
        <w:rPr>
          <w:rFonts w:ascii="Calibri" w:hAnsi="Calibri" w:cs="Calibri"/>
        </w:rPr>
      </w:pPr>
    </w:p>
    <w:p w14:paraId="06AF8EF4" w14:textId="172579A8" w:rsidR="002E7041" w:rsidRDefault="00CE7BE5">
      <w:pPr>
        <w:pStyle w:val="ListParagraph"/>
        <w:rPr>
          <w:b/>
          <w:sz w:val="20"/>
        </w:rPr>
      </w:pPr>
      <w:r w:rsidRPr="005A00DF">
        <w:rPr>
          <w:b/>
          <w:sz w:val="20"/>
        </w:rPr>
        <w:t xml:space="preserve"> The contractual set-off provisions are as set out in Appendix 5, Schedule A, clause 3(D). Any application of set-off will be managed in accordance with the contract and applicable law.</w:t>
      </w:r>
    </w:p>
    <w:p w14:paraId="64E33F4A" w14:textId="77777777" w:rsidR="00BD2B2E" w:rsidRDefault="00BD2B2E">
      <w:pPr>
        <w:pStyle w:val="ListParagraph"/>
        <w:rPr>
          <w:b/>
          <w:sz w:val="20"/>
        </w:rPr>
      </w:pPr>
    </w:p>
    <w:p w14:paraId="01A30142" w14:textId="77777777" w:rsidR="00BD2B2E" w:rsidRPr="005A00DF" w:rsidRDefault="00BD2B2E">
      <w:pPr>
        <w:pStyle w:val="ListParagraph"/>
      </w:pPr>
    </w:p>
    <w:p w14:paraId="180BE6B5" w14:textId="77777777" w:rsidR="00743B1F" w:rsidRPr="00743B1F" w:rsidRDefault="00743B1F" w:rsidP="00743B1F">
      <w:pPr>
        <w:pStyle w:val="ListParagraph"/>
        <w:numPr>
          <w:ilvl w:val="0"/>
          <w:numId w:val="100"/>
        </w:numPr>
        <w:rPr>
          <w:rFonts w:ascii="Calibri" w:hAnsi="Calibri" w:cs="Calibri"/>
        </w:rPr>
      </w:pPr>
      <w:r w:rsidRPr="00743B1F">
        <w:rPr>
          <w:rFonts w:ascii="Calibri" w:hAnsi="Calibri" w:cs="Calibri"/>
          <w:b/>
          <w:bCs/>
        </w:rPr>
        <w:t>Clause 3(F):</w:t>
      </w:r>
      <w:r w:rsidRPr="00743B1F">
        <w:rPr>
          <w:rFonts w:ascii="Calibri" w:hAnsi="Calibri" w:cs="Calibri"/>
        </w:rPr>
        <w:t> Professional Services Withholding Tax (PSWT) - Please confirm whether Professional Services Withholding Tax (PSWT) will apply to payments under this Contract and, if so, whether the Client will issue the relevant PSWT documentation in accordance with Irish tax requirements.</w:t>
      </w:r>
    </w:p>
    <w:p w14:paraId="1B9E6CD9" w14:textId="13B8D955" w:rsidR="002E7041" w:rsidRDefault="00CE7BE5">
      <w:pPr>
        <w:pStyle w:val="ListParagraph"/>
        <w:rPr>
          <w:b/>
          <w:sz w:val="20"/>
        </w:rPr>
      </w:pPr>
      <w:r w:rsidRPr="00387913">
        <w:rPr>
          <w:b/>
          <w:color w:val="000000" w:themeColor="text1"/>
          <w:sz w:val="20"/>
        </w:rPr>
        <w:lastRenderedPageBreak/>
        <w:t xml:space="preserve"> </w:t>
      </w:r>
      <w:r w:rsidRPr="005A00DF">
        <w:rPr>
          <w:b/>
          <w:sz w:val="20"/>
        </w:rPr>
        <w:t>Professional Services Withholding Tax will apply where required under Irish tax legislation. Where PSWT is applied, DCDE will issue the relevant documentation in accordance with the applicable Irish tax requirements.</w:t>
      </w:r>
    </w:p>
    <w:p w14:paraId="2A2B7233" w14:textId="77777777" w:rsidR="00BD2B2E" w:rsidRDefault="00BD2B2E">
      <w:pPr>
        <w:pStyle w:val="ListParagraph"/>
        <w:rPr>
          <w:b/>
          <w:sz w:val="20"/>
        </w:rPr>
      </w:pPr>
    </w:p>
    <w:p w14:paraId="34EF84B7" w14:textId="77777777" w:rsidR="00BD2B2E" w:rsidRPr="005A00DF" w:rsidRDefault="00BD2B2E">
      <w:pPr>
        <w:pStyle w:val="ListParagraph"/>
      </w:pPr>
    </w:p>
    <w:p w14:paraId="27C27210" w14:textId="77777777" w:rsidR="00743B1F" w:rsidRDefault="00743B1F" w:rsidP="00743B1F">
      <w:pPr>
        <w:pStyle w:val="ListParagraph"/>
        <w:numPr>
          <w:ilvl w:val="0"/>
          <w:numId w:val="100"/>
        </w:numPr>
        <w:rPr>
          <w:rFonts w:ascii="Calibri" w:hAnsi="Calibri" w:cs="Calibri"/>
        </w:rPr>
      </w:pPr>
      <w:r w:rsidRPr="00743B1F">
        <w:rPr>
          <w:rFonts w:ascii="Calibri" w:hAnsi="Calibri" w:cs="Calibri"/>
          <w:b/>
          <w:bCs/>
        </w:rPr>
        <w:t>Clause 5(F)</w:t>
      </w:r>
      <w:r w:rsidRPr="00743B1F">
        <w:rPr>
          <w:rFonts w:ascii="Calibri" w:hAnsi="Calibri" w:cs="Calibri"/>
        </w:rPr>
        <w:t>: Retention Amount</w:t>
      </w:r>
      <w:r>
        <w:rPr>
          <w:rFonts w:ascii="Calibri" w:hAnsi="Calibri" w:cs="Calibri"/>
        </w:rPr>
        <w:t xml:space="preserve"> </w:t>
      </w:r>
      <w:r w:rsidRPr="00743B1F">
        <w:rPr>
          <w:rFonts w:ascii="Calibri" w:hAnsi="Calibri" w:cs="Calibri"/>
        </w:rPr>
        <w:t>Please confirm:</w:t>
      </w:r>
    </w:p>
    <w:p w14:paraId="699E9040" w14:textId="77777777" w:rsidR="00743B1F" w:rsidRPr="000F0E67" w:rsidRDefault="00743B1F" w:rsidP="00743B1F">
      <w:pPr>
        <w:numPr>
          <w:ilvl w:val="0"/>
          <w:numId w:val="93"/>
        </w:numPr>
        <w:rPr>
          <w:rFonts w:ascii="Calibri" w:hAnsi="Calibri" w:cs="Calibri"/>
        </w:rPr>
      </w:pPr>
      <w:r w:rsidRPr="000F0E67">
        <w:rPr>
          <w:rFonts w:ascii="Calibri" w:hAnsi="Calibri" w:cs="Calibri"/>
        </w:rPr>
        <w:t>the circumstances in which a Retention Amount may be withheld;</w:t>
      </w:r>
    </w:p>
    <w:p w14:paraId="0310C92F" w14:textId="3576474E" w:rsidR="002E7041" w:rsidRPr="005A00DF" w:rsidRDefault="00CE7BE5">
      <w:pPr>
        <w:pStyle w:val="ListParagraph"/>
      </w:pPr>
      <w:r w:rsidRPr="005A00DF">
        <w:rPr>
          <w:b/>
          <w:sz w:val="20"/>
        </w:rPr>
        <w:t xml:space="preserve"> The retention provisions are as set out in Appendix 5, Schedule A, clause 5(F). Any retention would relate to identified dissatisfaction with particular Services and reasons would be notified to the Contractor. Retained sums would be released following replacement, remedy or satisfactory resolution of the relevant concerns.</w:t>
      </w:r>
    </w:p>
    <w:p w14:paraId="3602D310" w14:textId="77777777" w:rsidR="00743B1F" w:rsidRPr="000F0E67" w:rsidRDefault="00743B1F" w:rsidP="00743B1F">
      <w:pPr>
        <w:numPr>
          <w:ilvl w:val="0"/>
          <w:numId w:val="94"/>
        </w:numPr>
        <w:rPr>
          <w:rFonts w:ascii="Calibri" w:hAnsi="Calibri" w:cs="Calibri"/>
        </w:rPr>
      </w:pPr>
      <w:r w:rsidRPr="000F0E67">
        <w:rPr>
          <w:rFonts w:ascii="Calibri" w:hAnsi="Calibri" w:cs="Calibri"/>
        </w:rPr>
        <w:t>the process for resolving the relevant performance concerns; and</w:t>
      </w:r>
    </w:p>
    <w:p w14:paraId="74FD46BE" w14:textId="77777777" w:rsidR="00FA3D22" w:rsidRPr="00FA3D22" w:rsidRDefault="00CE7BE5" w:rsidP="007144F7">
      <w:pPr>
        <w:pStyle w:val="ListParagraph"/>
        <w:rPr>
          <w:b/>
          <w:sz w:val="20"/>
        </w:rPr>
      </w:pPr>
      <w:r w:rsidRPr="00FA3D22">
        <w:rPr>
          <w:b/>
          <w:sz w:val="20"/>
        </w:rPr>
        <w:t xml:space="preserve"> </w:t>
      </w:r>
      <w:r w:rsidR="00E13073" w:rsidRPr="00FA3D22">
        <w:rPr>
          <w:b/>
          <w:sz w:val="20"/>
        </w:rPr>
        <w:t>Any performance concerns will be managed through the contract governance arrangements. DCDE will notify the Contractor of the concern, provide an opportunity to investigate and propose corrective actions, and agree an appropriate remediation plan and timeframe. Progress will be monitored through the agreed contract management process.</w:t>
      </w:r>
    </w:p>
    <w:p w14:paraId="323EF279" w14:textId="77777777" w:rsidR="00FA3D22" w:rsidRPr="00387913" w:rsidRDefault="00FA3D22" w:rsidP="007144F7">
      <w:pPr>
        <w:pStyle w:val="ListParagraph"/>
        <w:rPr>
          <w:b/>
          <w:color w:val="000000" w:themeColor="text1"/>
          <w:sz w:val="20"/>
        </w:rPr>
      </w:pPr>
    </w:p>
    <w:p w14:paraId="1A81E5F4" w14:textId="27C671F8" w:rsidR="00743B1F" w:rsidRPr="000F0E67" w:rsidRDefault="00743B1F" w:rsidP="00FA3D22">
      <w:pPr>
        <w:pStyle w:val="ListParagraph"/>
        <w:numPr>
          <w:ilvl w:val="2"/>
          <w:numId w:val="103"/>
        </w:numPr>
        <w:rPr>
          <w:rFonts w:ascii="Calibri" w:hAnsi="Calibri" w:cs="Calibri"/>
        </w:rPr>
      </w:pPr>
      <w:r w:rsidRPr="000F0E67">
        <w:rPr>
          <w:rFonts w:ascii="Calibri" w:hAnsi="Calibri" w:cs="Calibri"/>
        </w:rPr>
        <w:t>when retained sums will be released following satisfactory resolution.</w:t>
      </w:r>
    </w:p>
    <w:p w14:paraId="045F87A1" w14:textId="59F0F17B" w:rsidR="002E7041" w:rsidRDefault="00CE7BE5">
      <w:pPr>
        <w:pStyle w:val="ListParagraph"/>
        <w:rPr>
          <w:b/>
          <w:sz w:val="20"/>
        </w:rPr>
      </w:pPr>
      <w:r w:rsidRPr="00FA3D22">
        <w:rPr>
          <w:b/>
          <w:sz w:val="20"/>
        </w:rPr>
        <w:t xml:space="preserve"> The retention provisions are as set out in Appendix 5, Schedule A, clause 5(F). Any retention would relate to identified dissatisfaction with particular Services and reasons would be notified to the Contractor. Retained sums would be released following replacement, remedy or satisfactory resolution of the relevant concerns.</w:t>
      </w:r>
    </w:p>
    <w:p w14:paraId="53311281" w14:textId="77777777" w:rsidR="00BD2B2E" w:rsidRDefault="00BD2B2E">
      <w:pPr>
        <w:pStyle w:val="ListParagraph"/>
      </w:pPr>
    </w:p>
    <w:p w14:paraId="5FE2D1A0" w14:textId="77777777" w:rsidR="00743B1F" w:rsidRPr="00743B1F" w:rsidRDefault="00743B1F" w:rsidP="00743B1F">
      <w:pPr>
        <w:pStyle w:val="ListParagraph"/>
        <w:rPr>
          <w:rFonts w:ascii="Calibri" w:hAnsi="Calibri" w:cs="Calibri"/>
        </w:rPr>
      </w:pPr>
    </w:p>
    <w:p w14:paraId="1B90D26D" w14:textId="77777777" w:rsidR="00743B1F" w:rsidRPr="00743B1F" w:rsidRDefault="00743B1F" w:rsidP="00743B1F">
      <w:pPr>
        <w:pStyle w:val="ListParagraph"/>
        <w:numPr>
          <w:ilvl w:val="0"/>
          <w:numId w:val="100"/>
        </w:numPr>
        <w:rPr>
          <w:rFonts w:ascii="Calibri" w:hAnsi="Calibri" w:cs="Calibri"/>
        </w:rPr>
      </w:pPr>
      <w:r w:rsidRPr="00743B1F">
        <w:rPr>
          <w:rFonts w:ascii="Calibri" w:hAnsi="Calibri" w:cs="Calibri"/>
          <w:b/>
          <w:bCs/>
        </w:rPr>
        <w:t>Clause 9(A): Termination for Convenience</w:t>
      </w:r>
    </w:p>
    <w:p w14:paraId="1DE55746" w14:textId="77777777" w:rsidR="00743B1F" w:rsidRDefault="00743B1F" w:rsidP="00743B1F">
      <w:pPr>
        <w:ind w:left="360"/>
        <w:rPr>
          <w:rFonts w:ascii="Calibri" w:hAnsi="Calibri" w:cs="Calibri"/>
        </w:rPr>
      </w:pPr>
      <w:r w:rsidRPr="00743B1F">
        <w:rPr>
          <w:rFonts w:ascii="Calibri" w:hAnsi="Calibri" w:cs="Calibri"/>
        </w:rPr>
        <w:t>Please confirm the arrangements that will apply following termination for convenience by the Client in respect of:</w:t>
      </w:r>
    </w:p>
    <w:p w14:paraId="16CBF7AC" w14:textId="77777777" w:rsidR="00743B1F" w:rsidRPr="000F0E67" w:rsidRDefault="00743B1F" w:rsidP="00743B1F">
      <w:pPr>
        <w:numPr>
          <w:ilvl w:val="0"/>
          <w:numId w:val="96"/>
        </w:numPr>
        <w:rPr>
          <w:rFonts w:ascii="Calibri" w:hAnsi="Calibri" w:cs="Calibri"/>
        </w:rPr>
      </w:pPr>
      <w:r w:rsidRPr="000F0E67">
        <w:rPr>
          <w:rFonts w:ascii="Calibri" w:hAnsi="Calibri" w:cs="Calibri"/>
        </w:rPr>
        <w:t>completed Services;</w:t>
      </w:r>
    </w:p>
    <w:p w14:paraId="29E93E55" w14:textId="0B6CD3A7" w:rsidR="002E7041" w:rsidRDefault="00CE7BE5">
      <w:pPr>
        <w:pStyle w:val="ListParagraph"/>
      </w:pPr>
      <w:r w:rsidRPr="00387913">
        <w:rPr>
          <w:b/>
          <w:color w:val="000000" w:themeColor="text1"/>
          <w:sz w:val="20"/>
        </w:rPr>
        <w:t xml:space="preserve"> </w:t>
      </w:r>
      <w:r w:rsidR="007430A2" w:rsidRPr="007430A2">
        <w:t xml:space="preserve"> </w:t>
      </w:r>
      <w:r w:rsidR="007430A2" w:rsidRPr="00FA3D22">
        <w:rPr>
          <w:b/>
          <w:sz w:val="20"/>
        </w:rPr>
        <w:t>In the event of termination for convenience, the Contractor will be paid for Services satisfactorily completed up to the termination date in accordance with the contract. The parties will cooperate to ensure an orderly transition, including knowledge transfer and handover of relevant documentation, deliverables and information.</w:t>
      </w:r>
    </w:p>
    <w:p w14:paraId="7408F9E0" w14:textId="77777777" w:rsidR="00743B1F" w:rsidRPr="000F0E67" w:rsidRDefault="00743B1F" w:rsidP="00743B1F">
      <w:pPr>
        <w:numPr>
          <w:ilvl w:val="0"/>
          <w:numId w:val="97"/>
        </w:numPr>
        <w:rPr>
          <w:rFonts w:ascii="Calibri" w:hAnsi="Calibri" w:cs="Calibri"/>
        </w:rPr>
      </w:pPr>
      <w:r w:rsidRPr="000F0E67">
        <w:rPr>
          <w:rFonts w:ascii="Calibri" w:hAnsi="Calibri" w:cs="Calibri"/>
        </w:rPr>
        <w:t>work in progress;</w:t>
      </w:r>
    </w:p>
    <w:p w14:paraId="1766ECA8" w14:textId="69006A95" w:rsidR="002E7041" w:rsidRPr="00FA3D22" w:rsidRDefault="00CE7BE5">
      <w:pPr>
        <w:pStyle w:val="ListParagraph"/>
      </w:pPr>
      <w:r w:rsidRPr="00FA3D22">
        <w:rPr>
          <w:b/>
          <w:sz w:val="20"/>
        </w:rPr>
        <w:t xml:space="preserve"> </w:t>
      </w:r>
      <w:r w:rsidR="007430A2" w:rsidRPr="00FA3D22">
        <w:t xml:space="preserve"> </w:t>
      </w:r>
      <w:r w:rsidR="007430A2" w:rsidRPr="00FA3D22">
        <w:rPr>
          <w:b/>
          <w:sz w:val="20"/>
        </w:rPr>
        <w:t>In the event of termination for convenience, any work in progress will be reviewed with the Contractor and managed in accordance with the contract. DCDE may accept completed elements, require an orderly wind-down of activities, and request appropriate handover, knowledge transfer and transition support for partially completed work.</w:t>
      </w:r>
    </w:p>
    <w:p w14:paraId="62919A42" w14:textId="77777777" w:rsidR="00743B1F" w:rsidRPr="000F0E67" w:rsidRDefault="00743B1F" w:rsidP="00743B1F">
      <w:pPr>
        <w:numPr>
          <w:ilvl w:val="0"/>
          <w:numId w:val="98"/>
        </w:numPr>
        <w:rPr>
          <w:rFonts w:ascii="Calibri" w:hAnsi="Calibri" w:cs="Calibri"/>
        </w:rPr>
      </w:pPr>
      <w:r w:rsidRPr="000F0E67">
        <w:rPr>
          <w:rFonts w:ascii="Calibri" w:hAnsi="Calibri" w:cs="Calibri"/>
        </w:rPr>
        <w:t>committed third-party costs; and</w:t>
      </w:r>
    </w:p>
    <w:p w14:paraId="78B01DF4" w14:textId="5005C9D1" w:rsidR="007430A2" w:rsidRPr="00FA3D22" w:rsidRDefault="00CE7BE5" w:rsidP="007430A2">
      <w:pPr>
        <w:pStyle w:val="ListParagraph"/>
        <w:rPr>
          <w:b/>
          <w:sz w:val="20"/>
        </w:rPr>
      </w:pPr>
      <w:r w:rsidRPr="00FA3D22">
        <w:rPr>
          <w:b/>
          <w:sz w:val="20"/>
        </w:rPr>
        <w:t xml:space="preserve"> </w:t>
      </w:r>
      <w:r w:rsidR="007430A2" w:rsidRPr="00FA3D22">
        <w:rPr>
          <w:rFonts w:ascii="Segoe UI" w:eastAsia="Times New Roman" w:hAnsi="Segoe UI" w:cs="Segoe UI"/>
          <w:kern w:val="0"/>
          <w:sz w:val="21"/>
          <w:szCs w:val="21"/>
          <w:lang w:eastAsia="en-IE"/>
          <w14:ligatures w14:val="none"/>
        </w:rPr>
        <w:t xml:space="preserve"> </w:t>
      </w:r>
      <w:r w:rsidR="007430A2" w:rsidRPr="00FA3D22">
        <w:rPr>
          <w:b/>
          <w:sz w:val="20"/>
        </w:rPr>
        <w:t xml:space="preserve">In the event of termination for convenience, committed third-party costs will be managed in accordance with the contract. DCDE will consider payment of reasonable and properly </w:t>
      </w:r>
      <w:r w:rsidR="007430A2" w:rsidRPr="00FA3D22">
        <w:rPr>
          <w:b/>
          <w:sz w:val="20"/>
        </w:rPr>
        <w:lastRenderedPageBreak/>
        <w:t>incurred third-party costs that cannot be avoided, provided they are demonstrably attributable to the Services and supported by appropriate evidence and approvals.</w:t>
      </w:r>
    </w:p>
    <w:p w14:paraId="06D7BCC8" w14:textId="177A09F6" w:rsidR="002E7041" w:rsidRDefault="002E7041">
      <w:pPr>
        <w:pStyle w:val="ListParagraph"/>
      </w:pPr>
    </w:p>
    <w:p w14:paraId="1D72003A" w14:textId="77777777" w:rsidR="00743B1F" w:rsidRPr="000F0E67" w:rsidRDefault="00743B1F" w:rsidP="00743B1F">
      <w:pPr>
        <w:numPr>
          <w:ilvl w:val="0"/>
          <w:numId w:val="99"/>
        </w:numPr>
        <w:rPr>
          <w:rFonts w:ascii="Calibri" w:hAnsi="Calibri" w:cs="Calibri"/>
        </w:rPr>
      </w:pPr>
      <w:r w:rsidRPr="000F0E67">
        <w:rPr>
          <w:rFonts w:ascii="Calibri" w:hAnsi="Calibri" w:cs="Calibri"/>
        </w:rPr>
        <w:t>reasonable transition and exit activities.</w:t>
      </w:r>
    </w:p>
    <w:p w14:paraId="397F740F" w14:textId="091C4227" w:rsidR="002E7041" w:rsidRDefault="00CE7BE5">
      <w:pPr>
        <w:pStyle w:val="ListParagraph"/>
      </w:pPr>
      <w:r w:rsidRPr="00387913">
        <w:rPr>
          <w:b/>
          <w:color w:val="000000" w:themeColor="text1"/>
          <w:sz w:val="20"/>
        </w:rPr>
        <w:t xml:space="preserve"> </w:t>
      </w:r>
      <w:r w:rsidR="007430A2" w:rsidRPr="007430A2">
        <w:t xml:space="preserve"> </w:t>
      </w:r>
      <w:r w:rsidR="007430A2" w:rsidRPr="00FA3D22">
        <w:rPr>
          <w:b/>
          <w:sz w:val="20"/>
        </w:rPr>
        <w:t>Following any termination for convenience, the successful tenderer will be required to provide reasonable transition and exit assistance, including knowledge transfer, handover of documentation, return or deletion of DCDE data, and cooperation with any replacement provider. Such activities will be managed in accordance with the Services Contract.</w:t>
      </w:r>
    </w:p>
    <w:p w14:paraId="699425C2" w14:textId="77777777" w:rsidR="00743B1F" w:rsidRPr="00743B1F" w:rsidRDefault="00743B1F" w:rsidP="00743B1F">
      <w:pPr>
        <w:ind w:left="360"/>
        <w:rPr>
          <w:rFonts w:ascii="Calibri" w:hAnsi="Calibri" w:cs="Calibri"/>
        </w:rPr>
      </w:pPr>
    </w:p>
    <w:p w14:paraId="73797A29" w14:textId="77777777" w:rsidR="00743B1F" w:rsidRDefault="00743B1F" w:rsidP="00743B1F">
      <w:pPr>
        <w:pStyle w:val="ListParagraph"/>
        <w:numPr>
          <w:ilvl w:val="0"/>
          <w:numId w:val="100"/>
        </w:numPr>
        <w:rPr>
          <w:rFonts w:ascii="Calibri" w:hAnsi="Calibri" w:cs="Calibri"/>
        </w:rPr>
      </w:pPr>
      <w:r w:rsidRPr="00743B1F">
        <w:rPr>
          <w:rFonts w:ascii="Calibri" w:hAnsi="Calibri" w:cs="Calibri"/>
          <w:b/>
          <w:bCs/>
        </w:rPr>
        <w:t>Clause 10(C): Audit Rights</w:t>
      </w:r>
      <w:r w:rsidRPr="00743B1F">
        <w:rPr>
          <w:rFonts w:ascii="Calibri" w:hAnsi="Calibri" w:cs="Calibri"/>
        </w:rPr>
        <w:t> - Please confirm that any audit or inspection rights will be limited to information reasonably required to verify compliance with the Agreement and will not extend to confidential information relating to other customers.</w:t>
      </w:r>
    </w:p>
    <w:p w14:paraId="3783374B" w14:textId="77777777" w:rsidR="00BD2B2E" w:rsidRPr="00743B1F" w:rsidRDefault="00BD2B2E" w:rsidP="00BD2B2E">
      <w:pPr>
        <w:pStyle w:val="ListParagraph"/>
        <w:rPr>
          <w:rFonts w:ascii="Calibri" w:hAnsi="Calibri" w:cs="Calibri"/>
        </w:rPr>
      </w:pPr>
    </w:p>
    <w:p w14:paraId="16506C4F" w14:textId="1C2282E0" w:rsidR="002E7041" w:rsidRDefault="00CE7BE5">
      <w:pPr>
        <w:pStyle w:val="ListParagraph"/>
        <w:rPr>
          <w:b/>
          <w:sz w:val="20"/>
        </w:rPr>
      </w:pPr>
      <w:r w:rsidRPr="00387913">
        <w:rPr>
          <w:b/>
          <w:color w:val="000000" w:themeColor="text1"/>
          <w:sz w:val="20"/>
        </w:rPr>
        <w:t xml:space="preserve"> </w:t>
      </w:r>
      <w:r w:rsidRPr="00B82289">
        <w:rPr>
          <w:b/>
          <w:sz w:val="20"/>
        </w:rPr>
        <w:t>Audit and inspection rights are as set out in the Services Contract, including clause 10(C) and the data protection and security provisions. DCDE expects audit activity to be limited to information reasonably required to verify compliance with the Agreement and applicable law, while respecting appropriate confidentiality obligations.</w:t>
      </w:r>
    </w:p>
    <w:p w14:paraId="0614F992" w14:textId="77777777" w:rsidR="00BD2B2E" w:rsidRDefault="00BD2B2E">
      <w:pPr>
        <w:pStyle w:val="ListParagraph"/>
        <w:rPr>
          <w:b/>
          <w:sz w:val="20"/>
        </w:rPr>
      </w:pPr>
    </w:p>
    <w:p w14:paraId="238FEC22" w14:textId="77777777" w:rsidR="00BD2B2E" w:rsidRDefault="00BD2B2E">
      <w:pPr>
        <w:pStyle w:val="ListParagraph"/>
      </w:pPr>
    </w:p>
    <w:p w14:paraId="2657DE74" w14:textId="77777777" w:rsidR="00743B1F" w:rsidRDefault="00743B1F" w:rsidP="00743B1F">
      <w:pPr>
        <w:pStyle w:val="ListParagraph"/>
        <w:numPr>
          <w:ilvl w:val="0"/>
          <w:numId w:val="100"/>
        </w:numPr>
        <w:rPr>
          <w:rFonts w:ascii="Calibri" w:hAnsi="Calibri" w:cs="Calibri"/>
        </w:rPr>
      </w:pPr>
      <w:r w:rsidRPr="006D2A81">
        <w:rPr>
          <w:rFonts w:ascii="Calibri" w:hAnsi="Calibri" w:cs="Calibri"/>
          <w:b/>
          <w:bCs/>
        </w:rPr>
        <w:t>Schedule B: Services Specification </w:t>
      </w:r>
      <w:r w:rsidRPr="006D2A81">
        <w:rPr>
          <w:rFonts w:ascii="Calibri" w:hAnsi="Calibri" w:cs="Calibri"/>
        </w:rPr>
        <w:t>- Please confirm that Schedule B will comprise the final agreed specification, including the successful Tenderer's submitted solution, before Contract execution.</w:t>
      </w:r>
    </w:p>
    <w:p w14:paraId="599F380B" w14:textId="77777777" w:rsidR="00BD2B2E" w:rsidRPr="006D2A81" w:rsidRDefault="00BD2B2E" w:rsidP="00BD2B2E">
      <w:pPr>
        <w:pStyle w:val="ListParagraph"/>
        <w:rPr>
          <w:rFonts w:ascii="Calibri" w:hAnsi="Calibri" w:cs="Calibri"/>
        </w:rPr>
      </w:pPr>
    </w:p>
    <w:p w14:paraId="13FDD41F" w14:textId="73038165" w:rsidR="002E7041" w:rsidRDefault="00CE7BE5">
      <w:pPr>
        <w:pStyle w:val="ListParagraph"/>
        <w:rPr>
          <w:b/>
          <w:sz w:val="20"/>
        </w:rPr>
      </w:pPr>
      <w:r w:rsidRPr="00387913">
        <w:rPr>
          <w:b/>
          <w:color w:val="000000" w:themeColor="text1"/>
          <w:sz w:val="20"/>
        </w:rPr>
        <w:t xml:space="preserve"> </w:t>
      </w:r>
      <w:r w:rsidRPr="00B82289">
        <w:rPr>
          <w:b/>
          <w:sz w:val="20"/>
        </w:rPr>
        <w:t>Yes. Schedule B will be completed at contract stage to reflect the final agreed specification, including the RFT requirements, relevant clarifications and the successful Tenderer’s accepted solution.</w:t>
      </w:r>
    </w:p>
    <w:p w14:paraId="4AF06408" w14:textId="77777777" w:rsidR="00BD2B2E" w:rsidRDefault="00BD2B2E">
      <w:pPr>
        <w:pStyle w:val="ListParagraph"/>
        <w:rPr>
          <w:b/>
          <w:sz w:val="20"/>
        </w:rPr>
      </w:pPr>
    </w:p>
    <w:p w14:paraId="720B8C24" w14:textId="77777777" w:rsidR="00BD2B2E" w:rsidRDefault="00BD2B2E">
      <w:pPr>
        <w:pStyle w:val="ListParagraph"/>
      </w:pPr>
    </w:p>
    <w:p w14:paraId="0BBF63C9" w14:textId="77777777" w:rsidR="006D2A81" w:rsidRPr="006D2A81" w:rsidRDefault="006D2A81" w:rsidP="006D2A81">
      <w:pPr>
        <w:pStyle w:val="ListParagraph"/>
        <w:numPr>
          <w:ilvl w:val="0"/>
          <w:numId w:val="100"/>
        </w:numPr>
        <w:shd w:val="clear" w:color="auto" w:fill="FFFFFF"/>
        <w:spacing w:after="100" w:afterAutospacing="1" w:line="240" w:lineRule="auto"/>
        <w:rPr>
          <w:rFonts w:ascii="Calibri" w:eastAsia="Times New Roman" w:hAnsi="Calibri" w:cs="Calibri"/>
          <w:color w:val="00241A"/>
          <w:kern w:val="0"/>
          <w:lang w:eastAsia="en-IE"/>
          <w14:ligatures w14:val="none"/>
        </w:rPr>
      </w:pPr>
      <w:r w:rsidRPr="006D2A81">
        <w:rPr>
          <w:rFonts w:ascii="Calibri" w:eastAsia="Times New Roman" w:hAnsi="Calibri" w:cs="Calibri"/>
          <w:b/>
          <w:bCs/>
          <w:color w:val="00241A"/>
          <w:kern w:val="0"/>
          <w:lang w:eastAsia="en-IE"/>
          <w14:ligatures w14:val="none"/>
        </w:rPr>
        <w:t>Pricing Schedule – missing pricing lines.</w:t>
      </w:r>
    </w:p>
    <w:p w14:paraId="4863C42D" w14:textId="77777777" w:rsidR="006D2A81" w:rsidRDefault="006D2A81" w:rsidP="00E302FC">
      <w:pPr>
        <w:pStyle w:val="ListParagraph"/>
        <w:shd w:val="clear" w:color="auto" w:fill="FFFFFF"/>
        <w:spacing w:after="100" w:afterAutospacing="1" w:line="240" w:lineRule="auto"/>
        <w:rPr>
          <w:rFonts w:ascii="Calibri" w:eastAsia="Times New Roman" w:hAnsi="Calibri" w:cs="Calibri"/>
          <w:kern w:val="0"/>
          <w:lang w:eastAsia="en-IE"/>
          <w14:ligatures w14:val="none"/>
        </w:rPr>
      </w:pPr>
      <w:r w:rsidRPr="006D2A81">
        <w:rPr>
          <w:rFonts w:ascii="Calibri" w:eastAsia="Times New Roman" w:hAnsi="Calibri" w:cs="Calibri"/>
          <w:color w:val="00241A"/>
          <w:kern w:val="0"/>
          <w:lang w:eastAsia="en-IE"/>
          <w14:ligatures w14:val="none"/>
        </w:rPr>
        <w:t xml:space="preserve">The Pricing Schedule requires tenderers to separately price optional 24x7 monitoring, additional drawdown days/rates and exit/transition costs. However, the pricing table does not appear to contain dedicated lines for these elements and proceeds directly to the evaluated Total after “Threat hunting, MDR/EDR integration and incident response retainer capability”. Please confirm how tenderers should present these additional pricing elements, whether additional rows may be inserted into the Pricing Schedule, and which </w:t>
      </w:r>
      <w:r w:rsidRPr="00B82289">
        <w:rPr>
          <w:rFonts w:ascii="Calibri" w:eastAsia="Times New Roman" w:hAnsi="Calibri" w:cs="Calibri"/>
          <w:kern w:val="0"/>
          <w:lang w:eastAsia="en-IE"/>
          <w14:ligatures w14:val="none"/>
        </w:rPr>
        <w:t>elements should be included within the Total used for price evaluation.</w:t>
      </w:r>
    </w:p>
    <w:p w14:paraId="30A7560A" w14:textId="77777777" w:rsidR="00BD2B2E" w:rsidRPr="00B82289" w:rsidRDefault="00BD2B2E" w:rsidP="00E302FC">
      <w:pPr>
        <w:pStyle w:val="ListParagraph"/>
        <w:shd w:val="clear" w:color="auto" w:fill="FFFFFF"/>
        <w:spacing w:after="100" w:afterAutospacing="1" w:line="240" w:lineRule="auto"/>
        <w:rPr>
          <w:rFonts w:ascii="Calibri" w:eastAsia="Times New Roman" w:hAnsi="Calibri" w:cs="Calibri"/>
          <w:kern w:val="0"/>
          <w:lang w:eastAsia="en-IE"/>
          <w14:ligatures w14:val="none"/>
        </w:rPr>
      </w:pPr>
    </w:p>
    <w:p w14:paraId="3669C7FE" w14:textId="6887FE78" w:rsidR="002E7041" w:rsidRDefault="00CE7BE5">
      <w:pPr>
        <w:pStyle w:val="ListParagraph"/>
        <w:rPr>
          <w:b/>
          <w:sz w:val="20"/>
        </w:rPr>
      </w:pPr>
      <w:r w:rsidRPr="00B82289">
        <w:rPr>
          <w:b/>
          <w:sz w:val="20"/>
        </w:rPr>
        <w:t xml:space="preserve"> Tenderers should provide clear pricing assumptions and separate the items identified in Appendix 2, including optional 24x7 monitoring, additional drawdown rates and exit/transition costs. The evaluated Total should reflect the maximum four-year term and include the required baseline services. Optional services should be clearly identified separately so DCDE can assess value for money and decide whether to award or activate them.</w:t>
      </w:r>
    </w:p>
    <w:p w14:paraId="33392485" w14:textId="77777777" w:rsidR="00B82289" w:rsidRDefault="00B82289">
      <w:pPr>
        <w:pStyle w:val="ListParagraph"/>
      </w:pPr>
    </w:p>
    <w:p w14:paraId="77E4B4B4" w14:textId="77777777" w:rsidR="00BD2B2E" w:rsidRPr="00B82289" w:rsidRDefault="00BD2B2E">
      <w:pPr>
        <w:pStyle w:val="ListParagraph"/>
      </w:pPr>
    </w:p>
    <w:p w14:paraId="132A265B" w14:textId="77777777" w:rsidR="006D2A81" w:rsidRPr="006D2A81" w:rsidRDefault="006D2A81" w:rsidP="006D2A81">
      <w:pPr>
        <w:pStyle w:val="ListParagraph"/>
        <w:numPr>
          <w:ilvl w:val="0"/>
          <w:numId w:val="100"/>
        </w:numPr>
        <w:shd w:val="clear" w:color="auto" w:fill="FFFFFF"/>
        <w:spacing w:after="100" w:afterAutospacing="1" w:line="240" w:lineRule="auto"/>
        <w:rPr>
          <w:rFonts w:ascii="Calibri" w:eastAsia="Times New Roman" w:hAnsi="Calibri" w:cs="Calibri"/>
          <w:color w:val="00241A"/>
          <w:kern w:val="0"/>
          <w:lang w:eastAsia="en-IE"/>
          <w14:ligatures w14:val="none"/>
        </w:rPr>
      </w:pPr>
      <w:r w:rsidRPr="006D2A81">
        <w:rPr>
          <w:rFonts w:ascii="Calibri" w:eastAsia="Times New Roman" w:hAnsi="Calibri" w:cs="Calibri"/>
          <w:b/>
          <w:bCs/>
          <w:color w:val="00241A"/>
          <w:kern w:val="0"/>
          <w:lang w:eastAsia="en-IE"/>
          <w14:ligatures w14:val="none"/>
        </w:rPr>
        <w:lastRenderedPageBreak/>
        <w:t>€1.4m maximum contract value and treatment of optional services.</w:t>
      </w:r>
    </w:p>
    <w:p w14:paraId="530E24AF" w14:textId="77777777" w:rsidR="006D2A81" w:rsidRDefault="006D2A81" w:rsidP="00E302FC">
      <w:pPr>
        <w:pStyle w:val="ListParagraph"/>
        <w:shd w:val="clear" w:color="auto" w:fill="FFFFFF"/>
        <w:spacing w:after="100" w:afterAutospacing="1" w:line="240" w:lineRule="auto"/>
        <w:rPr>
          <w:rFonts w:ascii="Calibri" w:eastAsia="Times New Roman" w:hAnsi="Calibri" w:cs="Calibri"/>
          <w:color w:val="00241A"/>
          <w:kern w:val="0"/>
          <w:lang w:eastAsia="en-IE"/>
          <w14:ligatures w14:val="none"/>
        </w:rPr>
      </w:pPr>
      <w:r w:rsidRPr="006D2A81">
        <w:rPr>
          <w:rFonts w:ascii="Calibri" w:eastAsia="Times New Roman" w:hAnsi="Calibri" w:cs="Calibri"/>
          <w:color w:val="00241A"/>
          <w:kern w:val="0"/>
          <w:lang w:eastAsia="en-IE"/>
          <w14:ligatures w14:val="none"/>
        </w:rPr>
        <w:t>Please confirm whether the stated €1,400,000 excluding VAT maximum represents an absolute maximum contract value over the full four-year term. Please also confirm whether optional 24x7 monitoring, additional drawdown services and exit/transition costs are to be included within both the evaluated four-year Total and the €1,400,000 maximum. The documents state that the four-year evaluated cost is capped at €1.4m while also requiring optional and drawdown services to be separately priced.</w:t>
      </w:r>
    </w:p>
    <w:p w14:paraId="2F4AFF96" w14:textId="77777777" w:rsidR="00BD2B2E" w:rsidRPr="006D2A81" w:rsidRDefault="00BD2B2E" w:rsidP="00E302FC">
      <w:pPr>
        <w:pStyle w:val="ListParagraph"/>
        <w:shd w:val="clear" w:color="auto" w:fill="FFFFFF"/>
        <w:spacing w:after="100" w:afterAutospacing="1" w:line="240" w:lineRule="auto"/>
        <w:rPr>
          <w:rFonts w:ascii="Calibri" w:eastAsia="Times New Roman" w:hAnsi="Calibri" w:cs="Calibri"/>
          <w:color w:val="00241A"/>
          <w:kern w:val="0"/>
          <w:lang w:eastAsia="en-IE"/>
          <w14:ligatures w14:val="none"/>
        </w:rPr>
      </w:pPr>
    </w:p>
    <w:p w14:paraId="60A22D2E" w14:textId="443A2852" w:rsidR="002E7041" w:rsidRDefault="00CE7BE5">
      <w:pPr>
        <w:pStyle w:val="ListParagraph"/>
        <w:rPr>
          <w:b/>
          <w:sz w:val="20"/>
        </w:rPr>
      </w:pPr>
      <w:r w:rsidRPr="00B82289">
        <w:rPr>
          <w:b/>
          <w:sz w:val="20"/>
        </w:rPr>
        <w:t xml:space="preserve"> </w:t>
      </w:r>
      <w:r w:rsidR="00CD51CB" w:rsidRPr="00B82289">
        <w:t xml:space="preserve"> </w:t>
      </w:r>
      <w:r w:rsidR="00CD51CB" w:rsidRPr="00B82289">
        <w:rPr>
          <w:b/>
          <w:sz w:val="20"/>
        </w:rPr>
        <w:t xml:space="preserve">Yes. The €1.4 million (excl. VAT) represents the maximum contract value over the full four-year term. Optional 24x7 monitoring, additional drawdown services and any exit/transition costs should be separately identified in pricing and, where included in the tendered offering, are expected to form part of the overall contract value. </w:t>
      </w:r>
    </w:p>
    <w:p w14:paraId="72959733" w14:textId="77777777" w:rsidR="00BD2B2E" w:rsidRDefault="00BD2B2E">
      <w:pPr>
        <w:pStyle w:val="ListParagraph"/>
        <w:rPr>
          <w:b/>
          <w:sz w:val="20"/>
        </w:rPr>
      </w:pPr>
    </w:p>
    <w:p w14:paraId="4C8BC9E3" w14:textId="77777777" w:rsidR="00B82289" w:rsidRPr="00B82289" w:rsidRDefault="00B82289">
      <w:pPr>
        <w:pStyle w:val="ListParagraph"/>
      </w:pPr>
    </w:p>
    <w:p w14:paraId="48AC3539" w14:textId="77777777" w:rsidR="006D2A81" w:rsidRPr="006D2A81" w:rsidRDefault="006D2A81" w:rsidP="006D2A81">
      <w:pPr>
        <w:pStyle w:val="ListParagraph"/>
        <w:numPr>
          <w:ilvl w:val="0"/>
          <w:numId w:val="100"/>
        </w:numPr>
        <w:shd w:val="clear" w:color="auto" w:fill="FFFFFF"/>
        <w:spacing w:after="100" w:afterAutospacing="1" w:line="240" w:lineRule="auto"/>
        <w:rPr>
          <w:rFonts w:ascii="Calibri" w:eastAsia="Times New Roman" w:hAnsi="Calibri" w:cs="Calibri"/>
          <w:color w:val="00241A"/>
          <w:kern w:val="0"/>
          <w:lang w:eastAsia="en-IE"/>
          <w14:ligatures w14:val="none"/>
        </w:rPr>
      </w:pPr>
      <w:r w:rsidRPr="006D2A81">
        <w:rPr>
          <w:rFonts w:ascii="Calibri" w:eastAsia="Times New Roman" w:hAnsi="Calibri" w:cs="Calibri"/>
          <w:b/>
          <w:bCs/>
          <w:color w:val="00241A"/>
          <w:kern w:val="0"/>
          <w:lang w:eastAsia="en-IE"/>
          <w14:ligatures w14:val="none"/>
        </w:rPr>
        <w:t>Out-of-hours emergency alert response.</w:t>
      </w:r>
    </w:p>
    <w:p w14:paraId="11829AAF" w14:textId="77777777" w:rsidR="006D2A81" w:rsidRDefault="006D2A81" w:rsidP="00E302FC">
      <w:pPr>
        <w:pStyle w:val="ListParagraph"/>
        <w:shd w:val="clear" w:color="auto" w:fill="FFFFFF"/>
        <w:spacing w:after="100" w:afterAutospacing="1" w:line="240" w:lineRule="auto"/>
        <w:rPr>
          <w:rFonts w:ascii="Calibri" w:eastAsia="Times New Roman" w:hAnsi="Calibri" w:cs="Calibri"/>
          <w:color w:val="00241A"/>
          <w:kern w:val="0"/>
          <w:lang w:eastAsia="en-IE"/>
          <w14:ligatures w14:val="none"/>
        </w:rPr>
      </w:pPr>
      <w:r w:rsidRPr="006D2A81">
        <w:rPr>
          <w:rFonts w:ascii="Calibri" w:eastAsia="Times New Roman" w:hAnsi="Calibri" w:cs="Calibri"/>
          <w:color w:val="00241A"/>
          <w:kern w:val="0"/>
          <w:lang w:eastAsia="en-IE"/>
          <w14:ligatures w14:val="none"/>
        </w:rPr>
        <w:t>The baseline service requires business-hours monitoring from 09:00–17:30 Monday–Friday, with emergency response to critical alerts and/or suspected active compromise outside these hours, while full 24x7 monitoring is described as an optional enhanced service. Please confirm how the mandatory out-of-hours service is expected to operate: specifically, whether the MSSP is required to continuously monitor the SIEM outside business hours, or whether response will be triggered by automated alerts/notifications generated by DCDE tooling. Please also confirm the required acknowledgement, triage, escalation and response times for critical out-of-hours alerts.</w:t>
      </w:r>
    </w:p>
    <w:p w14:paraId="7ADBB2AF" w14:textId="77777777" w:rsidR="00BD2B2E" w:rsidRPr="006D2A81" w:rsidRDefault="00BD2B2E" w:rsidP="00E302FC">
      <w:pPr>
        <w:pStyle w:val="ListParagraph"/>
        <w:shd w:val="clear" w:color="auto" w:fill="FFFFFF"/>
        <w:spacing w:after="100" w:afterAutospacing="1" w:line="240" w:lineRule="auto"/>
        <w:rPr>
          <w:rFonts w:ascii="Calibri" w:eastAsia="Times New Roman" w:hAnsi="Calibri" w:cs="Calibri"/>
          <w:color w:val="00241A"/>
          <w:kern w:val="0"/>
          <w:lang w:eastAsia="en-IE"/>
          <w14:ligatures w14:val="none"/>
        </w:rPr>
      </w:pPr>
    </w:p>
    <w:p w14:paraId="4B0770C2" w14:textId="0629ACC2" w:rsidR="00A77685" w:rsidRDefault="00CE7BE5" w:rsidP="00A77685">
      <w:pPr>
        <w:pStyle w:val="ListParagraph"/>
        <w:rPr>
          <w:rFonts w:ascii="Calibri" w:hAnsi="Calibri" w:cs="Calibri"/>
          <w:b/>
          <w:bCs/>
        </w:rPr>
      </w:pPr>
      <w:r w:rsidRPr="00387913">
        <w:rPr>
          <w:b/>
          <w:color w:val="000000" w:themeColor="text1"/>
          <w:sz w:val="20"/>
        </w:rPr>
        <w:t xml:space="preserve"> </w:t>
      </w:r>
      <w:r w:rsidR="00A77685" w:rsidRPr="00387913">
        <w:rPr>
          <w:b/>
          <w:color w:val="000000" w:themeColor="text1"/>
          <w:sz w:val="20"/>
        </w:rPr>
        <w:t xml:space="preserve"> </w:t>
      </w:r>
      <w:r w:rsidR="00A77685" w:rsidRPr="00E66B22">
        <w:rPr>
          <w:rFonts w:ascii="Calibri" w:hAnsi="Calibri" w:cs="Calibri"/>
          <w:b/>
          <w:bCs/>
        </w:rPr>
        <w:t>The baseline service must include an incident-response retainer providing on-call access to suitably qualified incident-response personnel for critical alerts or suspected active compromise affecting the in-scope environment. The retainer should cover initial assessment, investigation, evidence preservation, containment advice, response coordination, escalation and post-incident reporting. Tenderers should state the number of response hours included annually, the applicable response times, how the service is accessed and their rates for any additional support above the included allocation. Investigation of critical alerts outside business hours should form part of the baseline emergency response arrangements. As a way of estimating, we have not had the misfortune of needing to implement our current incident response procedures to date, and this will only be needed if a trigger is required. It aligns with our requirements under CER and NIS2.</w:t>
      </w:r>
    </w:p>
    <w:p w14:paraId="126AC0A2" w14:textId="77777777" w:rsidR="00BD2B2E" w:rsidRPr="00E66B22" w:rsidRDefault="00BD2B2E" w:rsidP="00A77685">
      <w:pPr>
        <w:pStyle w:val="ListParagraph"/>
        <w:rPr>
          <w:rFonts w:ascii="Calibri" w:hAnsi="Calibri" w:cs="Calibri"/>
          <w:b/>
          <w:bCs/>
        </w:rPr>
      </w:pPr>
    </w:p>
    <w:p w14:paraId="5A74F048" w14:textId="777DA647" w:rsidR="002E7041" w:rsidRDefault="002E7041">
      <w:pPr>
        <w:pStyle w:val="ListParagraph"/>
      </w:pPr>
    </w:p>
    <w:p w14:paraId="5332E9A6" w14:textId="77777777" w:rsidR="006D2A81" w:rsidRPr="006D2A81" w:rsidRDefault="006D2A81" w:rsidP="006D2A81">
      <w:pPr>
        <w:pStyle w:val="ListParagraph"/>
        <w:numPr>
          <w:ilvl w:val="0"/>
          <w:numId w:val="100"/>
        </w:numPr>
        <w:shd w:val="clear" w:color="auto" w:fill="FFFFFF"/>
        <w:spacing w:after="100" w:afterAutospacing="1" w:line="240" w:lineRule="auto"/>
        <w:rPr>
          <w:rFonts w:ascii="Calibri" w:eastAsia="Times New Roman" w:hAnsi="Calibri" w:cs="Calibri"/>
          <w:color w:val="00241A"/>
          <w:kern w:val="0"/>
          <w:lang w:eastAsia="en-IE"/>
          <w14:ligatures w14:val="none"/>
        </w:rPr>
      </w:pPr>
      <w:r w:rsidRPr="006D2A81">
        <w:rPr>
          <w:rFonts w:ascii="Calibri" w:eastAsia="Times New Roman" w:hAnsi="Calibri" w:cs="Calibri"/>
          <w:b/>
          <w:bCs/>
          <w:color w:val="00241A"/>
          <w:kern w:val="0"/>
          <w:lang w:eastAsia="en-IE"/>
          <w14:ligatures w14:val="none"/>
        </w:rPr>
        <w:t>SIEM platform and estate/telemetry volumes.</w:t>
      </w:r>
    </w:p>
    <w:p w14:paraId="633A69EE" w14:textId="77777777" w:rsidR="006D2A81" w:rsidRPr="006D2A81" w:rsidRDefault="006D2A81" w:rsidP="00E302FC">
      <w:pPr>
        <w:pStyle w:val="ListParagraph"/>
        <w:shd w:val="clear" w:color="auto" w:fill="FFFFFF"/>
        <w:spacing w:after="100" w:afterAutospacing="1" w:line="240" w:lineRule="auto"/>
        <w:rPr>
          <w:rFonts w:ascii="Calibri" w:eastAsia="Times New Roman" w:hAnsi="Calibri" w:cs="Calibri"/>
          <w:color w:val="00241A"/>
          <w:kern w:val="0"/>
          <w:lang w:eastAsia="en-IE"/>
          <w14:ligatures w14:val="none"/>
        </w:rPr>
      </w:pPr>
      <w:r w:rsidRPr="006D2A81">
        <w:rPr>
          <w:rFonts w:ascii="Calibri" w:eastAsia="Times New Roman" w:hAnsi="Calibri" w:cs="Calibri"/>
          <w:color w:val="00241A"/>
          <w:kern w:val="0"/>
          <w:lang w:eastAsia="en-IE"/>
          <w14:ligatures w14:val="none"/>
        </w:rPr>
        <w:t xml:space="preserve">To enable consistent MSSP resource planning and pricing, please confirm the SIEM platform/toolset that will be provided by DCDE and, where available, the approximate current number of log sources, average log ingestion/telemetry volume, number of monitored users/endpoints and principal security technologies currently integrated. Please also provide an indication of the anticipated number or scale of additional line-of-business application log sources expected to be onboarded during the contract. The RFT confirms that DCDE will provide the SIEM and that all line-of-business application logs may be in </w:t>
      </w:r>
      <w:proofErr w:type="gramStart"/>
      <w:r w:rsidRPr="006D2A81">
        <w:rPr>
          <w:rFonts w:ascii="Calibri" w:eastAsia="Times New Roman" w:hAnsi="Calibri" w:cs="Calibri"/>
          <w:color w:val="00241A"/>
          <w:kern w:val="0"/>
          <w:lang w:eastAsia="en-IE"/>
          <w14:ligatures w14:val="none"/>
        </w:rPr>
        <w:t>scope, but</w:t>
      </w:r>
      <w:proofErr w:type="gramEnd"/>
      <w:r w:rsidRPr="006D2A81">
        <w:rPr>
          <w:rFonts w:ascii="Calibri" w:eastAsia="Times New Roman" w:hAnsi="Calibri" w:cs="Calibri"/>
          <w:color w:val="00241A"/>
          <w:kern w:val="0"/>
          <w:lang w:eastAsia="en-IE"/>
          <w14:ligatures w14:val="none"/>
        </w:rPr>
        <w:t xml:space="preserve"> does not quantify the monitoring estate.</w:t>
      </w:r>
    </w:p>
    <w:p w14:paraId="141E222F" w14:textId="323ACAD9" w:rsidR="006D2A81" w:rsidRDefault="00CE7BE5" w:rsidP="007144F7">
      <w:pPr>
        <w:pStyle w:val="ListParagraph"/>
        <w:rPr>
          <w:rFonts w:ascii="Calibri" w:eastAsia="Times New Roman" w:hAnsi="Calibri" w:cs="Calibri"/>
          <w:b/>
          <w:bCs/>
          <w:color w:val="00241A"/>
          <w:kern w:val="0"/>
          <w:lang w:eastAsia="en-IE"/>
          <w14:ligatures w14:val="none"/>
        </w:rPr>
      </w:pPr>
      <w:r w:rsidRPr="00387913">
        <w:rPr>
          <w:b/>
          <w:color w:val="000000" w:themeColor="text1"/>
          <w:sz w:val="20"/>
        </w:rPr>
        <w:lastRenderedPageBreak/>
        <w:t xml:space="preserve"> </w:t>
      </w:r>
      <w:r w:rsidR="004F4EFD" w:rsidRPr="004F4EFD">
        <w:t xml:space="preserve"> </w:t>
      </w:r>
      <w:r w:rsidR="004F4EFD" w:rsidRPr="00B82289">
        <w:rPr>
          <w:b/>
          <w:sz w:val="20"/>
        </w:rPr>
        <w:t>Microsoft Sentinel is provided via a landing zone but is not yet fully operational. DCDE does not currently have an MSSP in place. The successful tenderer will assist DCDE with configuration, optimisation, onboarding, detection content, reporting and operationalisation of the current SIEM solution. DCDE will remain responsible for SIEM licensing and data ingestion/retention costs unless otherwise agreed. Current scheduled log ingestion and review are not yet operational. Data connectors are currently set for Microsoft Defender for Cloud, Network Security Groups, Azure Activity, Entra ID and Azure Monitor. NSG flow logs are not currently configured. Additional sources may include Microsoft infrastructure and line-of-business application logs, including Power Apps, Power Pages, Microsoft Fabric, SharePoint Online, Dynamics when introduced, and other sources identified during mobilisation. Current GB/day, EPS and monthly alert volumes are not available.</w:t>
      </w:r>
      <w:r w:rsidR="00B82289" w:rsidRPr="00B82289">
        <w:rPr>
          <w:b/>
          <w:sz w:val="20"/>
        </w:rPr>
        <w:t xml:space="preserve"> </w:t>
      </w:r>
      <w:r w:rsidR="006D2A81" w:rsidRPr="006D2A81">
        <w:rPr>
          <w:rFonts w:ascii="Calibri" w:eastAsia="Times New Roman" w:hAnsi="Calibri" w:cs="Calibri"/>
          <w:b/>
          <w:bCs/>
          <w:color w:val="00241A"/>
          <w:kern w:val="0"/>
          <w:lang w:eastAsia="en-IE"/>
          <w14:ligatures w14:val="none"/>
        </w:rPr>
        <w:t>Incident response retainer.</w:t>
      </w:r>
    </w:p>
    <w:p w14:paraId="4064AB14" w14:textId="77777777" w:rsidR="00BD2B2E" w:rsidRDefault="00BD2B2E" w:rsidP="007144F7">
      <w:pPr>
        <w:pStyle w:val="ListParagraph"/>
        <w:rPr>
          <w:rFonts w:ascii="Calibri" w:eastAsia="Times New Roman" w:hAnsi="Calibri" w:cs="Calibri"/>
          <w:color w:val="00241A"/>
          <w:kern w:val="0"/>
          <w:lang w:eastAsia="en-IE"/>
          <w14:ligatures w14:val="none"/>
        </w:rPr>
      </w:pPr>
    </w:p>
    <w:p w14:paraId="3D63B73C" w14:textId="77777777" w:rsidR="00BD2B2E" w:rsidRPr="006D2A81" w:rsidRDefault="00BD2B2E" w:rsidP="007144F7">
      <w:pPr>
        <w:pStyle w:val="ListParagraph"/>
        <w:rPr>
          <w:rFonts w:ascii="Calibri" w:eastAsia="Times New Roman" w:hAnsi="Calibri" w:cs="Calibri"/>
          <w:color w:val="00241A"/>
          <w:kern w:val="0"/>
          <w:lang w:eastAsia="en-IE"/>
          <w14:ligatures w14:val="none"/>
        </w:rPr>
      </w:pPr>
    </w:p>
    <w:p w14:paraId="63121C85" w14:textId="77777777" w:rsidR="006D2A81" w:rsidRDefault="006D2A81" w:rsidP="006D2A81">
      <w:pPr>
        <w:pStyle w:val="ListParagraph"/>
        <w:numPr>
          <w:ilvl w:val="0"/>
          <w:numId w:val="100"/>
        </w:numPr>
        <w:shd w:val="clear" w:color="auto" w:fill="FFFFFF"/>
        <w:spacing w:after="100" w:afterAutospacing="1" w:line="240" w:lineRule="auto"/>
        <w:rPr>
          <w:rFonts w:ascii="Calibri" w:eastAsia="Times New Roman" w:hAnsi="Calibri" w:cs="Calibri"/>
          <w:color w:val="00241A"/>
          <w:kern w:val="0"/>
          <w:lang w:eastAsia="en-IE"/>
          <w14:ligatures w14:val="none"/>
        </w:rPr>
      </w:pPr>
      <w:r w:rsidRPr="006D2A81">
        <w:rPr>
          <w:rFonts w:ascii="Calibri" w:eastAsia="Times New Roman" w:hAnsi="Calibri" w:cs="Calibri"/>
          <w:color w:val="00241A"/>
          <w:kern w:val="0"/>
          <w:lang w:eastAsia="en-IE"/>
          <w14:ligatures w14:val="none"/>
        </w:rPr>
        <w:t>The mandatory/baseline service includes “incident response retainer capability”. Please confirm the expected scope of this retainer, including whether a defined number of incident response hours/days is expected to be included annually, what hands-on incident response activity should be covered within the recurring baseline service, and when incident response activity should instead be charged through the additional drawdown rates.</w:t>
      </w:r>
    </w:p>
    <w:p w14:paraId="0A8C4714" w14:textId="77777777" w:rsidR="00BD2B2E" w:rsidRPr="006D2A81" w:rsidRDefault="00BD2B2E" w:rsidP="00BD2B2E">
      <w:pPr>
        <w:pStyle w:val="ListParagraph"/>
        <w:shd w:val="clear" w:color="auto" w:fill="FFFFFF"/>
        <w:spacing w:after="100" w:afterAutospacing="1" w:line="240" w:lineRule="auto"/>
        <w:rPr>
          <w:rFonts w:ascii="Calibri" w:eastAsia="Times New Roman" w:hAnsi="Calibri" w:cs="Calibri"/>
          <w:color w:val="00241A"/>
          <w:kern w:val="0"/>
          <w:lang w:eastAsia="en-IE"/>
          <w14:ligatures w14:val="none"/>
        </w:rPr>
      </w:pPr>
    </w:p>
    <w:p w14:paraId="54F7F174" w14:textId="18815FA6" w:rsidR="00864448" w:rsidRPr="00E66B22" w:rsidRDefault="00CE7BE5" w:rsidP="00864448">
      <w:pPr>
        <w:pStyle w:val="ListParagraph"/>
        <w:rPr>
          <w:rFonts w:ascii="Calibri" w:hAnsi="Calibri" w:cs="Calibri"/>
          <w:b/>
          <w:bCs/>
        </w:rPr>
      </w:pPr>
      <w:r w:rsidRPr="00387913">
        <w:rPr>
          <w:b/>
          <w:color w:val="000000" w:themeColor="text1"/>
          <w:sz w:val="20"/>
        </w:rPr>
        <w:t xml:space="preserve"> </w:t>
      </w:r>
      <w:r w:rsidRPr="00B82289">
        <w:rPr>
          <w:b/>
          <w:sz w:val="20"/>
        </w:rPr>
        <w:t>No fixed annual volume of drawdown days can be confirmed at this stage. Tenderers should provide clearly separated daily rates and state any assumptions. Drawdown work will be commissioned only where required and subject to DCDE approval, budget availability and the contractual arrangements.</w:t>
      </w:r>
      <w:r w:rsidR="00864448" w:rsidRPr="00387913">
        <w:rPr>
          <w:b/>
          <w:color w:val="000000" w:themeColor="text1"/>
          <w:sz w:val="20"/>
        </w:rPr>
        <w:t xml:space="preserve"> </w:t>
      </w:r>
      <w:r w:rsidR="00864448" w:rsidRPr="00E66B22">
        <w:rPr>
          <w:rFonts w:ascii="Calibri" w:hAnsi="Calibri" w:cs="Calibri"/>
          <w:b/>
          <w:bCs/>
        </w:rPr>
        <w:t>The baseline service must include an incident-response retainer providing on-call access to suitably qualified incident-response personnel for critical alerts or suspected active compromise affecting the in-scope environment. The retainer should cover initial assessment, investigation, evidence preservation, containment advice, response coordination, escalation and post-incident reporting. Tenderers should state the number of response hours included annually, the applicable response times, how the service is accessed and their rates for any additional support above the included allocation. Investigation of critical alerts outside business hours should form part of the baseline emergency response arrangements. As a way of estimating, we have not had the misfortune of needing to implement our current incident response procedures to date, and this will only be needed if a trigger is required. It aligns with our requirements under CER and NIS2.</w:t>
      </w:r>
    </w:p>
    <w:p w14:paraId="48DD040A" w14:textId="46F6D5DE" w:rsidR="002E7041" w:rsidRDefault="002E7041">
      <w:pPr>
        <w:pStyle w:val="ListParagraph"/>
      </w:pPr>
    </w:p>
    <w:p w14:paraId="18A093A0" w14:textId="77777777" w:rsidR="00BD2B2E" w:rsidRDefault="00BD2B2E">
      <w:pPr>
        <w:pStyle w:val="ListParagraph"/>
      </w:pPr>
    </w:p>
    <w:p w14:paraId="61F0D8C9" w14:textId="77777777" w:rsidR="006D2A81" w:rsidRPr="006D2A81" w:rsidRDefault="006D2A81" w:rsidP="006D2A81">
      <w:pPr>
        <w:pStyle w:val="ListParagraph"/>
        <w:numPr>
          <w:ilvl w:val="0"/>
          <w:numId w:val="100"/>
        </w:numPr>
        <w:shd w:val="clear" w:color="auto" w:fill="FFFFFF"/>
        <w:spacing w:after="100" w:afterAutospacing="1" w:line="240" w:lineRule="auto"/>
        <w:rPr>
          <w:rFonts w:ascii="Calibri" w:eastAsia="Times New Roman" w:hAnsi="Calibri" w:cs="Calibri"/>
          <w:color w:val="00241A"/>
          <w:kern w:val="0"/>
          <w:lang w:eastAsia="en-IE"/>
          <w14:ligatures w14:val="none"/>
        </w:rPr>
      </w:pPr>
      <w:r w:rsidRPr="006D2A81">
        <w:rPr>
          <w:rFonts w:ascii="Calibri" w:eastAsia="Times New Roman" w:hAnsi="Calibri" w:cs="Calibri"/>
          <w:b/>
          <w:bCs/>
          <w:color w:val="00241A"/>
          <w:kern w:val="0"/>
          <w:lang w:eastAsia="en-IE"/>
          <w14:ligatures w14:val="none"/>
        </w:rPr>
        <w:t>Scale of the initial NIS2/CER gap-closure programme.</w:t>
      </w:r>
    </w:p>
    <w:p w14:paraId="6FB97919" w14:textId="77777777" w:rsidR="006D2A81" w:rsidRDefault="006D2A81" w:rsidP="00E302FC">
      <w:pPr>
        <w:pStyle w:val="ListParagraph"/>
        <w:shd w:val="clear" w:color="auto" w:fill="FFFFFF"/>
        <w:spacing w:after="100" w:afterAutospacing="1" w:line="240" w:lineRule="auto"/>
        <w:rPr>
          <w:rFonts w:ascii="Calibri" w:eastAsia="Times New Roman" w:hAnsi="Calibri" w:cs="Calibri"/>
          <w:color w:val="00241A"/>
          <w:kern w:val="0"/>
          <w:lang w:eastAsia="en-IE"/>
          <w14:ligatures w14:val="none"/>
        </w:rPr>
      </w:pPr>
      <w:r w:rsidRPr="006D2A81">
        <w:rPr>
          <w:rFonts w:ascii="Calibri" w:eastAsia="Times New Roman" w:hAnsi="Calibri" w:cs="Calibri"/>
          <w:color w:val="00241A"/>
          <w:kern w:val="0"/>
          <w:lang w:eastAsia="en-IE"/>
          <w14:ligatures w14:val="none"/>
        </w:rPr>
        <w:t>The RFT states that the initial 8–</w:t>
      </w:r>
      <w:proofErr w:type="gramStart"/>
      <w:r w:rsidRPr="006D2A81">
        <w:rPr>
          <w:rFonts w:ascii="Calibri" w:eastAsia="Times New Roman" w:hAnsi="Calibri" w:cs="Calibri"/>
          <w:color w:val="00241A"/>
          <w:kern w:val="0"/>
          <w:lang w:eastAsia="en-IE"/>
          <w14:ligatures w14:val="none"/>
        </w:rPr>
        <w:t>9 month</w:t>
      </w:r>
      <w:proofErr w:type="gramEnd"/>
      <w:r w:rsidRPr="006D2A81">
        <w:rPr>
          <w:rFonts w:ascii="Calibri" w:eastAsia="Times New Roman" w:hAnsi="Calibri" w:cs="Calibri"/>
          <w:color w:val="00241A"/>
          <w:kern w:val="0"/>
          <w:lang w:eastAsia="en-IE"/>
          <w14:ligatures w14:val="none"/>
        </w:rPr>
        <w:t xml:space="preserve"> phase will focus on closing remaining gaps identified through DCDE's NIS2 readiness assessment and related audit/review activities. To enable comparable pricing and resource planning, please provide a high-level indication of the number, nature and priority/severity of the remaining gaps, or otherwise the anticipated scale of consultancy effort required during this phase.</w:t>
      </w:r>
    </w:p>
    <w:p w14:paraId="7ABED298" w14:textId="77777777" w:rsidR="00BD2B2E" w:rsidRPr="006D2A81" w:rsidRDefault="00BD2B2E" w:rsidP="00E302FC">
      <w:pPr>
        <w:pStyle w:val="ListParagraph"/>
        <w:shd w:val="clear" w:color="auto" w:fill="FFFFFF"/>
        <w:spacing w:after="100" w:afterAutospacing="1" w:line="240" w:lineRule="auto"/>
        <w:rPr>
          <w:rFonts w:ascii="Calibri" w:eastAsia="Times New Roman" w:hAnsi="Calibri" w:cs="Calibri"/>
          <w:color w:val="00241A"/>
          <w:kern w:val="0"/>
          <w:lang w:eastAsia="en-IE"/>
          <w14:ligatures w14:val="none"/>
        </w:rPr>
      </w:pPr>
    </w:p>
    <w:p w14:paraId="3967AB5E" w14:textId="363F10C9" w:rsidR="002E7041" w:rsidRDefault="00CE7BE5">
      <w:pPr>
        <w:pStyle w:val="ListParagraph"/>
        <w:rPr>
          <w:b/>
          <w:sz w:val="20"/>
        </w:rPr>
      </w:pPr>
      <w:r w:rsidRPr="00B82289">
        <w:rPr>
          <w:b/>
          <w:sz w:val="20"/>
        </w:rPr>
        <w:t xml:space="preserve"> </w:t>
      </w:r>
      <w:r w:rsidR="002B6DED" w:rsidRPr="00B82289">
        <w:rPr>
          <w:b/>
          <w:sz w:val="20"/>
        </w:rPr>
        <w:t xml:space="preserve"> A NIS2 readiness assessment has been completed. Details are addressed in section 1.2 of the RFT. The recommendations from the gap analysis are grouped into 8 initiatives, 4 of which remain outstanding. DCDE’s target is to reach approximately 3.5 on the CyFun scale. Further detail may be shared with the successful supplier subject to confidentiality and </w:t>
      </w:r>
      <w:r w:rsidR="002B6DED" w:rsidRPr="00B82289">
        <w:rPr>
          <w:b/>
          <w:sz w:val="20"/>
        </w:rPr>
        <w:lastRenderedPageBreak/>
        <w:t>procurement requirements. The successful tenderer should support DCDE in aligning with NIS2, CER where applicable, CyFun, Irish Risk Management Measures, the National Cyber Security Bill and relevant NCSC guidance. DCDE expects a pragmatic mapping approach, with CyFun and the Irish risk management measures used as the operational assurance model where relevant, while recognising that statutory obligations and final competent-authority requirements will prevail once confirmed.</w:t>
      </w:r>
    </w:p>
    <w:p w14:paraId="34BFB6C7" w14:textId="77777777" w:rsidR="00BD2B2E" w:rsidRDefault="00BD2B2E">
      <w:pPr>
        <w:pStyle w:val="ListParagraph"/>
        <w:rPr>
          <w:b/>
          <w:sz w:val="20"/>
        </w:rPr>
      </w:pPr>
    </w:p>
    <w:p w14:paraId="42E36389" w14:textId="77777777" w:rsidR="00B82289" w:rsidRPr="00B82289" w:rsidRDefault="00B82289">
      <w:pPr>
        <w:pStyle w:val="ListParagraph"/>
      </w:pPr>
    </w:p>
    <w:p w14:paraId="59261594" w14:textId="77777777" w:rsidR="006D2A81" w:rsidRPr="006D2A81" w:rsidRDefault="006D2A81" w:rsidP="006D2A81">
      <w:pPr>
        <w:pStyle w:val="ListParagraph"/>
        <w:numPr>
          <w:ilvl w:val="0"/>
          <w:numId w:val="100"/>
        </w:numPr>
        <w:shd w:val="clear" w:color="auto" w:fill="FFFFFF"/>
        <w:spacing w:after="100" w:afterAutospacing="1" w:line="240" w:lineRule="auto"/>
        <w:rPr>
          <w:rFonts w:ascii="Calibri" w:eastAsia="Times New Roman" w:hAnsi="Calibri" w:cs="Calibri"/>
          <w:color w:val="00241A"/>
          <w:kern w:val="0"/>
          <w:lang w:eastAsia="en-IE"/>
          <w14:ligatures w14:val="none"/>
        </w:rPr>
      </w:pPr>
      <w:r w:rsidRPr="006D2A81">
        <w:rPr>
          <w:rFonts w:ascii="Calibri" w:eastAsia="Times New Roman" w:hAnsi="Calibri" w:cs="Calibri"/>
          <w:b/>
          <w:bCs/>
          <w:color w:val="00241A"/>
          <w:kern w:val="0"/>
          <w:lang w:eastAsia="en-IE"/>
          <w14:ligatures w14:val="none"/>
        </w:rPr>
        <w:t>Expected Statements of Work and consultancy drawdown volumes.</w:t>
      </w:r>
    </w:p>
    <w:p w14:paraId="2516C634" w14:textId="77777777" w:rsidR="006D2A81" w:rsidRDefault="006D2A81" w:rsidP="00E302FC">
      <w:pPr>
        <w:pStyle w:val="ListParagraph"/>
        <w:shd w:val="clear" w:color="auto" w:fill="FFFFFF"/>
        <w:spacing w:after="100" w:afterAutospacing="1" w:line="240" w:lineRule="auto"/>
        <w:rPr>
          <w:rFonts w:ascii="Calibri" w:eastAsia="Times New Roman" w:hAnsi="Calibri" w:cs="Calibri"/>
          <w:color w:val="00241A"/>
          <w:kern w:val="0"/>
          <w:lang w:eastAsia="en-IE"/>
          <w14:ligatures w14:val="none"/>
        </w:rPr>
      </w:pPr>
      <w:r w:rsidRPr="006D2A81">
        <w:rPr>
          <w:rFonts w:ascii="Calibri" w:eastAsia="Times New Roman" w:hAnsi="Calibri" w:cs="Calibri"/>
          <w:color w:val="00241A"/>
          <w:kern w:val="0"/>
          <w:lang w:eastAsia="en-IE"/>
          <w14:ligatures w14:val="none"/>
        </w:rPr>
        <w:t>The Selection Criteria require the proposed team to be capable of supporting multiple Statements of Work sequentially or in parallel alongside ongoing MSSP delivery. Please provide, where possible, the anticipated number of Statements of Work or consultancy/drawdown assignments per annum, their typical duration or expected level of effort, and the maximum level of concurrent activity tenderers should assume for resource planning.</w:t>
      </w:r>
    </w:p>
    <w:p w14:paraId="09F90ED1" w14:textId="77777777" w:rsidR="00BD2B2E" w:rsidRPr="006D2A81" w:rsidRDefault="00BD2B2E" w:rsidP="00E302FC">
      <w:pPr>
        <w:pStyle w:val="ListParagraph"/>
        <w:shd w:val="clear" w:color="auto" w:fill="FFFFFF"/>
        <w:spacing w:after="100" w:afterAutospacing="1" w:line="240" w:lineRule="auto"/>
        <w:rPr>
          <w:rFonts w:ascii="Calibri" w:eastAsia="Times New Roman" w:hAnsi="Calibri" w:cs="Calibri"/>
          <w:color w:val="00241A"/>
          <w:kern w:val="0"/>
          <w:lang w:eastAsia="en-IE"/>
          <w14:ligatures w14:val="none"/>
        </w:rPr>
      </w:pPr>
    </w:p>
    <w:p w14:paraId="75BE80E5" w14:textId="0E70C6A7" w:rsidR="002E7041" w:rsidRDefault="004F4EFD">
      <w:pPr>
        <w:pStyle w:val="ListParagraph"/>
        <w:rPr>
          <w:b/>
          <w:sz w:val="20"/>
        </w:rPr>
      </w:pPr>
      <w:r w:rsidRPr="00B82289">
        <w:rPr>
          <w:b/>
          <w:sz w:val="20"/>
        </w:rPr>
        <w:t xml:space="preserve">DCDE cannot specify an expected number, duration or concurrency of Statements of Work at this stage. Tenderers should propose a scalable delivery model capable of supporting baseline services alongside multiple consultancy assignments where required. Additional work will be commissioned on an as-needed basis, subject to business priorities, budget and approval. </w:t>
      </w:r>
    </w:p>
    <w:p w14:paraId="281077B9" w14:textId="77777777" w:rsidR="00BD2B2E" w:rsidRDefault="00BD2B2E">
      <w:pPr>
        <w:pStyle w:val="ListParagraph"/>
        <w:rPr>
          <w:b/>
          <w:sz w:val="20"/>
        </w:rPr>
      </w:pPr>
    </w:p>
    <w:p w14:paraId="2ED3CD1E" w14:textId="77777777" w:rsidR="00B82289" w:rsidRDefault="00B82289">
      <w:pPr>
        <w:pStyle w:val="ListParagraph"/>
      </w:pPr>
    </w:p>
    <w:p w14:paraId="2863C063" w14:textId="77777777" w:rsidR="006D2A81" w:rsidRPr="006D2A81" w:rsidRDefault="006D2A81" w:rsidP="006D2A81">
      <w:pPr>
        <w:pStyle w:val="ListParagraph"/>
        <w:numPr>
          <w:ilvl w:val="0"/>
          <w:numId w:val="100"/>
        </w:numPr>
        <w:shd w:val="clear" w:color="auto" w:fill="FFFFFF"/>
        <w:spacing w:after="100" w:afterAutospacing="1" w:line="240" w:lineRule="auto"/>
        <w:rPr>
          <w:rFonts w:ascii="Calibri" w:eastAsia="Times New Roman" w:hAnsi="Calibri" w:cs="Calibri"/>
          <w:color w:val="00241A"/>
          <w:kern w:val="0"/>
          <w:lang w:eastAsia="en-IE"/>
          <w14:ligatures w14:val="none"/>
        </w:rPr>
      </w:pPr>
      <w:r w:rsidRPr="006D2A81">
        <w:rPr>
          <w:rFonts w:ascii="Calibri" w:eastAsia="Times New Roman" w:hAnsi="Calibri" w:cs="Calibri"/>
          <w:b/>
          <w:bCs/>
          <w:color w:val="00241A"/>
          <w:kern w:val="0"/>
          <w:lang w:eastAsia="en-IE"/>
          <w14:ligatures w14:val="none"/>
        </w:rPr>
        <w:t>Submission of Selection Criteria supporting evidence.</w:t>
      </w:r>
    </w:p>
    <w:p w14:paraId="15D85EB9" w14:textId="77777777" w:rsidR="006D2A81" w:rsidRDefault="006D2A81" w:rsidP="00E302FC">
      <w:pPr>
        <w:pStyle w:val="ListParagraph"/>
        <w:shd w:val="clear" w:color="auto" w:fill="FFFFFF"/>
        <w:spacing w:after="100" w:afterAutospacing="1" w:line="240" w:lineRule="auto"/>
        <w:rPr>
          <w:rFonts w:ascii="Calibri" w:eastAsia="Times New Roman" w:hAnsi="Calibri" w:cs="Calibri"/>
          <w:color w:val="00241A"/>
          <w:kern w:val="0"/>
          <w:lang w:eastAsia="en-IE"/>
          <w14:ligatures w14:val="none"/>
        </w:rPr>
      </w:pPr>
      <w:r w:rsidRPr="006D2A81">
        <w:rPr>
          <w:rFonts w:ascii="Calibri" w:eastAsia="Times New Roman" w:hAnsi="Calibri" w:cs="Calibri"/>
          <w:color w:val="00241A"/>
          <w:kern w:val="0"/>
          <w:lang w:eastAsia="en-IE"/>
          <w14:ligatures w14:val="none"/>
        </w:rPr>
        <w:t xml:space="preserve">Please confirm whether the CVs, personnel availability confirmation, certification/competency evidence and other supporting documentation identified under the Technical and Professional Ability Selection Criteria must be submitted with the </w:t>
      </w:r>
      <w:proofErr w:type="gramStart"/>
      <w:r w:rsidRPr="006D2A81">
        <w:rPr>
          <w:rFonts w:ascii="Calibri" w:eastAsia="Times New Roman" w:hAnsi="Calibri" w:cs="Calibri"/>
          <w:color w:val="00241A"/>
          <w:kern w:val="0"/>
          <w:lang w:eastAsia="en-IE"/>
          <w14:ligatures w14:val="none"/>
        </w:rPr>
        <w:t>Tender, or</w:t>
      </w:r>
      <w:proofErr w:type="gramEnd"/>
      <w:r w:rsidRPr="006D2A81">
        <w:rPr>
          <w:rFonts w:ascii="Calibri" w:eastAsia="Times New Roman" w:hAnsi="Calibri" w:cs="Calibri"/>
          <w:color w:val="00241A"/>
          <w:kern w:val="0"/>
          <w:lang w:eastAsia="en-IE"/>
          <w14:ligatures w14:val="none"/>
        </w:rPr>
        <w:t xml:space="preserve"> retained for provision upon request. The Selection Criteria state that tenderers “must provide” these items but subsequently state that the supporting documentation must be provided “without delay when requested by the Contracting Authority”.</w:t>
      </w:r>
    </w:p>
    <w:p w14:paraId="6086C0A6" w14:textId="77777777" w:rsidR="00BD2B2E" w:rsidRPr="006D2A81" w:rsidRDefault="00BD2B2E" w:rsidP="00E302FC">
      <w:pPr>
        <w:pStyle w:val="ListParagraph"/>
        <w:shd w:val="clear" w:color="auto" w:fill="FFFFFF"/>
        <w:spacing w:after="100" w:afterAutospacing="1" w:line="240" w:lineRule="auto"/>
        <w:rPr>
          <w:rFonts w:ascii="Calibri" w:eastAsia="Times New Roman" w:hAnsi="Calibri" w:cs="Calibri"/>
          <w:color w:val="00241A"/>
          <w:kern w:val="0"/>
          <w:lang w:eastAsia="en-IE"/>
          <w14:ligatures w14:val="none"/>
        </w:rPr>
      </w:pPr>
    </w:p>
    <w:p w14:paraId="28B6A0FF" w14:textId="726600A6" w:rsidR="002E7041" w:rsidRDefault="00CE7BE5">
      <w:pPr>
        <w:pStyle w:val="ListParagraph"/>
        <w:rPr>
          <w:b/>
          <w:sz w:val="20"/>
        </w:rPr>
      </w:pPr>
      <w:r w:rsidRPr="00387913">
        <w:rPr>
          <w:b/>
          <w:color w:val="000000" w:themeColor="text1"/>
          <w:sz w:val="20"/>
        </w:rPr>
        <w:t xml:space="preserve"> </w:t>
      </w:r>
      <w:r w:rsidRPr="00B82289">
        <w:rPr>
          <w:b/>
          <w:sz w:val="20"/>
        </w:rPr>
        <w:t xml:space="preserve">CVs for key personnel </w:t>
      </w:r>
      <w:r w:rsidR="00151606" w:rsidRPr="00B82289">
        <w:rPr>
          <w:b/>
          <w:sz w:val="20"/>
        </w:rPr>
        <w:t xml:space="preserve">must be submitted with the tender </w:t>
      </w:r>
      <w:r w:rsidRPr="00B82289">
        <w:rPr>
          <w:b/>
          <w:sz w:val="20"/>
        </w:rPr>
        <w:t>and limited to a maximum of 2 A4 pages of Calibri font size 11 per CV. CVs may be submitted as separate attachments and are not included in the B2 page limit. Other supporting documentation must be available without delay when requested by the Contracting Authority unless expressly required with the tender.</w:t>
      </w:r>
    </w:p>
    <w:p w14:paraId="17378BE2" w14:textId="77777777" w:rsidR="00BD2B2E" w:rsidRDefault="00BD2B2E">
      <w:pPr>
        <w:pStyle w:val="ListParagraph"/>
        <w:rPr>
          <w:b/>
          <w:sz w:val="20"/>
        </w:rPr>
      </w:pPr>
    </w:p>
    <w:p w14:paraId="578C5B64" w14:textId="77777777" w:rsidR="00BD2B2E" w:rsidRPr="00B82289" w:rsidRDefault="00BD2B2E">
      <w:pPr>
        <w:pStyle w:val="ListParagraph"/>
      </w:pPr>
    </w:p>
    <w:p w14:paraId="014B1C8D" w14:textId="77777777" w:rsidR="006D2A81" w:rsidRPr="006D2A81" w:rsidRDefault="006D2A81" w:rsidP="006D2A81">
      <w:pPr>
        <w:pStyle w:val="ListParagraph"/>
        <w:numPr>
          <w:ilvl w:val="0"/>
          <w:numId w:val="100"/>
        </w:numPr>
        <w:shd w:val="clear" w:color="auto" w:fill="FFFFFF"/>
        <w:spacing w:after="100" w:afterAutospacing="1" w:line="240" w:lineRule="auto"/>
        <w:rPr>
          <w:rFonts w:ascii="Calibri" w:eastAsia="Times New Roman" w:hAnsi="Calibri" w:cs="Calibri"/>
          <w:color w:val="00241A"/>
          <w:kern w:val="0"/>
          <w:lang w:eastAsia="en-IE"/>
          <w14:ligatures w14:val="none"/>
        </w:rPr>
      </w:pPr>
      <w:r w:rsidRPr="006D2A81">
        <w:rPr>
          <w:rFonts w:ascii="Calibri" w:eastAsia="Times New Roman" w:hAnsi="Calibri" w:cs="Calibri"/>
          <w:b/>
          <w:bCs/>
          <w:color w:val="00241A"/>
          <w:kern w:val="0"/>
          <w:lang w:eastAsia="en-IE"/>
          <w14:ligatures w14:val="none"/>
        </w:rPr>
        <w:t>ESPD submission format.</w:t>
      </w:r>
    </w:p>
    <w:p w14:paraId="3992EC65" w14:textId="77777777" w:rsidR="006D2A81" w:rsidRDefault="006D2A81" w:rsidP="00E302FC">
      <w:pPr>
        <w:pStyle w:val="ListParagraph"/>
        <w:shd w:val="clear" w:color="auto" w:fill="FFFFFF"/>
        <w:spacing w:after="100" w:afterAutospacing="1" w:line="240" w:lineRule="auto"/>
        <w:rPr>
          <w:rFonts w:ascii="Calibri" w:eastAsia="Times New Roman" w:hAnsi="Calibri" w:cs="Calibri"/>
          <w:color w:val="00241A"/>
          <w:kern w:val="0"/>
          <w:lang w:eastAsia="en-IE"/>
          <w14:ligatures w14:val="none"/>
        </w:rPr>
      </w:pPr>
      <w:r w:rsidRPr="006D2A81">
        <w:rPr>
          <w:rFonts w:ascii="Calibri" w:eastAsia="Times New Roman" w:hAnsi="Calibri" w:cs="Calibri"/>
          <w:color w:val="00241A"/>
          <w:kern w:val="0"/>
          <w:lang w:eastAsia="en-IE"/>
          <w14:ligatures w14:val="none"/>
        </w:rPr>
        <w:t>The RFT requires tenderers to complete and submit the electronic version of the eESPD, while the TRD A10 Checklist requires a “fully completed, signed and dated ESPD document”. Please confirm the required submission format and whether tenderers must submit both an electronic/XML eESPD response and a separately signed and dated document, or whether a single completed eESPD response will satisfy the requirement.</w:t>
      </w:r>
    </w:p>
    <w:p w14:paraId="5947BDEB" w14:textId="77777777" w:rsidR="00BD2B2E" w:rsidRPr="006D2A81" w:rsidRDefault="00BD2B2E" w:rsidP="00E302FC">
      <w:pPr>
        <w:pStyle w:val="ListParagraph"/>
        <w:shd w:val="clear" w:color="auto" w:fill="FFFFFF"/>
        <w:spacing w:after="100" w:afterAutospacing="1" w:line="240" w:lineRule="auto"/>
        <w:rPr>
          <w:rFonts w:ascii="Calibri" w:eastAsia="Times New Roman" w:hAnsi="Calibri" w:cs="Calibri"/>
          <w:color w:val="00241A"/>
          <w:kern w:val="0"/>
          <w:lang w:eastAsia="en-IE"/>
          <w14:ligatures w14:val="none"/>
        </w:rPr>
      </w:pPr>
    </w:p>
    <w:p w14:paraId="5483A7BF" w14:textId="4E33DD49" w:rsidR="002E7041" w:rsidRPr="00B82289" w:rsidRDefault="00CE7BE5">
      <w:pPr>
        <w:pStyle w:val="ListParagraph"/>
        <w:rPr>
          <w:b/>
          <w:sz w:val="20"/>
        </w:rPr>
      </w:pPr>
      <w:r w:rsidRPr="00387913">
        <w:rPr>
          <w:b/>
          <w:color w:val="000000" w:themeColor="text1"/>
          <w:sz w:val="20"/>
        </w:rPr>
        <w:t xml:space="preserve"> </w:t>
      </w:r>
      <w:r w:rsidRPr="00B82289">
        <w:rPr>
          <w:b/>
          <w:sz w:val="20"/>
        </w:rPr>
        <w:t xml:space="preserve">Tenderers must complete and submit the electronic version of the eESPD in accordance with the RFT. Where the checklist refers to a fully completed, signed and dated ESPD document, tenderers should ensure the eESPD submission and any required declarations or signed documents are provided in the format required by </w:t>
      </w:r>
      <w:proofErr w:type="spellStart"/>
      <w:r w:rsidRPr="00B82289">
        <w:rPr>
          <w:b/>
          <w:sz w:val="20"/>
        </w:rPr>
        <w:t>eTenders</w:t>
      </w:r>
      <w:proofErr w:type="spellEnd"/>
      <w:r w:rsidRPr="00B82289">
        <w:rPr>
          <w:b/>
          <w:sz w:val="20"/>
        </w:rPr>
        <w:t xml:space="preserve"> and the RFT.</w:t>
      </w:r>
    </w:p>
    <w:p w14:paraId="638F8B73" w14:textId="77777777" w:rsidR="00B82289" w:rsidRDefault="00B82289">
      <w:pPr>
        <w:pStyle w:val="ListParagraph"/>
      </w:pPr>
    </w:p>
    <w:p w14:paraId="59C73383" w14:textId="77777777" w:rsidR="006D2A81" w:rsidRPr="006D2A81" w:rsidRDefault="006D2A81" w:rsidP="006D2A81">
      <w:pPr>
        <w:pStyle w:val="ListParagraph"/>
        <w:numPr>
          <w:ilvl w:val="0"/>
          <w:numId w:val="100"/>
        </w:numPr>
        <w:shd w:val="clear" w:color="auto" w:fill="FFFFFF"/>
        <w:spacing w:after="100" w:afterAutospacing="1" w:line="240" w:lineRule="auto"/>
        <w:rPr>
          <w:rFonts w:ascii="Calibri" w:eastAsia="Times New Roman" w:hAnsi="Calibri" w:cs="Calibri"/>
          <w:color w:val="00241A"/>
          <w:kern w:val="0"/>
          <w:lang w:eastAsia="en-IE"/>
          <w14:ligatures w14:val="none"/>
        </w:rPr>
      </w:pPr>
      <w:r w:rsidRPr="006D2A81">
        <w:rPr>
          <w:rFonts w:ascii="Calibri" w:eastAsia="Times New Roman" w:hAnsi="Calibri" w:cs="Calibri"/>
          <w:b/>
          <w:bCs/>
          <w:color w:val="00241A"/>
          <w:kern w:val="0"/>
          <w:lang w:eastAsia="en-IE"/>
          <w14:ligatures w14:val="none"/>
        </w:rPr>
        <w:t>Price indexation.</w:t>
      </w:r>
    </w:p>
    <w:p w14:paraId="4A0FFC5C" w14:textId="77777777" w:rsidR="006D2A81" w:rsidRDefault="006D2A81" w:rsidP="00E302FC">
      <w:pPr>
        <w:pStyle w:val="ListParagraph"/>
        <w:shd w:val="clear" w:color="auto" w:fill="FFFFFF"/>
        <w:spacing w:after="100" w:afterAutospacing="1" w:line="240" w:lineRule="auto"/>
        <w:rPr>
          <w:rFonts w:ascii="Calibri" w:eastAsia="Times New Roman" w:hAnsi="Calibri" w:cs="Calibri"/>
          <w:color w:val="00241A"/>
          <w:kern w:val="0"/>
          <w:lang w:eastAsia="en-IE"/>
          <w14:ligatures w14:val="none"/>
        </w:rPr>
      </w:pPr>
      <w:r w:rsidRPr="006D2A81">
        <w:rPr>
          <w:rFonts w:ascii="Calibri" w:eastAsia="Times New Roman" w:hAnsi="Calibri" w:cs="Calibri"/>
          <w:color w:val="00241A"/>
          <w:kern w:val="0"/>
          <w:lang w:eastAsia="en-IE"/>
          <w14:ligatures w14:val="none"/>
        </w:rPr>
        <w:t>Paragraph 2.10.6 is marked “Not Used</w:t>
      </w:r>
      <w:proofErr w:type="gramStart"/>
      <w:r w:rsidRPr="006D2A81">
        <w:rPr>
          <w:rFonts w:ascii="Calibri" w:eastAsia="Times New Roman" w:hAnsi="Calibri" w:cs="Calibri"/>
          <w:color w:val="00241A"/>
          <w:kern w:val="0"/>
          <w:lang w:eastAsia="en-IE"/>
          <w14:ligatures w14:val="none"/>
        </w:rPr>
        <w:t>”, but</w:t>
      </w:r>
      <w:proofErr w:type="gramEnd"/>
      <w:r w:rsidRPr="006D2A81">
        <w:rPr>
          <w:rFonts w:ascii="Calibri" w:eastAsia="Times New Roman" w:hAnsi="Calibri" w:cs="Calibri"/>
          <w:color w:val="00241A"/>
          <w:kern w:val="0"/>
          <w:lang w:eastAsia="en-IE"/>
          <w14:ligatures w14:val="none"/>
        </w:rPr>
        <w:t xml:space="preserve"> is followed by wording stating that prices may be increased or decreased on contract anniversaries by reference to an index, with the applicable index and publishing body left unspecified. Please confirm whether annual price indexation applies to this contract and, if so, the applicable index and publisher. If paragraph 2.10.6 is not applicable, please confirm that prices are not subject to this provision.</w:t>
      </w:r>
    </w:p>
    <w:p w14:paraId="33408085" w14:textId="77777777" w:rsidR="00BD2B2E" w:rsidRPr="006D2A81" w:rsidRDefault="00BD2B2E" w:rsidP="00E302FC">
      <w:pPr>
        <w:pStyle w:val="ListParagraph"/>
        <w:shd w:val="clear" w:color="auto" w:fill="FFFFFF"/>
        <w:spacing w:after="100" w:afterAutospacing="1" w:line="240" w:lineRule="auto"/>
        <w:rPr>
          <w:rFonts w:ascii="Calibri" w:eastAsia="Times New Roman" w:hAnsi="Calibri" w:cs="Calibri"/>
          <w:color w:val="00241A"/>
          <w:kern w:val="0"/>
          <w:lang w:eastAsia="en-IE"/>
          <w14:ligatures w14:val="none"/>
        </w:rPr>
      </w:pPr>
    </w:p>
    <w:p w14:paraId="6251321B" w14:textId="36BD1276" w:rsidR="002E7041" w:rsidRDefault="00961C2D">
      <w:pPr>
        <w:pStyle w:val="ListParagraph"/>
        <w:rPr>
          <w:b/>
          <w:sz w:val="20"/>
        </w:rPr>
      </w:pPr>
      <w:r w:rsidRPr="00961C2D">
        <w:t xml:space="preserve"> </w:t>
      </w:r>
      <w:r w:rsidRPr="00B82289">
        <w:rPr>
          <w:b/>
          <w:sz w:val="20"/>
        </w:rPr>
        <w:t xml:space="preserve">Section 2.10.6 is marked “Not Used” and is not applicable to this competition. No index, publisher or price-adjustment mechanism has been specified by DCDE. Tenderers should therefore assume that annual price indexation does not apply under this provision and should price their tenders accordingly. </w:t>
      </w:r>
    </w:p>
    <w:p w14:paraId="2E62E8A1" w14:textId="77777777" w:rsidR="00BD2B2E" w:rsidRPr="00387913" w:rsidRDefault="00BD2B2E">
      <w:pPr>
        <w:pStyle w:val="ListParagraph"/>
        <w:rPr>
          <w:b/>
          <w:color w:val="000000" w:themeColor="text1"/>
          <w:sz w:val="20"/>
        </w:rPr>
      </w:pPr>
    </w:p>
    <w:p w14:paraId="07325B8F" w14:textId="77777777" w:rsidR="00B82289" w:rsidRDefault="00B82289">
      <w:pPr>
        <w:pStyle w:val="ListParagraph"/>
      </w:pPr>
    </w:p>
    <w:p w14:paraId="5FFC2A18" w14:textId="77777777" w:rsidR="006D2A81" w:rsidRPr="006D2A81" w:rsidRDefault="006D2A81" w:rsidP="006D2A81">
      <w:pPr>
        <w:pStyle w:val="ListParagraph"/>
        <w:numPr>
          <w:ilvl w:val="0"/>
          <w:numId w:val="100"/>
        </w:numPr>
        <w:shd w:val="clear" w:color="auto" w:fill="FFFFFF"/>
        <w:spacing w:after="100" w:afterAutospacing="1" w:line="240" w:lineRule="auto"/>
        <w:rPr>
          <w:rFonts w:ascii="Calibri" w:eastAsia="Times New Roman" w:hAnsi="Calibri" w:cs="Calibri"/>
          <w:color w:val="00241A"/>
          <w:kern w:val="0"/>
          <w:lang w:eastAsia="en-IE"/>
          <w14:ligatures w14:val="none"/>
        </w:rPr>
      </w:pPr>
      <w:r w:rsidRPr="006D2A81">
        <w:rPr>
          <w:rFonts w:ascii="Calibri" w:eastAsia="Times New Roman" w:hAnsi="Calibri" w:cs="Calibri"/>
          <w:b/>
          <w:bCs/>
          <w:color w:val="00241A"/>
          <w:kern w:val="0"/>
          <w:lang w:eastAsia="en-IE"/>
          <w14:ligatures w14:val="none"/>
        </w:rPr>
        <w:t>Product Liability insurance.</w:t>
      </w:r>
    </w:p>
    <w:p w14:paraId="67E7D753" w14:textId="77777777" w:rsidR="006D2A81" w:rsidRDefault="006D2A81" w:rsidP="00E302FC">
      <w:pPr>
        <w:pStyle w:val="ListParagraph"/>
        <w:shd w:val="clear" w:color="auto" w:fill="FFFFFF"/>
        <w:spacing w:after="100" w:afterAutospacing="1" w:line="240" w:lineRule="auto"/>
        <w:rPr>
          <w:rFonts w:ascii="Calibri" w:eastAsia="Times New Roman" w:hAnsi="Calibri" w:cs="Calibri"/>
          <w:color w:val="00241A"/>
          <w:kern w:val="0"/>
          <w:lang w:eastAsia="en-IE"/>
          <w14:ligatures w14:val="none"/>
        </w:rPr>
      </w:pPr>
      <w:r w:rsidRPr="006D2A81">
        <w:rPr>
          <w:rFonts w:ascii="Calibri" w:eastAsia="Times New Roman" w:hAnsi="Calibri" w:cs="Calibri"/>
          <w:color w:val="00241A"/>
          <w:kern w:val="0"/>
          <w:lang w:eastAsia="en-IE"/>
          <w14:ligatures w14:val="none"/>
        </w:rPr>
        <w:t>Paragraph 2.21.1 identifies Product Liability as a required insurance type but does not specify an indemnity limit. Please confirm whether Product Liability insurance is required for this contract and, if so, the minimum indemnity limit required.</w:t>
      </w:r>
    </w:p>
    <w:p w14:paraId="7B751AA0" w14:textId="77777777" w:rsidR="00BD2B2E" w:rsidRPr="006D2A81" w:rsidRDefault="00BD2B2E" w:rsidP="00E302FC">
      <w:pPr>
        <w:pStyle w:val="ListParagraph"/>
        <w:shd w:val="clear" w:color="auto" w:fill="FFFFFF"/>
        <w:spacing w:after="100" w:afterAutospacing="1" w:line="240" w:lineRule="auto"/>
        <w:rPr>
          <w:rFonts w:ascii="Calibri" w:eastAsia="Times New Roman" w:hAnsi="Calibri" w:cs="Calibri"/>
          <w:color w:val="00241A"/>
          <w:kern w:val="0"/>
          <w:lang w:eastAsia="en-IE"/>
          <w14:ligatures w14:val="none"/>
        </w:rPr>
      </w:pPr>
    </w:p>
    <w:p w14:paraId="443C679D" w14:textId="0E7A03A6" w:rsidR="002E7041" w:rsidRDefault="00CE7BE5">
      <w:pPr>
        <w:pStyle w:val="ListParagraph"/>
        <w:rPr>
          <w:b/>
          <w:sz w:val="20"/>
        </w:rPr>
      </w:pPr>
      <w:r w:rsidRPr="00387913">
        <w:rPr>
          <w:b/>
          <w:color w:val="000000" w:themeColor="text1"/>
          <w:sz w:val="20"/>
        </w:rPr>
        <w:t xml:space="preserve"> </w:t>
      </w:r>
      <w:r w:rsidR="00961C2D" w:rsidRPr="00961C2D">
        <w:t xml:space="preserve"> </w:t>
      </w:r>
      <w:r w:rsidR="00961C2D" w:rsidRPr="00064B09">
        <w:rPr>
          <w:b/>
          <w:sz w:val="20"/>
        </w:rPr>
        <w:t>Product Liability insurance is not expected to be a material requirement for the delivery of the Services. Tenderers should comply with the insurance requirements specified in the RFT and Services Contract. No specific Product Liability indemnity limit has been prescribed by DCDE for the purposes of this competition.</w:t>
      </w:r>
    </w:p>
    <w:p w14:paraId="3F73F0EB" w14:textId="77777777" w:rsidR="00BD2B2E" w:rsidRDefault="00BD2B2E">
      <w:pPr>
        <w:pStyle w:val="ListParagraph"/>
        <w:rPr>
          <w:b/>
          <w:sz w:val="20"/>
        </w:rPr>
      </w:pPr>
    </w:p>
    <w:p w14:paraId="182EA775" w14:textId="77777777" w:rsidR="00BD2B2E" w:rsidRDefault="00BD2B2E">
      <w:pPr>
        <w:pStyle w:val="ListParagraph"/>
      </w:pPr>
    </w:p>
    <w:p w14:paraId="5C5FD16B" w14:textId="77777777" w:rsidR="006D2A81" w:rsidRPr="006D2A81" w:rsidRDefault="006D2A81" w:rsidP="006D2A81">
      <w:pPr>
        <w:pStyle w:val="ListParagraph"/>
        <w:numPr>
          <w:ilvl w:val="0"/>
          <w:numId w:val="100"/>
        </w:numPr>
        <w:shd w:val="clear" w:color="auto" w:fill="FFFFFF"/>
        <w:spacing w:after="100" w:afterAutospacing="1" w:line="240" w:lineRule="auto"/>
        <w:rPr>
          <w:rFonts w:ascii="Calibri" w:eastAsia="Times New Roman" w:hAnsi="Calibri" w:cs="Calibri"/>
          <w:color w:val="00241A"/>
          <w:kern w:val="0"/>
          <w:lang w:eastAsia="en-IE"/>
          <w14:ligatures w14:val="none"/>
        </w:rPr>
      </w:pPr>
      <w:r w:rsidRPr="006D2A81">
        <w:rPr>
          <w:rFonts w:ascii="Calibri" w:eastAsia="Times New Roman" w:hAnsi="Calibri" w:cs="Calibri"/>
          <w:b/>
          <w:bCs/>
          <w:color w:val="00241A"/>
          <w:kern w:val="0"/>
          <w:lang w:eastAsia="en-IE"/>
          <w14:ligatures w14:val="none"/>
        </w:rPr>
        <w:t>Contract commencement, incumbent transition and TUPE.</w:t>
      </w:r>
    </w:p>
    <w:p w14:paraId="62F1D87A" w14:textId="77777777" w:rsidR="006D2A81" w:rsidRDefault="006D2A81" w:rsidP="00E302FC">
      <w:pPr>
        <w:pStyle w:val="ListParagraph"/>
        <w:shd w:val="clear" w:color="auto" w:fill="FFFFFF"/>
        <w:spacing w:after="100" w:afterAutospacing="1" w:line="240" w:lineRule="auto"/>
        <w:rPr>
          <w:rFonts w:ascii="Calibri" w:eastAsia="Times New Roman" w:hAnsi="Calibri" w:cs="Calibri"/>
          <w:color w:val="00241A"/>
          <w:kern w:val="0"/>
          <w:lang w:eastAsia="en-IE"/>
          <w14:ligatures w14:val="none"/>
        </w:rPr>
      </w:pPr>
      <w:r w:rsidRPr="006D2A81">
        <w:rPr>
          <w:rFonts w:ascii="Calibri" w:eastAsia="Times New Roman" w:hAnsi="Calibri" w:cs="Calibri"/>
          <w:color w:val="00241A"/>
          <w:kern w:val="0"/>
          <w:lang w:eastAsia="en-IE"/>
          <w14:ligatures w14:val="none"/>
        </w:rPr>
        <w:t>Please confirm the anticipated contract commencement date and expected mobilisation/transition period. Please also confirm whether the successful tenderer will be transitioning services from an existing MSSP and/or cyber security consultancy provider and, if so, whether relevant runbooks, SIEM configurations, detection content, service documentation and historical reporting will be made available during transition. In addition, given the RFT's provisions concerning transfer of undertakings, please confirm whether DCDE anticipates that any employee transfer arrangements will apply to this procurement and, if applicable, whether the relevant workforce information will be made available to tenderers.</w:t>
      </w:r>
    </w:p>
    <w:p w14:paraId="7899DFD4" w14:textId="77777777" w:rsidR="00BD2B2E" w:rsidRPr="006D2A81" w:rsidRDefault="00BD2B2E" w:rsidP="00E302FC">
      <w:pPr>
        <w:pStyle w:val="ListParagraph"/>
        <w:shd w:val="clear" w:color="auto" w:fill="FFFFFF"/>
        <w:spacing w:after="100" w:afterAutospacing="1" w:line="240" w:lineRule="auto"/>
        <w:rPr>
          <w:rFonts w:ascii="Calibri" w:eastAsia="Times New Roman" w:hAnsi="Calibri" w:cs="Calibri"/>
          <w:color w:val="00241A"/>
          <w:kern w:val="0"/>
          <w:lang w:eastAsia="en-IE"/>
          <w14:ligatures w14:val="none"/>
        </w:rPr>
      </w:pPr>
    </w:p>
    <w:p w14:paraId="730A9BA8" w14:textId="0E9AF050" w:rsidR="002E7041" w:rsidRDefault="003E3E7E">
      <w:pPr>
        <w:pStyle w:val="ListParagraph"/>
        <w:rPr>
          <w:b/>
          <w:sz w:val="20"/>
        </w:rPr>
      </w:pPr>
      <w:r w:rsidRPr="00064B09">
        <w:rPr>
          <w:b/>
          <w:sz w:val="20"/>
        </w:rPr>
        <w:t>The contract commencement date will follow completion of the procurement process and contract award. There is no incumbent MSSP, although a cyber security consultancy provider is currently supporting NIS2-related activities. Appropriate transition information will be shared for that workstream. No TUPE or employee transfer arrangements are required.</w:t>
      </w:r>
    </w:p>
    <w:p w14:paraId="0885D182" w14:textId="77777777" w:rsidR="00BD2B2E" w:rsidRDefault="00BD2B2E">
      <w:pPr>
        <w:pStyle w:val="ListParagraph"/>
        <w:rPr>
          <w:b/>
          <w:sz w:val="20"/>
        </w:rPr>
      </w:pPr>
    </w:p>
    <w:p w14:paraId="2A0A430B" w14:textId="77777777" w:rsidR="00BD2B2E" w:rsidRDefault="00BD2B2E">
      <w:pPr>
        <w:pStyle w:val="ListParagraph"/>
      </w:pPr>
    </w:p>
    <w:p w14:paraId="790265FA" w14:textId="77777777" w:rsidR="006D2A81" w:rsidRDefault="006D2A81" w:rsidP="006D2A81">
      <w:pPr>
        <w:pStyle w:val="ListParagraph"/>
        <w:numPr>
          <w:ilvl w:val="0"/>
          <w:numId w:val="100"/>
        </w:numPr>
        <w:shd w:val="clear" w:color="auto" w:fill="FFFFFF"/>
        <w:spacing w:after="100" w:afterAutospacing="1" w:line="240" w:lineRule="auto"/>
        <w:rPr>
          <w:rFonts w:ascii="Calibri" w:eastAsia="Times New Roman" w:hAnsi="Calibri" w:cs="Calibri"/>
          <w:color w:val="00241A"/>
          <w:kern w:val="0"/>
          <w:lang w:eastAsia="en-IE"/>
          <w14:ligatures w14:val="none"/>
        </w:rPr>
      </w:pPr>
      <w:r w:rsidRPr="006D2A81">
        <w:rPr>
          <w:rFonts w:ascii="Calibri" w:eastAsia="Times New Roman" w:hAnsi="Calibri" w:cs="Calibri"/>
          <w:color w:val="00241A"/>
          <w:kern w:val="0"/>
          <w:lang w:eastAsia="en-IE"/>
          <w14:ligatures w14:val="none"/>
        </w:rPr>
        <w:t>Please provide indicative volumes for the MSSP service, including number of users, endpoints, servers, identities, cloud workloads and other monitored assets, together with typical monthly alert/incident volumes where available </w:t>
      </w:r>
    </w:p>
    <w:p w14:paraId="280D2A36" w14:textId="77777777" w:rsidR="00BD2B2E" w:rsidRPr="006D2A81" w:rsidRDefault="00BD2B2E" w:rsidP="00BD2B2E">
      <w:pPr>
        <w:pStyle w:val="ListParagraph"/>
        <w:shd w:val="clear" w:color="auto" w:fill="FFFFFF"/>
        <w:spacing w:after="100" w:afterAutospacing="1" w:line="240" w:lineRule="auto"/>
        <w:rPr>
          <w:rFonts w:ascii="Calibri" w:eastAsia="Times New Roman" w:hAnsi="Calibri" w:cs="Calibri"/>
          <w:color w:val="00241A"/>
          <w:kern w:val="0"/>
          <w:lang w:eastAsia="en-IE"/>
          <w14:ligatures w14:val="none"/>
        </w:rPr>
      </w:pPr>
    </w:p>
    <w:p w14:paraId="6C0F2207" w14:textId="3C3EB9F7" w:rsidR="002E7041" w:rsidRDefault="00CE7BE5">
      <w:pPr>
        <w:pStyle w:val="ListParagraph"/>
        <w:rPr>
          <w:b/>
          <w:color w:val="000000" w:themeColor="text1"/>
          <w:sz w:val="20"/>
        </w:rPr>
      </w:pPr>
      <w:r w:rsidRPr="00387913">
        <w:rPr>
          <w:b/>
          <w:color w:val="000000" w:themeColor="text1"/>
          <w:sz w:val="20"/>
        </w:rPr>
        <w:t xml:space="preserve"> The in-scope environment is DCDE’s Azure tenant hosting line-of-business applications and related workloads. The Department has approximately 800 users on the tenant, </w:t>
      </w:r>
      <w:r w:rsidRPr="00387913">
        <w:rPr>
          <w:b/>
          <w:color w:val="000000" w:themeColor="text1"/>
          <w:sz w:val="20"/>
        </w:rPr>
        <w:lastRenderedPageBreak/>
        <w:t>approximately 150 guest users from another Government Department, a small number of contractor and service accounts, and approximately 4-5 line-of-business applications with a Fabric environment. End-user devices, mobile devices, Microsoft 365 services and the central Government tenant are generally out of scope unless otherwise stated. DCDE uses a cross-tenant B2B connection to the centrally hosted Government tenant. Identities are provided from Active Directory with SSO. PIM and RBAC are in operation, with a small number of service accounts and privileged users. The precise number of privileged accounts will be confirmed during mobilisation.</w:t>
      </w:r>
    </w:p>
    <w:p w14:paraId="09C74FFF" w14:textId="77777777" w:rsidR="00BD2B2E" w:rsidRDefault="00BD2B2E">
      <w:pPr>
        <w:pStyle w:val="ListParagraph"/>
        <w:rPr>
          <w:b/>
          <w:color w:val="000000" w:themeColor="text1"/>
          <w:sz w:val="20"/>
        </w:rPr>
      </w:pPr>
    </w:p>
    <w:p w14:paraId="4E643B7C" w14:textId="77777777" w:rsidR="00BD2B2E" w:rsidRDefault="00BD2B2E">
      <w:pPr>
        <w:pStyle w:val="ListParagraph"/>
      </w:pPr>
    </w:p>
    <w:p w14:paraId="1B994A46" w14:textId="77777777" w:rsidR="006D2A81" w:rsidRDefault="006D2A81" w:rsidP="006D2A81">
      <w:pPr>
        <w:pStyle w:val="ListParagraph"/>
        <w:numPr>
          <w:ilvl w:val="0"/>
          <w:numId w:val="100"/>
        </w:numPr>
        <w:shd w:val="clear" w:color="auto" w:fill="FFFFFF"/>
        <w:spacing w:after="100" w:afterAutospacing="1" w:line="240" w:lineRule="auto"/>
        <w:rPr>
          <w:rFonts w:ascii="Calibri" w:eastAsia="Times New Roman" w:hAnsi="Calibri" w:cs="Calibri"/>
          <w:color w:val="00241A"/>
          <w:kern w:val="0"/>
          <w:lang w:eastAsia="en-IE"/>
          <w14:ligatures w14:val="none"/>
        </w:rPr>
      </w:pPr>
      <w:r w:rsidRPr="006D2A81">
        <w:rPr>
          <w:rFonts w:ascii="Calibri" w:eastAsia="Times New Roman" w:hAnsi="Calibri" w:cs="Calibri"/>
          <w:color w:val="00241A"/>
          <w:kern w:val="0"/>
          <w:lang w:eastAsia="en-IE"/>
          <w14:ligatures w14:val="none"/>
        </w:rPr>
        <w:t>Please confirm whether any roles or activities are required to be delivered onsite in Ireland and, if so, the anticipated frequency/location. Please also confirm whether remote delivery from other EU/EEA locations is permissible.</w:t>
      </w:r>
    </w:p>
    <w:p w14:paraId="3065E831" w14:textId="77777777" w:rsidR="00BD2B2E" w:rsidRPr="006D2A81" w:rsidRDefault="00BD2B2E" w:rsidP="00BD2B2E">
      <w:pPr>
        <w:pStyle w:val="ListParagraph"/>
        <w:shd w:val="clear" w:color="auto" w:fill="FFFFFF"/>
        <w:spacing w:after="100" w:afterAutospacing="1" w:line="240" w:lineRule="auto"/>
        <w:rPr>
          <w:rFonts w:ascii="Calibri" w:eastAsia="Times New Roman" w:hAnsi="Calibri" w:cs="Calibri"/>
          <w:color w:val="00241A"/>
          <w:kern w:val="0"/>
          <w:lang w:eastAsia="en-IE"/>
          <w14:ligatures w14:val="none"/>
        </w:rPr>
      </w:pPr>
    </w:p>
    <w:p w14:paraId="62C33047" w14:textId="4D710861" w:rsidR="002E7041" w:rsidRDefault="00CE7BE5" w:rsidP="00D84344">
      <w:pPr>
        <w:pStyle w:val="ListParagraph"/>
        <w:rPr>
          <w:b/>
          <w:color w:val="000000" w:themeColor="text1"/>
          <w:sz w:val="20"/>
        </w:rPr>
      </w:pPr>
      <w:r w:rsidRPr="00387913">
        <w:rPr>
          <w:b/>
          <w:color w:val="000000" w:themeColor="text1"/>
          <w:sz w:val="20"/>
        </w:rPr>
        <w:t xml:space="preserve"> </w:t>
      </w:r>
      <w:r w:rsidR="00D84344" w:rsidRPr="00D84344">
        <w:t xml:space="preserve"> </w:t>
      </w:r>
      <w:r w:rsidR="00D84344" w:rsidRPr="00387913">
        <w:rPr>
          <w:b/>
          <w:color w:val="000000" w:themeColor="text1"/>
          <w:sz w:val="20"/>
        </w:rPr>
        <w:t xml:space="preserve">Travel and on-site attendance will be needed for a small number of meetings or for incident response exercises. This should be included in the </w:t>
      </w:r>
      <w:proofErr w:type="gramStart"/>
      <w:r w:rsidR="00D84344" w:rsidRPr="00387913">
        <w:rPr>
          <w:b/>
          <w:color w:val="000000" w:themeColor="text1"/>
          <w:sz w:val="20"/>
        </w:rPr>
        <w:t>costing, but</w:t>
      </w:r>
      <w:proofErr w:type="gramEnd"/>
      <w:r w:rsidR="00D84344" w:rsidRPr="00387913">
        <w:rPr>
          <w:b/>
          <w:color w:val="000000" w:themeColor="text1"/>
          <w:sz w:val="20"/>
        </w:rPr>
        <w:t xml:space="preserve"> is likely to be limited to ad hoc meetings or exercises. Attendance at on-site meetings in Dublin only, as needed, should be included. Schedules will be agreed with the successful tenderer during mobilisation and contract governance. Delivery from other EU/EEA locations is permissible.</w:t>
      </w:r>
    </w:p>
    <w:p w14:paraId="4237FAD7" w14:textId="77777777" w:rsidR="00BD2B2E" w:rsidRPr="00387913" w:rsidRDefault="00BD2B2E" w:rsidP="00D84344">
      <w:pPr>
        <w:pStyle w:val="ListParagraph"/>
        <w:rPr>
          <w:b/>
          <w:color w:val="000000" w:themeColor="text1"/>
          <w:sz w:val="20"/>
        </w:rPr>
      </w:pPr>
    </w:p>
    <w:p w14:paraId="751FED41" w14:textId="77777777" w:rsidR="006D2A81" w:rsidRPr="006D2A81" w:rsidRDefault="006D2A81" w:rsidP="006D2A81">
      <w:pPr>
        <w:pStyle w:val="ListParagraph"/>
        <w:shd w:val="clear" w:color="auto" w:fill="FFFFFF"/>
        <w:spacing w:after="100" w:afterAutospacing="1" w:line="240" w:lineRule="auto"/>
        <w:rPr>
          <w:rFonts w:ascii="Calibri" w:eastAsia="Times New Roman" w:hAnsi="Calibri" w:cs="Calibri"/>
          <w:color w:val="00241A"/>
          <w:kern w:val="0"/>
          <w:lang w:eastAsia="en-IE"/>
          <w14:ligatures w14:val="none"/>
        </w:rPr>
      </w:pPr>
      <w:r w:rsidRPr="006D2A81">
        <w:rPr>
          <w:rFonts w:ascii="Calibri" w:eastAsia="Times New Roman" w:hAnsi="Calibri" w:cs="Calibri"/>
          <w:color w:val="00241A"/>
          <w:kern w:val="0"/>
          <w:lang w:eastAsia="en-IE"/>
          <w14:ligatures w14:val="none"/>
        </w:rPr>
        <w:t> </w:t>
      </w:r>
    </w:p>
    <w:p w14:paraId="64DDD22B" w14:textId="77777777" w:rsidR="006D2A81" w:rsidRDefault="006D2A81" w:rsidP="006D2A81">
      <w:pPr>
        <w:pStyle w:val="ListParagraph"/>
        <w:numPr>
          <w:ilvl w:val="0"/>
          <w:numId w:val="100"/>
        </w:numPr>
        <w:shd w:val="clear" w:color="auto" w:fill="FFFFFF"/>
        <w:spacing w:after="100" w:afterAutospacing="1" w:line="240" w:lineRule="auto"/>
        <w:rPr>
          <w:rFonts w:ascii="Calibri" w:eastAsia="Times New Roman" w:hAnsi="Calibri" w:cs="Calibri"/>
          <w:color w:val="00241A"/>
          <w:kern w:val="0"/>
          <w:lang w:eastAsia="en-IE"/>
          <w14:ligatures w14:val="none"/>
        </w:rPr>
      </w:pPr>
      <w:r w:rsidRPr="006D2A81">
        <w:rPr>
          <w:rFonts w:ascii="Calibri" w:eastAsia="Times New Roman" w:hAnsi="Calibri" w:cs="Calibri"/>
          <w:color w:val="00241A"/>
          <w:kern w:val="0"/>
          <w:lang w:eastAsia="en-IE"/>
          <w14:ligatures w14:val="none"/>
        </w:rPr>
        <w:t>Has DCDE already completed a NIS2/CyFun maturity or gap assessment and whether outputs will be made available to the successful supplier.</w:t>
      </w:r>
    </w:p>
    <w:p w14:paraId="02F1C8B6" w14:textId="77777777" w:rsidR="00BD2B2E" w:rsidRPr="006D2A81" w:rsidRDefault="00BD2B2E" w:rsidP="00BD2B2E">
      <w:pPr>
        <w:pStyle w:val="ListParagraph"/>
        <w:shd w:val="clear" w:color="auto" w:fill="FFFFFF"/>
        <w:spacing w:after="100" w:afterAutospacing="1" w:line="240" w:lineRule="auto"/>
        <w:rPr>
          <w:rFonts w:ascii="Calibri" w:eastAsia="Times New Roman" w:hAnsi="Calibri" w:cs="Calibri"/>
          <w:color w:val="00241A"/>
          <w:kern w:val="0"/>
          <w:lang w:eastAsia="en-IE"/>
          <w14:ligatures w14:val="none"/>
        </w:rPr>
      </w:pPr>
    </w:p>
    <w:p w14:paraId="2CD4A9B1" w14:textId="045B4E4E" w:rsidR="002E7041" w:rsidRDefault="00CE7BE5">
      <w:pPr>
        <w:pStyle w:val="ListParagraph"/>
        <w:rPr>
          <w:b/>
          <w:color w:val="000000" w:themeColor="text1"/>
          <w:sz w:val="20"/>
        </w:rPr>
      </w:pPr>
      <w:r w:rsidRPr="00387913">
        <w:rPr>
          <w:b/>
          <w:color w:val="000000" w:themeColor="text1"/>
          <w:sz w:val="20"/>
        </w:rPr>
        <w:t xml:space="preserve"> A NIS2 readiness assessment has been completed. Details are addressed in section 1.2 of the RFT. The recommendations from the gap analysis are grouped into 8 initiatives, 4 of which remain outstanding. DCDE’s target is to reach approximately 3.5 on the CyFun scale. Further detail </w:t>
      </w:r>
      <w:r w:rsidR="003E3E7E" w:rsidRPr="00387913">
        <w:rPr>
          <w:b/>
          <w:color w:val="000000" w:themeColor="text1"/>
          <w:sz w:val="20"/>
        </w:rPr>
        <w:t xml:space="preserve">will </w:t>
      </w:r>
      <w:r w:rsidRPr="00387913">
        <w:rPr>
          <w:b/>
          <w:color w:val="000000" w:themeColor="text1"/>
          <w:sz w:val="20"/>
        </w:rPr>
        <w:t>be shared with the successful supplier subject to confidentiality and procurement requirements. The successful tenderer should support DCDE in aligning with NIS2, CER where applicable, CyFun, Irish Risk Management Measures, the National Cyber Security Bill and relevant NCSC guidance. DCDE expects a pragmatic mapping approach, with CyFun and the Irish risk management measures used as the operational assurance model where relevant, while recognising that statutory obligations and final competent-authority requirements will prevail once confirmed.</w:t>
      </w:r>
    </w:p>
    <w:p w14:paraId="6EC42569" w14:textId="77777777" w:rsidR="00BD2B2E" w:rsidRDefault="00BD2B2E">
      <w:pPr>
        <w:pStyle w:val="ListParagraph"/>
      </w:pPr>
    </w:p>
    <w:p w14:paraId="757EBE9E" w14:textId="77777777" w:rsidR="00EB5EC9" w:rsidRDefault="002168CA" w:rsidP="00EB5EC9">
      <w:pPr>
        <w:numPr>
          <w:ilvl w:val="0"/>
          <w:numId w:val="100"/>
        </w:numPr>
        <w:rPr>
          <w:rFonts w:ascii="Calibri" w:hAnsi="Calibri" w:cs="Calibri"/>
        </w:rPr>
      </w:pPr>
      <w:r w:rsidRPr="38FA82E9">
        <w:rPr>
          <w:rFonts w:ascii="Calibri" w:hAnsi="Calibri" w:cs="Calibri"/>
        </w:rPr>
        <w:t>Can DCDE confirm whether CVs should be embedded within the tender response document or submitted as separate attachments?</w:t>
      </w:r>
    </w:p>
    <w:p w14:paraId="1A63B301" w14:textId="3DD7AA60" w:rsidR="002E7041" w:rsidRDefault="00CE7BE5">
      <w:pPr>
        <w:pStyle w:val="ListParagraph"/>
        <w:rPr>
          <w:b/>
          <w:color w:val="000000" w:themeColor="text1"/>
          <w:sz w:val="20"/>
        </w:rPr>
      </w:pPr>
      <w:r w:rsidRPr="00387913">
        <w:rPr>
          <w:b/>
          <w:color w:val="000000" w:themeColor="text1"/>
          <w:sz w:val="20"/>
        </w:rPr>
        <w:t xml:space="preserve"> Tenderers should follow the RFT requirements. CVs for key personnel should be provided as required and limited to a maximum of 2 A4 pages of Calibri font size 11 per CV. CVs may be submitted as separate attachments and are not included in the B2 page limit. Other supporting documentation must be available without delay when requested by the Contracting Authority unless expressly required with the tender.</w:t>
      </w:r>
    </w:p>
    <w:p w14:paraId="17C50389" w14:textId="77777777" w:rsidR="00BD2B2E" w:rsidRDefault="00BD2B2E">
      <w:pPr>
        <w:pStyle w:val="ListParagraph"/>
      </w:pPr>
    </w:p>
    <w:p w14:paraId="7DD6EDB9" w14:textId="77777777" w:rsidR="002168CA" w:rsidRDefault="002168CA" w:rsidP="00EB5EC9">
      <w:pPr>
        <w:numPr>
          <w:ilvl w:val="0"/>
          <w:numId w:val="100"/>
        </w:numPr>
        <w:rPr>
          <w:rFonts w:ascii="Calibri" w:hAnsi="Calibri" w:cs="Calibri"/>
        </w:rPr>
      </w:pPr>
      <w:r w:rsidRPr="00462A29">
        <w:rPr>
          <w:rFonts w:ascii="Calibri" w:hAnsi="Calibri" w:cs="Calibri"/>
        </w:rPr>
        <w:t>Can DCDE confirm the current SIEM platform and other security tools in use (e.g. Sentinel, Defender XDR, EDR, vulnerability management, IAM)?</w:t>
      </w:r>
    </w:p>
    <w:p w14:paraId="396AD389" w14:textId="7C256C04" w:rsidR="002E7041" w:rsidRDefault="00CE7BE5" w:rsidP="0073495A">
      <w:pPr>
        <w:pStyle w:val="ListParagraph"/>
        <w:rPr>
          <w:b/>
          <w:color w:val="000000" w:themeColor="text1"/>
          <w:sz w:val="20"/>
        </w:rPr>
      </w:pPr>
      <w:r w:rsidRPr="00387913">
        <w:rPr>
          <w:b/>
          <w:color w:val="000000" w:themeColor="text1"/>
          <w:sz w:val="20"/>
        </w:rPr>
        <w:lastRenderedPageBreak/>
        <w:t xml:space="preserve"> </w:t>
      </w:r>
      <w:r w:rsidR="0073495A" w:rsidRPr="00387913">
        <w:rPr>
          <w:b/>
          <w:color w:val="000000" w:themeColor="text1"/>
          <w:sz w:val="20"/>
        </w:rPr>
        <w:t>Microsoft Entra External ID is used for workload IAM and is a control layer for the analytics platform. Privileged Identity Management is used in Microsoft Entra for standard RBAC controls for the Azure Solution. Microsoft Sentinel is provided via a landing zone but is not yet fully operational. The successful tenderer will assist DCDE with configuration, optimisation, onboarding, detection content, reporting and operationalisation of the current SIEM solution. Microsoft Defender for Cloud is enabled for the specific resources hosted within the Azure environment.</w:t>
      </w:r>
    </w:p>
    <w:p w14:paraId="2379EDE1" w14:textId="77777777" w:rsidR="00BD2B2E" w:rsidRPr="00387913" w:rsidRDefault="00BD2B2E" w:rsidP="0073495A">
      <w:pPr>
        <w:pStyle w:val="ListParagraph"/>
        <w:rPr>
          <w:b/>
          <w:color w:val="000000" w:themeColor="text1"/>
          <w:sz w:val="20"/>
        </w:rPr>
      </w:pPr>
    </w:p>
    <w:p w14:paraId="5241F607" w14:textId="77777777" w:rsidR="002168CA" w:rsidRDefault="002168CA" w:rsidP="00EB5EC9">
      <w:pPr>
        <w:numPr>
          <w:ilvl w:val="0"/>
          <w:numId w:val="100"/>
        </w:numPr>
        <w:rPr>
          <w:rFonts w:ascii="Calibri" w:hAnsi="Calibri" w:cs="Calibri"/>
        </w:rPr>
      </w:pPr>
      <w:r w:rsidRPr="38FA82E9">
        <w:rPr>
          <w:rFonts w:ascii="Calibri" w:hAnsi="Calibri" w:cs="Calibri"/>
        </w:rPr>
        <w:t>Can DCDE share indicative volumes for alerts [including high/critical], users, endpoints, servers, cloud workloads, and SIEM log ingestion for MSSP pricing?</w:t>
      </w:r>
    </w:p>
    <w:p w14:paraId="47883A6B" w14:textId="12F207DA" w:rsidR="002E7041" w:rsidRDefault="00D12346">
      <w:pPr>
        <w:pStyle w:val="ListParagraph"/>
        <w:rPr>
          <w:b/>
          <w:color w:val="000000" w:themeColor="text1"/>
          <w:sz w:val="20"/>
        </w:rPr>
      </w:pPr>
      <w:r w:rsidRPr="00387913">
        <w:rPr>
          <w:b/>
          <w:color w:val="000000" w:themeColor="text1"/>
          <w:sz w:val="20"/>
        </w:rPr>
        <w:t xml:space="preserve">DCDE can currently provide only indicative sizing information. The in-scope environment includes approximately 800 users, 150 guest users, and 4-5 line-of-business applications. Reliable historical SIEM ingestion, alert, incident and high/critical alert volumes are not currently available, as no MSSP service is in place for the environment. </w:t>
      </w:r>
    </w:p>
    <w:p w14:paraId="7E2A2444" w14:textId="77777777" w:rsidR="00BD2B2E" w:rsidRDefault="00BD2B2E">
      <w:pPr>
        <w:pStyle w:val="ListParagraph"/>
      </w:pPr>
    </w:p>
    <w:p w14:paraId="5035E679" w14:textId="77777777" w:rsidR="002168CA" w:rsidRDefault="002168CA" w:rsidP="00EB5EC9">
      <w:pPr>
        <w:numPr>
          <w:ilvl w:val="0"/>
          <w:numId w:val="100"/>
        </w:numPr>
        <w:rPr>
          <w:rFonts w:ascii="Calibri" w:hAnsi="Calibri" w:cs="Calibri"/>
        </w:rPr>
      </w:pPr>
      <w:r w:rsidRPr="00462A29">
        <w:rPr>
          <w:rFonts w:ascii="Calibri" w:hAnsi="Calibri" w:cs="Calibri"/>
        </w:rPr>
        <w:t xml:space="preserve">Can DCDE summarise the current NIS2 readiness assessment findings, including the number and nature of outstanding gaps for the initial </w:t>
      </w:r>
      <w:proofErr w:type="gramStart"/>
      <w:r w:rsidRPr="00462A29">
        <w:rPr>
          <w:rFonts w:ascii="Calibri" w:hAnsi="Calibri" w:cs="Calibri"/>
        </w:rPr>
        <w:t>8-9 month</w:t>
      </w:r>
      <w:proofErr w:type="gramEnd"/>
      <w:r w:rsidRPr="00462A29">
        <w:rPr>
          <w:rFonts w:ascii="Calibri" w:hAnsi="Calibri" w:cs="Calibri"/>
        </w:rPr>
        <w:t xml:space="preserve"> implementation phase?</w:t>
      </w:r>
    </w:p>
    <w:p w14:paraId="3ED7945D" w14:textId="5395D2E4" w:rsidR="002E7041" w:rsidRDefault="00CE7BE5">
      <w:pPr>
        <w:pStyle w:val="ListParagraph"/>
        <w:rPr>
          <w:b/>
          <w:color w:val="000000" w:themeColor="text1"/>
          <w:sz w:val="20"/>
        </w:rPr>
      </w:pPr>
      <w:r w:rsidRPr="00387913">
        <w:rPr>
          <w:b/>
          <w:color w:val="000000" w:themeColor="text1"/>
          <w:sz w:val="20"/>
        </w:rPr>
        <w:t xml:space="preserve"> A NIS2 readiness assessment has been completed. Details are addressed in section 1.2 of the RFT. The recommendations from the gap analysis are grouped into 8 initiatives, 4 of which remain outstanding. DCDE’s target is to reach approximately 3.5 on the CyFun scale. Further detail may be shared with the successful supplier subject to confidentiality and procurement requirements. The successful tenderer should support DCDE in aligning with NIS2, CER where applicable, CyFun, Irish Risk Management Measures, the National Cyber Security Bill and relevant NCSC guidance. DCDE expects a pragmatic mapping approach, with CyFun and the Irish risk management measures used as the operational assurance model where relevant, while recognising that statutory obligations and final competent-authority requirements will prevail once confirmed.</w:t>
      </w:r>
    </w:p>
    <w:p w14:paraId="6ACDF0F4" w14:textId="77777777" w:rsidR="00BD2B2E" w:rsidRDefault="00BD2B2E">
      <w:pPr>
        <w:pStyle w:val="ListParagraph"/>
      </w:pPr>
    </w:p>
    <w:p w14:paraId="6F63768B" w14:textId="77777777" w:rsidR="002168CA" w:rsidRDefault="002168CA" w:rsidP="00EB5EC9">
      <w:pPr>
        <w:numPr>
          <w:ilvl w:val="0"/>
          <w:numId w:val="100"/>
        </w:numPr>
        <w:rPr>
          <w:rFonts w:ascii="Calibri" w:hAnsi="Calibri" w:cs="Calibri"/>
        </w:rPr>
      </w:pPr>
      <w:r w:rsidRPr="00462A29">
        <w:rPr>
          <w:rFonts w:ascii="Calibri" w:hAnsi="Calibri" w:cs="Calibri"/>
        </w:rPr>
        <w:t>Is there an incumbent provider for any cyber consultancy, NIS2, MSSP, or security monitoring services, and will transition support be available?</w:t>
      </w:r>
    </w:p>
    <w:p w14:paraId="55C7ACA1" w14:textId="4F71A822" w:rsidR="002E7041" w:rsidRDefault="00CE7BE5">
      <w:pPr>
        <w:pStyle w:val="ListParagraph"/>
        <w:rPr>
          <w:b/>
          <w:color w:val="000000" w:themeColor="text1"/>
          <w:sz w:val="20"/>
        </w:rPr>
      </w:pPr>
      <w:r w:rsidRPr="00387913">
        <w:rPr>
          <w:b/>
          <w:color w:val="000000" w:themeColor="text1"/>
          <w:sz w:val="20"/>
        </w:rPr>
        <w:t xml:space="preserve"> There is no incumbent MSSP or SOC provider for the in-scope tenant. DCDE has a current provider for NIS2 gap analysis and cybersecurity consultancy/governance support;</w:t>
      </w:r>
      <w:r w:rsidR="00EB70C1" w:rsidRPr="00387913">
        <w:rPr>
          <w:b/>
          <w:color w:val="000000" w:themeColor="text1"/>
          <w:sz w:val="20"/>
        </w:rPr>
        <w:t xml:space="preserve"> A NIS2 readiness assessment has been completed. Details are addressed in section 1.2 of the RFT. The recommendations from the gap analysis are grouped into 8 initiatives, 4 of which remain outstanding. DCDE’s target is to reach approximately 3.5 on the CyFun scale. </w:t>
      </w:r>
      <w:r w:rsidR="006D5B6E" w:rsidRPr="00387913">
        <w:rPr>
          <w:b/>
          <w:color w:val="000000" w:themeColor="text1"/>
          <w:sz w:val="20"/>
        </w:rPr>
        <w:t>Appropriate transition information will be shared for that workstream.</w:t>
      </w:r>
    </w:p>
    <w:p w14:paraId="3E481EC3" w14:textId="77777777" w:rsidR="00BD2B2E" w:rsidRDefault="00BD2B2E">
      <w:pPr>
        <w:pStyle w:val="ListParagraph"/>
      </w:pPr>
    </w:p>
    <w:p w14:paraId="68367953" w14:textId="77777777" w:rsidR="002168CA" w:rsidRDefault="002168CA" w:rsidP="00EB5EC9">
      <w:pPr>
        <w:numPr>
          <w:ilvl w:val="0"/>
          <w:numId w:val="100"/>
        </w:numPr>
        <w:rPr>
          <w:rFonts w:ascii="Calibri" w:hAnsi="Calibri" w:cs="Calibri"/>
        </w:rPr>
      </w:pPr>
      <w:r w:rsidRPr="38FA82E9">
        <w:rPr>
          <w:rFonts w:ascii="Calibri" w:hAnsi="Calibri" w:cs="Calibri"/>
        </w:rPr>
        <w:t>The RFT states that optional 24x7 monitoring should be provided as a separately priced enhanced service. However, no dedicated pricing line for optional 24x7 monitoring appears within the pricing table. Can DCDE confirm where this optional service should be priced and whether it should be included in the Total Cost used for evaluation?</w:t>
      </w:r>
    </w:p>
    <w:p w14:paraId="0CD94105" w14:textId="3FAFF392" w:rsidR="002E7041" w:rsidRDefault="006D5B6E" w:rsidP="006D5B6E">
      <w:pPr>
        <w:pStyle w:val="ListParagraph"/>
        <w:rPr>
          <w:b/>
          <w:color w:val="000000" w:themeColor="text1"/>
          <w:sz w:val="20"/>
        </w:rPr>
      </w:pPr>
      <w:r w:rsidRPr="00387913">
        <w:rPr>
          <w:b/>
          <w:color w:val="000000" w:themeColor="text1"/>
          <w:sz w:val="20"/>
        </w:rPr>
        <w:lastRenderedPageBreak/>
        <w:t xml:space="preserve">Tenderers should provide </w:t>
      </w:r>
      <w:r w:rsidRPr="00387913">
        <w:rPr>
          <w:b/>
          <w:bCs/>
          <w:color w:val="000000" w:themeColor="text1"/>
          <w:sz w:val="20"/>
        </w:rPr>
        <w:t>separate pricing</w:t>
      </w:r>
      <w:r w:rsidRPr="00387913">
        <w:rPr>
          <w:b/>
          <w:color w:val="000000" w:themeColor="text1"/>
          <w:sz w:val="20"/>
        </w:rPr>
        <w:t xml:space="preserve"> for the optional 24x7 monitoring service, clearly identifying it within their pricing submission. The optional service will be evaluated separately for quality, cost and value for money and may be activated at DCDE's discretion.</w:t>
      </w:r>
    </w:p>
    <w:p w14:paraId="54705557" w14:textId="77777777" w:rsidR="00BD2B2E" w:rsidRPr="00387913" w:rsidRDefault="00BD2B2E" w:rsidP="006D5B6E">
      <w:pPr>
        <w:pStyle w:val="ListParagraph"/>
        <w:rPr>
          <w:b/>
          <w:color w:val="000000" w:themeColor="text1"/>
          <w:sz w:val="20"/>
        </w:rPr>
      </w:pPr>
    </w:p>
    <w:p w14:paraId="05A00475" w14:textId="77777777" w:rsidR="002168CA" w:rsidRDefault="002168CA" w:rsidP="00EB5EC9">
      <w:pPr>
        <w:numPr>
          <w:ilvl w:val="0"/>
          <w:numId w:val="100"/>
        </w:numPr>
        <w:rPr>
          <w:rFonts w:ascii="Calibri" w:hAnsi="Calibri" w:cs="Calibri"/>
        </w:rPr>
      </w:pPr>
      <w:r w:rsidRPr="00462A29">
        <w:rPr>
          <w:rFonts w:ascii="Calibri" w:hAnsi="Calibri" w:cs="Calibri"/>
        </w:rPr>
        <w:t>For the optional 24x7 monitoring service, can DCDE clarify the expected service levels, alert response times, and whether active remediation would be needed outside business hours?</w:t>
      </w:r>
    </w:p>
    <w:p w14:paraId="66D7B359" w14:textId="3B3A8DBE" w:rsidR="002E7041" w:rsidRDefault="006D5B6E">
      <w:pPr>
        <w:pStyle w:val="ListParagraph"/>
        <w:rPr>
          <w:b/>
          <w:color w:val="000000" w:themeColor="text1"/>
          <w:sz w:val="20"/>
        </w:rPr>
      </w:pPr>
      <w:r w:rsidRPr="006D5B6E">
        <w:t xml:space="preserve"> </w:t>
      </w:r>
      <w:r w:rsidRPr="00387913">
        <w:rPr>
          <w:b/>
          <w:color w:val="000000" w:themeColor="text1"/>
          <w:sz w:val="20"/>
        </w:rPr>
        <w:t xml:space="preserve">The optional 24x7 service should provide continuous monitoring and response outside business hours. Tenderers should propose appropriate service levels and response times as part of their submission. Active remediation would only be expected where agreed in advance through approved procedures, emergency runbooks or incident response arrangements. </w:t>
      </w:r>
    </w:p>
    <w:p w14:paraId="701167C2" w14:textId="77777777" w:rsidR="00BD2B2E" w:rsidRDefault="00BD2B2E">
      <w:pPr>
        <w:pStyle w:val="ListParagraph"/>
      </w:pPr>
    </w:p>
    <w:p w14:paraId="7C085C08" w14:textId="77777777" w:rsidR="002168CA" w:rsidRDefault="002168CA" w:rsidP="00EB5EC9">
      <w:pPr>
        <w:numPr>
          <w:ilvl w:val="0"/>
          <w:numId w:val="100"/>
        </w:numPr>
        <w:rPr>
          <w:rFonts w:ascii="Calibri" w:hAnsi="Calibri" w:cs="Calibri"/>
        </w:rPr>
      </w:pPr>
      <w:r w:rsidRPr="00462A29">
        <w:rPr>
          <w:rFonts w:ascii="Calibri" w:hAnsi="Calibri" w:cs="Calibri"/>
        </w:rPr>
        <w:t>Can DCDE provide an indicative budget split between the initial NIS2 implementation phase and ongoing MSSP/assurance services?</w:t>
      </w:r>
    </w:p>
    <w:p w14:paraId="67BFA507" w14:textId="65076E07" w:rsidR="002E7041" w:rsidRDefault="006D5B6E">
      <w:pPr>
        <w:pStyle w:val="ListParagraph"/>
        <w:rPr>
          <w:b/>
          <w:color w:val="000000" w:themeColor="text1"/>
          <w:sz w:val="20"/>
        </w:rPr>
      </w:pPr>
      <w:r w:rsidRPr="00387913">
        <w:rPr>
          <w:b/>
          <w:color w:val="000000" w:themeColor="text1"/>
          <w:sz w:val="20"/>
        </w:rPr>
        <w:t xml:space="preserve">DCDE cannot provide an indicative budget split between the initial NIS2 implementation phase and ongoing MSSP/assurance services. Tenderers should propose an appropriate resourcing and pricing model based on the requirements set out in the RFT. The overall maximum contract value and pricing requirements are detailed in the procurement documents. </w:t>
      </w:r>
    </w:p>
    <w:p w14:paraId="6500579A" w14:textId="77777777" w:rsidR="00BD2B2E" w:rsidRDefault="00BD2B2E">
      <w:pPr>
        <w:pStyle w:val="ListParagraph"/>
      </w:pPr>
    </w:p>
    <w:p w14:paraId="3E2ADCC7" w14:textId="77777777" w:rsidR="002168CA" w:rsidRDefault="002168CA" w:rsidP="00EB5EC9">
      <w:pPr>
        <w:numPr>
          <w:ilvl w:val="0"/>
          <w:numId w:val="100"/>
        </w:numPr>
        <w:rPr>
          <w:rFonts w:ascii="Calibri" w:hAnsi="Calibri" w:cs="Calibri"/>
        </w:rPr>
      </w:pPr>
      <w:r w:rsidRPr="00D07FDF">
        <w:rPr>
          <w:rFonts w:ascii="Calibri" w:hAnsi="Calibri" w:cs="Calibri"/>
        </w:rPr>
        <w:t>Can DCDE provide an indicative count of line-of-business applications currently in scope for MSSP monitoring, including Power Platform, SharePoint, Microsoft Fabric and any planned Dynamics workloads?</w:t>
      </w:r>
    </w:p>
    <w:p w14:paraId="0D6492F7" w14:textId="592D9871" w:rsidR="002E7041" w:rsidRDefault="00CE7BE5">
      <w:pPr>
        <w:pStyle w:val="ListParagraph"/>
        <w:rPr>
          <w:b/>
          <w:color w:val="000000" w:themeColor="text1"/>
          <w:sz w:val="20"/>
        </w:rPr>
      </w:pPr>
      <w:r w:rsidRPr="00387913">
        <w:rPr>
          <w:b/>
          <w:color w:val="000000" w:themeColor="text1"/>
          <w:sz w:val="20"/>
        </w:rPr>
        <w:t xml:space="preserve">Tenderers should assume approximately 4-5 line-of-business applications, with a Fabric environment and Microsoft-based workloads including Power Apps, Power Pages and SharePoint. Future Dynamics workloads have no confirmed timeline. Additional application onboarding </w:t>
      </w:r>
      <w:r w:rsidR="006D5B6E" w:rsidRPr="00387913">
        <w:rPr>
          <w:b/>
          <w:color w:val="000000" w:themeColor="text1"/>
          <w:sz w:val="20"/>
        </w:rPr>
        <w:t xml:space="preserve">will </w:t>
      </w:r>
      <w:r w:rsidRPr="00387913">
        <w:rPr>
          <w:b/>
          <w:color w:val="000000" w:themeColor="text1"/>
          <w:sz w:val="20"/>
        </w:rPr>
        <w:t>be required during the contract term subject to DCDE priorities and agreed onboarding activity.</w:t>
      </w:r>
    </w:p>
    <w:p w14:paraId="7B04CAD6" w14:textId="77777777" w:rsidR="00BD2B2E" w:rsidRDefault="00BD2B2E">
      <w:pPr>
        <w:pStyle w:val="ListParagraph"/>
      </w:pPr>
    </w:p>
    <w:p w14:paraId="6666CAF2" w14:textId="77777777" w:rsidR="002168CA" w:rsidRDefault="002168CA" w:rsidP="00EB5EC9">
      <w:pPr>
        <w:numPr>
          <w:ilvl w:val="0"/>
          <w:numId w:val="100"/>
        </w:numPr>
        <w:rPr>
          <w:rFonts w:ascii="Calibri" w:hAnsi="Calibri" w:cs="Calibri"/>
        </w:rPr>
      </w:pPr>
      <w:r w:rsidRPr="00AE1181">
        <w:rPr>
          <w:rFonts w:ascii="Calibri" w:hAnsi="Calibri" w:cs="Calibri"/>
        </w:rPr>
        <w:t>Can DCDE provide an indication of the number of existing and anticipated future log sources expected to be onboarded during the contract term?</w:t>
      </w:r>
    </w:p>
    <w:p w14:paraId="10848F1E" w14:textId="01E669E9" w:rsidR="002E7041" w:rsidRDefault="00CE7BE5">
      <w:pPr>
        <w:pStyle w:val="ListParagraph"/>
      </w:pPr>
      <w:r w:rsidRPr="00387913">
        <w:rPr>
          <w:b/>
          <w:color w:val="000000" w:themeColor="text1"/>
          <w:sz w:val="20"/>
        </w:rPr>
        <w:t xml:space="preserve">Microsoft Sentinel is provided via a landing zone but is not yet fully operational. DCDE does not currently have an MSSP in place. The successful tenderer will assist DCDE with configuration, optimisation, onboarding, detection content, reporting and operationalisation of the current SIEM solution. DCDE will remain responsible for SIEM licensing and data ingestion/retention costs unless otherwise agreed. Current scheduled log ingestion and review are not yet operational. Data connectors are currently set for Microsoft Defender for Cloud, Network Security Groups, Azure Activity, Entra ID and Azure Monitor. NSG flow logs are not currently configured. Additional sources may include Microsoft infrastructure and line-of-business application logs, including Power Apps, Power Pages, Microsoft Fabric, SharePoint Online, Dynamics when introduced, and other sources </w:t>
      </w:r>
      <w:r w:rsidRPr="00387913">
        <w:rPr>
          <w:b/>
          <w:color w:val="000000" w:themeColor="text1"/>
          <w:sz w:val="20"/>
        </w:rPr>
        <w:lastRenderedPageBreak/>
        <w:t>identified during mobilisation. Current GB/day, EPS and monthly alert volumes are not available.</w:t>
      </w:r>
    </w:p>
    <w:p w14:paraId="48732646" w14:textId="77777777" w:rsidR="00D647FF" w:rsidRPr="00CD12DB" w:rsidRDefault="00CD12DB" w:rsidP="00EB5EC9">
      <w:pPr>
        <w:numPr>
          <w:ilvl w:val="0"/>
          <w:numId w:val="100"/>
        </w:numPr>
        <w:rPr>
          <w:rFonts w:ascii="Calibri" w:hAnsi="Calibri" w:cs="Calibri"/>
        </w:rPr>
      </w:pPr>
      <w:r>
        <w:rPr>
          <w:szCs w:val="18"/>
        </w:rPr>
        <w:t>As NIS2 is not yet transposed in Ireland and the National Cyber Security Bill is not yet enacted, which legal or regulatory baseline should the supplier treat as the binding reference for deliverables at contract signature?</w:t>
      </w:r>
    </w:p>
    <w:p w14:paraId="04902400" w14:textId="070D1521" w:rsidR="002E7041" w:rsidRDefault="00CE7BE5">
      <w:pPr>
        <w:pStyle w:val="ListParagraph"/>
        <w:rPr>
          <w:b/>
          <w:color w:val="000000" w:themeColor="text1"/>
          <w:sz w:val="20"/>
        </w:rPr>
      </w:pPr>
      <w:r w:rsidRPr="00387913">
        <w:rPr>
          <w:b/>
          <w:color w:val="000000" w:themeColor="text1"/>
          <w:sz w:val="20"/>
        </w:rPr>
        <w:t xml:space="preserve"> </w:t>
      </w:r>
      <w:r w:rsidR="006D5B6E" w:rsidRPr="00387913">
        <w:rPr>
          <w:b/>
          <w:color w:val="000000" w:themeColor="text1"/>
          <w:sz w:val="20"/>
        </w:rPr>
        <w:t>At contract signature, the supplier should treat the requirements set out in the RFT, NCSC guidance, CyFun, the Irish Risk Management Measures and applicable Irish and EU law as the baseline. The successful supplier must also support DCDE in adapting to future NIS2 and National Cyber Security Bill requirements as they are implemented.</w:t>
      </w:r>
    </w:p>
    <w:p w14:paraId="7A14B267" w14:textId="77777777" w:rsidR="00BD2B2E" w:rsidRDefault="00BD2B2E">
      <w:pPr>
        <w:pStyle w:val="ListParagraph"/>
      </w:pPr>
    </w:p>
    <w:p w14:paraId="28C1BBF0" w14:textId="77777777" w:rsidR="00CD12DB" w:rsidRPr="00CD12DB" w:rsidRDefault="00CD12DB" w:rsidP="00EB5EC9">
      <w:pPr>
        <w:numPr>
          <w:ilvl w:val="0"/>
          <w:numId w:val="100"/>
        </w:numPr>
        <w:rPr>
          <w:rFonts w:ascii="Calibri" w:hAnsi="Calibri" w:cs="Calibri"/>
        </w:rPr>
      </w:pPr>
      <w:r>
        <w:rPr>
          <w:szCs w:val="18"/>
        </w:rPr>
        <w:t>The Irish Risk Management Measures (RMMs) are currently in draft. Which version and date should be treated as the reference baseline, and how will DCDE handle changes arising from the final RMMs over the contract term (for example, through a formal change-control or re-baselining mechanism)?</w:t>
      </w:r>
    </w:p>
    <w:p w14:paraId="2B53B8E9" w14:textId="4F2B2F0E" w:rsidR="002E7041" w:rsidRDefault="00CE7BE5">
      <w:pPr>
        <w:pStyle w:val="ListParagraph"/>
        <w:rPr>
          <w:b/>
          <w:color w:val="000000" w:themeColor="text1"/>
          <w:sz w:val="20"/>
        </w:rPr>
      </w:pPr>
      <w:r w:rsidRPr="00387913">
        <w:rPr>
          <w:b/>
          <w:color w:val="000000" w:themeColor="text1"/>
          <w:sz w:val="20"/>
        </w:rPr>
        <w:t xml:space="preserve"> </w:t>
      </w:r>
      <w:r w:rsidR="006D5B6E" w:rsidRPr="006D5B6E">
        <w:t xml:space="preserve"> </w:t>
      </w:r>
      <w:r w:rsidR="006D5B6E" w:rsidRPr="00387913">
        <w:rPr>
          <w:b/>
          <w:color w:val="000000" w:themeColor="text1"/>
          <w:sz w:val="20"/>
        </w:rPr>
        <w:t xml:space="preserve">Tenderers should base their proposals on the latest version of the Irish Risk Management Measures available at the tender submission date. Where the final RMMs or related regulatory requirements change during the contract term, DCDE will address any material impacts through the contract governance and change-control arrangements. </w:t>
      </w:r>
    </w:p>
    <w:p w14:paraId="6B2B1C24" w14:textId="77777777" w:rsidR="00BD2B2E" w:rsidRDefault="00BD2B2E">
      <w:pPr>
        <w:pStyle w:val="ListParagraph"/>
      </w:pPr>
    </w:p>
    <w:p w14:paraId="45E98A80" w14:textId="13504480" w:rsidR="00CD12DB" w:rsidRPr="00CD12DB" w:rsidRDefault="00CD12DB" w:rsidP="00EB5EC9">
      <w:pPr>
        <w:numPr>
          <w:ilvl w:val="0"/>
          <w:numId w:val="100"/>
        </w:numPr>
        <w:rPr>
          <w:rFonts w:ascii="Calibri" w:hAnsi="Calibri" w:cs="Calibri"/>
        </w:rPr>
      </w:pPr>
      <w:r w:rsidRPr="46CFBA56">
        <w:rPr>
          <w:szCs w:val="18"/>
        </w:rPr>
        <w:t>Does DCDE require alignment to CyFun 2023 (based on NIST CSF 1.1) or CyFun 2025 (based on NIST CSF 2.0), given that both versions coexist until 18 April 2027?</w:t>
      </w:r>
      <w:r w:rsidR="008B40D7">
        <w:rPr>
          <w:szCs w:val="18"/>
        </w:rPr>
        <w:t xml:space="preserve"> </w:t>
      </w:r>
    </w:p>
    <w:p w14:paraId="2B7331C2" w14:textId="6FE3916D" w:rsidR="002E7041" w:rsidRDefault="00CE7BE5">
      <w:pPr>
        <w:pStyle w:val="ListParagraph"/>
        <w:rPr>
          <w:b/>
          <w:color w:val="000000" w:themeColor="text1"/>
          <w:sz w:val="20"/>
        </w:rPr>
      </w:pPr>
      <w:r w:rsidRPr="00387913">
        <w:rPr>
          <w:b/>
          <w:color w:val="000000" w:themeColor="text1"/>
          <w:sz w:val="20"/>
        </w:rPr>
        <w:t xml:space="preserve"> </w:t>
      </w:r>
      <w:r w:rsidR="007F77DD" w:rsidRPr="00387913">
        <w:rPr>
          <w:b/>
          <w:color w:val="000000" w:themeColor="text1"/>
          <w:sz w:val="20"/>
        </w:rPr>
        <w:t>DCDE will align with the latest version of CyFun, leveraging a previously completed NIS2 assessment conducted by an external cybersecurity consultancy.</w:t>
      </w:r>
    </w:p>
    <w:p w14:paraId="5B0B7A21" w14:textId="77777777" w:rsidR="00BD2B2E" w:rsidRDefault="00BD2B2E">
      <w:pPr>
        <w:pStyle w:val="ListParagraph"/>
      </w:pPr>
    </w:p>
    <w:p w14:paraId="7D48B078" w14:textId="77777777" w:rsidR="00CD12DB" w:rsidRPr="00CD12DB" w:rsidRDefault="00CD12DB" w:rsidP="00EB5EC9">
      <w:pPr>
        <w:numPr>
          <w:ilvl w:val="0"/>
          <w:numId w:val="100"/>
        </w:numPr>
        <w:rPr>
          <w:rFonts w:ascii="Calibri" w:hAnsi="Calibri" w:cs="Calibri"/>
        </w:rPr>
      </w:pPr>
      <w:r w:rsidRPr="46CFBA56">
        <w:rPr>
          <w:szCs w:val="18"/>
        </w:rPr>
        <w:t>Is the CyFun objective certification-readiness (in anticipation of the national certification scheme expected in 2027) or framework alignment and self-assessment only for the duration of the contract?</w:t>
      </w:r>
    </w:p>
    <w:p w14:paraId="65E73E67" w14:textId="14664B50" w:rsidR="000F3BBB" w:rsidRPr="00387913" w:rsidRDefault="00CE7BE5" w:rsidP="000F3BBB">
      <w:pPr>
        <w:pStyle w:val="ListParagraph"/>
        <w:rPr>
          <w:b/>
          <w:color w:val="000000" w:themeColor="text1"/>
          <w:sz w:val="20"/>
        </w:rPr>
      </w:pPr>
      <w:r w:rsidRPr="00387913">
        <w:rPr>
          <w:b/>
          <w:color w:val="000000" w:themeColor="text1"/>
          <w:sz w:val="20"/>
        </w:rPr>
        <w:t xml:space="preserve"> </w:t>
      </w:r>
      <w:r w:rsidR="000F3BBB" w:rsidRPr="00387913">
        <w:rPr>
          <w:b/>
          <w:color w:val="000000" w:themeColor="text1"/>
          <w:sz w:val="20"/>
        </w:rPr>
        <w:t>DCDE's primary objective is to achieve and maintain alignment with the CyFun framework, targeting a maturity score of approximately 3.5, while supporting compliance with applicable cyber security obligations. Certification-readiness is desirable; however, the immediate focus is framework alignment, maturity improvement, assurance and continuous compliance.</w:t>
      </w:r>
    </w:p>
    <w:p w14:paraId="68A6F95B" w14:textId="7351DE04" w:rsidR="002E7041" w:rsidRDefault="002E7041">
      <w:pPr>
        <w:pStyle w:val="ListParagraph"/>
      </w:pPr>
    </w:p>
    <w:p w14:paraId="68B90B5F" w14:textId="77777777" w:rsidR="00CD12DB" w:rsidRPr="00CD12DB" w:rsidRDefault="00CD12DB" w:rsidP="00EB5EC9">
      <w:pPr>
        <w:numPr>
          <w:ilvl w:val="0"/>
          <w:numId w:val="100"/>
        </w:numPr>
        <w:rPr>
          <w:rFonts w:ascii="Calibri" w:hAnsi="Calibri" w:cs="Calibri"/>
        </w:rPr>
      </w:pPr>
      <w:r w:rsidRPr="0334653C">
        <w:rPr>
          <w:szCs w:val="18"/>
        </w:rPr>
        <w:t>As CyFun certification is voluntary and does not</w:t>
      </w:r>
      <w:bookmarkStart w:id="0" w:name="_Int_FWiOIFib"/>
      <w:r w:rsidRPr="0334653C">
        <w:rPr>
          <w:szCs w:val="18"/>
        </w:rPr>
        <w:t>, in itself, constitute</w:t>
      </w:r>
      <w:bookmarkEnd w:id="0"/>
      <w:r w:rsidRPr="0334653C">
        <w:rPr>
          <w:szCs w:val="18"/>
        </w:rPr>
        <w:t xml:space="preserve"> a statutory presumption of NIS2 conformity, does DCDE expect the supplier to deliver measurable compliance assurance or best-effort alignment against the prevailing measures?</w:t>
      </w:r>
    </w:p>
    <w:p w14:paraId="1DF62A42" w14:textId="1EAF52DD" w:rsidR="002E7041" w:rsidRDefault="00CE7BE5">
      <w:pPr>
        <w:pStyle w:val="ListParagraph"/>
      </w:pPr>
      <w:r w:rsidRPr="00387913">
        <w:rPr>
          <w:b/>
          <w:color w:val="000000" w:themeColor="text1"/>
          <w:sz w:val="20"/>
        </w:rPr>
        <w:t xml:space="preserve"> </w:t>
      </w:r>
      <w:r w:rsidR="000F3BBB" w:rsidRPr="00387913">
        <w:rPr>
          <w:b/>
          <w:color w:val="000000" w:themeColor="text1"/>
          <w:sz w:val="20"/>
        </w:rPr>
        <w:t>DCDE expects the successful supplier to deliver measurable compliance assurance and demonstrable maturity improvement against applicable CyFun, NIS2-related and other prevailing cyber security requirements. While CyFun certification is not currently mandated, the supplier should support evidence-based alignment, gap closure, assurance reporting and continuous improvement activities.</w:t>
      </w:r>
    </w:p>
    <w:p w14:paraId="07BFEB4A" w14:textId="77777777" w:rsidR="00CD12DB" w:rsidRPr="00CD12DB" w:rsidRDefault="00CD12DB" w:rsidP="00EB5EC9">
      <w:pPr>
        <w:numPr>
          <w:ilvl w:val="0"/>
          <w:numId w:val="100"/>
        </w:numPr>
        <w:rPr>
          <w:rFonts w:ascii="Calibri" w:hAnsi="Calibri" w:cs="Calibri"/>
        </w:rPr>
      </w:pPr>
      <w:r w:rsidRPr="46CFBA56">
        <w:rPr>
          <w:szCs w:val="18"/>
        </w:rPr>
        <w:lastRenderedPageBreak/>
        <w:t>As central-government public administration entities fall within the scope of NIS2 Annex I (sector 10) automatically and regardless of size under Article 2(2)(f)(i) of the Directive, we understand DCDE would self-assess as an essential entity for NIS2 purposes. Can DCDE confirm this self-assessment, the sectoral competent authority it expects to report to once the National Cyber Security Bill is enacted, and the assurance level being targeted in the interim?</w:t>
      </w:r>
    </w:p>
    <w:p w14:paraId="68B22A08" w14:textId="470AAD38" w:rsidR="002E7041" w:rsidRDefault="00CE7BE5">
      <w:pPr>
        <w:pStyle w:val="ListParagraph"/>
        <w:rPr>
          <w:b/>
          <w:color w:val="000000" w:themeColor="text1"/>
          <w:sz w:val="20"/>
        </w:rPr>
      </w:pPr>
      <w:r w:rsidRPr="00387913">
        <w:rPr>
          <w:b/>
          <w:color w:val="000000" w:themeColor="text1"/>
          <w:sz w:val="20"/>
        </w:rPr>
        <w:t>DCDE is an Irish Government Department and will comply with applicable public-sector cyber security obligations once confirmed in Irish law and by competent authorities. Tenderers should not assume a final statutory designation beyond what is set out in the RFT. The successful tenderer will support DCDE in mapping obligations and preparing evidence for NIS2, CER where applicable, CyFun, Irish Risk Management Measures, the National Cyber Security Bill and NCSC guidance.</w:t>
      </w:r>
    </w:p>
    <w:p w14:paraId="55BB3081" w14:textId="77777777" w:rsidR="00BD2B2E" w:rsidRDefault="00BD2B2E">
      <w:pPr>
        <w:pStyle w:val="ListParagraph"/>
      </w:pPr>
    </w:p>
    <w:p w14:paraId="16035EEF" w14:textId="77777777" w:rsidR="00CD12DB" w:rsidRPr="00CD12DB" w:rsidRDefault="00CD12DB" w:rsidP="00EB5EC9">
      <w:pPr>
        <w:numPr>
          <w:ilvl w:val="0"/>
          <w:numId w:val="100"/>
        </w:numPr>
        <w:rPr>
          <w:rFonts w:ascii="Calibri" w:hAnsi="Calibri" w:cs="Calibri"/>
        </w:rPr>
      </w:pPr>
      <w:r>
        <w:rPr>
          <w:szCs w:val="18"/>
        </w:rPr>
        <w:t>In relation to CER (Directive (EU) 2022/2557, transposed by S.I. No. 559 of 2024): is DCDE a designated critical entity, under which competent authority, and how should CER obligations interlock with the NIS2 workstream and the operational-resilience deliverables?</w:t>
      </w:r>
    </w:p>
    <w:p w14:paraId="1A5DAB20" w14:textId="09409DCF" w:rsidR="002E7041" w:rsidRDefault="007D4850">
      <w:pPr>
        <w:pStyle w:val="ListParagraph"/>
        <w:rPr>
          <w:b/>
          <w:color w:val="000000" w:themeColor="text1"/>
          <w:sz w:val="20"/>
        </w:rPr>
      </w:pPr>
      <w:r w:rsidRPr="00387913">
        <w:rPr>
          <w:b/>
          <w:color w:val="000000" w:themeColor="text1"/>
          <w:sz w:val="20"/>
        </w:rPr>
        <w:t>DCDE is designated as a Critical Entity under the European Union (Resilience of Critical Entities) Regulations 2024. The successful supplier should support alignment between CER and NIS2 activities, recognising that CER extends beyond cyber security to include physical security, operational resilience, business continuity, incident management, crisis response and recovery planning for essential services.</w:t>
      </w:r>
    </w:p>
    <w:p w14:paraId="0FBB1584" w14:textId="77777777" w:rsidR="00BD2B2E" w:rsidRDefault="00BD2B2E">
      <w:pPr>
        <w:pStyle w:val="ListParagraph"/>
      </w:pPr>
    </w:p>
    <w:p w14:paraId="167ABC3A" w14:textId="77777777" w:rsidR="00CD12DB" w:rsidRPr="00CD12DB" w:rsidRDefault="00CD12DB" w:rsidP="00EB5EC9">
      <w:pPr>
        <w:numPr>
          <w:ilvl w:val="0"/>
          <w:numId w:val="100"/>
        </w:numPr>
        <w:rPr>
          <w:rFonts w:ascii="Calibri" w:hAnsi="Calibri" w:cs="Calibri"/>
        </w:rPr>
      </w:pPr>
      <w:r w:rsidRPr="46CFBA56">
        <w:rPr>
          <w:szCs w:val="18"/>
        </w:rPr>
        <w:t>Where NIS2, the draft RMMs, CyFun and the future National Cyber Security Bill differ, which framework should prevail as the primary compliance baseline, and should deliverables be explicitly mapped to the Irish RMMs (with equivalences to ISO 27001 / NIST CSF where appropriate)?</w:t>
      </w:r>
    </w:p>
    <w:p w14:paraId="7D93A920" w14:textId="173532AF" w:rsidR="002E7041" w:rsidRDefault="007D4850">
      <w:pPr>
        <w:pStyle w:val="ListParagraph"/>
        <w:rPr>
          <w:b/>
          <w:color w:val="000000" w:themeColor="text1"/>
          <w:sz w:val="20"/>
        </w:rPr>
      </w:pPr>
      <w:r w:rsidRPr="00387913">
        <w:rPr>
          <w:b/>
          <w:color w:val="000000" w:themeColor="text1"/>
          <w:sz w:val="20"/>
        </w:rPr>
        <w:t>Where differences arise, the successful supplier should support DCDE in aligning with the applicable Irish statutory and regulatory requirements, informed by NCSC guidance. Deliverables should be mapped to the Irish Risk Management Measures where appropriate, with cross-references to CyFun, NIST CSF and ISO 27001 to support assurance and traceability.</w:t>
      </w:r>
    </w:p>
    <w:p w14:paraId="1047EEC5" w14:textId="77777777" w:rsidR="00BD2B2E" w:rsidRDefault="00BD2B2E">
      <w:pPr>
        <w:pStyle w:val="ListParagraph"/>
      </w:pPr>
    </w:p>
    <w:p w14:paraId="24CC2956" w14:textId="77777777" w:rsidR="00CD12DB" w:rsidRPr="00CD12DB" w:rsidRDefault="00CD12DB" w:rsidP="00EB5EC9">
      <w:pPr>
        <w:numPr>
          <w:ilvl w:val="0"/>
          <w:numId w:val="100"/>
        </w:numPr>
        <w:rPr>
          <w:rFonts w:ascii="Calibri" w:hAnsi="Calibri" w:cs="Calibri"/>
        </w:rPr>
      </w:pPr>
      <w:r>
        <w:rPr>
          <w:szCs w:val="18"/>
        </w:rPr>
        <w:t>Which subordinate agencies, shared-service functions or dependent bodies of DCDE fall within the compliance and monitoring scope?</w:t>
      </w:r>
    </w:p>
    <w:p w14:paraId="3CF799BD" w14:textId="368062D6" w:rsidR="007D4850" w:rsidRPr="00387913" w:rsidRDefault="007D4850" w:rsidP="007D4850">
      <w:pPr>
        <w:pStyle w:val="ListParagraph"/>
        <w:rPr>
          <w:b/>
          <w:color w:val="000000" w:themeColor="text1"/>
          <w:sz w:val="20"/>
        </w:rPr>
      </w:pPr>
      <w:r w:rsidRPr="00387913">
        <w:rPr>
          <w:b/>
          <w:color w:val="000000" w:themeColor="text1"/>
          <w:sz w:val="20"/>
        </w:rPr>
        <w:t>The compliance and monitoring scope covers the in-scope DCDE Azure tenant, associated line-of-business applications and supporting services identified in the RFT. It does not automatically extend to subordinate agencies, shared-service organisations or other bodies unless specifically identified by DCDE during the contract term through agreed scope changes or Statements of Work.</w:t>
      </w:r>
    </w:p>
    <w:p w14:paraId="475A93B2" w14:textId="01D1B225" w:rsidR="002E7041" w:rsidRDefault="002E7041">
      <w:pPr>
        <w:pStyle w:val="ListParagraph"/>
      </w:pPr>
    </w:p>
    <w:p w14:paraId="78E0EA21" w14:textId="77777777" w:rsidR="00CD12DB" w:rsidRPr="00CD12DB" w:rsidRDefault="00CD12DB" w:rsidP="00EB5EC9">
      <w:pPr>
        <w:numPr>
          <w:ilvl w:val="0"/>
          <w:numId w:val="100"/>
        </w:numPr>
        <w:rPr>
          <w:rFonts w:ascii="Calibri" w:hAnsi="Calibri" w:cs="Calibri"/>
        </w:rPr>
      </w:pPr>
      <w:r w:rsidRPr="0334653C">
        <w:rPr>
          <w:szCs w:val="18"/>
        </w:rPr>
        <w:lastRenderedPageBreak/>
        <w:t>Across how many physical sites and countries does DCDE operate, and how many external contractors require access to in-scope systems?</w:t>
      </w:r>
    </w:p>
    <w:p w14:paraId="6782E55A" w14:textId="55EDBD44" w:rsidR="002E7041" w:rsidRDefault="007D4850">
      <w:pPr>
        <w:pStyle w:val="ListParagraph"/>
        <w:rPr>
          <w:b/>
          <w:color w:val="000000" w:themeColor="text1"/>
          <w:sz w:val="20"/>
        </w:rPr>
      </w:pPr>
      <w:r w:rsidRPr="00387913">
        <w:rPr>
          <w:b/>
          <w:color w:val="000000" w:themeColor="text1"/>
          <w:sz w:val="20"/>
        </w:rPr>
        <w:t>DCDE operates across multiple locations within Ireland. However, the scope of this contract is defined by the in-scope Azure tenant and associated services rather than by physical sites. A small number of contractor accounts currently have access to in-scope systems; precise numbers may vary over the contract term.</w:t>
      </w:r>
    </w:p>
    <w:p w14:paraId="5F3F955F" w14:textId="77777777" w:rsidR="00BD2B2E" w:rsidRDefault="00BD2B2E">
      <w:pPr>
        <w:pStyle w:val="ListParagraph"/>
      </w:pPr>
    </w:p>
    <w:p w14:paraId="23A5A728" w14:textId="77777777" w:rsidR="00CD12DB" w:rsidRPr="00CD12DB" w:rsidRDefault="00CD12DB" w:rsidP="00EB5EC9">
      <w:pPr>
        <w:numPr>
          <w:ilvl w:val="0"/>
          <w:numId w:val="100"/>
        </w:numPr>
        <w:rPr>
          <w:rFonts w:ascii="Calibri" w:hAnsi="Calibri" w:cs="Calibri"/>
        </w:rPr>
      </w:pPr>
      <w:r w:rsidRPr="0334653C">
        <w:rPr>
          <w:szCs w:val="18"/>
        </w:rPr>
        <w:t>Given that DCDE processes special-category personal data (children's and disability-related information under GDPR Article 9), what data-classification scheme and specific technical and organizational measures (for example, segregation, encryption, pseudonymization, access restrictions and enhanced logging) are currently applied to such data, and which does DCDE expect the supplier to implement or uplift?</w:t>
      </w:r>
    </w:p>
    <w:p w14:paraId="250A6DDE" w14:textId="5F69FA9F" w:rsidR="002E7041" w:rsidRDefault="00196FAA">
      <w:pPr>
        <w:pStyle w:val="ListParagraph"/>
        <w:rPr>
          <w:b/>
          <w:color w:val="000000" w:themeColor="text1"/>
          <w:sz w:val="20"/>
        </w:rPr>
      </w:pPr>
      <w:r w:rsidRPr="00387913">
        <w:rPr>
          <w:b/>
          <w:color w:val="000000" w:themeColor="text1"/>
          <w:sz w:val="20"/>
        </w:rPr>
        <w:t xml:space="preserve">DCDE expects the successful tenderer to apply a risk-based approach aligned with GDPR, NCSC guidance, NIS2/CER requirements and DCDE policies. Appropriate controls may include least-privilege access, segregation of duties, encryption, logging, monitoring and audit trails. Specific control requirements will be agreed during mobilisation and ongoing risk assessments. </w:t>
      </w:r>
    </w:p>
    <w:p w14:paraId="1B30577A" w14:textId="77777777" w:rsidR="00BD2B2E" w:rsidRDefault="00BD2B2E">
      <w:pPr>
        <w:pStyle w:val="ListParagraph"/>
      </w:pPr>
    </w:p>
    <w:p w14:paraId="1C25AA4D" w14:textId="77777777" w:rsidR="00CD12DB" w:rsidRPr="00CD12DB" w:rsidRDefault="00CD12DB" w:rsidP="00EB5EC9">
      <w:pPr>
        <w:numPr>
          <w:ilvl w:val="0"/>
          <w:numId w:val="100"/>
        </w:numPr>
        <w:rPr>
          <w:rFonts w:ascii="Calibri" w:hAnsi="Calibri" w:cs="Calibri"/>
        </w:rPr>
      </w:pPr>
      <w:r>
        <w:rPr>
          <w:szCs w:val="18"/>
        </w:rPr>
        <w:t>Which identity provider is in use (on-premises Active Directory, Entra ID, or hybrid), and which IAM/PAM tooling is currently deployed?</w:t>
      </w:r>
    </w:p>
    <w:p w14:paraId="435FF56D" w14:textId="77777777" w:rsidR="00BD2B2E" w:rsidRDefault="00CE7BE5" w:rsidP="007144F7">
      <w:pPr>
        <w:pStyle w:val="ListParagraph"/>
        <w:rPr>
          <w:b/>
          <w:color w:val="000000" w:themeColor="text1"/>
          <w:sz w:val="20"/>
        </w:rPr>
      </w:pPr>
      <w:r w:rsidRPr="00387913">
        <w:rPr>
          <w:b/>
          <w:color w:val="000000" w:themeColor="text1"/>
          <w:sz w:val="20"/>
        </w:rPr>
        <w:t xml:space="preserve">DCDE uses a cross-tenant B2B connection to the centrally hosted Government tenant. Identities are provided from Active Directory with SSO. PIM and RBAC are in operation, with a small number of service accounts and privileged users. </w:t>
      </w:r>
    </w:p>
    <w:p w14:paraId="505D9EB8" w14:textId="77777777" w:rsidR="00BD2B2E" w:rsidRDefault="00BD2B2E" w:rsidP="007144F7">
      <w:pPr>
        <w:pStyle w:val="ListParagraph"/>
        <w:rPr>
          <w:b/>
          <w:color w:val="000000" w:themeColor="text1"/>
          <w:sz w:val="20"/>
        </w:rPr>
      </w:pPr>
    </w:p>
    <w:p w14:paraId="4EC31A43" w14:textId="576E1A67" w:rsidR="00CD12DB" w:rsidRPr="00BD2B2E" w:rsidRDefault="00CD12DB" w:rsidP="00BD2B2E">
      <w:pPr>
        <w:numPr>
          <w:ilvl w:val="0"/>
          <w:numId w:val="100"/>
        </w:numPr>
        <w:rPr>
          <w:rFonts w:ascii="Calibri" w:hAnsi="Calibri" w:cs="Calibri"/>
        </w:rPr>
      </w:pPr>
      <w:r w:rsidRPr="00BD2B2E">
        <w:rPr>
          <w:szCs w:val="18"/>
        </w:rPr>
        <w:t>How many network devices (firewalls, routers, switches) and internal subnets are in scope, and is there any operational technology (OT) or IoT within the environment?</w:t>
      </w:r>
    </w:p>
    <w:p w14:paraId="2DD3556E" w14:textId="6EF65107" w:rsidR="002E7041" w:rsidRDefault="00CE7BE5">
      <w:pPr>
        <w:pStyle w:val="ListParagraph"/>
        <w:rPr>
          <w:b/>
          <w:color w:val="000000" w:themeColor="text1"/>
          <w:sz w:val="20"/>
        </w:rPr>
      </w:pPr>
      <w:r w:rsidRPr="00387913">
        <w:rPr>
          <w:b/>
          <w:color w:val="000000" w:themeColor="text1"/>
          <w:sz w:val="20"/>
        </w:rPr>
        <w:t xml:space="preserve"> Network device scope is limited. Barracuda firewalls are deployed as VMs in the in-scope environment. Core network, Wi-Fi, endpoint and central Government infrastructure details are out of scope for this tender unless specifically identified during mobilisation. OT/ICS infrastructure is not in scope.</w:t>
      </w:r>
      <w:r w:rsidR="00561E15" w:rsidRPr="00387913">
        <w:rPr>
          <w:b/>
          <w:color w:val="000000" w:themeColor="text1"/>
          <w:sz w:val="20"/>
        </w:rPr>
        <w:t xml:space="preserve"> There is no OT or IoT within the environment.</w:t>
      </w:r>
    </w:p>
    <w:p w14:paraId="7ED7221D" w14:textId="77777777" w:rsidR="00BD2B2E" w:rsidRDefault="00BD2B2E">
      <w:pPr>
        <w:pStyle w:val="ListParagraph"/>
        <w:rPr>
          <w:b/>
          <w:color w:val="000000" w:themeColor="text1"/>
          <w:sz w:val="20"/>
        </w:rPr>
      </w:pPr>
    </w:p>
    <w:p w14:paraId="4E4D1A07" w14:textId="77777777" w:rsidR="00BD2B2E" w:rsidRDefault="00BD2B2E">
      <w:pPr>
        <w:pStyle w:val="ListParagraph"/>
      </w:pPr>
    </w:p>
    <w:p w14:paraId="1F8135AE" w14:textId="77777777" w:rsidR="00CD12DB" w:rsidRPr="00CD12DB" w:rsidRDefault="00CD12DB" w:rsidP="00EB5EC9">
      <w:pPr>
        <w:numPr>
          <w:ilvl w:val="0"/>
          <w:numId w:val="100"/>
        </w:numPr>
        <w:rPr>
          <w:rFonts w:ascii="Calibri" w:hAnsi="Calibri" w:cs="Calibri"/>
        </w:rPr>
      </w:pPr>
      <w:r>
        <w:rPr>
          <w:szCs w:val="18"/>
        </w:rPr>
        <w:t>How many third-party SaaS applications and how many AI systems are within the scope of the security reviews referenced in the requirements?</w:t>
      </w:r>
    </w:p>
    <w:p w14:paraId="3AF50A16" w14:textId="4CBC9120" w:rsidR="002E7041" w:rsidRDefault="00196FAA">
      <w:pPr>
        <w:pStyle w:val="ListParagraph"/>
        <w:rPr>
          <w:b/>
          <w:color w:val="000000" w:themeColor="text1"/>
          <w:sz w:val="20"/>
        </w:rPr>
      </w:pPr>
      <w:r w:rsidRPr="00387913">
        <w:rPr>
          <w:b/>
          <w:color w:val="000000" w:themeColor="text1"/>
          <w:sz w:val="20"/>
        </w:rPr>
        <w:t xml:space="preserve">DCDE has not defined a fixed number of third-party SaaS applications or AI systems within scope at this time. Tenderers should assume that security reviews will be undertaken on a risk-based basis for relevant SaaS and AI solutions used within the in-scope environment, with additional reviews commissioned as required. </w:t>
      </w:r>
    </w:p>
    <w:p w14:paraId="36682229" w14:textId="77777777" w:rsidR="00BD2B2E" w:rsidRDefault="00BD2B2E">
      <w:pPr>
        <w:pStyle w:val="ListParagraph"/>
      </w:pPr>
    </w:p>
    <w:p w14:paraId="6590B878" w14:textId="77777777" w:rsidR="00CD12DB" w:rsidRPr="00CD12DB" w:rsidRDefault="00CD12DB" w:rsidP="00EB5EC9">
      <w:pPr>
        <w:numPr>
          <w:ilvl w:val="0"/>
          <w:numId w:val="100"/>
        </w:numPr>
        <w:rPr>
          <w:rFonts w:ascii="Calibri" w:hAnsi="Calibri" w:cs="Calibri"/>
        </w:rPr>
      </w:pPr>
      <w:r>
        <w:rPr>
          <w:szCs w:val="18"/>
        </w:rPr>
        <w:t>What is the cloud tenancy model (number of Microsoft 365 tenants and Azure subscriptions), and are all workloads and backups hosted within EU/EEA regions?</w:t>
      </w:r>
    </w:p>
    <w:p w14:paraId="7C01C28F" w14:textId="694A93A7" w:rsidR="002E7041" w:rsidRDefault="00CE7BE5">
      <w:pPr>
        <w:pStyle w:val="ListParagraph"/>
        <w:rPr>
          <w:b/>
          <w:color w:val="000000" w:themeColor="text1"/>
          <w:sz w:val="20"/>
        </w:rPr>
      </w:pPr>
      <w:r w:rsidRPr="00387913">
        <w:rPr>
          <w:b/>
          <w:color w:val="000000" w:themeColor="text1"/>
          <w:sz w:val="20"/>
        </w:rPr>
        <w:lastRenderedPageBreak/>
        <w:t xml:space="preserve"> The in-scope environment is cloud-based, primarily DCDE’s Azure tenant and Fabric functions. The central Government tenant provides desktop services, Microsoft 365 and several services and is generally out of scope. The number of Azure subscriptions and detailed tenancy information will be confirmed during mobilisation. Tenderers should assume EU/EEA data residency for log processing and storage for tendering purposes.</w:t>
      </w:r>
    </w:p>
    <w:p w14:paraId="3824870A" w14:textId="77777777" w:rsidR="00BD2B2E" w:rsidRDefault="00BD2B2E">
      <w:pPr>
        <w:pStyle w:val="ListParagraph"/>
      </w:pPr>
    </w:p>
    <w:p w14:paraId="6A91E886" w14:textId="77777777" w:rsidR="00CD12DB" w:rsidRPr="00CD12DB" w:rsidRDefault="00CD12DB" w:rsidP="00EB5EC9">
      <w:pPr>
        <w:numPr>
          <w:ilvl w:val="0"/>
          <w:numId w:val="100"/>
        </w:numPr>
        <w:rPr>
          <w:rFonts w:ascii="Calibri" w:hAnsi="Calibri" w:cs="Calibri"/>
        </w:rPr>
      </w:pPr>
      <w:r>
        <w:rPr>
          <w:szCs w:val="18"/>
        </w:rPr>
        <w:t>Does DCDE's current infrastructure already meet the EU/EEA data-residency requirement for log processing and storage, or is a residency remediation / gap-closure activity expected within scope?</w:t>
      </w:r>
    </w:p>
    <w:p w14:paraId="7A925131" w14:textId="56DB7C81" w:rsidR="002E7041" w:rsidRDefault="00196FAA">
      <w:pPr>
        <w:pStyle w:val="ListParagraph"/>
        <w:rPr>
          <w:b/>
          <w:color w:val="000000" w:themeColor="text1"/>
          <w:sz w:val="20"/>
        </w:rPr>
      </w:pPr>
      <w:r w:rsidRPr="00387913">
        <w:rPr>
          <w:b/>
          <w:color w:val="000000" w:themeColor="text1"/>
          <w:sz w:val="20"/>
        </w:rPr>
        <w:t xml:space="preserve">DCDE's current approach is to maintain EU/EEA data residency for security monitoring data. Tenderers should assume EU/EEA-only log processing and storage for the purposes of this procurement. No specific data-residency remediation programme is currently identified as part of the baseline scope, although the successful supplier may provide recommendations where appropriate. </w:t>
      </w:r>
    </w:p>
    <w:p w14:paraId="01DCAB68" w14:textId="77777777" w:rsidR="00BD2B2E" w:rsidRDefault="00BD2B2E">
      <w:pPr>
        <w:pStyle w:val="ListParagraph"/>
      </w:pPr>
    </w:p>
    <w:p w14:paraId="5A41AFF2" w14:textId="77777777" w:rsidR="00CD12DB" w:rsidRPr="001714F8" w:rsidRDefault="001714F8" w:rsidP="00EB5EC9">
      <w:pPr>
        <w:numPr>
          <w:ilvl w:val="0"/>
          <w:numId w:val="100"/>
        </w:numPr>
        <w:rPr>
          <w:rFonts w:ascii="Calibri" w:hAnsi="Calibri" w:cs="Calibri"/>
        </w:rPr>
      </w:pPr>
      <w:r w:rsidRPr="0334653C">
        <w:rPr>
          <w:szCs w:val="18"/>
        </w:rPr>
        <w:t>How many critical services have DCDE identified, what RTO/RPO targets apply, do current business-continuity and disaster-recovery plans exist, and what frequency of tabletop exercises does DCDE expect?</w:t>
      </w:r>
    </w:p>
    <w:p w14:paraId="27D5EEA5" w14:textId="09A85E38" w:rsidR="00861AA7" w:rsidRDefault="00861AA7" w:rsidP="00861AA7">
      <w:pPr>
        <w:pStyle w:val="ListParagraph"/>
        <w:rPr>
          <w:b/>
          <w:color w:val="000000" w:themeColor="text1"/>
          <w:sz w:val="20"/>
        </w:rPr>
      </w:pPr>
      <w:r w:rsidRPr="00387913">
        <w:rPr>
          <w:b/>
          <w:color w:val="000000" w:themeColor="text1"/>
          <w:sz w:val="20"/>
        </w:rPr>
        <w:t>DCDE is currently developing its Business Continuity Plan, Disaster Recovery Plan, Crisis Management Plan and Incident Management Plan. Specific critical service inventories and RTO/RPO targets are not yet being provided. Tenderers should assume at least one business continuity/disaster recovery exercise and one incident response tabletop exercise annually.</w:t>
      </w:r>
    </w:p>
    <w:p w14:paraId="1A69CC57" w14:textId="77777777" w:rsidR="00BD2B2E" w:rsidRDefault="00BD2B2E" w:rsidP="00861AA7">
      <w:pPr>
        <w:pStyle w:val="ListParagraph"/>
        <w:rPr>
          <w:b/>
          <w:color w:val="000000" w:themeColor="text1"/>
          <w:sz w:val="20"/>
        </w:rPr>
      </w:pPr>
    </w:p>
    <w:p w14:paraId="37647C20" w14:textId="5F612956" w:rsidR="001714F8" w:rsidRPr="00BD2B2E" w:rsidRDefault="001714F8" w:rsidP="00BD2B2E">
      <w:pPr>
        <w:numPr>
          <w:ilvl w:val="0"/>
          <w:numId w:val="100"/>
        </w:numPr>
        <w:rPr>
          <w:rFonts w:ascii="Calibri" w:hAnsi="Calibri" w:cs="Calibri"/>
        </w:rPr>
      </w:pPr>
      <w:r w:rsidRPr="00BD2B2E">
        <w:rPr>
          <w:szCs w:val="18"/>
        </w:rPr>
        <w:t>What penetration-testing scope and frequency, incident-response retainer capacity, and threat-hunting cadence does DCDE expect to be included within the baseline service?</w:t>
      </w:r>
    </w:p>
    <w:p w14:paraId="24FAA76D" w14:textId="3D3D24FD" w:rsidR="002E7041" w:rsidRDefault="00861AA7">
      <w:pPr>
        <w:pStyle w:val="ListParagraph"/>
        <w:rPr>
          <w:b/>
          <w:color w:val="000000" w:themeColor="text1"/>
          <w:sz w:val="20"/>
        </w:rPr>
      </w:pPr>
      <w:r w:rsidRPr="00861AA7">
        <w:t xml:space="preserve"> </w:t>
      </w:r>
      <w:r w:rsidRPr="00387913">
        <w:rPr>
          <w:b/>
          <w:color w:val="000000" w:themeColor="text1"/>
          <w:sz w:val="20"/>
        </w:rPr>
        <w:t xml:space="preserve">Penetration testing is not included within the baseline service. The baseline should include an incident-response retainer for critical alerts and suspected compromise, with tenderers specifying included capacity and response arrangements. Initial monitoring will focus on alert investigation; tenderers may propose a proportionate threat-hunting cadence as part of their service offering. </w:t>
      </w:r>
    </w:p>
    <w:p w14:paraId="7A8A36DC" w14:textId="77777777" w:rsidR="00BD2B2E" w:rsidRDefault="00BD2B2E">
      <w:pPr>
        <w:pStyle w:val="ListParagraph"/>
      </w:pPr>
    </w:p>
    <w:p w14:paraId="3EF5C53B" w14:textId="77777777" w:rsidR="001714F8" w:rsidRPr="001714F8" w:rsidRDefault="001714F8" w:rsidP="00EB5EC9">
      <w:pPr>
        <w:numPr>
          <w:ilvl w:val="0"/>
          <w:numId w:val="100"/>
        </w:numPr>
        <w:rPr>
          <w:rFonts w:ascii="Calibri" w:hAnsi="Calibri" w:cs="Calibri"/>
        </w:rPr>
      </w:pPr>
      <w:r w:rsidRPr="0334653C">
        <w:rPr>
          <w:szCs w:val="18"/>
        </w:rPr>
        <w:t>Is 24x7 monitoring expected to be activated during the contract term, or should it be priced as a latent optional service over and above the business-</w:t>
      </w:r>
      <w:bookmarkStart w:id="1" w:name="_Int_q2socPO1"/>
      <w:r w:rsidRPr="0334653C">
        <w:rPr>
          <w:szCs w:val="18"/>
        </w:rPr>
        <w:t>hours</w:t>
      </w:r>
      <w:bookmarkEnd w:id="1"/>
      <w:r w:rsidRPr="0334653C">
        <w:rPr>
          <w:szCs w:val="18"/>
        </w:rPr>
        <w:t xml:space="preserve"> baseline?</w:t>
      </w:r>
    </w:p>
    <w:p w14:paraId="759C50F5" w14:textId="6DC0D713" w:rsidR="002E7041" w:rsidRDefault="00CE7BE5">
      <w:pPr>
        <w:pStyle w:val="ListParagraph"/>
      </w:pPr>
      <w:r w:rsidRPr="00387913">
        <w:rPr>
          <w:b/>
          <w:color w:val="000000" w:themeColor="text1"/>
          <w:sz w:val="20"/>
        </w:rPr>
        <w:t xml:space="preserve"> The baseline service is business-hours monitoring, 09:00-17:30 Monday-Friday excluding public holidays, with emergency out-of-hours response for critical alerts or suspected active compromise only. Out-of-hours response is expected to be triggered by automated alerts/notifications or agreed escalation routes rather than continuous 24x7 analyst monitoring, unless the optional 24x7 service is invoked. Tenderers must price optional 24x7 monitoring separately as an enhanced service.</w:t>
      </w:r>
    </w:p>
    <w:p w14:paraId="08DAAFC2" w14:textId="77777777" w:rsidR="001714F8" w:rsidRPr="001714F8" w:rsidRDefault="001714F8" w:rsidP="00EB5EC9">
      <w:pPr>
        <w:numPr>
          <w:ilvl w:val="0"/>
          <w:numId w:val="100"/>
        </w:numPr>
        <w:rPr>
          <w:rFonts w:ascii="Calibri" w:hAnsi="Calibri" w:cs="Calibri"/>
        </w:rPr>
      </w:pPr>
      <w:r w:rsidRPr="0334653C">
        <w:rPr>
          <w:szCs w:val="18"/>
        </w:rPr>
        <w:lastRenderedPageBreak/>
        <w:t>Beyond fully remote delivery, does DCDE expect any on-site presence for specific activities such as mobilization, tabletop exercises, or periodic governance forums?</w:t>
      </w:r>
    </w:p>
    <w:p w14:paraId="4895568E" w14:textId="1538972D" w:rsidR="002E7041" w:rsidRDefault="00861AA7">
      <w:pPr>
        <w:pStyle w:val="ListParagraph"/>
        <w:rPr>
          <w:b/>
          <w:color w:val="000000" w:themeColor="text1"/>
          <w:sz w:val="20"/>
        </w:rPr>
      </w:pPr>
      <w:r w:rsidRPr="00387913">
        <w:rPr>
          <w:b/>
          <w:color w:val="000000" w:themeColor="text1"/>
          <w:sz w:val="20"/>
        </w:rPr>
        <w:t xml:space="preserve">Yes. While services may generally be delivered remotely, DCDE expects limited on-site attendance in Dublin where required for mobilisation activities, governance meetings, workshops, incident response exercises, tabletop exercises and other agreed engagements. Tenderers should include reasonable provision for such attendance within their proposed service delivery model. </w:t>
      </w:r>
    </w:p>
    <w:p w14:paraId="55B55571" w14:textId="77777777" w:rsidR="00BD2B2E" w:rsidRDefault="00BD2B2E">
      <w:pPr>
        <w:pStyle w:val="ListParagraph"/>
      </w:pPr>
    </w:p>
    <w:p w14:paraId="24265E74" w14:textId="77777777" w:rsidR="001714F8" w:rsidRPr="001714F8" w:rsidRDefault="001714F8" w:rsidP="00EB5EC9">
      <w:pPr>
        <w:numPr>
          <w:ilvl w:val="0"/>
          <w:numId w:val="100"/>
        </w:numPr>
        <w:rPr>
          <w:rFonts w:ascii="Calibri" w:hAnsi="Calibri" w:cs="Calibri"/>
        </w:rPr>
      </w:pPr>
      <w:r>
        <w:rPr>
          <w:szCs w:val="18"/>
        </w:rPr>
        <w:t>Under the National Vetting Bureau (Children and Vulnerable Persons) Acts 2012 to 2016, Garda vetting is mandatory for persons undertaking relevant work involving direct access to or contact with children or vulnerable persons. As this engagement involves access to systems and data (rather than direct contact) relating to children and disability services, can DCDE confirm whether Garda vetting or an equivalent security-clearance process will be required for supplier personnel, and if so, the applicable process and turnaround time?</w:t>
      </w:r>
    </w:p>
    <w:p w14:paraId="6F024BF3" w14:textId="767E053F" w:rsidR="002E7041" w:rsidRDefault="00861AA7">
      <w:pPr>
        <w:pStyle w:val="ListParagraph"/>
        <w:rPr>
          <w:b/>
          <w:color w:val="000000" w:themeColor="text1"/>
          <w:sz w:val="20"/>
        </w:rPr>
      </w:pPr>
      <w:r w:rsidRPr="00387913">
        <w:rPr>
          <w:b/>
          <w:color w:val="000000" w:themeColor="text1"/>
          <w:sz w:val="20"/>
        </w:rPr>
        <w:t xml:space="preserve">DCDE does not currently require Garda Vetting or formal security clearance for personnel delivering these Services. Tenderers should ensure that personnel are appropriately qualified, trustworthy and subject to their organisation's standard employment and background screening processes. DCDE reserves the right to introduce additional access-control requirements where operationally necessary. </w:t>
      </w:r>
    </w:p>
    <w:p w14:paraId="6F9E18CB" w14:textId="77777777" w:rsidR="00BD2B2E" w:rsidRDefault="00BD2B2E">
      <w:pPr>
        <w:pStyle w:val="ListParagraph"/>
      </w:pPr>
    </w:p>
    <w:p w14:paraId="462891E1" w14:textId="77777777" w:rsidR="001714F8" w:rsidRPr="001714F8" w:rsidRDefault="001714F8" w:rsidP="00EB5EC9">
      <w:pPr>
        <w:numPr>
          <w:ilvl w:val="0"/>
          <w:numId w:val="100"/>
        </w:numPr>
        <w:rPr>
          <w:rFonts w:ascii="Calibri" w:hAnsi="Calibri" w:cs="Calibri"/>
        </w:rPr>
      </w:pPr>
      <w:r w:rsidRPr="0334653C">
        <w:rPr>
          <w:szCs w:val="18"/>
        </w:rPr>
        <w:t>The supplier will propose a RACI covering security-related change and remediation across the supplier, DCDE's infrastructure partner, and in-house teams. Can DCDE confirm the identity and role of the infrastructure partner, and designate a point of contact to validate this RACI during mobilization?</w:t>
      </w:r>
    </w:p>
    <w:p w14:paraId="0C976FCD" w14:textId="2D5BE257" w:rsidR="00B4344B" w:rsidRPr="00387913" w:rsidRDefault="00B4344B" w:rsidP="00B4344B">
      <w:pPr>
        <w:pStyle w:val="ListParagraph"/>
        <w:rPr>
          <w:b/>
          <w:color w:val="000000" w:themeColor="text1"/>
          <w:sz w:val="20"/>
        </w:rPr>
      </w:pPr>
      <w:r w:rsidRPr="00387913">
        <w:rPr>
          <w:b/>
          <w:color w:val="000000" w:themeColor="text1"/>
          <w:sz w:val="20"/>
        </w:rPr>
        <w:t>The successful tenderer will be expected to collaborate with DCDE, its infrastructure partner and internal teams. Appropriate points of contact will be nominated during mobilisation to agree governance arrangements and a RACI model.</w:t>
      </w:r>
    </w:p>
    <w:p w14:paraId="1D712E18" w14:textId="28A8C219" w:rsidR="002E7041" w:rsidRDefault="002E7041">
      <w:pPr>
        <w:pStyle w:val="ListParagraph"/>
      </w:pPr>
    </w:p>
    <w:p w14:paraId="1A0221E4" w14:textId="77777777" w:rsidR="001714F8" w:rsidRPr="001714F8" w:rsidRDefault="001714F8" w:rsidP="00EB5EC9">
      <w:pPr>
        <w:numPr>
          <w:ilvl w:val="0"/>
          <w:numId w:val="100"/>
        </w:numPr>
        <w:rPr>
          <w:rFonts w:ascii="Calibri" w:hAnsi="Calibri" w:cs="Calibri"/>
        </w:rPr>
      </w:pPr>
      <w:r w:rsidRPr="46CFBA56">
        <w:rPr>
          <w:szCs w:val="18"/>
        </w:rPr>
        <w:t>As accountability for risk management under NIS2 Article 20 remains non-delegable at DCDE's management-board level, can DCDE confirm the operating model for the risk register (DCDE ownership with supplier maintenance) and the risk-appetite approval process?</w:t>
      </w:r>
    </w:p>
    <w:p w14:paraId="5EDAF321" w14:textId="5AE57F37" w:rsidR="002E7041" w:rsidRDefault="00B4344B">
      <w:pPr>
        <w:pStyle w:val="ListParagraph"/>
        <w:rPr>
          <w:b/>
          <w:color w:val="000000" w:themeColor="text1"/>
          <w:sz w:val="20"/>
        </w:rPr>
      </w:pPr>
      <w:r w:rsidRPr="00387913">
        <w:rPr>
          <w:b/>
          <w:color w:val="000000" w:themeColor="text1"/>
          <w:sz w:val="20"/>
        </w:rPr>
        <w:t xml:space="preserve">DCDE will retain ownership of the risk register, risk-management decisions and risk-appetite approvals. The successful supplier will be expected to support risk identification, assessment, reporting, mitigation tracking and assurance activities. Governance arrangements, reporting lines and escalation processes will be agreed during mobilisation and incorporated into the operating model. </w:t>
      </w:r>
    </w:p>
    <w:p w14:paraId="2466971B" w14:textId="77777777" w:rsidR="00BD2B2E" w:rsidRDefault="00BD2B2E">
      <w:pPr>
        <w:pStyle w:val="ListParagraph"/>
      </w:pPr>
    </w:p>
    <w:p w14:paraId="10AE27E3" w14:textId="77777777" w:rsidR="001714F8" w:rsidRPr="001714F8" w:rsidRDefault="001714F8" w:rsidP="00EB5EC9">
      <w:pPr>
        <w:numPr>
          <w:ilvl w:val="0"/>
          <w:numId w:val="100"/>
        </w:numPr>
        <w:rPr>
          <w:rFonts w:ascii="Calibri" w:hAnsi="Calibri" w:cs="Calibri"/>
        </w:rPr>
      </w:pPr>
      <w:r>
        <w:rPr>
          <w:szCs w:val="18"/>
        </w:rPr>
        <w:lastRenderedPageBreak/>
        <w:t>What governance forums, reporting cadence and management-board engagement does DCDE expect the supplier to support (for example, monthly operational reviews and quarterly assurance boards)?</w:t>
      </w:r>
    </w:p>
    <w:p w14:paraId="043CDC5A" w14:textId="5C8F1DC1" w:rsidR="002E7041" w:rsidRDefault="00CE7BE5">
      <w:pPr>
        <w:pStyle w:val="ListParagraph"/>
        <w:rPr>
          <w:b/>
          <w:color w:val="000000" w:themeColor="text1"/>
          <w:sz w:val="20"/>
        </w:rPr>
      </w:pPr>
      <w:r w:rsidRPr="00387913">
        <w:rPr>
          <w:b/>
          <w:color w:val="000000" w:themeColor="text1"/>
          <w:sz w:val="20"/>
        </w:rPr>
        <w:t>DCDE expects service governance to include regular operational engagement, monthly reporting and quarterly assurance reviews. The final governance forums, participants, escalation routes and any management-board reporting will be agreed with the successful tenderer during mobilisation.</w:t>
      </w:r>
    </w:p>
    <w:p w14:paraId="69B3BB7D" w14:textId="77777777" w:rsidR="00BD2B2E" w:rsidRDefault="00BD2B2E">
      <w:pPr>
        <w:pStyle w:val="ListParagraph"/>
      </w:pPr>
    </w:p>
    <w:p w14:paraId="2DDE149B" w14:textId="77777777" w:rsidR="001714F8" w:rsidRPr="001714F8" w:rsidRDefault="001714F8" w:rsidP="00EB5EC9">
      <w:pPr>
        <w:numPr>
          <w:ilvl w:val="0"/>
          <w:numId w:val="100"/>
        </w:numPr>
        <w:rPr>
          <w:rFonts w:ascii="Calibri" w:hAnsi="Calibri" w:cs="Calibri"/>
        </w:rPr>
      </w:pPr>
      <w:r w:rsidRPr="0334653C">
        <w:rPr>
          <w:szCs w:val="18"/>
        </w:rPr>
        <w:t>Schedule D (Service Levels) in the RFT is currently unpopulated. Will DCDE publish the required SLAs and KPIs before the tender submission deadline, or are these to be agreed by mutual agreement during mobilization?</w:t>
      </w:r>
    </w:p>
    <w:p w14:paraId="3BC942B8" w14:textId="2F2C964F" w:rsidR="002E7041" w:rsidRDefault="00CE7BE5">
      <w:pPr>
        <w:pStyle w:val="ListParagraph"/>
        <w:rPr>
          <w:b/>
          <w:color w:val="000000" w:themeColor="text1"/>
          <w:sz w:val="20"/>
        </w:rPr>
      </w:pPr>
      <w:r w:rsidRPr="00387913">
        <w:rPr>
          <w:b/>
          <w:color w:val="000000" w:themeColor="text1"/>
          <w:sz w:val="20"/>
        </w:rPr>
        <w:t>Formal SLAs and KPIs are not yet prescribed. Tenderers should propose appropriate service levels in their response. Final acknowledgement, triage, escalation, containment, reporting and out-of-hours emergency response targets will be agreed with the successful tenderer and incorporated into the SLA/contract during mobilisation.</w:t>
      </w:r>
    </w:p>
    <w:p w14:paraId="24F551B8" w14:textId="77777777" w:rsidR="00BD2B2E" w:rsidRDefault="00BD2B2E">
      <w:pPr>
        <w:pStyle w:val="ListParagraph"/>
      </w:pPr>
    </w:p>
    <w:p w14:paraId="33116077" w14:textId="77777777" w:rsidR="001714F8" w:rsidRPr="001714F8" w:rsidRDefault="001714F8" w:rsidP="00EB5EC9">
      <w:pPr>
        <w:numPr>
          <w:ilvl w:val="0"/>
          <w:numId w:val="100"/>
        </w:numPr>
        <w:rPr>
          <w:rFonts w:ascii="Calibri" w:hAnsi="Calibri" w:cs="Calibri"/>
        </w:rPr>
      </w:pPr>
      <w:r w:rsidRPr="0334653C">
        <w:rPr>
          <w:szCs w:val="18"/>
        </w:rPr>
        <w:t xml:space="preserve">In relation to personal-data breach notification, which Schedule A, clause 25 (Data Protection &amp; Security) requires “without undue delay”, what specific notification </w:t>
      </w:r>
      <w:bookmarkStart w:id="2" w:name="_Int_PdL5ZYKD"/>
      <w:r w:rsidRPr="0334653C">
        <w:rPr>
          <w:szCs w:val="18"/>
        </w:rPr>
        <w:t>timeframe</w:t>
      </w:r>
      <w:bookmarkEnd w:id="2"/>
      <w:r w:rsidRPr="0334653C">
        <w:rPr>
          <w:szCs w:val="18"/>
        </w:rPr>
        <w:t xml:space="preserve"> does DCDE require the supplier, as processor, to meet (for example, within 24 hours of detection)?</w:t>
      </w:r>
    </w:p>
    <w:p w14:paraId="3CAE83FB" w14:textId="724CC6F3" w:rsidR="002E7041" w:rsidRDefault="00CE7BE5">
      <w:pPr>
        <w:pStyle w:val="ListParagraph"/>
        <w:rPr>
          <w:b/>
          <w:color w:val="000000" w:themeColor="text1"/>
          <w:sz w:val="20"/>
        </w:rPr>
      </w:pPr>
      <w:r w:rsidRPr="00387913">
        <w:rPr>
          <w:b/>
          <w:color w:val="000000" w:themeColor="text1"/>
          <w:sz w:val="20"/>
        </w:rPr>
        <w:t>The Contractor must notify DCDE without undue delay of any data compromise involving Personal Data or circumstances that could have resulted in unauthorised access or disclosure. Tenderers should propose a specific operational notification target, such as immediate escalation and no later than 24 hours from detection, for agreement during mobilisation.</w:t>
      </w:r>
    </w:p>
    <w:p w14:paraId="74AF419C" w14:textId="77777777" w:rsidR="00BD2B2E" w:rsidRDefault="00BD2B2E">
      <w:pPr>
        <w:pStyle w:val="ListParagraph"/>
      </w:pPr>
    </w:p>
    <w:p w14:paraId="0E0A0A5B" w14:textId="77777777" w:rsidR="001714F8" w:rsidRPr="001714F8" w:rsidRDefault="001714F8" w:rsidP="00EB5EC9">
      <w:pPr>
        <w:numPr>
          <w:ilvl w:val="0"/>
          <w:numId w:val="100"/>
        </w:numPr>
        <w:rPr>
          <w:rFonts w:ascii="Calibri" w:hAnsi="Calibri" w:cs="Calibri"/>
        </w:rPr>
      </w:pPr>
      <w:r>
        <w:t>What security monitoring capability currently exists within DCDE?</w:t>
      </w:r>
    </w:p>
    <w:p w14:paraId="323BF431" w14:textId="0274E155" w:rsidR="002E7041" w:rsidRDefault="00CE7BE5">
      <w:pPr>
        <w:pStyle w:val="ListParagraph"/>
        <w:rPr>
          <w:b/>
          <w:color w:val="000000" w:themeColor="text1"/>
          <w:sz w:val="20"/>
        </w:rPr>
      </w:pPr>
      <w:r w:rsidRPr="00387913">
        <w:rPr>
          <w:b/>
          <w:color w:val="000000" w:themeColor="text1"/>
          <w:sz w:val="20"/>
        </w:rPr>
        <w:t>There is no incumbent MSSP or SOC provider for this tenant. Current internal cyber capacity comprises a Cyber Security Officer with one team member, sitting within ICT Operations. The successful tenderer is expected to establish the operating model, runbooks, escalation paths and reporting arrangements with DCDE during mobilisation.</w:t>
      </w:r>
    </w:p>
    <w:p w14:paraId="4E786926" w14:textId="77777777" w:rsidR="00BD2B2E" w:rsidRDefault="00BD2B2E">
      <w:pPr>
        <w:pStyle w:val="ListParagraph"/>
      </w:pPr>
    </w:p>
    <w:p w14:paraId="4113B8F1" w14:textId="77777777" w:rsidR="001714F8" w:rsidRPr="001714F8" w:rsidRDefault="001714F8" w:rsidP="00EB5EC9">
      <w:pPr>
        <w:numPr>
          <w:ilvl w:val="0"/>
          <w:numId w:val="100"/>
        </w:numPr>
        <w:rPr>
          <w:rFonts w:ascii="Calibri" w:hAnsi="Calibri" w:cs="Calibri"/>
        </w:rPr>
      </w:pPr>
      <w:r>
        <w:t>Is there an incumbent MSSP or SOC provider and, if so, what services are currently being delivered?</w:t>
      </w:r>
    </w:p>
    <w:p w14:paraId="2CAAD7C9" w14:textId="7C66BE81" w:rsidR="002E7041" w:rsidRDefault="00CE7BE5">
      <w:pPr>
        <w:pStyle w:val="ListParagraph"/>
        <w:rPr>
          <w:b/>
          <w:color w:val="000000" w:themeColor="text1"/>
          <w:sz w:val="20"/>
        </w:rPr>
      </w:pPr>
      <w:r w:rsidRPr="00387913">
        <w:rPr>
          <w:b/>
          <w:color w:val="000000" w:themeColor="text1"/>
          <w:sz w:val="20"/>
        </w:rPr>
        <w:t xml:space="preserve">There is no incumbent MSSP or SOC provider for the in-scope tenant. DCDE has a current provider for NIS2 gap analysis and cybersecurity consultancy/governance support; </w:t>
      </w:r>
      <w:r w:rsidR="00B4344B" w:rsidRPr="00387913">
        <w:rPr>
          <w:b/>
          <w:color w:val="000000" w:themeColor="text1"/>
          <w:sz w:val="20"/>
        </w:rPr>
        <w:t xml:space="preserve">appropriate transition information will be shared </w:t>
      </w:r>
      <w:r w:rsidRPr="00387913">
        <w:rPr>
          <w:b/>
          <w:color w:val="000000" w:themeColor="text1"/>
          <w:sz w:val="20"/>
        </w:rPr>
        <w:t xml:space="preserve">for that workstream. No TUPE/staff transfer arrangement is </w:t>
      </w:r>
      <w:r w:rsidR="00B4344B" w:rsidRPr="00387913">
        <w:rPr>
          <w:b/>
          <w:color w:val="000000" w:themeColor="text1"/>
          <w:sz w:val="20"/>
        </w:rPr>
        <w:t>required</w:t>
      </w:r>
      <w:r w:rsidRPr="00387913">
        <w:rPr>
          <w:b/>
          <w:color w:val="000000" w:themeColor="text1"/>
          <w:sz w:val="20"/>
        </w:rPr>
        <w:t>.</w:t>
      </w:r>
      <w:r w:rsidR="00B4344B" w:rsidRPr="00387913">
        <w:rPr>
          <w:b/>
          <w:color w:val="000000" w:themeColor="text1"/>
          <w:sz w:val="20"/>
        </w:rPr>
        <w:t xml:space="preserve"> </w:t>
      </w:r>
    </w:p>
    <w:p w14:paraId="07DC9547" w14:textId="77777777" w:rsidR="00BD2B2E" w:rsidRDefault="00BD2B2E">
      <w:pPr>
        <w:pStyle w:val="ListParagraph"/>
      </w:pPr>
    </w:p>
    <w:p w14:paraId="3124F284" w14:textId="77777777" w:rsidR="001714F8" w:rsidRPr="001714F8" w:rsidRDefault="001714F8" w:rsidP="00EB5EC9">
      <w:pPr>
        <w:numPr>
          <w:ilvl w:val="0"/>
          <w:numId w:val="100"/>
        </w:numPr>
        <w:rPr>
          <w:rFonts w:ascii="Calibri" w:hAnsi="Calibri" w:cs="Calibri"/>
        </w:rPr>
      </w:pPr>
      <w:r>
        <w:t>What are the key challenges or gaps with the current operating model?</w:t>
      </w:r>
    </w:p>
    <w:p w14:paraId="71788A24" w14:textId="34576C35" w:rsidR="002E7041" w:rsidRDefault="00CE7BE5">
      <w:pPr>
        <w:pStyle w:val="ListParagraph"/>
        <w:rPr>
          <w:b/>
          <w:color w:val="000000" w:themeColor="text1"/>
          <w:sz w:val="20"/>
        </w:rPr>
      </w:pPr>
      <w:r w:rsidRPr="00387913">
        <w:rPr>
          <w:b/>
          <w:color w:val="000000" w:themeColor="text1"/>
          <w:sz w:val="20"/>
        </w:rPr>
        <w:lastRenderedPageBreak/>
        <w:t>There is no incumbent MSSP or SOC provider for this tenant. Current internal cyber capacity comprises a Cyber Security Officer with one team member, sitting within ICT Operations. The successful tenderer is expected to establish the operating model, runbooks, escalation paths and reporting arrangements with DCDE during mobilisation.</w:t>
      </w:r>
    </w:p>
    <w:p w14:paraId="3C7F53A7" w14:textId="77777777" w:rsidR="00BD2B2E" w:rsidRDefault="00BD2B2E">
      <w:pPr>
        <w:pStyle w:val="ListParagraph"/>
      </w:pPr>
    </w:p>
    <w:p w14:paraId="38587F44" w14:textId="77777777" w:rsidR="001714F8" w:rsidRPr="001714F8" w:rsidRDefault="001714F8" w:rsidP="00EB5EC9">
      <w:pPr>
        <w:numPr>
          <w:ilvl w:val="0"/>
          <w:numId w:val="100"/>
        </w:numPr>
        <w:rPr>
          <w:rFonts w:ascii="Calibri" w:hAnsi="Calibri" w:cs="Calibri"/>
        </w:rPr>
      </w:pPr>
      <w:r>
        <w:t>Which services, activities and roles will transition to the supplier, and which will remain DCDE responsibilities?</w:t>
      </w:r>
    </w:p>
    <w:p w14:paraId="361714AB" w14:textId="7BB90C4D" w:rsidR="002E7041" w:rsidRDefault="00CE7BE5">
      <w:pPr>
        <w:pStyle w:val="ListParagraph"/>
        <w:rPr>
          <w:b/>
          <w:color w:val="000000" w:themeColor="text1"/>
          <w:sz w:val="20"/>
        </w:rPr>
      </w:pPr>
      <w:r w:rsidRPr="00387913">
        <w:rPr>
          <w:b/>
          <w:color w:val="000000" w:themeColor="text1"/>
          <w:sz w:val="20"/>
        </w:rPr>
        <w:t xml:space="preserve">There is no incumbent MSSP or SOC provider for the in-scope tenant. DCDE has a current provider for NIS2 gap analysis and cybersecurity consultancy/governance support; </w:t>
      </w:r>
      <w:r w:rsidR="003E3E7E" w:rsidRPr="00387913">
        <w:rPr>
          <w:b/>
          <w:color w:val="000000" w:themeColor="text1"/>
          <w:sz w:val="20"/>
        </w:rPr>
        <w:t xml:space="preserve">appropriate transition information will be shared </w:t>
      </w:r>
      <w:r w:rsidRPr="00387913">
        <w:rPr>
          <w:b/>
          <w:color w:val="000000" w:themeColor="text1"/>
          <w:sz w:val="20"/>
        </w:rPr>
        <w:t xml:space="preserve">for that workstream. No TUPE/staff transfer arrangement is </w:t>
      </w:r>
      <w:r w:rsidR="00B4344B" w:rsidRPr="00387913">
        <w:rPr>
          <w:b/>
          <w:color w:val="000000" w:themeColor="text1"/>
          <w:sz w:val="20"/>
        </w:rPr>
        <w:t>required</w:t>
      </w:r>
      <w:r w:rsidRPr="00387913">
        <w:rPr>
          <w:b/>
          <w:color w:val="000000" w:themeColor="text1"/>
          <w:sz w:val="20"/>
        </w:rPr>
        <w:t>.</w:t>
      </w:r>
    </w:p>
    <w:p w14:paraId="4A3EE519" w14:textId="77777777" w:rsidR="00BD2B2E" w:rsidRDefault="00BD2B2E">
      <w:pPr>
        <w:pStyle w:val="ListParagraph"/>
      </w:pPr>
    </w:p>
    <w:p w14:paraId="2E80AA1B" w14:textId="77777777" w:rsidR="001714F8" w:rsidRPr="001714F8" w:rsidRDefault="001714F8" w:rsidP="00EB5EC9">
      <w:pPr>
        <w:numPr>
          <w:ilvl w:val="0"/>
          <w:numId w:val="100"/>
        </w:numPr>
        <w:rPr>
          <w:rFonts w:ascii="Calibri" w:hAnsi="Calibri" w:cs="Calibri"/>
        </w:rPr>
      </w:pPr>
      <w:r>
        <w:t>What internal cyber security resources exist today?</w:t>
      </w:r>
    </w:p>
    <w:p w14:paraId="190A9A50" w14:textId="69E7BDDB" w:rsidR="002E7041" w:rsidRDefault="00CE7BE5">
      <w:pPr>
        <w:pStyle w:val="ListParagraph"/>
        <w:rPr>
          <w:b/>
          <w:color w:val="000000" w:themeColor="text1"/>
          <w:sz w:val="20"/>
        </w:rPr>
      </w:pPr>
      <w:r w:rsidRPr="00387913">
        <w:rPr>
          <w:b/>
          <w:color w:val="000000" w:themeColor="text1"/>
          <w:sz w:val="20"/>
        </w:rPr>
        <w:t xml:space="preserve">There is no incumbent MSSP or SOC provider for this tenant. Current internal cyber capacity comprises a Cyber Security Officer with one team member, sitting within ICT Operations. </w:t>
      </w:r>
    </w:p>
    <w:p w14:paraId="05B0BAC7" w14:textId="77777777" w:rsidR="00BD2B2E" w:rsidRDefault="00BD2B2E">
      <w:pPr>
        <w:pStyle w:val="ListParagraph"/>
      </w:pPr>
    </w:p>
    <w:p w14:paraId="46CEB3FF" w14:textId="77777777" w:rsidR="001714F8" w:rsidRPr="001714F8" w:rsidRDefault="001714F8" w:rsidP="00EB5EC9">
      <w:pPr>
        <w:numPr>
          <w:ilvl w:val="0"/>
          <w:numId w:val="100"/>
        </w:numPr>
        <w:rPr>
          <w:rFonts w:ascii="Calibri" w:hAnsi="Calibri" w:cs="Calibri"/>
        </w:rPr>
      </w:pPr>
      <w:r>
        <w:t>Will DCDE provide dedicated operational contacts for incident handling and approvals?</w:t>
      </w:r>
    </w:p>
    <w:p w14:paraId="02DC1BAD" w14:textId="67FA1C90" w:rsidR="002E7041" w:rsidRDefault="00CE7BE5">
      <w:pPr>
        <w:pStyle w:val="ListParagraph"/>
        <w:rPr>
          <w:b/>
          <w:color w:val="000000" w:themeColor="text1"/>
          <w:sz w:val="20"/>
        </w:rPr>
      </w:pPr>
      <w:r w:rsidRPr="00387913">
        <w:rPr>
          <w:b/>
          <w:color w:val="000000" w:themeColor="text1"/>
          <w:sz w:val="20"/>
        </w:rPr>
        <w:t>DCDE will identify operational contacts and approval routes during mobilisation. Relevant DCDE teams include ICT Operations, the Azure infrastructure team and the Digital Strategy and Delivery team. Normal support availability should be assumed to align with business hours unless otherwise agreed.</w:t>
      </w:r>
    </w:p>
    <w:p w14:paraId="4353208D" w14:textId="77777777" w:rsidR="00BD2B2E" w:rsidRDefault="00BD2B2E">
      <w:pPr>
        <w:pStyle w:val="ListParagraph"/>
      </w:pPr>
    </w:p>
    <w:p w14:paraId="511E6DC0" w14:textId="77777777" w:rsidR="001714F8" w:rsidRPr="001714F8" w:rsidRDefault="001714F8" w:rsidP="00EB5EC9">
      <w:pPr>
        <w:numPr>
          <w:ilvl w:val="0"/>
          <w:numId w:val="100"/>
        </w:numPr>
        <w:rPr>
          <w:rFonts w:ascii="Calibri" w:hAnsi="Calibri" w:cs="Calibri"/>
        </w:rPr>
      </w:pPr>
      <w:r>
        <w:t>What are the expected operating hours of relevant DCDE support teams?</w:t>
      </w:r>
    </w:p>
    <w:p w14:paraId="1765378C" w14:textId="6714A76D" w:rsidR="002E7041" w:rsidRDefault="00CE7BE5">
      <w:pPr>
        <w:pStyle w:val="ListParagraph"/>
        <w:rPr>
          <w:b/>
          <w:color w:val="000000" w:themeColor="text1"/>
          <w:sz w:val="20"/>
        </w:rPr>
      </w:pPr>
      <w:r w:rsidRPr="00387913">
        <w:rPr>
          <w:b/>
          <w:color w:val="000000" w:themeColor="text1"/>
          <w:sz w:val="20"/>
        </w:rPr>
        <w:t>DCDE will identify operational contacts and approval routes during mobilisation. Relevant DCDE teams include ICT Operations, the Azure infrastructure team and the Digital Strategy and Delivery team. Normal support availability should be assumed to align with business hours unless otherwise agreed.</w:t>
      </w:r>
    </w:p>
    <w:p w14:paraId="1187289D" w14:textId="77777777" w:rsidR="00BD2B2E" w:rsidRDefault="00BD2B2E">
      <w:pPr>
        <w:pStyle w:val="ListParagraph"/>
      </w:pPr>
    </w:p>
    <w:p w14:paraId="2110A358" w14:textId="77777777" w:rsidR="001714F8" w:rsidRPr="001714F8" w:rsidRDefault="001714F8" w:rsidP="00EB5EC9">
      <w:pPr>
        <w:numPr>
          <w:ilvl w:val="0"/>
          <w:numId w:val="100"/>
        </w:numPr>
        <w:rPr>
          <w:rFonts w:ascii="Calibri" w:hAnsi="Calibri" w:cs="Calibri"/>
        </w:rPr>
      </w:pPr>
      <w:r>
        <w:t>What SIEM platform is currently deployed?</w:t>
      </w:r>
    </w:p>
    <w:p w14:paraId="16572443" w14:textId="092DBDA5" w:rsidR="002E7041" w:rsidRDefault="00CE7BE5">
      <w:pPr>
        <w:pStyle w:val="ListParagraph"/>
      </w:pPr>
      <w:r w:rsidRPr="00387913">
        <w:rPr>
          <w:b/>
          <w:color w:val="000000" w:themeColor="text1"/>
          <w:sz w:val="20"/>
        </w:rPr>
        <w:t>Microsoft Sentinel is provided via a landing zone but is not yet fully operational. DCDE does not currently have an MSSP in place. The successful tenderer will assist DCDE with configuration, optimisation, onboarding, detection content, reporting and operationalisation of the current SIEM solution. DCDE will remain responsible for SIEM licensing and data ingestion/retention costs unless otherwise agreed. Current scheduled log ingestion and review are not yet operational. Data connectors are currently set for Microsoft Defender for Cloud, Network Security Groups, Azure Activity, Entra ID and Azure Monitor. NSG flow logs are not currently configured. Additional sources may include Microsoft infrastructure and line-of-business application logs, including Power Apps, Power Pages, Microsoft Fabric, SharePoint Online, Dynamics when introduced, and other sources identified during mobilisation. Current GB/day, EPS and monthly alert volumes are not available.</w:t>
      </w:r>
    </w:p>
    <w:p w14:paraId="2816E825" w14:textId="77777777" w:rsidR="001714F8" w:rsidRPr="001714F8" w:rsidRDefault="001714F8" w:rsidP="00EB5EC9">
      <w:pPr>
        <w:numPr>
          <w:ilvl w:val="0"/>
          <w:numId w:val="100"/>
        </w:numPr>
        <w:rPr>
          <w:rFonts w:ascii="Calibri" w:hAnsi="Calibri" w:cs="Calibri"/>
        </w:rPr>
      </w:pPr>
      <w:r>
        <w:lastRenderedPageBreak/>
        <w:t>What SIEM licensing model is in place?</w:t>
      </w:r>
    </w:p>
    <w:p w14:paraId="11D4AA10" w14:textId="3AD115AB" w:rsidR="002E7041" w:rsidRDefault="00CE7BE5">
      <w:pPr>
        <w:pStyle w:val="ListParagraph"/>
        <w:rPr>
          <w:b/>
          <w:color w:val="000000" w:themeColor="text1"/>
          <w:sz w:val="20"/>
        </w:rPr>
      </w:pPr>
      <w:r w:rsidRPr="00387913">
        <w:rPr>
          <w:b/>
          <w:color w:val="000000" w:themeColor="text1"/>
          <w:sz w:val="20"/>
        </w:rPr>
        <w:t>Microsoft Sentinel is provided via a landing zone but is not yet fully operational. DCDE does not currently have an MSSP in place. The successful tenderer will assist DCDE with configuration, optimisation, onboarding, detection content, reporting and operationalisation of the current SIEM solution. DCDE will remain responsible for SIEM licensing and data ingestion/retention costs unless otherwise agreed. Current scheduled log ingestion and review are not yet operational. Data connectors are currently set for Microsoft Defender for Cloud, Network Security Groups, Azure Activity, Entra ID and Azure Monitor. NSG flow logs are not currently configured. Additional sources may include Microsoft infrastructure and line-of-business application logs, including Power Apps, Power Pages, Microsoft Fabric, SharePoint Online, Dynamics when introduced, and other sources identified during mobilisation. Current GB/day, EPS and monthly alert volumes are not available.</w:t>
      </w:r>
    </w:p>
    <w:p w14:paraId="63A102FA" w14:textId="77777777" w:rsidR="00BD2B2E" w:rsidRDefault="00BD2B2E">
      <w:pPr>
        <w:pStyle w:val="ListParagraph"/>
      </w:pPr>
    </w:p>
    <w:p w14:paraId="268CDA64" w14:textId="77777777" w:rsidR="001714F8" w:rsidRPr="001714F8" w:rsidRDefault="001714F8" w:rsidP="00EB5EC9">
      <w:pPr>
        <w:numPr>
          <w:ilvl w:val="0"/>
          <w:numId w:val="100"/>
        </w:numPr>
        <w:rPr>
          <w:rFonts w:ascii="Calibri" w:hAnsi="Calibri" w:cs="Calibri"/>
        </w:rPr>
      </w:pPr>
      <w:r>
        <w:t>Is the SIEM already operational or still being implemented?</w:t>
      </w:r>
    </w:p>
    <w:p w14:paraId="04A2F91C" w14:textId="32FC21AA" w:rsidR="002E7041" w:rsidRDefault="00CE7BE5">
      <w:pPr>
        <w:pStyle w:val="ListParagraph"/>
        <w:rPr>
          <w:b/>
          <w:color w:val="000000" w:themeColor="text1"/>
          <w:sz w:val="20"/>
        </w:rPr>
      </w:pPr>
      <w:r w:rsidRPr="00387913">
        <w:rPr>
          <w:b/>
          <w:color w:val="000000" w:themeColor="text1"/>
          <w:sz w:val="20"/>
        </w:rPr>
        <w:t>Microsoft Sentinel is provided via a landing zone but is not yet fully operational. DCDE does not currently have an MSSP in place. The successful tenderer will assist DCDE with configuration, optimisation, onboarding, detection content, reporting and operationalisation of the current SIEM solution. DCDE will remain responsible for SIEM licensing and data ingestion/retention costs unless otherwise agreed. Current scheduled log ingestion and review are not yet operational. Data connectors are currently set for Microsoft Defender for Cloud, Network Security Groups, Azure Activity, Entra ID and Azure Monitor. NSG flow logs are not currently configured. Additional sources may include Microsoft infrastructure and line-of-business application logs, including Power Apps, Power Pages, Microsoft Fabric, SharePoint Online, Dynamics when introduced, and other sources identified during mobilisation. Current GB/day, EPS and monthly alert volumes are not available.</w:t>
      </w:r>
    </w:p>
    <w:p w14:paraId="7492254B" w14:textId="77777777" w:rsidR="00BD2B2E" w:rsidRDefault="00BD2B2E">
      <w:pPr>
        <w:pStyle w:val="ListParagraph"/>
      </w:pPr>
    </w:p>
    <w:p w14:paraId="7B3B6549" w14:textId="77777777" w:rsidR="001714F8" w:rsidRPr="001714F8" w:rsidRDefault="001714F8" w:rsidP="00EB5EC9">
      <w:pPr>
        <w:numPr>
          <w:ilvl w:val="0"/>
          <w:numId w:val="100"/>
        </w:numPr>
        <w:rPr>
          <w:rFonts w:ascii="Calibri" w:hAnsi="Calibri" w:cs="Calibri"/>
        </w:rPr>
      </w:pPr>
      <w:r>
        <w:t>Is SIEM administration and management expected to remain with DCDE or the supplier?</w:t>
      </w:r>
    </w:p>
    <w:p w14:paraId="30A9919D" w14:textId="25ADA396" w:rsidR="002E7041" w:rsidRDefault="00CE7BE5">
      <w:pPr>
        <w:pStyle w:val="ListParagraph"/>
        <w:rPr>
          <w:b/>
          <w:color w:val="000000" w:themeColor="text1"/>
          <w:sz w:val="20"/>
        </w:rPr>
      </w:pPr>
      <w:r w:rsidRPr="00387913">
        <w:rPr>
          <w:b/>
          <w:color w:val="000000" w:themeColor="text1"/>
          <w:sz w:val="20"/>
        </w:rPr>
        <w:t xml:space="preserve"> </w:t>
      </w:r>
      <w:r w:rsidR="00C05F99" w:rsidRPr="00387913">
        <w:rPr>
          <w:b/>
          <w:color w:val="000000" w:themeColor="text1"/>
          <w:sz w:val="20"/>
        </w:rPr>
        <w:t xml:space="preserve">SIEM administration and management are expected to form part of the Services. The successful supplier will assist with the configuration, optimisation, onboarding, monitoring, reporting and ongoing management of the Microsoft Sentinel environment, working closely with DCDE and relevant infrastructure partners. DCDE will retain overall ownership of the platform and licences. </w:t>
      </w:r>
    </w:p>
    <w:p w14:paraId="15EE31C4" w14:textId="77777777" w:rsidR="00BD2B2E" w:rsidRDefault="00BD2B2E">
      <w:pPr>
        <w:pStyle w:val="ListParagraph"/>
      </w:pPr>
    </w:p>
    <w:p w14:paraId="744403AE" w14:textId="77777777" w:rsidR="001714F8" w:rsidRPr="001714F8" w:rsidRDefault="001714F8" w:rsidP="00EB5EC9">
      <w:pPr>
        <w:numPr>
          <w:ilvl w:val="0"/>
          <w:numId w:val="100"/>
        </w:numPr>
        <w:rPr>
          <w:rFonts w:ascii="Calibri" w:hAnsi="Calibri" w:cs="Calibri"/>
        </w:rPr>
      </w:pPr>
      <w:r>
        <w:t>How many SIEM data forwarders are in scope?</w:t>
      </w:r>
    </w:p>
    <w:p w14:paraId="704E2DA2" w14:textId="6DF7E239" w:rsidR="002E7041" w:rsidRDefault="00C05F99">
      <w:pPr>
        <w:pStyle w:val="ListParagraph"/>
        <w:rPr>
          <w:b/>
          <w:color w:val="000000" w:themeColor="text1"/>
          <w:sz w:val="20"/>
        </w:rPr>
      </w:pPr>
      <w:r w:rsidRPr="00387913">
        <w:rPr>
          <w:b/>
          <w:color w:val="000000" w:themeColor="text1"/>
          <w:sz w:val="20"/>
        </w:rPr>
        <w:t xml:space="preserve">DCDE cannot provide a definitive number of SIEM data forwarders at this stage. Current configured data sources include Microsoft Defender for Cloud, Azure Activity, Entra ID, Azure Monitor and Network Security Groups. The successful supplier will be expected to validate, optimise and expand log-source onboarding during mobilisation and service implementation. </w:t>
      </w:r>
    </w:p>
    <w:p w14:paraId="1BC2B2C7" w14:textId="77777777" w:rsidR="00BD2B2E" w:rsidRDefault="00BD2B2E">
      <w:pPr>
        <w:pStyle w:val="ListParagraph"/>
      </w:pPr>
    </w:p>
    <w:p w14:paraId="023990C6" w14:textId="77777777" w:rsidR="001714F8" w:rsidRPr="001714F8" w:rsidRDefault="001714F8" w:rsidP="00EB5EC9">
      <w:pPr>
        <w:numPr>
          <w:ilvl w:val="0"/>
          <w:numId w:val="100"/>
        </w:numPr>
        <w:rPr>
          <w:rFonts w:ascii="Calibri" w:hAnsi="Calibri" w:cs="Calibri"/>
        </w:rPr>
      </w:pPr>
      <w:r>
        <w:t>How many SIEM agents are deployed?</w:t>
      </w:r>
    </w:p>
    <w:p w14:paraId="7573A536" w14:textId="175130E5" w:rsidR="002E7041" w:rsidRDefault="00C05F99">
      <w:pPr>
        <w:pStyle w:val="ListParagraph"/>
        <w:rPr>
          <w:b/>
          <w:color w:val="000000" w:themeColor="text1"/>
          <w:sz w:val="20"/>
        </w:rPr>
      </w:pPr>
      <w:r w:rsidRPr="00387913">
        <w:rPr>
          <w:b/>
          <w:color w:val="000000" w:themeColor="text1"/>
          <w:sz w:val="20"/>
        </w:rPr>
        <w:lastRenderedPageBreak/>
        <w:t xml:space="preserve">DCDE cannot currently provide a definitive count of SIEM agents deployed. Microsoft Sentinel is available via a landing-zone architecture but is not yet fully operational, and no MSSP is currently in place. The successful tenderer will be expected to assess, onboard and optimise required log sources and monitoring coverage during mobilisation. </w:t>
      </w:r>
    </w:p>
    <w:p w14:paraId="07F2B3EA" w14:textId="77777777" w:rsidR="00BD2B2E" w:rsidRDefault="00BD2B2E">
      <w:pPr>
        <w:pStyle w:val="ListParagraph"/>
      </w:pPr>
    </w:p>
    <w:p w14:paraId="70960C0B" w14:textId="77777777" w:rsidR="001714F8" w:rsidRPr="001714F8" w:rsidRDefault="001714F8" w:rsidP="00EB5EC9">
      <w:pPr>
        <w:numPr>
          <w:ilvl w:val="0"/>
          <w:numId w:val="100"/>
        </w:numPr>
        <w:rPr>
          <w:rFonts w:ascii="Calibri" w:hAnsi="Calibri" w:cs="Calibri"/>
        </w:rPr>
      </w:pPr>
      <w:r>
        <w:t>What existing security technologies are in scope, including Microsoft 365 Defender, Defender XDR, Sentinel, Entra ID Protection, Purview, Defender for Cloud, Defender for Cloud Apps, Defender for Endpoint and Defender for Identity? Are any other security products in scope?</w:t>
      </w:r>
    </w:p>
    <w:p w14:paraId="4758E37A" w14:textId="04ECC57E" w:rsidR="002E7041" w:rsidRDefault="00CE7BE5">
      <w:pPr>
        <w:pStyle w:val="ListParagraph"/>
        <w:rPr>
          <w:b/>
          <w:color w:val="000000" w:themeColor="text1"/>
          <w:sz w:val="20"/>
        </w:rPr>
      </w:pPr>
      <w:r w:rsidRPr="00387913">
        <w:rPr>
          <w:b/>
          <w:color w:val="000000" w:themeColor="text1"/>
          <w:sz w:val="20"/>
        </w:rPr>
        <w:t xml:space="preserve"> </w:t>
      </w:r>
      <w:r w:rsidR="00C05F99" w:rsidRPr="00387913">
        <w:rPr>
          <w:b/>
          <w:color w:val="000000" w:themeColor="text1"/>
          <w:sz w:val="20"/>
        </w:rPr>
        <w:t xml:space="preserve">The confirmed in-scope technologies currently include Microsoft Sentinel (landing zone deployment), Microsoft Defender for Cloud, Azure Activity, Entra ID, Azure Monitor and Network Security Group logging. Other Microsoft security technologies may exist within the tenant, but tenderers should not assume they are fully deployed or in scope unless confirmed during mobilisation. </w:t>
      </w:r>
    </w:p>
    <w:p w14:paraId="4D7DC5FB" w14:textId="77777777" w:rsidR="00BD2B2E" w:rsidRDefault="00BD2B2E">
      <w:pPr>
        <w:pStyle w:val="ListParagraph"/>
      </w:pPr>
    </w:p>
    <w:p w14:paraId="381BA54C" w14:textId="77777777" w:rsidR="001714F8" w:rsidRPr="001714F8" w:rsidRDefault="001714F8" w:rsidP="00EB5EC9">
      <w:pPr>
        <w:numPr>
          <w:ilvl w:val="0"/>
          <w:numId w:val="100"/>
        </w:numPr>
        <w:rPr>
          <w:rFonts w:ascii="Calibri" w:hAnsi="Calibri" w:cs="Calibri"/>
        </w:rPr>
      </w:pPr>
      <w:r>
        <w:t>What is the current average daily log ingestion volume?</w:t>
      </w:r>
    </w:p>
    <w:p w14:paraId="17A1369E" w14:textId="6D2104CC" w:rsidR="002E7041" w:rsidRDefault="00C05F99">
      <w:pPr>
        <w:pStyle w:val="ListParagraph"/>
        <w:rPr>
          <w:b/>
          <w:color w:val="000000" w:themeColor="text1"/>
          <w:sz w:val="20"/>
        </w:rPr>
      </w:pPr>
      <w:r w:rsidRPr="00387913">
        <w:rPr>
          <w:b/>
          <w:color w:val="000000" w:themeColor="text1"/>
          <w:sz w:val="20"/>
        </w:rPr>
        <w:t>DCDE does not currently have reliable average daily log-ingestion figures available for the in-scope environment, as no MSSP is currently in place and scheduled monitoring and review activities have not yet been established. The successful supplier will be expected to validate, baseline and optimise log-ingestion volumes during mobilisation.</w:t>
      </w:r>
    </w:p>
    <w:p w14:paraId="7C567E5C" w14:textId="77777777" w:rsidR="00BD2B2E" w:rsidRDefault="00BD2B2E">
      <w:pPr>
        <w:pStyle w:val="ListParagraph"/>
      </w:pPr>
    </w:p>
    <w:p w14:paraId="1EB9155B" w14:textId="77777777" w:rsidR="001714F8" w:rsidRPr="001714F8" w:rsidRDefault="001714F8" w:rsidP="00EB5EC9">
      <w:pPr>
        <w:numPr>
          <w:ilvl w:val="0"/>
          <w:numId w:val="100"/>
        </w:numPr>
        <w:rPr>
          <w:rFonts w:ascii="Calibri" w:hAnsi="Calibri" w:cs="Calibri"/>
        </w:rPr>
      </w:pPr>
      <w:r>
        <w:t>What is the projected growth in log ingestion over the contract term?</w:t>
      </w:r>
    </w:p>
    <w:p w14:paraId="3D750240" w14:textId="1D3A7ADF" w:rsidR="002E7041" w:rsidRDefault="00C05F99">
      <w:pPr>
        <w:pStyle w:val="ListParagraph"/>
        <w:rPr>
          <w:b/>
          <w:color w:val="000000" w:themeColor="text1"/>
          <w:sz w:val="20"/>
        </w:rPr>
      </w:pPr>
      <w:r w:rsidRPr="00387913">
        <w:rPr>
          <w:b/>
          <w:color w:val="000000" w:themeColor="text1"/>
          <w:sz w:val="20"/>
        </w:rPr>
        <w:t>DCDE cannot provide a reliable projection of future log-ingestion growth at this stage. Tenderers should assume that log volumes may increase during the contract term as additional Microsoft services, line-of-business applications and workloads are onboarded. The successful supplier will be expected to review, manage and optimise onboarding activities accordingly.</w:t>
      </w:r>
      <w:r w:rsidR="00A83887" w:rsidRPr="00387913">
        <w:rPr>
          <w:b/>
          <w:color w:val="000000" w:themeColor="text1"/>
          <w:sz w:val="20"/>
        </w:rPr>
        <w:t xml:space="preserve"> </w:t>
      </w:r>
    </w:p>
    <w:p w14:paraId="7B0D9D86" w14:textId="77777777" w:rsidR="00BD2B2E" w:rsidRDefault="00BD2B2E">
      <w:pPr>
        <w:pStyle w:val="ListParagraph"/>
      </w:pPr>
    </w:p>
    <w:p w14:paraId="4CE421F3" w14:textId="77777777" w:rsidR="001714F8" w:rsidRPr="001714F8" w:rsidRDefault="001714F8" w:rsidP="00EB5EC9">
      <w:pPr>
        <w:numPr>
          <w:ilvl w:val="0"/>
          <w:numId w:val="100"/>
        </w:numPr>
        <w:rPr>
          <w:rFonts w:ascii="Calibri" w:hAnsi="Calibri" w:cs="Calibri"/>
        </w:rPr>
      </w:pPr>
      <w:r>
        <w:t>How many log sources currently feed the SIEM?</w:t>
      </w:r>
    </w:p>
    <w:p w14:paraId="66F732CE" w14:textId="54611557" w:rsidR="002E7041" w:rsidRDefault="00A83887">
      <w:pPr>
        <w:pStyle w:val="ListParagraph"/>
        <w:rPr>
          <w:b/>
          <w:color w:val="000000" w:themeColor="text1"/>
          <w:sz w:val="20"/>
        </w:rPr>
      </w:pPr>
      <w:r w:rsidRPr="00387913">
        <w:rPr>
          <w:b/>
          <w:color w:val="000000" w:themeColor="text1"/>
          <w:sz w:val="20"/>
        </w:rPr>
        <w:t xml:space="preserve">Microsoft Sentinel is not yet fully operational and DCDE does not currently have an MSSP in place. Configured data connectors currently include Microsoft Defender for Cloud, Azure Activity, Entra ID, Azure Monitor and Network Security Groups. Additional log sources are expected to be onboarded during mobilisation and throughout the contract term. </w:t>
      </w:r>
    </w:p>
    <w:p w14:paraId="636A95A7" w14:textId="77777777" w:rsidR="00BD2B2E" w:rsidRDefault="00BD2B2E">
      <w:pPr>
        <w:pStyle w:val="ListParagraph"/>
      </w:pPr>
    </w:p>
    <w:p w14:paraId="3464E646" w14:textId="77777777" w:rsidR="001714F8" w:rsidRPr="001714F8" w:rsidRDefault="001714F8" w:rsidP="00EB5EC9">
      <w:pPr>
        <w:numPr>
          <w:ilvl w:val="0"/>
          <w:numId w:val="100"/>
        </w:numPr>
        <w:rPr>
          <w:rFonts w:ascii="Calibri" w:hAnsi="Calibri" w:cs="Calibri"/>
        </w:rPr>
      </w:pPr>
      <w:r>
        <w:t>How many users and privileged users are in scope?</w:t>
      </w:r>
    </w:p>
    <w:p w14:paraId="1DE2D250" w14:textId="0AFC13CB" w:rsidR="002E7041" w:rsidRDefault="00A83887">
      <w:pPr>
        <w:pStyle w:val="ListParagraph"/>
        <w:rPr>
          <w:b/>
          <w:color w:val="000000" w:themeColor="text1"/>
          <w:sz w:val="20"/>
        </w:rPr>
      </w:pPr>
      <w:r w:rsidRPr="00387913">
        <w:rPr>
          <w:b/>
          <w:color w:val="000000" w:themeColor="text1"/>
          <w:sz w:val="20"/>
        </w:rPr>
        <w:t xml:space="preserve">The in-scope environment currently comprises approximately 800 users, together with approximately 150 guest users from another Government Department and a small number of contractor and service accounts. DCDE cannot currently provide a definitive count of privileged users; these will be identified and validated during mobilisation and onboarding activities. </w:t>
      </w:r>
    </w:p>
    <w:p w14:paraId="47E9A344" w14:textId="77777777" w:rsidR="00BD2B2E" w:rsidRDefault="00BD2B2E">
      <w:pPr>
        <w:pStyle w:val="ListParagraph"/>
      </w:pPr>
    </w:p>
    <w:p w14:paraId="21AB1A76" w14:textId="77777777" w:rsidR="001714F8" w:rsidRPr="001714F8" w:rsidRDefault="001714F8" w:rsidP="00EB5EC9">
      <w:pPr>
        <w:numPr>
          <w:ilvl w:val="0"/>
          <w:numId w:val="100"/>
        </w:numPr>
        <w:rPr>
          <w:rFonts w:ascii="Calibri" w:hAnsi="Calibri" w:cs="Calibri"/>
        </w:rPr>
      </w:pPr>
      <w:r>
        <w:lastRenderedPageBreak/>
        <w:t>How many EDR endpoints are in scope?</w:t>
      </w:r>
    </w:p>
    <w:p w14:paraId="3C22DAB6" w14:textId="6929449D" w:rsidR="002E7041" w:rsidRDefault="00A83887">
      <w:pPr>
        <w:pStyle w:val="ListParagraph"/>
        <w:rPr>
          <w:b/>
          <w:color w:val="000000" w:themeColor="text1"/>
          <w:sz w:val="20"/>
        </w:rPr>
      </w:pPr>
      <w:r w:rsidRPr="00387913">
        <w:rPr>
          <w:b/>
          <w:color w:val="000000" w:themeColor="text1"/>
          <w:sz w:val="20"/>
        </w:rPr>
        <w:t>User endpoints and mobile devices are generally outside the scope of this MSSP service, as they are managed within a centrally hosted Government environment. Accordingly, DCDE cannot provide a specific number of EDR-protected endpoints in scope. The focus of this contract is the Department's Azure-hosted applications, services and related workloads.</w:t>
      </w:r>
    </w:p>
    <w:p w14:paraId="23989788" w14:textId="77777777" w:rsidR="00BD2B2E" w:rsidRDefault="00BD2B2E">
      <w:pPr>
        <w:pStyle w:val="ListParagraph"/>
      </w:pPr>
    </w:p>
    <w:p w14:paraId="202D5AA6" w14:textId="77777777" w:rsidR="001714F8" w:rsidRPr="001714F8" w:rsidRDefault="001714F8" w:rsidP="00EB5EC9">
      <w:pPr>
        <w:numPr>
          <w:ilvl w:val="0"/>
          <w:numId w:val="100"/>
        </w:numPr>
        <w:rPr>
          <w:rFonts w:ascii="Calibri" w:hAnsi="Calibri" w:cs="Calibri"/>
        </w:rPr>
      </w:pPr>
      <w:r>
        <w:t>What is the current monthly alert volume?</w:t>
      </w:r>
    </w:p>
    <w:p w14:paraId="06FB66AE" w14:textId="2FF9F3C8" w:rsidR="002E7041" w:rsidRDefault="00CE7BE5">
      <w:pPr>
        <w:pStyle w:val="ListParagraph"/>
        <w:rPr>
          <w:b/>
          <w:color w:val="000000" w:themeColor="text1"/>
          <w:sz w:val="20"/>
        </w:rPr>
      </w:pPr>
      <w:r w:rsidRPr="00387913">
        <w:rPr>
          <w:b/>
          <w:color w:val="000000" w:themeColor="text1"/>
          <w:sz w:val="20"/>
        </w:rPr>
        <w:t>Historical alert volumes, true-positive rates, investigation volumes and incident volumes are not available because DCDE does not currently have an MSSP operating for this tenant and scheduled SIEM review is not yet in place.</w:t>
      </w:r>
    </w:p>
    <w:p w14:paraId="511741A2" w14:textId="77777777" w:rsidR="00BD2B2E" w:rsidRDefault="00BD2B2E">
      <w:pPr>
        <w:pStyle w:val="ListParagraph"/>
      </w:pPr>
    </w:p>
    <w:p w14:paraId="759EC28D" w14:textId="77777777" w:rsidR="001714F8" w:rsidRPr="001714F8" w:rsidRDefault="001714F8" w:rsidP="00EB5EC9">
      <w:pPr>
        <w:numPr>
          <w:ilvl w:val="0"/>
          <w:numId w:val="100"/>
        </w:numPr>
        <w:rPr>
          <w:rFonts w:ascii="Calibri" w:hAnsi="Calibri" w:cs="Calibri"/>
        </w:rPr>
      </w:pPr>
      <w:r>
        <w:t>What percentage of alerts are true positives?</w:t>
      </w:r>
    </w:p>
    <w:p w14:paraId="669A94E7" w14:textId="043DC590" w:rsidR="002E7041" w:rsidRDefault="00CE7BE5">
      <w:pPr>
        <w:pStyle w:val="ListParagraph"/>
        <w:rPr>
          <w:b/>
          <w:color w:val="000000" w:themeColor="text1"/>
          <w:sz w:val="20"/>
        </w:rPr>
      </w:pPr>
      <w:r w:rsidRPr="00387913">
        <w:rPr>
          <w:b/>
          <w:color w:val="000000" w:themeColor="text1"/>
          <w:sz w:val="20"/>
        </w:rPr>
        <w:t>Historical alert volumes, true-positive rates, investigation volumes and incident volumes are not available because DCDE does not currently have an MSSP operating for this tenant and scheduled SIEM review is not yet in place.</w:t>
      </w:r>
    </w:p>
    <w:p w14:paraId="764A985D" w14:textId="77777777" w:rsidR="00BD2B2E" w:rsidRDefault="00BD2B2E">
      <w:pPr>
        <w:pStyle w:val="ListParagraph"/>
      </w:pPr>
    </w:p>
    <w:p w14:paraId="534F6185" w14:textId="77777777" w:rsidR="001714F8" w:rsidRPr="001714F8" w:rsidRDefault="001714F8" w:rsidP="00EB5EC9">
      <w:pPr>
        <w:numPr>
          <w:ilvl w:val="0"/>
          <w:numId w:val="100"/>
        </w:numPr>
        <w:rPr>
          <w:rFonts w:ascii="Calibri" w:hAnsi="Calibri" w:cs="Calibri"/>
        </w:rPr>
      </w:pPr>
      <w:r>
        <w:t>What percentage of alerts are expected to require investigation?</w:t>
      </w:r>
    </w:p>
    <w:p w14:paraId="275D11F8" w14:textId="26C41D59" w:rsidR="002E7041" w:rsidRDefault="00A83887">
      <w:pPr>
        <w:pStyle w:val="ListParagraph"/>
        <w:rPr>
          <w:b/>
          <w:color w:val="000000" w:themeColor="text1"/>
          <w:sz w:val="20"/>
        </w:rPr>
      </w:pPr>
      <w:r w:rsidRPr="00387913">
        <w:rPr>
          <w:b/>
          <w:color w:val="000000" w:themeColor="text1"/>
          <w:sz w:val="20"/>
        </w:rPr>
        <w:t xml:space="preserve">DCDE cannot provide a reliable estimate of the percentage of alerts expected to require investigation. No MSSP is currently in place for the in-scope environment and historical alert data is not available. Tenderers should state their assumptions and describe their proposed triage, tuning and investigation approach within their service offering. </w:t>
      </w:r>
    </w:p>
    <w:p w14:paraId="3314DEEA" w14:textId="77777777" w:rsidR="00BD2B2E" w:rsidRDefault="00BD2B2E">
      <w:pPr>
        <w:pStyle w:val="ListParagraph"/>
      </w:pPr>
    </w:p>
    <w:p w14:paraId="38872B17" w14:textId="77777777" w:rsidR="001714F8" w:rsidRPr="001714F8" w:rsidRDefault="001714F8" w:rsidP="00EB5EC9">
      <w:pPr>
        <w:numPr>
          <w:ilvl w:val="0"/>
          <w:numId w:val="100"/>
        </w:numPr>
        <w:rPr>
          <w:rFonts w:ascii="Calibri" w:hAnsi="Calibri" w:cs="Calibri"/>
        </w:rPr>
      </w:pPr>
      <w:r>
        <w:t>What is the average monthly incident count?</w:t>
      </w:r>
    </w:p>
    <w:p w14:paraId="348CDC96" w14:textId="42B898A4" w:rsidR="002E7041" w:rsidRDefault="00CE7BE5">
      <w:pPr>
        <w:pStyle w:val="ListParagraph"/>
        <w:rPr>
          <w:b/>
          <w:color w:val="000000" w:themeColor="text1"/>
          <w:sz w:val="20"/>
        </w:rPr>
      </w:pPr>
      <w:r w:rsidRPr="00387913">
        <w:rPr>
          <w:b/>
          <w:color w:val="000000" w:themeColor="text1"/>
          <w:sz w:val="20"/>
        </w:rPr>
        <w:t>Historical alert volumes, true-positive rates, investigation volumes and incident volumes are not available because DCDE does not currently have an MSSP operating for this tenant and scheduled SIEM review is not yet in place.</w:t>
      </w:r>
    </w:p>
    <w:p w14:paraId="173080E2" w14:textId="77777777" w:rsidR="00BD2B2E" w:rsidRDefault="00BD2B2E">
      <w:pPr>
        <w:pStyle w:val="ListParagraph"/>
      </w:pPr>
    </w:p>
    <w:p w14:paraId="1AF7280F" w14:textId="77777777" w:rsidR="001714F8" w:rsidRPr="001714F8" w:rsidRDefault="001714F8" w:rsidP="00EB5EC9">
      <w:pPr>
        <w:numPr>
          <w:ilvl w:val="0"/>
          <w:numId w:val="100"/>
        </w:numPr>
        <w:rPr>
          <w:rFonts w:ascii="Calibri" w:hAnsi="Calibri" w:cs="Calibri"/>
        </w:rPr>
      </w:pPr>
      <w:r>
        <w:t>What constitutes a critical alert requiring an out-of-hours response?</w:t>
      </w:r>
    </w:p>
    <w:p w14:paraId="16C87875" w14:textId="3ACD2CED" w:rsidR="002E7041" w:rsidRDefault="00A83887">
      <w:pPr>
        <w:pStyle w:val="ListParagraph"/>
        <w:rPr>
          <w:b/>
          <w:color w:val="000000" w:themeColor="text1"/>
          <w:sz w:val="20"/>
        </w:rPr>
      </w:pPr>
      <w:r w:rsidRPr="00387913">
        <w:rPr>
          <w:b/>
          <w:color w:val="000000" w:themeColor="text1"/>
          <w:sz w:val="20"/>
        </w:rPr>
        <w:t xml:space="preserve">Critical alerts will be defined with the successful MSSP during mobilisation and reflected in the SLA/contract. As an indicative approach, critical alerts include suspected active compromise, unauthorised privileged access, confirmed malware/ransomware activity, material data exfiltration risk, significant service impact or events requiring urgent containment in the in-scope environment. </w:t>
      </w:r>
    </w:p>
    <w:p w14:paraId="22A2982C" w14:textId="77777777" w:rsidR="00BD2B2E" w:rsidRDefault="00BD2B2E">
      <w:pPr>
        <w:pStyle w:val="ListParagraph"/>
      </w:pPr>
    </w:p>
    <w:p w14:paraId="23C1CC0A" w14:textId="77777777" w:rsidR="001714F8" w:rsidRPr="001714F8" w:rsidRDefault="001714F8" w:rsidP="00EB5EC9">
      <w:pPr>
        <w:numPr>
          <w:ilvl w:val="0"/>
          <w:numId w:val="100"/>
        </w:numPr>
        <w:rPr>
          <w:rFonts w:ascii="Calibri" w:hAnsi="Calibri" w:cs="Calibri"/>
        </w:rPr>
      </w:pPr>
      <w:r>
        <w:t>Are existing severity definitions available?</w:t>
      </w:r>
    </w:p>
    <w:p w14:paraId="5CBD6390" w14:textId="52B48DA6" w:rsidR="002E7041" w:rsidRDefault="00A83887">
      <w:pPr>
        <w:pStyle w:val="ListParagraph"/>
        <w:rPr>
          <w:b/>
          <w:color w:val="000000" w:themeColor="text1"/>
          <w:sz w:val="20"/>
        </w:rPr>
      </w:pPr>
      <w:r w:rsidRPr="00387913">
        <w:rPr>
          <w:b/>
          <w:color w:val="000000" w:themeColor="text1"/>
          <w:sz w:val="20"/>
        </w:rPr>
        <w:t xml:space="preserve">Existing alert severity definitions have not yet been formally established for the in-scope environment. DCDE expects the successful tenderer to propose an appropriate severity classification framework and escalation model, aligned with industry good practice, NCSC guidance and DCDE operational requirements, for agreement during mobilisation and SLA development. </w:t>
      </w:r>
    </w:p>
    <w:p w14:paraId="031023A8" w14:textId="77777777" w:rsidR="00BD2B2E" w:rsidRDefault="00BD2B2E">
      <w:pPr>
        <w:pStyle w:val="ListParagraph"/>
      </w:pPr>
    </w:p>
    <w:p w14:paraId="68A17389" w14:textId="77777777" w:rsidR="001714F8" w:rsidRPr="001714F8" w:rsidRDefault="001714F8" w:rsidP="00EB5EC9">
      <w:pPr>
        <w:numPr>
          <w:ilvl w:val="0"/>
          <w:numId w:val="100"/>
        </w:numPr>
        <w:rPr>
          <w:rFonts w:ascii="Calibri" w:hAnsi="Calibri" w:cs="Calibri"/>
        </w:rPr>
      </w:pPr>
      <w:r>
        <w:t>Which remediation actions may the supplier perform autonomously, and which require DCDE approval?</w:t>
      </w:r>
    </w:p>
    <w:p w14:paraId="14DA4203" w14:textId="1D34988F" w:rsidR="002E7041" w:rsidRDefault="00CE7BE5">
      <w:pPr>
        <w:pStyle w:val="ListParagraph"/>
        <w:rPr>
          <w:b/>
          <w:color w:val="000000" w:themeColor="text1"/>
          <w:sz w:val="20"/>
        </w:rPr>
      </w:pPr>
      <w:r w:rsidRPr="00387913">
        <w:rPr>
          <w:b/>
          <w:color w:val="000000" w:themeColor="text1"/>
          <w:sz w:val="20"/>
        </w:rPr>
        <w:t>Active remediation may include containment advice and agreed actions such as disabling accounts, blocking IP addresses, revoking sessions or equivalent measures. Such actions require DCDE approval unless covered by a pre-approved emergency runbook agreed during mobilisation. Operational change management procedures will apply unless otherwise agreed for emergency containment.</w:t>
      </w:r>
    </w:p>
    <w:p w14:paraId="33D25D6B" w14:textId="77777777" w:rsidR="00BD2B2E" w:rsidRDefault="00BD2B2E">
      <w:pPr>
        <w:pStyle w:val="ListParagraph"/>
      </w:pPr>
    </w:p>
    <w:p w14:paraId="14232E81" w14:textId="77777777" w:rsidR="001714F8" w:rsidRPr="001714F8" w:rsidRDefault="001714F8" w:rsidP="00EB5EC9">
      <w:pPr>
        <w:numPr>
          <w:ilvl w:val="0"/>
          <w:numId w:val="100"/>
        </w:numPr>
        <w:rPr>
          <w:rFonts w:ascii="Calibri" w:hAnsi="Calibri" w:cs="Calibri"/>
        </w:rPr>
      </w:pPr>
      <w:r>
        <w:t>What formal SLAs and target times are required by severity for triage, escalation, response and reporting?</w:t>
      </w:r>
    </w:p>
    <w:p w14:paraId="24BBD44C" w14:textId="28569C47" w:rsidR="002E7041" w:rsidRDefault="00CE7BE5">
      <w:pPr>
        <w:pStyle w:val="ListParagraph"/>
        <w:rPr>
          <w:b/>
          <w:color w:val="000000" w:themeColor="text1"/>
          <w:sz w:val="20"/>
        </w:rPr>
      </w:pPr>
      <w:r w:rsidRPr="00387913">
        <w:rPr>
          <w:b/>
          <w:color w:val="000000" w:themeColor="text1"/>
          <w:sz w:val="20"/>
        </w:rPr>
        <w:t>Formal SLAs and KPIs are not yet prescribed. Tenderers should propose appropriate service levels in their response. Final acknowledgement, triage, escalation, containment, reporting and out-of-hours emergency response targets will be agreed with the successful tenderer and incorporated into the SLA/contract during mobilisation.</w:t>
      </w:r>
    </w:p>
    <w:p w14:paraId="6CC7874B" w14:textId="77777777" w:rsidR="00BD2B2E" w:rsidRDefault="00BD2B2E">
      <w:pPr>
        <w:pStyle w:val="ListParagraph"/>
      </w:pPr>
    </w:p>
    <w:p w14:paraId="54CC1B62" w14:textId="77777777" w:rsidR="001714F8" w:rsidRPr="001714F8" w:rsidRDefault="001714F8" w:rsidP="00EB5EC9">
      <w:pPr>
        <w:numPr>
          <w:ilvl w:val="0"/>
          <w:numId w:val="100"/>
        </w:numPr>
        <w:rPr>
          <w:rFonts w:ascii="Calibri" w:hAnsi="Calibri" w:cs="Calibri"/>
        </w:rPr>
      </w:pPr>
      <w:r>
        <w:t>Are service credits or other commercial remedies associated with SLA failures?</w:t>
      </w:r>
    </w:p>
    <w:p w14:paraId="35436C26" w14:textId="3D9E3C63" w:rsidR="002E7041" w:rsidRDefault="00A83887">
      <w:pPr>
        <w:pStyle w:val="ListParagraph"/>
        <w:rPr>
          <w:b/>
          <w:color w:val="000000" w:themeColor="text1"/>
          <w:sz w:val="20"/>
        </w:rPr>
      </w:pPr>
      <w:r w:rsidRPr="00387913">
        <w:rPr>
          <w:b/>
          <w:color w:val="000000" w:themeColor="text1"/>
          <w:sz w:val="20"/>
        </w:rPr>
        <w:t xml:space="preserve">The RFT does not prescribe a service-credit regime for SLA failures. Service performance will be managed through the agreed governance, reporting and contract-management arrangements. Any remedies for service failure, including contractual rights and liabilities, will be governed by the provisions of the Services Contract. </w:t>
      </w:r>
    </w:p>
    <w:p w14:paraId="05227D84" w14:textId="77777777" w:rsidR="00BD2B2E" w:rsidRDefault="00BD2B2E">
      <w:pPr>
        <w:pStyle w:val="ListParagraph"/>
      </w:pPr>
    </w:p>
    <w:p w14:paraId="7698B6B5" w14:textId="77777777" w:rsidR="001714F8" w:rsidRPr="001714F8" w:rsidRDefault="001714F8" w:rsidP="00EB5EC9">
      <w:pPr>
        <w:numPr>
          <w:ilvl w:val="0"/>
          <w:numId w:val="100"/>
        </w:numPr>
        <w:rPr>
          <w:rFonts w:ascii="Calibri" w:hAnsi="Calibri" w:cs="Calibri"/>
        </w:rPr>
      </w:pPr>
      <w:r>
        <w:t>What major incident management framework is currently used?</w:t>
      </w:r>
    </w:p>
    <w:p w14:paraId="5BA633D7" w14:textId="1735E123" w:rsidR="002E7041" w:rsidRDefault="00CE7BE5">
      <w:pPr>
        <w:pStyle w:val="ListParagraph"/>
        <w:rPr>
          <w:b/>
          <w:color w:val="000000" w:themeColor="text1"/>
          <w:sz w:val="20"/>
        </w:rPr>
      </w:pPr>
      <w:r w:rsidRPr="00387913">
        <w:rPr>
          <w:b/>
          <w:color w:val="000000" w:themeColor="text1"/>
          <w:sz w:val="20"/>
        </w:rPr>
        <w:t>DCDE is developing incident management, crisis management, business continuity and disaster recovery documentation. The successful tenderer will support development of incident response playbooks, escalation routes and major incident procedures for the in-scope environment.</w:t>
      </w:r>
    </w:p>
    <w:p w14:paraId="78C1EA0C" w14:textId="77777777" w:rsidR="00BD2B2E" w:rsidRDefault="00BD2B2E">
      <w:pPr>
        <w:pStyle w:val="ListParagraph"/>
      </w:pPr>
    </w:p>
    <w:p w14:paraId="121FA323" w14:textId="77777777" w:rsidR="001714F8" w:rsidRPr="001714F8" w:rsidRDefault="001714F8" w:rsidP="00EB5EC9">
      <w:pPr>
        <w:numPr>
          <w:ilvl w:val="0"/>
          <w:numId w:val="100"/>
        </w:numPr>
        <w:rPr>
          <w:rFonts w:ascii="Calibri" w:hAnsi="Calibri" w:cs="Calibri"/>
        </w:rPr>
      </w:pPr>
      <w:r>
        <w:t>What cyber threat intelligence capability currently exists within DCDE?</w:t>
      </w:r>
    </w:p>
    <w:p w14:paraId="62C23BFF" w14:textId="423CD8D4" w:rsidR="002E7041" w:rsidRDefault="00D01681">
      <w:pPr>
        <w:pStyle w:val="ListParagraph"/>
        <w:rPr>
          <w:b/>
          <w:color w:val="000000" w:themeColor="text1"/>
          <w:sz w:val="20"/>
        </w:rPr>
      </w:pPr>
      <w:r w:rsidRPr="00387913">
        <w:rPr>
          <w:b/>
          <w:color w:val="000000" w:themeColor="text1"/>
          <w:sz w:val="20"/>
        </w:rPr>
        <w:t xml:space="preserve">DCDE does not currently subscribe to a commercial cyber threat intelligence service. The Department receives cyber threat intelligence and guidance from the National Cyber Security Centre (NCSC). The successful supplier will be expected to incorporate relevant threat intelligence into monitoring, reporting, risk assessment and advisory activities. </w:t>
      </w:r>
    </w:p>
    <w:p w14:paraId="2D31B6F5" w14:textId="77777777" w:rsidR="00BD2B2E" w:rsidRDefault="00BD2B2E">
      <w:pPr>
        <w:pStyle w:val="ListParagraph"/>
      </w:pPr>
    </w:p>
    <w:p w14:paraId="50848E03" w14:textId="77777777" w:rsidR="001714F8" w:rsidRPr="001714F8" w:rsidRDefault="001714F8" w:rsidP="00EB5EC9">
      <w:pPr>
        <w:numPr>
          <w:ilvl w:val="0"/>
          <w:numId w:val="100"/>
        </w:numPr>
        <w:rPr>
          <w:rFonts w:ascii="Calibri" w:hAnsi="Calibri" w:cs="Calibri"/>
        </w:rPr>
      </w:pPr>
      <w:r>
        <w:t>Which commercial, sectoral or government threat-intelligence feeds does DCDE currently consume?</w:t>
      </w:r>
    </w:p>
    <w:p w14:paraId="0848E3E8" w14:textId="6744B031" w:rsidR="002E7041" w:rsidRDefault="00D01681">
      <w:pPr>
        <w:pStyle w:val="ListParagraph"/>
        <w:rPr>
          <w:b/>
          <w:color w:val="000000" w:themeColor="text1"/>
          <w:sz w:val="20"/>
        </w:rPr>
      </w:pPr>
      <w:r w:rsidRPr="00387913">
        <w:rPr>
          <w:b/>
          <w:color w:val="000000" w:themeColor="text1"/>
          <w:sz w:val="20"/>
        </w:rPr>
        <w:t xml:space="preserve">DCDE does not currently subscribe to any commercial threat-intelligence feeds. The Department receives cyber threat intelligence, advisories and guidance from the National Cyber Security Centre (NCSC). The successful supplier will be expected to utilise relevant government, vendor, open-source and other appropriate threat-intelligence sources to support service delivery. </w:t>
      </w:r>
    </w:p>
    <w:p w14:paraId="0BF2BE81" w14:textId="77777777" w:rsidR="00BD2B2E" w:rsidRDefault="00BD2B2E">
      <w:pPr>
        <w:pStyle w:val="ListParagraph"/>
      </w:pPr>
    </w:p>
    <w:p w14:paraId="6F5BF473" w14:textId="77777777" w:rsidR="001714F8" w:rsidRPr="001714F8" w:rsidRDefault="001714F8" w:rsidP="00EB5EC9">
      <w:pPr>
        <w:numPr>
          <w:ilvl w:val="0"/>
          <w:numId w:val="100"/>
        </w:numPr>
        <w:rPr>
          <w:rFonts w:ascii="Calibri" w:hAnsi="Calibri" w:cs="Calibri"/>
        </w:rPr>
      </w:pPr>
      <w:r>
        <w:t>Are service-level metrics already defined?</w:t>
      </w:r>
    </w:p>
    <w:p w14:paraId="35BDD052" w14:textId="7A830977" w:rsidR="002E7041" w:rsidRDefault="00D01681">
      <w:pPr>
        <w:pStyle w:val="ListParagraph"/>
        <w:rPr>
          <w:b/>
          <w:color w:val="000000" w:themeColor="text1"/>
          <w:sz w:val="20"/>
        </w:rPr>
      </w:pPr>
      <w:r w:rsidRPr="00387913">
        <w:rPr>
          <w:b/>
          <w:color w:val="000000" w:themeColor="text1"/>
          <w:sz w:val="20"/>
        </w:rPr>
        <w:t xml:space="preserve">No. Service-level metrics, KPIs and response targets are not currently prescribed. Tenderers should propose appropriate service levels as part of their response. The final SLA framework, including performance measures, reporting requirements and escalation arrangements, will be agreed with the successful supplier and incorporated into the contract. </w:t>
      </w:r>
    </w:p>
    <w:p w14:paraId="2E59275E" w14:textId="77777777" w:rsidR="00BD2B2E" w:rsidRDefault="00BD2B2E">
      <w:pPr>
        <w:pStyle w:val="ListParagraph"/>
      </w:pPr>
    </w:p>
    <w:p w14:paraId="4DEDAD09" w14:textId="77777777" w:rsidR="001714F8" w:rsidRPr="001714F8" w:rsidRDefault="001714F8" w:rsidP="00EB5EC9">
      <w:pPr>
        <w:numPr>
          <w:ilvl w:val="0"/>
          <w:numId w:val="100"/>
        </w:numPr>
        <w:rPr>
          <w:rFonts w:ascii="Calibri" w:hAnsi="Calibri" w:cs="Calibri"/>
        </w:rPr>
      </w:pPr>
      <w:r>
        <w:t>What ongoing NIS2 reporting obligations will remain after Phase 1?</w:t>
      </w:r>
    </w:p>
    <w:p w14:paraId="3214048B" w14:textId="7EAF72D4" w:rsidR="002E7041" w:rsidRDefault="00BD2B2E">
      <w:pPr>
        <w:pStyle w:val="ListParagraph"/>
        <w:rPr>
          <w:b/>
          <w:color w:val="000000" w:themeColor="text1"/>
          <w:sz w:val="20"/>
        </w:rPr>
      </w:pPr>
      <w:r>
        <w:rPr>
          <w:b/>
          <w:color w:val="000000" w:themeColor="text1"/>
          <w:sz w:val="20"/>
        </w:rPr>
        <w:t>A</w:t>
      </w:r>
      <w:r w:rsidR="00CE7BE5" w:rsidRPr="00387913">
        <w:rPr>
          <w:b/>
          <w:color w:val="000000" w:themeColor="text1"/>
          <w:sz w:val="20"/>
        </w:rPr>
        <w:t>fter Phase 1, DCDE expects lighter-touch continuous improvement, evidence production, audit support and assurance reporting. The supplier should support monthly and quarterly evidence packs and assist with audits, reviews and competent-authority engagement where required.</w:t>
      </w:r>
    </w:p>
    <w:p w14:paraId="2C088E86" w14:textId="77777777" w:rsidR="00BD2B2E" w:rsidRDefault="00BD2B2E">
      <w:pPr>
        <w:pStyle w:val="ListParagraph"/>
      </w:pPr>
    </w:p>
    <w:p w14:paraId="44FF0CE8" w14:textId="77777777" w:rsidR="001714F8" w:rsidRPr="00D93BF9" w:rsidRDefault="00D93BF9" w:rsidP="00EB5EC9">
      <w:pPr>
        <w:numPr>
          <w:ilvl w:val="0"/>
          <w:numId w:val="100"/>
        </w:numPr>
        <w:rPr>
          <w:rFonts w:ascii="Calibri" w:hAnsi="Calibri" w:cs="Calibri"/>
        </w:rPr>
      </w:pPr>
      <w:r>
        <w:t>What evidence-production activities are expected from the MSSP during steady state?</w:t>
      </w:r>
    </w:p>
    <w:p w14:paraId="079EF3E8" w14:textId="5F50784E" w:rsidR="002E7041" w:rsidRDefault="00CE7BE5">
      <w:pPr>
        <w:pStyle w:val="ListParagraph"/>
        <w:rPr>
          <w:b/>
          <w:color w:val="000000" w:themeColor="text1"/>
          <w:sz w:val="20"/>
        </w:rPr>
      </w:pPr>
      <w:r w:rsidRPr="00387913">
        <w:rPr>
          <w:b/>
          <w:color w:val="000000" w:themeColor="text1"/>
          <w:sz w:val="20"/>
        </w:rPr>
        <w:t>Examples of reports are not currently available. The successful tenderer will agree reporting formats with DCDE during mobilisation. Expected outputs include monthly operational/security reports, alert and incident summaries, log and threat reporting, trend analysis, recommendations, agreed KPIs, risk/issues, evidence packs and quarterly assurance reviews.</w:t>
      </w:r>
    </w:p>
    <w:p w14:paraId="5F485E1F" w14:textId="77777777" w:rsidR="00BD2B2E" w:rsidRDefault="00BD2B2E">
      <w:pPr>
        <w:pStyle w:val="ListParagraph"/>
      </w:pPr>
    </w:p>
    <w:p w14:paraId="77FFB3AA" w14:textId="77777777" w:rsidR="00D93BF9" w:rsidRPr="00D93BF9" w:rsidRDefault="00D93BF9" w:rsidP="00EB5EC9">
      <w:pPr>
        <w:numPr>
          <w:ilvl w:val="0"/>
          <w:numId w:val="100"/>
        </w:numPr>
        <w:rPr>
          <w:rFonts w:ascii="Calibri" w:hAnsi="Calibri" w:cs="Calibri"/>
        </w:rPr>
      </w:pPr>
      <w:r>
        <w:t>What level of support is expected for audits?</w:t>
      </w:r>
    </w:p>
    <w:p w14:paraId="279C7D4A" w14:textId="764FA925" w:rsidR="002E7041" w:rsidRDefault="00D01681">
      <w:pPr>
        <w:pStyle w:val="ListParagraph"/>
        <w:rPr>
          <w:b/>
          <w:color w:val="000000" w:themeColor="text1"/>
          <w:sz w:val="20"/>
        </w:rPr>
      </w:pPr>
      <w:r w:rsidRPr="00387913">
        <w:rPr>
          <w:b/>
          <w:color w:val="000000" w:themeColor="text1"/>
          <w:sz w:val="20"/>
        </w:rPr>
        <w:t xml:space="preserve">The successful supplier will be expected to provide reasonable support for internal and external audits relating to the Services, including the provision of relevant evidence, reports, records, metrics and documentation. Contractors are expected to cooperate with DCDE's audit requirements and support assurance and compliance activities as required. </w:t>
      </w:r>
    </w:p>
    <w:p w14:paraId="7A81B661" w14:textId="77777777" w:rsidR="00BD2B2E" w:rsidRDefault="00BD2B2E">
      <w:pPr>
        <w:pStyle w:val="ListParagraph"/>
      </w:pPr>
    </w:p>
    <w:p w14:paraId="397F5587" w14:textId="77777777" w:rsidR="00D93BF9" w:rsidRPr="005310CF" w:rsidRDefault="005310CF" w:rsidP="00EB5EC9">
      <w:pPr>
        <w:numPr>
          <w:ilvl w:val="0"/>
          <w:numId w:val="100"/>
        </w:numPr>
        <w:rPr>
          <w:rFonts w:ascii="Calibri" w:hAnsi="Calibri" w:cs="Calibri"/>
        </w:rPr>
      </w:pPr>
      <w:r>
        <w:t>Are annual assurance reviews anticipated?</w:t>
      </w:r>
    </w:p>
    <w:p w14:paraId="6500E71F" w14:textId="5D3EB00E" w:rsidR="002E7041" w:rsidRDefault="00D01681">
      <w:pPr>
        <w:pStyle w:val="ListParagraph"/>
        <w:rPr>
          <w:b/>
          <w:color w:val="000000" w:themeColor="text1"/>
          <w:sz w:val="20"/>
        </w:rPr>
      </w:pPr>
      <w:r w:rsidRPr="00387913">
        <w:rPr>
          <w:b/>
          <w:color w:val="000000" w:themeColor="text1"/>
          <w:sz w:val="20"/>
        </w:rPr>
        <w:t xml:space="preserve">Yes. DCDE anticipates periodic assurance reviews during the contract term, including at least annual reviews of the cyber security posture, compliance progress and maturity improvement activities. The scope, frequency and reporting requirements for assurance reviews will be agreed with the successful supplier through the contract governance arrangements. </w:t>
      </w:r>
    </w:p>
    <w:p w14:paraId="799AC2C3" w14:textId="77777777" w:rsidR="00BD2B2E" w:rsidRDefault="00BD2B2E">
      <w:pPr>
        <w:pStyle w:val="ListParagraph"/>
      </w:pPr>
    </w:p>
    <w:p w14:paraId="6EAF6A40" w14:textId="77777777" w:rsidR="005310CF" w:rsidRPr="005310CF" w:rsidRDefault="005310CF" w:rsidP="00EB5EC9">
      <w:pPr>
        <w:numPr>
          <w:ilvl w:val="0"/>
          <w:numId w:val="100"/>
        </w:numPr>
        <w:rPr>
          <w:rFonts w:ascii="Calibri" w:hAnsi="Calibri" w:cs="Calibri"/>
        </w:rPr>
      </w:pPr>
      <w:r>
        <w:t>What interaction is expected with regulators or competent authorities?</w:t>
      </w:r>
    </w:p>
    <w:p w14:paraId="5A8BF8DB" w14:textId="412EA3E8" w:rsidR="002E7041" w:rsidRDefault="00D01681">
      <w:pPr>
        <w:pStyle w:val="ListParagraph"/>
      </w:pPr>
      <w:r w:rsidRPr="00387913">
        <w:rPr>
          <w:b/>
          <w:color w:val="000000" w:themeColor="text1"/>
          <w:sz w:val="20"/>
        </w:rPr>
        <w:t xml:space="preserve">The successful supplier may be required to support DCDE in responding to requests from regulators, auditors, competent authorities or the NCSC, including providing relevant evidence, reports, metrics and technical input. Any engagement with external authorities will remain under DCDE's direction and governance arrangements. </w:t>
      </w:r>
    </w:p>
    <w:p w14:paraId="46D6E112" w14:textId="77777777" w:rsidR="005310CF" w:rsidRPr="005310CF" w:rsidRDefault="005310CF" w:rsidP="00EB5EC9">
      <w:pPr>
        <w:numPr>
          <w:ilvl w:val="0"/>
          <w:numId w:val="100"/>
        </w:numPr>
        <w:rPr>
          <w:rFonts w:ascii="Calibri" w:hAnsi="Calibri" w:cs="Calibri"/>
        </w:rPr>
      </w:pPr>
      <w:r>
        <w:lastRenderedPageBreak/>
        <w:t>Is CyFun scoring expected to be maintained by the provider?</w:t>
      </w:r>
    </w:p>
    <w:p w14:paraId="3C853E84" w14:textId="3552D8DE" w:rsidR="002E7041" w:rsidRDefault="007149A3">
      <w:pPr>
        <w:pStyle w:val="ListParagraph"/>
        <w:rPr>
          <w:b/>
          <w:color w:val="000000" w:themeColor="text1"/>
          <w:sz w:val="20"/>
        </w:rPr>
      </w:pPr>
      <w:r w:rsidRPr="00387913">
        <w:rPr>
          <w:b/>
          <w:color w:val="000000" w:themeColor="text1"/>
          <w:sz w:val="20"/>
        </w:rPr>
        <w:t xml:space="preserve">The successful tenderer will be expected to support DCDE in measuring, maintaining and improving its cyber security maturity, including alignment with the CyFun framework. DCDE's target is to achieve and maintain a CyFun maturity score of approximately 3.5, with reporting and reassessment arrangements to be agreed during the contract term. </w:t>
      </w:r>
    </w:p>
    <w:p w14:paraId="021773C0" w14:textId="77777777" w:rsidR="00BD2B2E" w:rsidRDefault="00BD2B2E">
      <w:pPr>
        <w:pStyle w:val="ListParagraph"/>
      </w:pPr>
    </w:p>
    <w:p w14:paraId="5EBC12A9" w14:textId="77777777" w:rsidR="005310CF" w:rsidRPr="005310CF" w:rsidRDefault="005310CF" w:rsidP="00EB5EC9">
      <w:pPr>
        <w:numPr>
          <w:ilvl w:val="0"/>
          <w:numId w:val="100"/>
        </w:numPr>
        <w:rPr>
          <w:rFonts w:ascii="Calibri" w:hAnsi="Calibri" w:cs="Calibri"/>
        </w:rPr>
      </w:pPr>
      <w:r>
        <w:t>What log retention period is required?</w:t>
      </w:r>
    </w:p>
    <w:p w14:paraId="7024CCE3" w14:textId="58C04758" w:rsidR="002E7041" w:rsidRDefault="00437174">
      <w:pPr>
        <w:pStyle w:val="ListParagraph"/>
        <w:rPr>
          <w:b/>
          <w:color w:val="000000" w:themeColor="text1"/>
          <w:sz w:val="20"/>
        </w:rPr>
      </w:pPr>
      <w:r w:rsidRPr="00387913">
        <w:rPr>
          <w:b/>
          <w:color w:val="000000" w:themeColor="text1"/>
          <w:sz w:val="20"/>
        </w:rPr>
        <w:t xml:space="preserve">DCDE does not currently prescribe a specific log-retention period for the in-scope environment. The successful supplier will be expected to work with DCDE to define appropriate retention requirements based on operational, security, audit, regulatory and compliance needs, taking account of NIS2, CER, NCSC guidance and applicable legal obligations. </w:t>
      </w:r>
    </w:p>
    <w:p w14:paraId="6D992F07" w14:textId="77777777" w:rsidR="00BD2B2E" w:rsidRDefault="00BD2B2E">
      <w:pPr>
        <w:pStyle w:val="ListParagraph"/>
      </w:pPr>
    </w:p>
    <w:p w14:paraId="4ED50518" w14:textId="77777777" w:rsidR="005310CF" w:rsidRPr="005310CF" w:rsidRDefault="005310CF" w:rsidP="00EB5EC9">
      <w:pPr>
        <w:numPr>
          <w:ilvl w:val="0"/>
          <w:numId w:val="100"/>
        </w:numPr>
        <w:rPr>
          <w:rFonts w:ascii="Calibri" w:hAnsi="Calibri" w:cs="Calibri"/>
        </w:rPr>
      </w:pPr>
      <w:r>
        <w:t>Are there classified or sensitive workloads requiring segregation?</w:t>
      </w:r>
    </w:p>
    <w:p w14:paraId="5D314175" w14:textId="28AE084B" w:rsidR="002E7041" w:rsidRDefault="00437174">
      <w:pPr>
        <w:pStyle w:val="ListParagraph"/>
        <w:rPr>
          <w:b/>
          <w:color w:val="000000" w:themeColor="text1"/>
          <w:sz w:val="20"/>
        </w:rPr>
      </w:pPr>
      <w:r w:rsidRPr="00387913">
        <w:rPr>
          <w:b/>
          <w:color w:val="000000" w:themeColor="text1"/>
          <w:sz w:val="20"/>
        </w:rPr>
        <w:t xml:space="preserve">DCDE processes information that may be sensitive and subject to enhanced security and data-protection requirements. The successful supplier should assume that appropriate segregation, access controls, least-privilege principles and monitoring may be required for certain workloads. Detailed requirements will be confirmed during mobilisation and ongoing security reviews. </w:t>
      </w:r>
    </w:p>
    <w:p w14:paraId="6A6AC4CD" w14:textId="77777777" w:rsidR="00BD2B2E" w:rsidRDefault="00BD2B2E">
      <w:pPr>
        <w:pStyle w:val="ListParagraph"/>
      </w:pPr>
    </w:p>
    <w:p w14:paraId="45A91A3E" w14:textId="77777777" w:rsidR="005310CF" w:rsidRPr="005310CF" w:rsidRDefault="005310CF" w:rsidP="00EB5EC9">
      <w:pPr>
        <w:numPr>
          <w:ilvl w:val="0"/>
          <w:numId w:val="100"/>
        </w:numPr>
        <w:rPr>
          <w:rFonts w:ascii="Calibri" w:hAnsi="Calibri" w:cs="Calibri"/>
        </w:rPr>
      </w:pPr>
      <w:r>
        <w:t>Are specific Irish Government data-handling standards applicable?</w:t>
      </w:r>
    </w:p>
    <w:p w14:paraId="03609637" w14:textId="1D0CD6A6" w:rsidR="002E7041" w:rsidRDefault="00437174">
      <w:pPr>
        <w:pStyle w:val="ListParagraph"/>
        <w:rPr>
          <w:b/>
          <w:color w:val="000000" w:themeColor="text1"/>
          <w:sz w:val="20"/>
        </w:rPr>
      </w:pPr>
      <w:r w:rsidRPr="00387913">
        <w:rPr>
          <w:b/>
          <w:color w:val="000000" w:themeColor="text1"/>
          <w:sz w:val="20"/>
        </w:rPr>
        <w:t xml:space="preserve">Yes. The successful tenderer will be expected to comply with applicable Irish Government security, data protection and information-handling requirements, together with GDPR, NCSC guidance, DCDE policies and any relevant obligations arising from NIS2, CER, CyFun and associated Irish cyber security frameworks. </w:t>
      </w:r>
    </w:p>
    <w:p w14:paraId="00EB7DDB" w14:textId="77777777" w:rsidR="00BD2B2E" w:rsidRDefault="00BD2B2E">
      <w:pPr>
        <w:pStyle w:val="ListParagraph"/>
      </w:pPr>
    </w:p>
    <w:p w14:paraId="2B6F7FB8" w14:textId="77777777" w:rsidR="005310CF" w:rsidRPr="005310CF" w:rsidRDefault="005310CF" w:rsidP="00EB5EC9">
      <w:pPr>
        <w:numPr>
          <w:ilvl w:val="0"/>
          <w:numId w:val="100"/>
        </w:numPr>
        <w:rPr>
          <w:rFonts w:ascii="Calibri" w:hAnsi="Calibri" w:cs="Calibri"/>
        </w:rPr>
      </w:pPr>
      <w:r>
        <w:t>Are there restrictions on remote analyst access?</w:t>
      </w:r>
    </w:p>
    <w:p w14:paraId="6F83711C" w14:textId="6547E75D" w:rsidR="002E7041" w:rsidRDefault="00437174">
      <w:pPr>
        <w:pStyle w:val="ListParagraph"/>
        <w:rPr>
          <w:b/>
          <w:color w:val="000000" w:themeColor="text1"/>
          <w:sz w:val="20"/>
        </w:rPr>
      </w:pPr>
      <w:r w:rsidRPr="00387913">
        <w:rPr>
          <w:b/>
          <w:color w:val="000000" w:themeColor="text1"/>
          <w:sz w:val="20"/>
        </w:rPr>
        <w:t xml:space="preserve">Remote analyst access is permitted, provided Services are delivered from within the EU/EEA and comply with DCDE's security, access-control and data-protection requirements. The successful supplier will be required to implement appropriate authentication, least-privilege access controls, logging and monitoring arrangements for all remote access activities. </w:t>
      </w:r>
    </w:p>
    <w:p w14:paraId="65475222" w14:textId="77777777" w:rsidR="00BD2B2E" w:rsidRDefault="00BD2B2E">
      <w:pPr>
        <w:pStyle w:val="ListParagraph"/>
      </w:pPr>
    </w:p>
    <w:p w14:paraId="20973303" w14:textId="77777777" w:rsidR="005310CF" w:rsidRPr="005310CF" w:rsidRDefault="005310CF" w:rsidP="00EB5EC9">
      <w:pPr>
        <w:numPr>
          <w:ilvl w:val="0"/>
          <w:numId w:val="100"/>
        </w:numPr>
        <w:rPr>
          <w:rFonts w:ascii="Calibri" w:hAnsi="Calibri" w:cs="Calibri"/>
        </w:rPr>
      </w:pPr>
      <w:r>
        <w:t>What delivery-location or resource-residency constraints apply, including Irish-, EU- or UK-based resources and permitted onshore, nearshore or offshore delivery?</w:t>
      </w:r>
    </w:p>
    <w:p w14:paraId="638CCD09" w14:textId="7C26D3F1" w:rsidR="002E7041" w:rsidRDefault="006C485C">
      <w:pPr>
        <w:pStyle w:val="ListParagraph"/>
        <w:rPr>
          <w:b/>
          <w:color w:val="000000" w:themeColor="text1"/>
          <w:sz w:val="20"/>
        </w:rPr>
      </w:pPr>
      <w:r w:rsidRPr="00387913">
        <w:rPr>
          <w:b/>
          <w:color w:val="000000" w:themeColor="text1"/>
          <w:sz w:val="20"/>
        </w:rPr>
        <w:t xml:space="preserve">Remote analyst access is permitted, provided Services are delivered from within the EU/EEA and comply with DCDE's security, access-control and data-protection requirements. Offshore delivery is not permitted. Tenderers should assume EU/EEA-only resource delivery and data processing for the purposes of this competition unless otherwise expressly approved by DCDE. </w:t>
      </w:r>
    </w:p>
    <w:p w14:paraId="53EE9BC3" w14:textId="77777777" w:rsidR="00BD2B2E" w:rsidRDefault="00BD2B2E">
      <w:pPr>
        <w:pStyle w:val="ListParagraph"/>
      </w:pPr>
    </w:p>
    <w:p w14:paraId="2BA2AF08" w14:textId="77777777" w:rsidR="005310CF" w:rsidRPr="005310CF" w:rsidRDefault="005310CF" w:rsidP="00EB5EC9">
      <w:pPr>
        <w:numPr>
          <w:ilvl w:val="0"/>
          <w:numId w:val="100"/>
        </w:numPr>
        <w:rPr>
          <w:rFonts w:ascii="Calibri" w:hAnsi="Calibri" w:cs="Calibri"/>
        </w:rPr>
      </w:pPr>
      <w:r>
        <w:lastRenderedPageBreak/>
        <w:t>Are you open to agentic offerings across the security stack?</w:t>
      </w:r>
    </w:p>
    <w:p w14:paraId="1B219ACD" w14:textId="03DA60C9" w:rsidR="002E7041" w:rsidRDefault="008F1936">
      <w:pPr>
        <w:pStyle w:val="ListParagraph"/>
        <w:rPr>
          <w:b/>
          <w:color w:val="000000" w:themeColor="text1"/>
          <w:sz w:val="20"/>
        </w:rPr>
      </w:pPr>
      <w:r w:rsidRPr="00387913">
        <w:rPr>
          <w:b/>
          <w:color w:val="000000" w:themeColor="text1"/>
          <w:sz w:val="20"/>
        </w:rPr>
        <w:t xml:space="preserve">DCDE is open to considering AI-assisted security capabilities where they deliver clear operational benefits and comply with applicable legal, regulatory, procurement, data protection and NCSC requirements. Any agentic or autonomous capabilities must be subject to appropriate governance, human oversight, risk assessment and explicit approval by DCDE before adoption. </w:t>
      </w:r>
    </w:p>
    <w:p w14:paraId="31EDBDCE" w14:textId="77777777" w:rsidR="00BD2B2E" w:rsidRDefault="00BD2B2E">
      <w:pPr>
        <w:pStyle w:val="ListParagraph"/>
      </w:pPr>
    </w:p>
    <w:p w14:paraId="733C7C97" w14:textId="77777777" w:rsidR="005310CF" w:rsidRPr="005310CF" w:rsidRDefault="005310CF" w:rsidP="00EB5EC9">
      <w:pPr>
        <w:numPr>
          <w:ilvl w:val="0"/>
          <w:numId w:val="100"/>
        </w:numPr>
        <w:rPr>
          <w:rFonts w:ascii="Calibri" w:hAnsi="Calibri" w:cs="Calibri"/>
        </w:rPr>
      </w:pPr>
      <w:r>
        <w:t>Are custom security agents required?</w:t>
      </w:r>
    </w:p>
    <w:p w14:paraId="7284B00D" w14:textId="089751A5" w:rsidR="002E7041" w:rsidRDefault="00437174">
      <w:pPr>
        <w:pStyle w:val="ListParagraph"/>
        <w:rPr>
          <w:b/>
          <w:color w:val="000000" w:themeColor="text1"/>
          <w:sz w:val="20"/>
        </w:rPr>
      </w:pPr>
      <w:r w:rsidRPr="00387913">
        <w:rPr>
          <w:b/>
          <w:color w:val="000000" w:themeColor="text1"/>
          <w:sz w:val="20"/>
        </w:rPr>
        <w:t xml:space="preserve">No. DCDE is not mandating the deployment of custom security agents as part of the baseline service. Tenderers should work with existing tooling where available and may propose additional tools or agents where they provide clear security or operational benefit. Any such proposals should be clearly identified and costed separately. </w:t>
      </w:r>
    </w:p>
    <w:p w14:paraId="6A03721A" w14:textId="77777777" w:rsidR="00BD2B2E" w:rsidRDefault="00BD2B2E">
      <w:pPr>
        <w:pStyle w:val="ListParagraph"/>
      </w:pPr>
    </w:p>
    <w:p w14:paraId="6762E505" w14:textId="77777777" w:rsidR="005310CF" w:rsidRPr="005310CF" w:rsidRDefault="005310CF" w:rsidP="00EB5EC9">
      <w:pPr>
        <w:numPr>
          <w:ilvl w:val="0"/>
          <w:numId w:val="100"/>
        </w:numPr>
        <w:rPr>
          <w:rFonts w:ascii="Calibri" w:hAnsi="Calibri" w:cs="Calibri"/>
        </w:rPr>
      </w:pPr>
      <w:r>
        <w:t xml:space="preserve">Are any customer-developed or </w:t>
      </w:r>
      <w:proofErr w:type="spellStart"/>
      <w:r>
        <w:t>hyperscaler</w:t>
      </w:r>
      <w:proofErr w:type="spellEnd"/>
      <w:r>
        <w:t>-provided agents already deployed?</w:t>
      </w:r>
    </w:p>
    <w:p w14:paraId="57F8EC39" w14:textId="213D4097" w:rsidR="002E7041" w:rsidRDefault="008A70EF">
      <w:pPr>
        <w:pStyle w:val="ListParagraph"/>
        <w:rPr>
          <w:b/>
          <w:color w:val="000000" w:themeColor="text1"/>
          <w:sz w:val="20"/>
        </w:rPr>
      </w:pPr>
      <w:r w:rsidRPr="00387913">
        <w:rPr>
          <w:b/>
          <w:color w:val="000000" w:themeColor="text1"/>
          <w:sz w:val="20"/>
        </w:rPr>
        <w:t xml:space="preserve">There are no customer-developed security agents currently deployed within the in-scope environment. The environment may utilise Microsoft-native capabilities available within the existing Azure and Microsoft security stack. The successful supplier will be expected to assess the current environment and advise on any appropriate future enhancements or integrations. </w:t>
      </w:r>
    </w:p>
    <w:p w14:paraId="48568030" w14:textId="77777777" w:rsidR="00BD2B2E" w:rsidRDefault="00BD2B2E">
      <w:pPr>
        <w:pStyle w:val="ListParagraph"/>
      </w:pPr>
    </w:p>
    <w:p w14:paraId="038B26C5" w14:textId="77777777" w:rsidR="005310CF" w:rsidRPr="005310CF" w:rsidRDefault="005310CF" w:rsidP="00EB5EC9">
      <w:pPr>
        <w:numPr>
          <w:ilvl w:val="0"/>
          <w:numId w:val="100"/>
        </w:numPr>
        <w:rPr>
          <w:rFonts w:ascii="Calibri" w:hAnsi="Calibri" w:cs="Calibri"/>
        </w:rPr>
      </w:pPr>
      <w:r>
        <w:t>Are there regulatory or contractual security-monitoring obligations?</w:t>
      </w:r>
    </w:p>
    <w:p w14:paraId="0C5B01CD" w14:textId="39808116" w:rsidR="002E7041" w:rsidRDefault="008A70EF">
      <w:pPr>
        <w:pStyle w:val="ListParagraph"/>
        <w:rPr>
          <w:b/>
          <w:color w:val="000000" w:themeColor="text1"/>
          <w:sz w:val="20"/>
        </w:rPr>
      </w:pPr>
      <w:r w:rsidRPr="00387913">
        <w:rPr>
          <w:b/>
          <w:color w:val="000000" w:themeColor="text1"/>
          <w:sz w:val="20"/>
        </w:rPr>
        <w:t xml:space="preserve">Yes. The Services are intended to support DCDE's compliance with applicable cyber security, resilience, audit and governance obligations, including NIS2-related requirements, CER obligations, NCSC guidance, and other applicable legal and regulatory requirements. The successful supplier will be expected to support associated monitoring, reporting and assurance activities. </w:t>
      </w:r>
    </w:p>
    <w:p w14:paraId="1A26117E" w14:textId="77777777" w:rsidR="00BD2B2E" w:rsidRDefault="00BD2B2E">
      <w:pPr>
        <w:pStyle w:val="ListParagraph"/>
      </w:pPr>
    </w:p>
    <w:p w14:paraId="1A60CBB9" w14:textId="77777777" w:rsidR="005310CF" w:rsidRPr="005310CF" w:rsidRDefault="005310CF" w:rsidP="00EB5EC9">
      <w:pPr>
        <w:numPr>
          <w:ilvl w:val="0"/>
          <w:numId w:val="100"/>
        </w:numPr>
        <w:rPr>
          <w:rFonts w:ascii="Calibri" w:hAnsi="Calibri" w:cs="Calibri"/>
        </w:rPr>
      </w:pPr>
      <w:r>
        <w:t>Which vendor and platform provide the current vulnerability-management tooling?</w:t>
      </w:r>
    </w:p>
    <w:p w14:paraId="0E743F2B" w14:textId="4179D069" w:rsidR="002E7041" w:rsidRDefault="008A70EF">
      <w:pPr>
        <w:pStyle w:val="ListParagraph"/>
        <w:rPr>
          <w:b/>
          <w:color w:val="000000" w:themeColor="text1"/>
          <w:sz w:val="20"/>
        </w:rPr>
      </w:pPr>
      <w:r w:rsidRPr="00387913">
        <w:rPr>
          <w:b/>
          <w:color w:val="000000" w:themeColor="text1"/>
          <w:sz w:val="20"/>
        </w:rPr>
        <w:t xml:space="preserve">DCDE does not currently operate a dedicated vulnerability-management platform for the in-scope environment. Microsoft Defender for Cloud and other Microsoft security capabilities may provide vulnerability-related information. The successful supplier will be expected to assess the current tooling and advise on an appropriate vulnerability-management approach, tooling and configuration. </w:t>
      </w:r>
    </w:p>
    <w:p w14:paraId="3A937E76" w14:textId="77777777" w:rsidR="00BD2B2E" w:rsidRDefault="00BD2B2E">
      <w:pPr>
        <w:pStyle w:val="ListParagraph"/>
      </w:pPr>
    </w:p>
    <w:p w14:paraId="1CA808A0" w14:textId="77777777" w:rsidR="005310CF" w:rsidRPr="005310CF" w:rsidRDefault="005310CF" w:rsidP="00EB5EC9">
      <w:pPr>
        <w:numPr>
          <w:ilvl w:val="0"/>
          <w:numId w:val="100"/>
        </w:numPr>
        <w:rPr>
          <w:rFonts w:ascii="Calibri" w:hAnsi="Calibri" w:cs="Calibri"/>
        </w:rPr>
      </w:pPr>
      <w:r>
        <w:t>As vulnerability management is listed as advisory, is DCDE seeking consultancy and expertise for the existing platform, or a managed vulnerability service?</w:t>
      </w:r>
    </w:p>
    <w:p w14:paraId="755F97D8" w14:textId="47673D53" w:rsidR="002E7041" w:rsidRDefault="008A70EF">
      <w:pPr>
        <w:pStyle w:val="ListParagraph"/>
        <w:rPr>
          <w:b/>
          <w:color w:val="000000" w:themeColor="text1"/>
          <w:sz w:val="20"/>
        </w:rPr>
      </w:pPr>
      <w:r w:rsidRPr="00387913">
        <w:rPr>
          <w:b/>
          <w:color w:val="000000" w:themeColor="text1"/>
          <w:sz w:val="20"/>
        </w:rPr>
        <w:t xml:space="preserve">DCDE is primarily seeking consultancy, advisory support and expertise in relation to vulnerability management, including identification, prioritisation, reporting and remediation advice. Tenderers may propose managed vulnerability-management services </w:t>
      </w:r>
      <w:r w:rsidRPr="00387913">
        <w:rPr>
          <w:b/>
          <w:color w:val="000000" w:themeColor="text1"/>
          <w:sz w:val="20"/>
        </w:rPr>
        <w:lastRenderedPageBreak/>
        <w:t xml:space="preserve">as an enhancement; however, the baseline requirement is advisory support, working with available tooling and recommending improvements where appropriate. </w:t>
      </w:r>
    </w:p>
    <w:p w14:paraId="7D48035A" w14:textId="77777777" w:rsidR="00BD2B2E" w:rsidRDefault="00BD2B2E">
      <w:pPr>
        <w:pStyle w:val="ListParagraph"/>
      </w:pPr>
    </w:p>
    <w:p w14:paraId="6F5142BC" w14:textId="77777777" w:rsidR="005310CF" w:rsidRPr="00E12CC6" w:rsidRDefault="005310CF" w:rsidP="00EB5EC9">
      <w:pPr>
        <w:numPr>
          <w:ilvl w:val="0"/>
          <w:numId w:val="100"/>
        </w:numPr>
        <w:rPr>
          <w:rFonts w:ascii="Calibri" w:hAnsi="Calibri" w:cs="Calibri"/>
        </w:rPr>
      </w:pPr>
      <w:r>
        <w:t>How many security analysts currently operate the service?</w:t>
      </w:r>
    </w:p>
    <w:p w14:paraId="1B7A1D83" w14:textId="4EB57E18" w:rsidR="002E7041" w:rsidRDefault="00CE7BE5">
      <w:pPr>
        <w:pStyle w:val="ListParagraph"/>
        <w:rPr>
          <w:b/>
          <w:color w:val="000000" w:themeColor="text1"/>
          <w:sz w:val="20"/>
        </w:rPr>
      </w:pPr>
      <w:r w:rsidRPr="00387913">
        <w:rPr>
          <w:b/>
          <w:color w:val="000000" w:themeColor="text1"/>
          <w:sz w:val="20"/>
        </w:rPr>
        <w:t>There is no incumbent MSSP or SOC provider for this tenant. Current internal cyber capacity comprises a Cyber Security Officer with one team member, sitting within ICT Operations. The successful tenderer is expected to establish the operating model, runbooks, escalation paths and reporting arrangements with DCDE during mobilisation.</w:t>
      </w:r>
    </w:p>
    <w:p w14:paraId="2D261C47" w14:textId="77777777" w:rsidR="00BD2B2E" w:rsidRDefault="00BD2B2E">
      <w:pPr>
        <w:pStyle w:val="ListParagraph"/>
      </w:pPr>
    </w:p>
    <w:p w14:paraId="36CADDC4" w14:textId="77777777" w:rsidR="00E12CC6" w:rsidRDefault="0036624B" w:rsidP="00EB5EC9">
      <w:pPr>
        <w:numPr>
          <w:ilvl w:val="0"/>
          <w:numId w:val="100"/>
        </w:numPr>
        <w:rPr>
          <w:rFonts w:ascii="Calibri" w:hAnsi="Calibri" w:cs="Calibri"/>
        </w:rPr>
      </w:pPr>
      <w:r>
        <w:rPr>
          <w:rFonts w:ascii="Calibri" w:hAnsi="Calibri" w:cs="Calibri"/>
          <w:b/>
          <w:bCs/>
        </w:rPr>
        <w:t xml:space="preserve">General: </w:t>
      </w:r>
      <w:r w:rsidR="00E12CC6" w:rsidRPr="00E12CC6">
        <w:rPr>
          <w:rFonts w:ascii="Calibri" w:hAnsi="Calibri" w:cs="Calibri"/>
        </w:rPr>
        <w:t>Could DCDE provide the approximate number of end users within scope of the service?</w:t>
      </w:r>
    </w:p>
    <w:p w14:paraId="1FAA845E" w14:textId="2A17A417" w:rsidR="002E7041" w:rsidRDefault="00DA27D4">
      <w:pPr>
        <w:pStyle w:val="ListParagraph"/>
        <w:rPr>
          <w:b/>
          <w:color w:val="000000" w:themeColor="text1"/>
          <w:sz w:val="20"/>
        </w:rPr>
      </w:pPr>
      <w:r w:rsidRPr="00387913">
        <w:rPr>
          <w:b/>
          <w:color w:val="000000" w:themeColor="text1"/>
          <w:sz w:val="20"/>
        </w:rPr>
        <w:t xml:space="preserve">The in-scope environment supports approximately 800 users, together with approximately 150 guest users from another Government Department and a small number of contractor and service accounts. User devices, mobile devices and centrally managed Government Microsoft 365 services are generally outside the scope of this MSSP service. </w:t>
      </w:r>
    </w:p>
    <w:p w14:paraId="3428BB29" w14:textId="77777777" w:rsidR="00BD2B2E" w:rsidRDefault="00BD2B2E">
      <w:pPr>
        <w:pStyle w:val="ListParagraph"/>
      </w:pPr>
    </w:p>
    <w:p w14:paraId="6BA4CDA8" w14:textId="77777777" w:rsidR="00E12CC6" w:rsidRDefault="0036624B" w:rsidP="00EB5EC9">
      <w:pPr>
        <w:numPr>
          <w:ilvl w:val="0"/>
          <w:numId w:val="100"/>
        </w:numPr>
        <w:rPr>
          <w:rFonts w:ascii="Calibri" w:hAnsi="Calibri" w:cs="Calibri"/>
        </w:rPr>
      </w:pPr>
      <w:r>
        <w:rPr>
          <w:rFonts w:ascii="Calibri" w:hAnsi="Calibri" w:cs="Calibri"/>
          <w:b/>
          <w:bCs/>
        </w:rPr>
        <w:t xml:space="preserve">General: </w:t>
      </w:r>
      <w:r w:rsidR="00E12CC6" w:rsidRPr="00E12CC6">
        <w:rPr>
          <w:rFonts w:ascii="Calibri" w:hAnsi="Calibri" w:cs="Calibri"/>
        </w:rPr>
        <w:t>Could DCDE provide the approximate number of managed endpoints and servers within scope?</w:t>
      </w:r>
    </w:p>
    <w:p w14:paraId="2C72991F" w14:textId="19A0ECC3" w:rsidR="002E7041" w:rsidRDefault="00DA27D4">
      <w:pPr>
        <w:pStyle w:val="ListParagraph"/>
        <w:rPr>
          <w:b/>
          <w:color w:val="000000" w:themeColor="text1"/>
          <w:sz w:val="20"/>
        </w:rPr>
      </w:pPr>
      <w:r w:rsidRPr="00387913">
        <w:rPr>
          <w:b/>
          <w:color w:val="000000" w:themeColor="text1"/>
          <w:sz w:val="20"/>
        </w:rPr>
        <w:t xml:space="preserve">The in-scope environment is primarily cloud-based. DCDE cannot currently provide a definitive count of managed endpoints and servers. The environment includes a small number of virtual machines acting as jump boxes or gateways, together with Azure-hosted line-of-business applications and serverless workloads. End-user devices are generally out of scope. </w:t>
      </w:r>
    </w:p>
    <w:p w14:paraId="3663A0E8" w14:textId="77777777" w:rsidR="00BD2B2E" w:rsidRDefault="00BD2B2E">
      <w:pPr>
        <w:pStyle w:val="ListParagraph"/>
      </w:pPr>
    </w:p>
    <w:p w14:paraId="4369141A" w14:textId="77777777" w:rsidR="00E12CC6" w:rsidRDefault="0036624B" w:rsidP="00EB5EC9">
      <w:pPr>
        <w:numPr>
          <w:ilvl w:val="0"/>
          <w:numId w:val="100"/>
        </w:numPr>
        <w:rPr>
          <w:rFonts w:ascii="Calibri" w:hAnsi="Calibri" w:cs="Calibri"/>
        </w:rPr>
      </w:pPr>
      <w:r>
        <w:rPr>
          <w:rFonts w:ascii="Calibri" w:hAnsi="Calibri" w:cs="Calibri"/>
          <w:b/>
          <w:bCs/>
        </w:rPr>
        <w:t xml:space="preserve">General: </w:t>
      </w:r>
      <w:r w:rsidR="00E12CC6" w:rsidRPr="00E12CC6">
        <w:rPr>
          <w:rFonts w:ascii="Calibri" w:hAnsi="Calibri" w:cs="Calibri"/>
        </w:rPr>
        <w:t>Are there any expected growth projections (users, endpoints, applications or services) that should be considered during the contract term?</w:t>
      </w:r>
    </w:p>
    <w:p w14:paraId="3134FB1E" w14:textId="5812B7C2" w:rsidR="002E7041" w:rsidRDefault="002506F8">
      <w:pPr>
        <w:pStyle w:val="ListParagraph"/>
        <w:rPr>
          <w:b/>
          <w:color w:val="000000" w:themeColor="text1"/>
          <w:sz w:val="20"/>
        </w:rPr>
      </w:pPr>
      <w:r w:rsidRPr="00387913">
        <w:rPr>
          <w:b/>
          <w:color w:val="000000" w:themeColor="text1"/>
          <w:sz w:val="20"/>
        </w:rPr>
        <w:t xml:space="preserve">DCDE expects the in-scope environment to evolve during the contract term through the onboarding of additional Microsoft services, line-of-business applications and potential future Dynamics workloads. No specific growth projections are available. Tenderers should propose a scalable service model capable of accommodating reasonable increases in users, applications and log sources. </w:t>
      </w:r>
    </w:p>
    <w:p w14:paraId="33D1F878" w14:textId="77777777" w:rsidR="00164741" w:rsidRDefault="00164741">
      <w:pPr>
        <w:pStyle w:val="ListParagraph"/>
      </w:pPr>
    </w:p>
    <w:p w14:paraId="58928749" w14:textId="77777777" w:rsidR="00E12CC6" w:rsidRDefault="0036624B" w:rsidP="00EB5EC9">
      <w:pPr>
        <w:numPr>
          <w:ilvl w:val="0"/>
          <w:numId w:val="100"/>
        </w:numPr>
        <w:rPr>
          <w:rFonts w:ascii="Calibri" w:hAnsi="Calibri" w:cs="Calibri"/>
        </w:rPr>
      </w:pPr>
      <w:r>
        <w:rPr>
          <w:rFonts w:ascii="Calibri" w:hAnsi="Calibri" w:cs="Calibri"/>
          <w:b/>
          <w:bCs/>
        </w:rPr>
        <w:t xml:space="preserve">General: </w:t>
      </w:r>
      <w:r w:rsidR="00E12CC6" w:rsidRPr="00E12CC6">
        <w:rPr>
          <w:rFonts w:ascii="Calibri" w:hAnsi="Calibri" w:cs="Calibri"/>
        </w:rPr>
        <w:t>Is there an incumbent provider currently delivering any of the requested services? If so, will a formal transition and knowledge transfer phase be supported?</w:t>
      </w:r>
    </w:p>
    <w:p w14:paraId="085CF01D" w14:textId="1935E006" w:rsidR="002E7041" w:rsidRDefault="00CE7BE5">
      <w:pPr>
        <w:pStyle w:val="ListParagraph"/>
        <w:rPr>
          <w:b/>
          <w:color w:val="000000" w:themeColor="text1"/>
          <w:sz w:val="20"/>
        </w:rPr>
      </w:pPr>
      <w:r w:rsidRPr="00387913">
        <w:rPr>
          <w:b/>
          <w:color w:val="000000" w:themeColor="text1"/>
          <w:sz w:val="20"/>
        </w:rPr>
        <w:t xml:space="preserve">There is no incumbent MSSP or SOC provider for the in-scope tenant. DCDE has a current provider for NIS2 gap analysis and cybersecurity consultancy/governance support; </w:t>
      </w:r>
      <w:r w:rsidR="003E3E7E" w:rsidRPr="00387913">
        <w:rPr>
          <w:b/>
          <w:color w:val="000000" w:themeColor="text1"/>
          <w:sz w:val="20"/>
        </w:rPr>
        <w:t xml:space="preserve">appropriate transition information will be shared </w:t>
      </w:r>
      <w:r w:rsidRPr="00387913">
        <w:rPr>
          <w:b/>
          <w:color w:val="000000" w:themeColor="text1"/>
          <w:sz w:val="20"/>
        </w:rPr>
        <w:t>for that workstream. No TUPE/staff transfer arrangement is anticipated.</w:t>
      </w:r>
    </w:p>
    <w:p w14:paraId="270BE199" w14:textId="77777777" w:rsidR="00164741" w:rsidRDefault="00164741">
      <w:pPr>
        <w:pStyle w:val="ListParagraph"/>
      </w:pPr>
    </w:p>
    <w:p w14:paraId="70742DEC" w14:textId="77777777" w:rsidR="00E12CC6" w:rsidRDefault="0036624B" w:rsidP="00EB5EC9">
      <w:pPr>
        <w:numPr>
          <w:ilvl w:val="0"/>
          <w:numId w:val="100"/>
        </w:numPr>
        <w:rPr>
          <w:rFonts w:ascii="Calibri" w:hAnsi="Calibri" w:cs="Calibri"/>
        </w:rPr>
      </w:pPr>
      <w:r>
        <w:rPr>
          <w:rFonts w:ascii="Calibri" w:hAnsi="Calibri" w:cs="Calibri"/>
          <w:b/>
          <w:bCs/>
        </w:rPr>
        <w:t xml:space="preserve">General: </w:t>
      </w:r>
      <w:r w:rsidR="00E12CC6" w:rsidRPr="00E12CC6">
        <w:rPr>
          <w:rFonts w:ascii="Calibri" w:hAnsi="Calibri" w:cs="Calibri"/>
        </w:rPr>
        <w:t>Is any on-site presence expected as part of the service delivery model, or can services be delivered remotely?</w:t>
      </w:r>
    </w:p>
    <w:p w14:paraId="3412A913" w14:textId="0DDA827A" w:rsidR="002E7041" w:rsidRDefault="002506F8">
      <w:pPr>
        <w:pStyle w:val="ListParagraph"/>
        <w:rPr>
          <w:b/>
          <w:color w:val="000000" w:themeColor="text1"/>
          <w:sz w:val="20"/>
        </w:rPr>
      </w:pPr>
      <w:r w:rsidRPr="00387913">
        <w:rPr>
          <w:b/>
          <w:color w:val="000000" w:themeColor="text1"/>
          <w:sz w:val="20"/>
        </w:rPr>
        <w:lastRenderedPageBreak/>
        <w:t xml:space="preserve">Services may generally be delivered remotely from within the EU/EEA. However, limited on-site attendance in Dublin will be required from time to time for mobilisation activities, governance meetings, workshops, incident response exercises, tabletop exercises or other agreed engagements. Tenderers should include reasonable provision for such attendance in their proposals. </w:t>
      </w:r>
    </w:p>
    <w:p w14:paraId="3F978084" w14:textId="77777777" w:rsidR="00164741" w:rsidRDefault="00164741">
      <w:pPr>
        <w:pStyle w:val="ListParagraph"/>
      </w:pPr>
    </w:p>
    <w:p w14:paraId="4AED1EEF" w14:textId="77777777" w:rsidR="00E12CC6" w:rsidRDefault="0036624B" w:rsidP="00EB5EC9">
      <w:pPr>
        <w:numPr>
          <w:ilvl w:val="0"/>
          <w:numId w:val="100"/>
        </w:numPr>
        <w:rPr>
          <w:rFonts w:ascii="Calibri" w:hAnsi="Calibri" w:cs="Calibri"/>
        </w:rPr>
      </w:pPr>
      <w:r>
        <w:rPr>
          <w:rFonts w:ascii="Calibri" w:hAnsi="Calibri" w:cs="Calibri"/>
          <w:b/>
          <w:bCs/>
        </w:rPr>
        <w:t xml:space="preserve">General: </w:t>
      </w:r>
      <w:r w:rsidR="00E12CC6" w:rsidRPr="00E12CC6">
        <w:rPr>
          <w:rFonts w:ascii="Calibri" w:hAnsi="Calibri" w:cs="Calibri"/>
        </w:rPr>
        <w:t>In terms of licenses: who will be the owner of the licences (SIEM, XDR…)? DCDE or the Bidder?</w:t>
      </w:r>
    </w:p>
    <w:p w14:paraId="05C89949" w14:textId="322A0C70" w:rsidR="002E7041" w:rsidRDefault="002506F8">
      <w:pPr>
        <w:pStyle w:val="ListParagraph"/>
        <w:rPr>
          <w:b/>
          <w:color w:val="000000" w:themeColor="text1"/>
          <w:sz w:val="20"/>
        </w:rPr>
      </w:pPr>
      <w:r>
        <w:t>D</w:t>
      </w:r>
      <w:r w:rsidRPr="00387913">
        <w:rPr>
          <w:b/>
          <w:color w:val="000000" w:themeColor="text1"/>
          <w:sz w:val="20"/>
        </w:rPr>
        <w:t>CDE will remain responsible for licensing associated with the in-scope security tooling, including SIEM and related platform licences.</w:t>
      </w:r>
    </w:p>
    <w:p w14:paraId="3CED116C" w14:textId="77777777" w:rsidR="00164741" w:rsidRDefault="00164741">
      <w:pPr>
        <w:pStyle w:val="ListParagraph"/>
      </w:pPr>
    </w:p>
    <w:p w14:paraId="7BAD2C8E" w14:textId="77777777" w:rsidR="00E12CC6" w:rsidRDefault="0036624B" w:rsidP="00EB5EC9">
      <w:pPr>
        <w:numPr>
          <w:ilvl w:val="0"/>
          <w:numId w:val="100"/>
        </w:numPr>
        <w:rPr>
          <w:rFonts w:ascii="Calibri" w:hAnsi="Calibri" w:cs="Calibri"/>
        </w:rPr>
      </w:pPr>
      <w:r>
        <w:rPr>
          <w:rFonts w:ascii="Calibri" w:hAnsi="Calibri" w:cs="Calibri"/>
          <w:b/>
          <w:bCs/>
        </w:rPr>
        <w:t xml:space="preserve">Service Management: </w:t>
      </w:r>
      <w:r w:rsidR="00E12CC6" w:rsidRPr="00E12CC6">
        <w:rPr>
          <w:rFonts w:ascii="Calibri" w:hAnsi="Calibri" w:cs="Calibri"/>
        </w:rPr>
        <w:t>Could DCDE provide examples of the expected monthly operational reports and quarterly assurance reviews?</w:t>
      </w:r>
    </w:p>
    <w:p w14:paraId="3D9335C7" w14:textId="6DC232C6" w:rsidR="002E7041" w:rsidRDefault="002506F8">
      <w:pPr>
        <w:pStyle w:val="ListParagraph"/>
        <w:rPr>
          <w:b/>
          <w:color w:val="000000" w:themeColor="text1"/>
          <w:sz w:val="20"/>
        </w:rPr>
      </w:pPr>
      <w:r w:rsidRPr="00387913">
        <w:rPr>
          <w:b/>
          <w:color w:val="000000" w:themeColor="text1"/>
          <w:sz w:val="20"/>
        </w:rPr>
        <w:t xml:space="preserve">Examples are not currently available. The successful tenderer will agree report formats with DCDE during mobilisation. Monthly reports should typically cover alerts, incidents, risks, vulnerabilities, threat intelligence, service performance and recommendations. Quarterly assurance reviews should provide a strategic overview of security posture, compliance progress, trends and improvement actions. </w:t>
      </w:r>
    </w:p>
    <w:p w14:paraId="284FD5C1" w14:textId="77777777" w:rsidR="00164741" w:rsidRDefault="00164741">
      <w:pPr>
        <w:pStyle w:val="ListParagraph"/>
      </w:pPr>
    </w:p>
    <w:p w14:paraId="5382E63D" w14:textId="77777777" w:rsidR="00E12CC6" w:rsidRDefault="0036624B" w:rsidP="00EB5EC9">
      <w:pPr>
        <w:numPr>
          <w:ilvl w:val="0"/>
          <w:numId w:val="100"/>
        </w:numPr>
        <w:rPr>
          <w:rFonts w:ascii="Calibri" w:hAnsi="Calibri" w:cs="Calibri"/>
        </w:rPr>
      </w:pPr>
      <w:r>
        <w:rPr>
          <w:rFonts w:ascii="Calibri" w:hAnsi="Calibri" w:cs="Calibri"/>
          <w:b/>
          <w:bCs/>
        </w:rPr>
        <w:t xml:space="preserve">Service Management: </w:t>
      </w:r>
      <w:r w:rsidR="00E12CC6" w:rsidRPr="00E12CC6">
        <w:rPr>
          <w:rFonts w:ascii="Calibri" w:hAnsi="Calibri" w:cs="Calibri"/>
        </w:rPr>
        <w:t>What governance forums are expected (operational, tactical and executive)?</w:t>
      </w:r>
    </w:p>
    <w:p w14:paraId="5FC78EEB" w14:textId="19C818CB" w:rsidR="002E7041" w:rsidRDefault="00CE7BE5">
      <w:pPr>
        <w:pStyle w:val="ListParagraph"/>
        <w:rPr>
          <w:b/>
          <w:color w:val="000000" w:themeColor="text1"/>
          <w:sz w:val="20"/>
        </w:rPr>
      </w:pPr>
      <w:r w:rsidRPr="00387913">
        <w:rPr>
          <w:b/>
          <w:color w:val="000000" w:themeColor="text1"/>
          <w:sz w:val="20"/>
        </w:rPr>
        <w:t>DCDE expects service governance to include regular operational engagement, monthly reporting and quarterly assurance reviews. The final governance forums, participants, escalation routes and any management-board reporting will be agreed with the successful tenderer during mobilisation.</w:t>
      </w:r>
    </w:p>
    <w:p w14:paraId="42CD191E" w14:textId="77777777" w:rsidR="00164741" w:rsidRDefault="00164741">
      <w:pPr>
        <w:pStyle w:val="ListParagraph"/>
      </w:pPr>
    </w:p>
    <w:p w14:paraId="05C2C8A2" w14:textId="77777777" w:rsidR="00E12CC6" w:rsidRDefault="0036624B" w:rsidP="00EB5EC9">
      <w:pPr>
        <w:numPr>
          <w:ilvl w:val="0"/>
          <w:numId w:val="100"/>
        </w:numPr>
        <w:rPr>
          <w:rFonts w:ascii="Calibri" w:hAnsi="Calibri" w:cs="Calibri"/>
        </w:rPr>
      </w:pPr>
      <w:r>
        <w:rPr>
          <w:rFonts w:ascii="Calibri" w:hAnsi="Calibri" w:cs="Calibri"/>
          <w:b/>
          <w:bCs/>
        </w:rPr>
        <w:t xml:space="preserve">Service Management: </w:t>
      </w:r>
      <w:r w:rsidR="00E12CC6" w:rsidRPr="00E12CC6">
        <w:rPr>
          <w:rFonts w:ascii="Calibri" w:hAnsi="Calibri" w:cs="Calibri"/>
        </w:rPr>
        <w:t>Which KPIs and service metrics are considered mandatory for reporting purposes?</w:t>
      </w:r>
    </w:p>
    <w:p w14:paraId="1C979A9D" w14:textId="5149680B" w:rsidR="002E7041" w:rsidRDefault="00EC733A">
      <w:pPr>
        <w:pStyle w:val="ListParagraph"/>
        <w:rPr>
          <w:b/>
          <w:color w:val="000000" w:themeColor="text1"/>
          <w:sz w:val="20"/>
        </w:rPr>
      </w:pPr>
      <w:r w:rsidRPr="00387913">
        <w:rPr>
          <w:b/>
          <w:color w:val="000000" w:themeColor="text1"/>
          <w:sz w:val="20"/>
        </w:rPr>
        <w:t xml:space="preserve">Mandatory KPIs and service metrics have not yet been defined. Tenderers should propose appropriate measures covering alert acknowledgement, triage, investigation, escalation, incident response, reporting, vulnerability management, SLA performance and service quality. The final KPI framework will be agreed with the successful tenderer and incorporated into the SLA/Contract. </w:t>
      </w:r>
    </w:p>
    <w:p w14:paraId="329BCF94" w14:textId="77777777" w:rsidR="00164741" w:rsidRDefault="00164741">
      <w:pPr>
        <w:pStyle w:val="ListParagraph"/>
      </w:pPr>
    </w:p>
    <w:p w14:paraId="7F132F81" w14:textId="77777777" w:rsidR="00E12CC6" w:rsidRDefault="0036624B" w:rsidP="00EB5EC9">
      <w:pPr>
        <w:numPr>
          <w:ilvl w:val="0"/>
          <w:numId w:val="100"/>
        </w:numPr>
        <w:rPr>
          <w:rFonts w:ascii="Calibri" w:hAnsi="Calibri" w:cs="Calibri"/>
        </w:rPr>
      </w:pPr>
      <w:r>
        <w:rPr>
          <w:rFonts w:ascii="Calibri" w:hAnsi="Calibri" w:cs="Calibri"/>
          <w:b/>
          <w:bCs/>
        </w:rPr>
        <w:t xml:space="preserve">Service Management: </w:t>
      </w:r>
      <w:r w:rsidR="00E12CC6" w:rsidRPr="00E12CC6">
        <w:rPr>
          <w:rFonts w:ascii="Calibri" w:hAnsi="Calibri" w:cs="Calibri"/>
        </w:rPr>
        <w:t>Could DCDE provide the expected service levels and performance targets, including alert acknowledgement, incident response, escalation and reporting KPIs? Could the Bidder propose its own?</w:t>
      </w:r>
    </w:p>
    <w:p w14:paraId="1E126A17" w14:textId="1E7738E2" w:rsidR="002E7041" w:rsidRDefault="00EC733A">
      <w:pPr>
        <w:pStyle w:val="ListParagraph"/>
      </w:pPr>
      <w:r w:rsidRPr="00387913">
        <w:rPr>
          <w:b/>
          <w:color w:val="000000" w:themeColor="text1"/>
          <w:sz w:val="20"/>
        </w:rPr>
        <w:t xml:space="preserve">DCDE has not prescribed specific service levels or performance targets. Tenderers should propose appropriate KPIs and SLA targets for alert acknowledgement, triage, escalation, incident response and reporting as part of their submission. The final SLA framework will be agreed with the successful supplier and incorporated into the contract. </w:t>
      </w:r>
    </w:p>
    <w:p w14:paraId="437CC281" w14:textId="77777777" w:rsidR="00E12CC6" w:rsidRDefault="0036624B" w:rsidP="00EB5EC9">
      <w:pPr>
        <w:numPr>
          <w:ilvl w:val="0"/>
          <w:numId w:val="100"/>
        </w:numPr>
        <w:rPr>
          <w:rFonts w:ascii="Calibri" w:hAnsi="Calibri" w:cs="Calibri"/>
        </w:rPr>
      </w:pPr>
      <w:r>
        <w:rPr>
          <w:rFonts w:ascii="Calibri" w:hAnsi="Calibri" w:cs="Calibri"/>
          <w:b/>
          <w:bCs/>
        </w:rPr>
        <w:lastRenderedPageBreak/>
        <w:t xml:space="preserve">ITSM: </w:t>
      </w:r>
      <w:r w:rsidR="00E12CC6" w:rsidRPr="00E12CC6">
        <w:rPr>
          <w:rFonts w:ascii="Calibri" w:hAnsi="Calibri" w:cs="Calibri"/>
        </w:rPr>
        <w:t>Does DCDE currently operate an ITSM platform (e.g. ServiceNow, Jira Service Management or equivalent)?</w:t>
      </w:r>
    </w:p>
    <w:p w14:paraId="243EBA03" w14:textId="5ECE00F4" w:rsidR="002E7041" w:rsidRDefault="00EC733A">
      <w:pPr>
        <w:pStyle w:val="ListParagraph"/>
        <w:rPr>
          <w:b/>
          <w:color w:val="000000" w:themeColor="text1"/>
          <w:sz w:val="20"/>
        </w:rPr>
      </w:pPr>
      <w:r w:rsidRPr="00387913">
        <w:rPr>
          <w:b/>
          <w:color w:val="000000" w:themeColor="text1"/>
          <w:sz w:val="20"/>
        </w:rPr>
        <w:t xml:space="preserve">DCDE does not currently operate an ITSM platform. Tenderers should outline how incident, request and service-management processes will be supported as part of their proposed service. Any future ITSM tooling, integrations or workflow requirements will be agreed with the successful tenderer during mobilisation. </w:t>
      </w:r>
    </w:p>
    <w:p w14:paraId="5A3043F6" w14:textId="77777777" w:rsidR="00164741" w:rsidRDefault="00164741">
      <w:pPr>
        <w:pStyle w:val="ListParagraph"/>
      </w:pPr>
    </w:p>
    <w:p w14:paraId="1572D531" w14:textId="77777777" w:rsidR="00E12CC6" w:rsidRDefault="0036624B" w:rsidP="00EB5EC9">
      <w:pPr>
        <w:numPr>
          <w:ilvl w:val="0"/>
          <w:numId w:val="100"/>
        </w:numPr>
        <w:rPr>
          <w:rFonts w:ascii="Calibri" w:hAnsi="Calibri" w:cs="Calibri"/>
        </w:rPr>
      </w:pPr>
      <w:r>
        <w:rPr>
          <w:rFonts w:ascii="Calibri" w:hAnsi="Calibri" w:cs="Calibri"/>
          <w:b/>
          <w:bCs/>
        </w:rPr>
        <w:t xml:space="preserve">ITSM: </w:t>
      </w:r>
      <w:r w:rsidR="00E12CC6" w:rsidRPr="00E12CC6">
        <w:rPr>
          <w:rFonts w:ascii="Calibri" w:hAnsi="Calibri" w:cs="Calibri"/>
        </w:rPr>
        <w:t>Will the supplier be required to use the DCDE ITSM platform, provide its own ticketing capability, or integrate both solutions?</w:t>
      </w:r>
    </w:p>
    <w:p w14:paraId="716972F1" w14:textId="08AC2AC2" w:rsidR="002E7041" w:rsidRDefault="00EC733A">
      <w:pPr>
        <w:pStyle w:val="ListParagraph"/>
        <w:rPr>
          <w:b/>
          <w:color w:val="000000" w:themeColor="text1"/>
          <w:sz w:val="20"/>
        </w:rPr>
      </w:pPr>
      <w:r w:rsidRPr="00387913">
        <w:rPr>
          <w:b/>
          <w:color w:val="000000" w:themeColor="text1"/>
          <w:sz w:val="20"/>
        </w:rPr>
        <w:t xml:space="preserve">DCDE does not currently operate an ITSM platform for the in-scope environment. Tenderers should describe the ticketing and workflow capabilities they propose to use in delivering the Services. Any future ITSM requirements, integrations or tooling arrangements will be agreed with the successful supplier during mobilisation. </w:t>
      </w:r>
    </w:p>
    <w:p w14:paraId="6CBF6DD4" w14:textId="77777777" w:rsidR="00164741" w:rsidRDefault="00164741">
      <w:pPr>
        <w:pStyle w:val="ListParagraph"/>
      </w:pPr>
    </w:p>
    <w:p w14:paraId="756B85F4" w14:textId="77777777" w:rsidR="00E12CC6" w:rsidRDefault="0036624B" w:rsidP="00EB5EC9">
      <w:pPr>
        <w:numPr>
          <w:ilvl w:val="0"/>
          <w:numId w:val="100"/>
        </w:numPr>
        <w:rPr>
          <w:rFonts w:ascii="Calibri" w:hAnsi="Calibri" w:cs="Calibri"/>
        </w:rPr>
      </w:pPr>
      <w:r>
        <w:rPr>
          <w:rFonts w:ascii="Calibri" w:hAnsi="Calibri" w:cs="Calibri"/>
          <w:b/>
          <w:bCs/>
        </w:rPr>
        <w:t xml:space="preserve">ITSM: </w:t>
      </w:r>
      <w:r w:rsidR="00E12CC6" w:rsidRPr="00E12CC6">
        <w:rPr>
          <w:rFonts w:ascii="Calibri" w:hAnsi="Calibri" w:cs="Calibri"/>
        </w:rPr>
        <w:t>Are integrations currently available between the SIEM, security tooling and the ITSM platform?</w:t>
      </w:r>
    </w:p>
    <w:p w14:paraId="38FECBF7" w14:textId="06E547E5" w:rsidR="002E7041" w:rsidRDefault="00EC733A">
      <w:pPr>
        <w:pStyle w:val="ListParagraph"/>
        <w:rPr>
          <w:b/>
          <w:color w:val="000000" w:themeColor="text1"/>
          <w:sz w:val="20"/>
        </w:rPr>
      </w:pPr>
      <w:r w:rsidRPr="00387913">
        <w:rPr>
          <w:b/>
          <w:color w:val="000000" w:themeColor="text1"/>
          <w:sz w:val="20"/>
        </w:rPr>
        <w:t xml:space="preserve">No. DCDE does not currently operate an ITSM platform and therefore no integrations currently exist between an ITSM platform, SIEM or other security tooling. Tenderers should describe any proposed ticketing, workflow and integration approach as part of their service offering. </w:t>
      </w:r>
    </w:p>
    <w:p w14:paraId="1C4E7B4C" w14:textId="77777777" w:rsidR="00164741" w:rsidRDefault="00164741">
      <w:pPr>
        <w:pStyle w:val="ListParagraph"/>
      </w:pPr>
    </w:p>
    <w:p w14:paraId="21E392FB" w14:textId="77777777" w:rsidR="00E12CC6" w:rsidRDefault="00F95F71" w:rsidP="00EB5EC9">
      <w:pPr>
        <w:numPr>
          <w:ilvl w:val="0"/>
          <w:numId w:val="100"/>
        </w:numPr>
        <w:rPr>
          <w:rFonts w:ascii="Calibri" w:hAnsi="Calibri" w:cs="Calibri"/>
        </w:rPr>
      </w:pPr>
      <w:r>
        <w:rPr>
          <w:rFonts w:ascii="Calibri" w:hAnsi="Calibri" w:cs="Calibri"/>
          <w:b/>
          <w:bCs/>
        </w:rPr>
        <w:t xml:space="preserve">SOC-SIEM: </w:t>
      </w:r>
      <w:r w:rsidR="00E12CC6" w:rsidRPr="00E12CC6">
        <w:rPr>
          <w:rFonts w:ascii="Calibri" w:hAnsi="Calibri" w:cs="Calibri"/>
        </w:rPr>
        <w:t xml:space="preserve">Which SIEM platform is currently deployed and provided by DCDE? How many tenants are </w:t>
      </w:r>
      <w:proofErr w:type="spellStart"/>
      <w:r w:rsidR="00E12CC6" w:rsidRPr="00E12CC6">
        <w:rPr>
          <w:rFonts w:ascii="Calibri" w:hAnsi="Calibri" w:cs="Calibri"/>
        </w:rPr>
        <w:t>currentlly</w:t>
      </w:r>
      <w:proofErr w:type="spellEnd"/>
      <w:r w:rsidR="00E12CC6" w:rsidRPr="00E12CC6">
        <w:rPr>
          <w:rFonts w:ascii="Calibri" w:hAnsi="Calibri" w:cs="Calibri"/>
        </w:rPr>
        <w:t xml:space="preserve"> in used?</w:t>
      </w:r>
    </w:p>
    <w:p w14:paraId="328A6F44" w14:textId="4231C1E7" w:rsidR="002E7041" w:rsidRDefault="00EC733A">
      <w:pPr>
        <w:pStyle w:val="ListParagraph"/>
        <w:rPr>
          <w:b/>
          <w:color w:val="000000" w:themeColor="text1"/>
          <w:sz w:val="20"/>
        </w:rPr>
      </w:pPr>
      <w:r w:rsidRPr="00387913">
        <w:rPr>
          <w:b/>
          <w:color w:val="000000" w:themeColor="text1"/>
          <w:sz w:val="20"/>
        </w:rPr>
        <w:t xml:space="preserve">DCDE currently provides Microsoft Sentinel through a landing-zone deployment as its SIEM platform. The SIEM is not yet fully operational and no MSSP is currently in place. The in-scope environment comprises DCDE's Azure tenant hosting its line-of-business applications. Further tenant-specific details will be confirmed during mobilisation. </w:t>
      </w:r>
    </w:p>
    <w:p w14:paraId="3C34F5EA" w14:textId="77777777" w:rsidR="00164741" w:rsidRDefault="00164741">
      <w:pPr>
        <w:pStyle w:val="ListParagraph"/>
      </w:pPr>
    </w:p>
    <w:p w14:paraId="03DB5381" w14:textId="77777777" w:rsidR="00E12CC6" w:rsidRDefault="00F95F71" w:rsidP="00EB5EC9">
      <w:pPr>
        <w:numPr>
          <w:ilvl w:val="0"/>
          <w:numId w:val="100"/>
        </w:numPr>
        <w:rPr>
          <w:rFonts w:ascii="Calibri" w:hAnsi="Calibri" w:cs="Calibri"/>
        </w:rPr>
      </w:pPr>
      <w:r>
        <w:rPr>
          <w:rFonts w:ascii="Calibri" w:hAnsi="Calibri" w:cs="Calibri"/>
          <w:b/>
          <w:bCs/>
        </w:rPr>
        <w:t xml:space="preserve">SOC-SIEM: </w:t>
      </w:r>
      <w:r w:rsidR="00E12CC6" w:rsidRPr="00E12CC6">
        <w:rPr>
          <w:rFonts w:ascii="Calibri" w:hAnsi="Calibri" w:cs="Calibri"/>
        </w:rPr>
        <w:t>What is the current average daily log ingestion volume and data retention period within the SIEM platform?</w:t>
      </w:r>
    </w:p>
    <w:p w14:paraId="101F4080" w14:textId="56CAE5C7" w:rsidR="002E7041" w:rsidRDefault="00EC733A">
      <w:pPr>
        <w:pStyle w:val="ListParagraph"/>
        <w:rPr>
          <w:b/>
          <w:color w:val="000000" w:themeColor="text1"/>
          <w:sz w:val="20"/>
        </w:rPr>
      </w:pPr>
      <w:r w:rsidRPr="00387913">
        <w:rPr>
          <w:b/>
          <w:color w:val="000000" w:themeColor="text1"/>
          <w:sz w:val="20"/>
        </w:rPr>
        <w:t xml:space="preserve">DCDE does not currently have reliable average daily log-ingestion or retention figures available for the in-scope environment, as Microsoft Sentinel is not yet fully operational and no MSSP is currently in place. The successful supplier will be expected to establish, baseline and agree appropriate ingestion and retention requirements with DCDE. </w:t>
      </w:r>
    </w:p>
    <w:p w14:paraId="1AE66E1D" w14:textId="77777777" w:rsidR="00164741" w:rsidRDefault="00164741">
      <w:pPr>
        <w:pStyle w:val="ListParagraph"/>
      </w:pPr>
    </w:p>
    <w:p w14:paraId="19FA30AA" w14:textId="77777777" w:rsidR="00E12CC6" w:rsidRDefault="00F95F71" w:rsidP="00EB5EC9">
      <w:pPr>
        <w:numPr>
          <w:ilvl w:val="0"/>
          <w:numId w:val="100"/>
        </w:numPr>
        <w:rPr>
          <w:rFonts w:ascii="Calibri" w:hAnsi="Calibri" w:cs="Calibri"/>
        </w:rPr>
      </w:pPr>
      <w:r>
        <w:rPr>
          <w:rFonts w:ascii="Calibri" w:hAnsi="Calibri" w:cs="Calibri"/>
          <w:b/>
          <w:bCs/>
        </w:rPr>
        <w:t xml:space="preserve">SOC-SIEM: </w:t>
      </w:r>
      <w:r w:rsidR="00E12CC6" w:rsidRPr="00E12CC6">
        <w:rPr>
          <w:rFonts w:ascii="Calibri" w:hAnsi="Calibri" w:cs="Calibri"/>
        </w:rPr>
        <w:t>How many log sources are currently connected to the SIEM?</w:t>
      </w:r>
    </w:p>
    <w:p w14:paraId="2E29AC25" w14:textId="151AFE6B" w:rsidR="002E7041" w:rsidRDefault="00EC733A">
      <w:pPr>
        <w:pStyle w:val="ListParagraph"/>
      </w:pPr>
      <w:r w:rsidRPr="00387913">
        <w:rPr>
          <w:b/>
          <w:color w:val="000000" w:themeColor="text1"/>
          <w:sz w:val="20"/>
        </w:rPr>
        <w:t xml:space="preserve">Microsoft Sentinel is not yet fully operational and DCDE does not currently have an MSSP in place. Current configured data connectors include Microsoft Defender for Cloud, Azure Activity, Entra ID, Azure Monitor and Network Security Groups. Additional Microsoft and line-of-business application log sources will be onboarded during the contract term. </w:t>
      </w:r>
    </w:p>
    <w:p w14:paraId="0FBDDEBC" w14:textId="77777777" w:rsidR="00E12CC6" w:rsidRDefault="00F95F71" w:rsidP="00EB5EC9">
      <w:pPr>
        <w:numPr>
          <w:ilvl w:val="0"/>
          <w:numId w:val="100"/>
        </w:numPr>
        <w:rPr>
          <w:rFonts w:ascii="Calibri" w:hAnsi="Calibri" w:cs="Calibri"/>
        </w:rPr>
      </w:pPr>
      <w:r>
        <w:rPr>
          <w:rFonts w:ascii="Calibri" w:hAnsi="Calibri" w:cs="Calibri"/>
          <w:b/>
          <w:bCs/>
        </w:rPr>
        <w:lastRenderedPageBreak/>
        <w:t xml:space="preserve">SOC-SIEM: </w:t>
      </w:r>
      <w:r w:rsidR="00E12CC6" w:rsidRPr="00E12CC6">
        <w:rPr>
          <w:rFonts w:ascii="Calibri" w:hAnsi="Calibri" w:cs="Calibri"/>
        </w:rPr>
        <w:t>Is the SIEM currently covering all systems and applications included within the scope of this RFT?</w:t>
      </w:r>
    </w:p>
    <w:p w14:paraId="02169D3B" w14:textId="479F04F8" w:rsidR="002E7041" w:rsidRDefault="00EC733A">
      <w:pPr>
        <w:pStyle w:val="ListParagraph"/>
        <w:rPr>
          <w:b/>
          <w:color w:val="000000" w:themeColor="text1"/>
          <w:sz w:val="20"/>
        </w:rPr>
      </w:pPr>
      <w:r w:rsidRPr="00387913">
        <w:rPr>
          <w:b/>
          <w:color w:val="000000" w:themeColor="text1"/>
          <w:sz w:val="20"/>
        </w:rPr>
        <w:t xml:space="preserve">No. The SIEM is not currently fully operational and does not yet cover all systems and applications that may fall within the scope of this RFT. The successful supplier will be expected to assess the current onboarding status and support the phased onboarding of additional in-scope systems, applications and log sources. </w:t>
      </w:r>
    </w:p>
    <w:p w14:paraId="077093EE" w14:textId="77777777" w:rsidR="00164741" w:rsidRDefault="00164741">
      <w:pPr>
        <w:pStyle w:val="ListParagraph"/>
      </w:pPr>
    </w:p>
    <w:p w14:paraId="389A8620" w14:textId="77777777" w:rsidR="00E12CC6" w:rsidRDefault="00F95F71" w:rsidP="00EB5EC9">
      <w:pPr>
        <w:numPr>
          <w:ilvl w:val="0"/>
          <w:numId w:val="100"/>
        </w:numPr>
        <w:rPr>
          <w:rFonts w:ascii="Calibri" w:hAnsi="Calibri" w:cs="Calibri"/>
        </w:rPr>
      </w:pPr>
      <w:r>
        <w:rPr>
          <w:rFonts w:ascii="Calibri" w:hAnsi="Calibri" w:cs="Calibri"/>
          <w:b/>
          <w:bCs/>
        </w:rPr>
        <w:t xml:space="preserve">SOC-SIEM: </w:t>
      </w:r>
      <w:r w:rsidR="00E12CC6" w:rsidRPr="00E12CC6">
        <w:rPr>
          <w:rFonts w:ascii="Calibri" w:hAnsi="Calibri" w:cs="Calibri"/>
        </w:rPr>
        <w:t>Does DCDE expect the successful supplier to develop and maintain detection use cases, correlation rules and alert tuning activities?</w:t>
      </w:r>
    </w:p>
    <w:p w14:paraId="1B183B1E" w14:textId="04E7C670" w:rsidR="002E7041" w:rsidRDefault="00FE2AEF">
      <w:pPr>
        <w:pStyle w:val="ListParagraph"/>
        <w:rPr>
          <w:b/>
          <w:color w:val="000000" w:themeColor="text1"/>
          <w:sz w:val="20"/>
        </w:rPr>
      </w:pPr>
      <w:r w:rsidRPr="00387913">
        <w:rPr>
          <w:b/>
          <w:color w:val="000000" w:themeColor="text1"/>
          <w:sz w:val="20"/>
        </w:rPr>
        <w:t xml:space="preserve">Yes. The successful supplier will be expected to develop, implement, maintain and optimise SIEM detection use cases, analytics rules, correlation rules, alert tuning, reporting and related monitoring content. As Microsoft Sentinel is not yet fully operational, establishing and maturing these capabilities forms part of the required service. </w:t>
      </w:r>
    </w:p>
    <w:p w14:paraId="08C3A321" w14:textId="77777777" w:rsidR="00164741" w:rsidRDefault="00164741">
      <w:pPr>
        <w:pStyle w:val="ListParagraph"/>
      </w:pPr>
    </w:p>
    <w:p w14:paraId="0BA0AEF1" w14:textId="77777777" w:rsidR="00E12CC6" w:rsidRDefault="00F95F71" w:rsidP="00EB5EC9">
      <w:pPr>
        <w:numPr>
          <w:ilvl w:val="0"/>
          <w:numId w:val="100"/>
        </w:numPr>
        <w:rPr>
          <w:rFonts w:ascii="Calibri" w:hAnsi="Calibri" w:cs="Calibri"/>
        </w:rPr>
      </w:pPr>
      <w:r>
        <w:rPr>
          <w:rFonts w:ascii="Calibri" w:hAnsi="Calibri" w:cs="Calibri"/>
          <w:b/>
          <w:bCs/>
        </w:rPr>
        <w:t xml:space="preserve">SOC-SIEM: </w:t>
      </w:r>
      <w:r w:rsidR="00E12CC6" w:rsidRPr="00E12CC6">
        <w:rPr>
          <w:rFonts w:ascii="Calibri" w:hAnsi="Calibri" w:cs="Calibri"/>
        </w:rPr>
        <w:t>Could DCDE provide historical metrics regarding security alerts and incidents over the last 12 months?</w:t>
      </w:r>
    </w:p>
    <w:p w14:paraId="2E63FA24" w14:textId="5455D858" w:rsidR="002E7041" w:rsidRDefault="004A06FE">
      <w:pPr>
        <w:pStyle w:val="ListParagraph"/>
        <w:rPr>
          <w:b/>
          <w:color w:val="000000" w:themeColor="text1"/>
          <w:sz w:val="20"/>
        </w:rPr>
      </w:pPr>
      <w:r w:rsidRPr="00387913">
        <w:rPr>
          <w:b/>
          <w:color w:val="000000" w:themeColor="text1"/>
          <w:sz w:val="20"/>
        </w:rPr>
        <w:t xml:space="preserve">DCDE cannot provide historical metrics for security alerts or incidents for the in-scope environment. Microsoft Sentinel is not yet fully operational and no MSSP is currently in place. Accordingly, reliable historical alert, investigation and incident trend data is not available at this time. </w:t>
      </w:r>
    </w:p>
    <w:p w14:paraId="0FAAC153" w14:textId="77777777" w:rsidR="00164741" w:rsidRDefault="00164741">
      <w:pPr>
        <w:pStyle w:val="ListParagraph"/>
      </w:pPr>
    </w:p>
    <w:p w14:paraId="4C7FFF75" w14:textId="77777777" w:rsidR="00E12CC6" w:rsidRDefault="008255DD" w:rsidP="00EB5EC9">
      <w:pPr>
        <w:numPr>
          <w:ilvl w:val="0"/>
          <w:numId w:val="100"/>
        </w:numPr>
        <w:rPr>
          <w:rFonts w:ascii="Calibri" w:hAnsi="Calibri" w:cs="Calibri"/>
        </w:rPr>
      </w:pPr>
      <w:r>
        <w:rPr>
          <w:rFonts w:ascii="Calibri" w:hAnsi="Calibri" w:cs="Calibri"/>
          <w:b/>
          <w:bCs/>
        </w:rPr>
        <w:t xml:space="preserve">XDR: </w:t>
      </w:r>
      <w:r w:rsidR="00E12CC6" w:rsidRPr="00E12CC6">
        <w:rPr>
          <w:rFonts w:ascii="Calibri" w:hAnsi="Calibri" w:cs="Calibri"/>
        </w:rPr>
        <w:t>Which EDR/XDR technologies are currently deployed within the environment?</w:t>
      </w:r>
    </w:p>
    <w:p w14:paraId="6578172D" w14:textId="24C746ED" w:rsidR="002E7041" w:rsidRDefault="00CE7BE5">
      <w:pPr>
        <w:pStyle w:val="ListParagraph"/>
        <w:rPr>
          <w:b/>
          <w:color w:val="000000" w:themeColor="text1"/>
          <w:sz w:val="20"/>
        </w:rPr>
      </w:pPr>
      <w:r w:rsidRPr="00387913">
        <w:rPr>
          <w:b/>
          <w:color w:val="000000" w:themeColor="text1"/>
          <w:sz w:val="20"/>
        </w:rPr>
        <w:t xml:space="preserve">The MSSP will not cover user endpoints, mobiles or central Government Microsoft 365 services, as these are outside scope. Defender for Cloud is one of the configured data connectors. Tenderers should describe how they will integrate relevant DCDE-provided MDR/EDR/XDR telemetry where </w:t>
      </w:r>
      <w:proofErr w:type="gramStart"/>
      <w:r w:rsidRPr="00387913">
        <w:rPr>
          <w:b/>
          <w:color w:val="000000" w:themeColor="text1"/>
          <w:sz w:val="20"/>
        </w:rPr>
        <w:t>available, but</w:t>
      </w:r>
      <w:proofErr w:type="gramEnd"/>
      <w:r w:rsidRPr="00387913">
        <w:rPr>
          <w:b/>
          <w:color w:val="000000" w:themeColor="text1"/>
          <w:sz w:val="20"/>
        </w:rPr>
        <w:t xml:space="preserve"> should not assume responsibility for procuring endpoint tooling unless separately requested.</w:t>
      </w:r>
    </w:p>
    <w:p w14:paraId="5D36E719" w14:textId="77777777" w:rsidR="00164741" w:rsidRDefault="00164741">
      <w:pPr>
        <w:pStyle w:val="ListParagraph"/>
      </w:pPr>
    </w:p>
    <w:p w14:paraId="4B1DF3DC" w14:textId="77777777" w:rsidR="00E12CC6" w:rsidRDefault="008255DD" w:rsidP="00EB5EC9">
      <w:pPr>
        <w:numPr>
          <w:ilvl w:val="0"/>
          <w:numId w:val="100"/>
        </w:numPr>
        <w:rPr>
          <w:rFonts w:ascii="Calibri" w:hAnsi="Calibri" w:cs="Calibri"/>
        </w:rPr>
      </w:pPr>
      <w:r>
        <w:rPr>
          <w:rFonts w:ascii="Calibri" w:hAnsi="Calibri" w:cs="Calibri"/>
          <w:b/>
          <w:bCs/>
        </w:rPr>
        <w:t xml:space="preserve">XDR: </w:t>
      </w:r>
      <w:proofErr w:type="gramStart"/>
      <w:r w:rsidR="00E12CC6" w:rsidRPr="00E12CC6">
        <w:rPr>
          <w:rFonts w:ascii="Calibri" w:hAnsi="Calibri" w:cs="Calibri"/>
        </w:rPr>
        <w:t>Are</w:t>
      </w:r>
      <w:proofErr w:type="gramEnd"/>
      <w:r w:rsidR="00E12CC6" w:rsidRPr="00E12CC6">
        <w:rPr>
          <w:rFonts w:ascii="Calibri" w:hAnsi="Calibri" w:cs="Calibri"/>
        </w:rPr>
        <w:t xml:space="preserve"> the solutions already deployed/implement in the DCDE infrastructure?</w:t>
      </w:r>
    </w:p>
    <w:p w14:paraId="572128F2" w14:textId="1E4C97C8" w:rsidR="002E7041" w:rsidRDefault="004A06FE">
      <w:pPr>
        <w:pStyle w:val="ListParagraph"/>
        <w:rPr>
          <w:b/>
          <w:color w:val="000000" w:themeColor="text1"/>
          <w:sz w:val="20"/>
        </w:rPr>
      </w:pPr>
      <w:r w:rsidRPr="00387913">
        <w:rPr>
          <w:b/>
          <w:color w:val="000000" w:themeColor="text1"/>
          <w:sz w:val="20"/>
        </w:rPr>
        <w:t xml:space="preserve">Certain Microsoft security capabilities are deployed within the current environment, including Microsoft Defender for Cloud data integration. However, DCDE does not currently operate a fully implemented XDR/MDR service for the in-scope environment. The successful supplier will be expected to assess existing capabilities and support the appropriate integration and optimisation of available security tooling. </w:t>
      </w:r>
    </w:p>
    <w:p w14:paraId="4D44FA32" w14:textId="77777777" w:rsidR="00164741" w:rsidRDefault="00164741">
      <w:pPr>
        <w:pStyle w:val="ListParagraph"/>
      </w:pPr>
    </w:p>
    <w:p w14:paraId="2E2CA694" w14:textId="77777777" w:rsidR="00E12CC6" w:rsidRDefault="008255DD" w:rsidP="00EB5EC9">
      <w:pPr>
        <w:numPr>
          <w:ilvl w:val="0"/>
          <w:numId w:val="100"/>
        </w:numPr>
        <w:rPr>
          <w:rFonts w:ascii="Calibri" w:hAnsi="Calibri" w:cs="Calibri"/>
        </w:rPr>
      </w:pPr>
      <w:r>
        <w:rPr>
          <w:rFonts w:ascii="Calibri" w:hAnsi="Calibri" w:cs="Calibri"/>
          <w:b/>
          <w:bCs/>
        </w:rPr>
        <w:t xml:space="preserve">XDR: </w:t>
      </w:r>
      <w:r w:rsidR="00E12CC6" w:rsidRPr="00E12CC6">
        <w:rPr>
          <w:rFonts w:ascii="Calibri" w:hAnsi="Calibri" w:cs="Calibri"/>
        </w:rPr>
        <w:t xml:space="preserve">Are phishing alerts part of the scope of the requested service? If yes, which </w:t>
      </w:r>
      <w:proofErr w:type="spellStart"/>
      <w:r w:rsidR="00E12CC6" w:rsidRPr="00E12CC6">
        <w:rPr>
          <w:rFonts w:ascii="Calibri" w:hAnsi="Calibri" w:cs="Calibri"/>
        </w:rPr>
        <w:t>technocolgy</w:t>
      </w:r>
      <w:proofErr w:type="spellEnd"/>
      <w:r w:rsidR="00E12CC6" w:rsidRPr="00E12CC6">
        <w:rPr>
          <w:rFonts w:ascii="Calibri" w:hAnsi="Calibri" w:cs="Calibri"/>
        </w:rPr>
        <w:t xml:space="preserve"> is DCDE using for that?</w:t>
      </w:r>
    </w:p>
    <w:p w14:paraId="01FF4D5E" w14:textId="6A3F3517" w:rsidR="002E7041" w:rsidRDefault="008D1A31">
      <w:pPr>
        <w:pStyle w:val="ListParagraph"/>
        <w:rPr>
          <w:b/>
          <w:color w:val="000000" w:themeColor="text1"/>
          <w:sz w:val="20"/>
        </w:rPr>
      </w:pPr>
      <w:r w:rsidRPr="00387913">
        <w:rPr>
          <w:b/>
          <w:color w:val="000000" w:themeColor="text1"/>
          <w:sz w:val="20"/>
        </w:rPr>
        <w:t xml:space="preserve">Phishing alerts relating to the centrally managed Government Microsoft 365 environment are generally outside the scope of this contract. Where phishing-related security events are available from in-scope systems, applications or integrated security tooling, the successful </w:t>
      </w:r>
      <w:r w:rsidRPr="00387913">
        <w:rPr>
          <w:b/>
          <w:color w:val="000000" w:themeColor="text1"/>
          <w:sz w:val="20"/>
        </w:rPr>
        <w:lastRenderedPageBreak/>
        <w:t xml:space="preserve">supplier will be expected to investigate and report on them as part of the agreed monitoring service. </w:t>
      </w:r>
    </w:p>
    <w:p w14:paraId="7FE37C79" w14:textId="77777777" w:rsidR="00164741" w:rsidRDefault="00164741">
      <w:pPr>
        <w:pStyle w:val="ListParagraph"/>
      </w:pPr>
    </w:p>
    <w:p w14:paraId="3A47BB35" w14:textId="77777777" w:rsidR="00E12CC6" w:rsidRDefault="008255DD" w:rsidP="00EB5EC9">
      <w:pPr>
        <w:numPr>
          <w:ilvl w:val="0"/>
          <w:numId w:val="100"/>
        </w:numPr>
        <w:rPr>
          <w:rFonts w:ascii="Calibri" w:hAnsi="Calibri" w:cs="Calibri"/>
        </w:rPr>
      </w:pPr>
      <w:r>
        <w:rPr>
          <w:rFonts w:ascii="Calibri" w:hAnsi="Calibri" w:cs="Calibri"/>
          <w:b/>
          <w:bCs/>
        </w:rPr>
        <w:t xml:space="preserve">XDR: </w:t>
      </w:r>
      <w:r w:rsidR="00E12CC6" w:rsidRPr="00E12CC6">
        <w:rPr>
          <w:rFonts w:ascii="Calibri" w:hAnsi="Calibri" w:cs="Calibri"/>
        </w:rPr>
        <w:t>What is the approximate number of endpoints covered by the EDRXDR platform?</w:t>
      </w:r>
    </w:p>
    <w:p w14:paraId="6CE5B29A" w14:textId="552B33A1" w:rsidR="002E7041" w:rsidRDefault="008D1A31">
      <w:pPr>
        <w:pStyle w:val="ListParagraph"/>
        <w:rPr>
          <w:b/>
          <w:color w:val="000000" w:themeColor="text1"/>
          <w:sz w:val="20"/>
        </w:rPr>
      </w:pPr>
      <w:r w:rsidRPr="00387913">
        <w:rPr>
          <w:b/>
          <w:color w:val="000000" w:themeColor="text1"/>
          <w:sz w:val="20"/>
        </w:rPr>
        <w:t xml:space="preserve">User endpoints and mobile devices are generally outside the scope of this contract, as they are managed within a centrally hosted Government environment. Accordingly, DCDE cannot provide a specific number of endpoints covered by an EDR/XDR platform within scope. The primary focus is the Azure-hosted application and workload environment. </w:t>
      </w:r>
    </w:p>
    <w:p w14:paraId="457B4215" w14:textId="77777777" w:rsidR="00164741" w:rsidRDefault="00164741">
      <w:pPr>
        <w:pStyle w:val="ListParagraph"/>
      </w:pPr>
    </w:p>
    <w:p w14:paraId="4301A054" w14:textId="77777777" w:rsidR="00E12CC6" w:rsidRDefault="008255DD" w:rsidP="00EB5EC9">
      <w:pPr>
        <w:numPr>
          <w:ilvl w:val="0"/>
          <w:numId w:val="100"/>
        </w:numPr>
        <w:rPr>
          <w:rFonts w:ascii="Calibri" w:hAnsi="Calibri" w:cs="Calibri"/>
        </w:rPr>
      </w:pPr>
      <w:r>
        <w:rPr>
          <w:rFonts w:ascii="Calibri" w:hAnsi="Calibri" w:cs="Calibri"/>
          <w:b/>
          <w:bCs/>
        </w:rPr>
        <w:t xml:space="preserve">XDR: </w:t>
      </w:r>
      <w:r w:rsidR="00E12CC6" w:rsidRPr="00E12CC6">
        <w:rPr>
          <w:rFonts w:ascii="Calibri" w:hAnsi="Calibri" w:cs="Calibri"/>
        </w:rPr>
        <w:t>Does DCDE expect threat containment actions to be performed directly by the supplier or only under customer approval?</w:t>
      </w:r>
    </w:p>
    <w:p w14:paraId="30707D06" w14:textId="24A3095B" w:rsidR="002E7041" w:rsidRDefault="00255A00">
      <w:pPr>
        <w:pStyle w:val="ListParagraph"/>
        <w:rPr>
          <w:b/>
          <w:color w:val="000000" w:themeColor="text1"/>
          <w:sz w:val="20"/>
        </w:rPr>
      </w:pPr>
      <w:r w:rsidRPr="00387913">
        <w:rPr>
          <w:b/>
          <w:color w:val="000000" w:themeColor="text1"/>
          <w:sz w:val="20"/>
        </w:rPr>
        <w:t xml:space="preserve">Threat containment actions should normally be undertaken only with DCDE approval. However, where pre-approved emergency procedures, playbooks or runbooks are in place, the successful supplier may perform agreed containment actions to protect the in-scope environment. Detailed authority levels and escalation procedures will be agreed during mobilisation. </w:t>
      </w:r>
    </w:p>
    <w:p w14:paraId="36CFB4EA" w14:textId="77777777" w:rsidR="00164741" w:rsidRDefault="00164741">
      <w:pPr>
        <w:pStyle w:val="ListParagraph"/>
      </w:pPr>
    </w:p>
    <w:p w14:paraId="66792618" w14:textId="77777777" w:rsidR="00E12CC6" w:rsidRDefault="008255DD" w:rsidP="00EB5EC9">
      <w:pPr>
        <w:numPr>
          <w:ilvl w:val="0"/>
          <w:numId w:val="100"/>
        </w:numPr>
        <w:rPr>
          <w:rFonts w:ascii="Calibri" w:hAnsi="Calibri" w:cs="Calibri"/>
        </w:rPr>
      </w:pPr>
      <w:r>
        <w:rPr>
          <w:rFonts w:ascii="Calibri" w:hAnsi="Calibri" w:cs="Calibri"/>
          <w:b/>
          <w:bCs/>
        </w:rPr>
        <w:t xml:space="preserve">XDR: </w:t>
      </w:r>
      <w:r w:rsidR="00E12CC6" w:rsidRPr="00E12CC6">
        <w:rPr>
          <w:rFonts w:ascii="Calibri" w:hAnsi="Calibri" w:cs="Calibri"/>
        </w:rPr>
        <w:t>Could DCDE provide historical metrics regarding the alerts and incidents over the last 12 months for each XDR technology (</w:t>
      </w:r>
      <w:proofErr w:type="spellStart"/>
      <w:r w:rsidR="00E12CC6" w:rsidRPr="00E12CC6">
        <w:rPr>
          <w:rFonts w:ascii="Calibri" w:hAnsi="Calibri" w:cs="Calibri"/>
        </w:rPr>
        <w:t>e.g</w:t>
      </w:r>
      <w:proofErr w:type="spellEnd"/>
      <w:r w:rsidR="00E12CC6" w:rsidRPr="00E12CC6">
        <w:rPr>
          <w:rFonts w:ascii="Calibri" w:hAnsi="Calibri" w:cs="Calibri"/>
        </w:rPr>
        <w:t>: MDE 50alerts/month, MDI 25 alerts/month...)?</w:t>
      </w:r>
    </w:p>
    <w:p w14:paraId="50B75B88" w14:textId="595C45EE" w:rsidR="002E7041" w:rsidRDefault="00255A00">
      <w:pPr>
        <w:pStyle w:val="ListParagraph"/>
        <w:rPr>
          <w:b/>
          <w:color w:val="000000" w:themeColor="text1"/>
          <w:sz w:val="20"/>
        </w:rPr>
      </w:pPr>
      <w:r w:rsidRPr="00387913">
        <w:rPr>
          <w:b/>
          <w:color w:val="000000" w:themeColor="text1"/>
          <w:sz w:val="20"/>
        </w:rPr>
        <w:t xml:space="preserve">DCDE cannot provide historical alert or incident metrics by XDR technology for the last 12 months. A fully operational XDR/MDR and MSSP capability is not currently in place for the in-scope environment, and reliable historical alert, investigation and incident data is therefore not available. </w:t>
      </w:r>
    </w:p>
    <w:p w14:paraId="73B07143" w14:textId="77777777" w:rsidR="00164741" w:rsidRDefault="00164741">
      <w:pPr>
        <w:pStyle w:val="ListParagraph"/>
      </w:pPr>
    </w:p>
    <w:p w14:paraId="253F5111" w14:textId="77777777" w:rsidR="00E12CC6" w:rsidRDefault="008255DD" w:rsidP="00EB5EC9">
      <w:pPr>
        <w:numPr>
          <w:ilvl w:val="0"/>
          <w:numId w:val="100"/>
        </w:numPr>
        <w:rPr>
          <w:rFonts w:ascii="Calibri" w:hAnsi="Calibri" w:cs="Calibri"/>
        </w:rPr>
      </w:pPr>
      <w:r>
        <w:rPr>
          <w:rFonts w:ascii="Calibri" w:hAnsi="Calibri" w:cs="Calibri"/>
          <w:b/>
          <w:bCs/>
        </w:rPr>
        <w:t xml:space="preserve">Threat Hunting: </w:t>
      </w:r>
      <w:r w:rsidR="00E12CC6" w:rsidRPr="00E12CC6">
        <w:rPr>
          <w:rFonts w:ascii="Calibri" w:hAnsi="Calibri" w:cs="Calibri"/>
        </w:rPr>
        <w:t>What frequency does DCDE expect for threat hunting activities?</w:t>
      </w:r>
    </w:p>
    <w:p w14:paraId="0915B8CB" w14:textId="52F605B5" w:rsidR="002E7041" w:rsidRDefault="00CE7BE5">
      <w:pPr>
        <w:pStyle w:val="ListParagraph"/>
        <w:rPr>
          <w:b/>
          <w:color w:val="000000" w:themeColor="text1"/>
          <w:sz w:val="20"/>
        </w:rPr>
      </w:pPr>
      <w:r w:rsidRPr="00387913">
        <w:rPr>
          <w:b/>
          <w:color w:val="000000" w:themeColor="text1"/>
          <w:sz w:val="20"/>
        </w:rPr>
        <w:t>Initial work will focus on investigating generated alerts and stabilising the monitoring service. As maturity progresses, threat hunting may become more proactive. Tenderers should propose an appropriate threat-hunting cadence and scenarios based on the in-scope environment and available telemetry.</w:t>
      </w:r>
    </w:p>
    <w:p w14:paraId="6AB015E7" w14:textId="77777777" w:rsidR="00164741" w:rsidRDefault="00164741">
      <w:pPr>
        <w:pStyle w:val="ListParagraph"/>
      </w:pPr>
    </w:p>
    <w:p w14:paraId="215EFF64" w14:textId="77777777" w:rsidR="00E12CC6" w:rsidRDefault="008255DD" w:rsidP="00EB5EC9">
      <w:pPr>
        <w:numPr>
          <w:ilvl w:val="0"/>
          <w:numId w:val="100"/>
        </w:numPr>
        <w:rPr>
          <w:rFonts w:ascii="Calibri" w:hAnsi="Calibri" w:cs="Calibri"/>
        </w:rPr>
      </w:pPr>
      <w:r>
        <w:rPr>
          <w:rFonts w:ascii="Calibri" w:hAnsi="Calibri" w:cs="Calibri"/>
          <w:b/>
          <w:bCs/>
        </w:rPr>
        <w:t xml:space="preserve">Threat Hunting: </w:t>
      </w:r>
      <w:r w:rsidR="00E12CC6" w:rsidRPr="00E12CC6">
        <w:rPr>
          <w:rFonts w:ascii="Calibri" w:hAnsi="Calibri" w:cs="Calibri"/>
        </w:rPr>
        <w:t>Are there any predefined threat hunting requirements or threat scenarios that the supplier should consider?</w:t>
      </w:r>
    </w:p>
    <w:p w14:paraId="54786948" w14:textId="004522F4" w:rsidR="002E7041" w:rsidRDefault="00255A00">
      <w:pPr>
        <w:pStyle w:val="ListParagraph"/>
        <w:rPr>
          <w:b/>
          <w:color w:val="000000" w:themeColor="text1"/>
          <w:sz w:val="20"/>
        </w:rPr>
      </w:pPr>
      <w:r w:rsidRPr="00387913">
        <w:rPr>
          <w:b/>
          <w:color w:val="000000" w:themeColor="text1"/>
          <w:sz w:val="20"/>
        </w:rPr>
        <w:t xml:space="preserve">No predefined threat-hunting scenarios are mandated at this stage. Initially, the service will focus on investigation and triage of generated alerts. As DCDE’s cyber security maturity develops, the successful tenderer may propose threat-hunting activities aligned with the threat landscape, NCSC guidance and the in-scope Microsoft-based environment. </w:t>
      </w:r>
    </w:p>
    <w:p w14:paraId="67827853" w14:textId="77777777" w:rsidR="00164741" w:rsidRDefault="00164741">
      <w:pPr>
        <w:pStyle w:val="ListParagraph"/>
      </w:pPr>
    </w:p>
    <w:p w14:paraId="2A6BD3B6" w14:textId="77777777" w:rsidR="00E12CC6" w:rsidRDefault="00646C77" w:rsidP="00EB5EC9">
      <w:pPr>
        <w:numPr>
          <w:ilvl w:val="0"/>
          <w:numId w:val="100"/>
        </w:numPr>
        <w:rPr>
          <w:rFonts w:ascii="Calibri" w:hAnsi="Calibri" w:cs="Calibri"/>
        </w:rPr>
      </w:pPr>
      <w:r>
        <w:rPr>
          <w:rFonts w:ascii="Calibri" w:hAnsi="Calibri" w:cs="Calibri"/>
          <w:b/>
          <w:bCs/>
        </w:rPr>
        <w:t xml:space="preserve">Incident Response: </w:t>
      </w:r>
      <w:r w:rsidR="00E12CC6" w:rsidRPr="00E12CC6">
        <w:rPr>
          <w:rFonts w:ascii="Calibri" w:hAnsi="Calibri" w:cs="Calibri"/>
        </w:rPr>
        <w:t>Could DCDE provide historical incident volumes and major incident statistics for the last 12 months?</w:t>
      </w:r>
    </w:p>
    <w:p w14:paraId="05A5BDD2" w14:textId="134EF16E" w:rsidR="002E7041" w:rsidRDefault="00255A00">
      <w:pPr>
        <w:pStyle w:val="ListParagraph"/>
        <w:rPr>
          <w:b/>
          <w:color w:val="000000" w:themeColor="text1"/>
          <w:sz w:val="20"/>
        </w:rPr>
      </w:pPr>
      <w:r w:rsidRPr="00387913">
        <w:rPr>
          <w:b/>
          <w:color w:val="000000" w:themeColor="text1"/>
          <w:sz w:val="20"/>
        </w:rPr>
        <w:lastRenderedPageBreak/>
        <w:t xml:space="preserve">DCDE cannot provide historical incident volumes or major incident statistics for the last 12 months for the in-scope environment. As no MSSP is currently in place and Microsoft Sentinel is not yet fully operational, reliable historical incident-management metrics and trend data are not available at this time. </w:t>
      </w:r>
    </w:p>
    <w:p w14:paraId="0AC7B8C9" w14:textId="77777777" w:rsidR="00164741" w:rsidRDefault="00164741">
      <w:pPr>
        <w:pStyle w:val="ListParagraph"/>
      </w:pPr>
    </w:p>
    <w:p w14:paraId="426FC674" w14:textId="77777777" w:rsidR="00E12CC6" w:rsidRDefault="00646C77" w:rsidP="00EB5EC9">
      <w:pPr>
        <w:numPr>
          <w:ilvl w:val="0"/>
          <w:numId w:val="100"/>
        </w:numPr>
        <w:rPr>
          <w:rFonts w:ascii="Calibri" w:hAnsi="Calibri" w:cs="Calibri"/>
        </w:rPr>
      </w:pPr>
      <w:r>
        <w:rPr>
          <w:rFonts w:ascii="Calibri" w:hAnsi="Calibri" w:cs="Calibri"/>
          <w:b/>
          <w:bCs/>
        </w:rPr>
        <w:t xml:space="preserve">Incident Response: </w:t>
      </w:r>
      <w:r w:rsidR="00E12CC6" w:rsidRPr="00E12CC6">
        <w:rPr>
          <w:rFonts w:ascii="Calibri" w:hAnsi="Calibri" w:cs="Calibri"/>
        </w:rPr>
        <w:t>What response time expectations apply to critical incidents outside business hours?</w:t>
      </w:r>
    </w:p>
    <w:p w14:paraId="551D2D93" w14:textId="2B089F55" w:rsidR="002E7041" w:rsidRDefault="00255A00">
      <w:pPr>
        <w:pStyle w:val="ListParagraph"/>
        <w:rPr>
          <w:b/>
          <w:color w:val="000000" w:themeColor="text1"/>
          <w:sz w:val="20"/>
        </w:rPr>
      </w:pPr>
      <w:r w:rsidRPr="00387913">
        <w:rPr>
          <w:b/>
          <w:color w:val="000000" w:themeColor="text1"/>
          <w:sz w:val="20"/>
        </w:rPr>
        <w:t xml:space="preserve">Response time expectations for critical incidents outside business hours are not currently prescribed. Tenderers should propose appropriate response and escalation targets as part of their service offering. Final out-of-hours response arrangements, including acknowledgement and escalation times for critical incidents, will be agreed with the successful tenderer and incorporated into the SLA/Contract. </w:t>
      </w:r>
    </w:p>
    <w:p w14:paraId="06478BE2" w14:textId="77777777" w:rsidR="00164741" w:rsidRDefault="00164741">
      <w:pPr>
        <w:pStyle w:val="ListParagraph"/>
      </w:pPr>
    </w:p>
    <w:p w14:paraId="5B6A4DA5" w14:textId="77777777" w:rsidR="00E12CC6" w:rsidRDefault="00646C77" w:rsidP="00EB5EC9">
      <w:pPr>
        <w:numPr>
          <w:ilvl w:val="0"/>
          <w:numId w:val="100"/>
        </w:numPr>
        <w:rPr>
          <w:rFonts w:ascii="Calibri" w:hAnsi="Calibri" w:cs="Calibri"/>
        </w:rPr>
      </w:pPr>
      <w:r>
        <w:rPr>
          <w:rFonts w:ascii="Calibri" w:hAnsi="Calibri" w:cs="Calibri"/>
          <w:b/>
          <w:bCs/>
        </w:rPr>
        <w:t xml:space="preserve">Incident Response: </w:t>
      </w:r>
      <w:r w:rsidR="00E12CC6" w:rsidRPr="00E12CC6">
        <w:rPr>
          <w:rFonts w:ascii="Calibri" w:hAnsi="Calibri" w:cs="Calibri"/>
        </w:rPr>
        <w:t>Could DCDE clarify the scope of "active remediation" activities expected from the supplier?</w:t>
      </w:r>
    </w:p>
    <w:p w14:paraId="1831ACB4" w14:textId="01CE19DF" w:rsidR="002E7041" w:rsidRDefault="00CE7BE5">
      <w:pPr>
        <w:pStyle w:val="ListParagraph"/>
        <w:rPr>
          <w:b/>
          <w:color w:val="000000" w:themeColor="text1"/>
          <w:sz w:val="20"/>
        </w:rPr>
      </w:pPr>
      <w:r w:rsidRPr="00387913">
        <w:rPr>
          <w:b/>
          <w:color w:val="000000" w:themeColor="text1"/>
          <w:sz w:val="20"/>
        </w:rPr>
        <w:t>Active remediation may include containment advice and agreed actions such as disabling accounts, blocking IP addresses, revoking sessions or equivalent measures. Such actions require DCDE approval unless covered by a pre-approved emergency runbook agreed during mobilisation. Operational change management procedures will apply unless otherwise agreed for emergency containment.</w:t>
      </w:r>
    </w:p>
    <w:p w14:paraId="0F641F86" w14:textId="77777777" w:rsidR="00164741" w:rsidRDefault="00164741">
      <w:pPr>
        <w:pStyle w:val="ListParagraph"/>
      </w:pPr>
    </w:p>
    <w:p w14:paraId="44BB2F3C" w14:textId="77777777" w:rsidR="00E12CC6" w:rsidRDefault="00646C77" w:rsidP="00EB5EC9">
      <w:pPr>
        <w:numPr>
          <w:ilvl w:val="0"/>
          <w:numId w:val="100"/>
        </w:numPr>
        <w:rPr>
          <w:rFonts w:ascii="Calibri" w:hAnsi="Calibri" w:cs="Calibri"/>
        </w:rPr>
      </w:pPr>
      <w:r>
        <w:rPr>
          <w:rFonts w:ascii="Calibri" w:hAnsi="Calibri" w:cs="Calibri"/>
          <w:b/>
          <w:bCs/>
        </w:rPr>
        <w:t xml:space="preserve">IAM: </w:t>
      </w:r>
      <w:r w:rsidR="00E12CC6" w:rsidRPr="00E12CC6">
        <w:rPr>
          <w:rFonts w:ascii="Calibri" w:hAnsi="Calibri" w:cs="Calibri"/>
        </w:rPr>
        <w:t>Could DCDE provide additional details regarding the expected IAMPAM scope?</w:t>
      </w:r>
    </w:p>
    <w:p w14:paraId="5C0FF354" w14:textId="0F1A1EA4" w:rsidR="002E7041" w:rsidRDefault="003A025C">
      <w:pPr>
        <w:pStyle w:val="ListParagraph"/>
        <w:rPr>
          <w:b/>
          <w:color w:val="000000" w:themeColor="text1"/>
          <w:sz w:val="20"/>
        </w:rPr>
      </w:pPr>
      <w:r w:rsidRPr="00387913">
        <w:rPr>
          <w:b/>
          <w:color w:val="000000" w:themeColor="text1"/>
          <w:sz w:val="20"/>
        </w:rPr>
        <w:t xml:space="preserve">The IAM/PAM scope is expected to focus on the in-scope Azure tenant and associated applications. This includes identity governance, privileged access management, RBAC, PIM, access reviews, account management and related security controls. The successful supplier will be expected to provide advice, assurance and recommendations to improve IAM/PAM maturity. </w:t>
      </w:r>
    </w:p>
    <w:p w14:paraId="05DF62DB" w14:textId="77777777" w:rsidR="00164741" w:rsidRDefault="00164741">
      <w:pPr>
        <w:pStyle w:val="ListParagraph"/>
      </w:pPr>
    </w:p>
    <w:p w14:paraId="6AF6B1E2" w14:textId="77777777" w:rsidR="00E12CC6" w:rsidRDefault="00646C77" w:rsidP="00EB5EC9">
      <w:pPr>
        <w:numPr>
          <w:ilvl w:val="0"/>
          <w:numId w:val="100"/>
        </w:numPr>
        <w:rPr>
          <w:rFonts w:ascii="Calibri" w:hAnsi="Calibri" w:cs="Calibri"/>
        </w:rPr>
      </w:pPr>
      <w:r>
        <w:rPr>
          <w:rFonts w:ascii="Calibri" w:hAnsi="Calibri" w:cs="Calibri"/>
          <w:b/>
          <w:bCs/>
        </w:rPr>
        <w:t xml:space="preserve">IAM: </w:t>
      </w:r>
      <w:r w:rsidR="00E12CC6" w:rsidRPr="00E12CC6">
        <w:rPr>
          <w:rFonts w:ascii="Calibri" w:hAnsi="Calibri" w:cs="Calibri"/>
        </w:rPr>
        <w:t>Which IAM and PAM technologies are currently deployed?</w:t>
      </w:r>
    </w:p>
    <w:p w14:paraId="2BFC069A" w14:textId="77777777" w:rsidR="00164741" w:rsidRDefault="003A025C">
      <w:pPr>
        <w:pStyle w:val="ListParagraph"/>
        <w:rPr>
          <w:b/>
          <w:color w:val="000000" w:themeColor="text1"/>
          <w:sz w:val="20"/>
        </w:rPr>
      </w:pPr>
      <w:r w:rsidRPr="00387913">
        <w:rPr>
          <w:b/>
          <w:color w:val="000000" w:themeColor="text1"/>
          <w:sz w:val="20"/>
        </w:rPr>
        <w:t>DCDE currently uses a cross-tenant identity model based on Active Directory and Microsoft Entra ID, with Single Sign-On (SSO), Role-Based Access Control (RBAC) and Privileged Identity Management (PIM) in operation. No separate PAM platform is in use. Further details will be confirmed during mobilisation.</w:t>
      </w:r>
    </w:p>
    <w:p w14:paraId="1513192D" w14:textId="63721E29" w:rsidR="002E7041" w:rsidRDefault="003A025C">
      <w:pPr>
        <w:pStyle w:val="ListParagraph"/>
      </w:pPr>
      <w:r w:rsidRPr="00387913">
        <w:rPr>
          <w:b/>
          <w:color w:val="000000" w:themeColor="text1"/>
          <w:sz w:val="20"/>
        </w:rPr>
        <w:t xml:space="preserve"> </w:t>
      </w:r>
    </w:p>
    <w:p w14:paraId="18B98062" w14:textId="77777777" w:rsidR="00E12CC6" w:rsidRDefault="00646C77" w:rsidP="00EB5EC9">
      <w:pPr>
        <w:numPr>
          <w:ilvl w:val="0"/>
          <w:numId w:val="100"/>
        </w:numPr>
        <w:rPr>
          <w:rFonts w:ascii="Calibri" w:hAnsi="Calibri" w:cs="Calibri"/>
        </w:rPr>
      </w:pPr>
      <w:r>
        <w:rPr>
          <w:rFonts w:ascii="Calibri" w:hAnsi="Calibri" w:cs="Calibri"/>
          <w:b/>
          <w:bCs/>
        </w:rPr>
        <w:t xml:space="preserve">IAM: </w:t>
      </w:r>
      <w:r w:rsidR="00E12CC6" w:rsidRPr="00E12CC6">
        <w:rPr>
          <w:rFonts w:ascii="Calibri" w:hAnsi="Calibri" w:cs="Calibri"/>
        </w:rPr>
        <w:t>Approximately how many privileged accounts are currently managed within the environment?</w:t>
      </w:r>
    </w:p>
    <w:p w14:paraId="1F7EE973" w14:textId="7E961783" w:rsidR="002E7041" w:rsidRDefault="00333F12">
      <w:pPr>
        <w:pStyle w:val="ListParagraph"/>
      </w:pPr>
      <w:r w:rsidRPr="00387913">
        <w:rPr>
          <w:b/>
          <w:color w:val="000000" w:themeColor="text1"/>
          <w:sz w:val="20"/>
        </w:rPr>
        <w:t xml:space="preserve">DCDE cannot currently provide a definitive count of privileged accounts within the in-scope environment. Privileged access is managed through RBAC and Privileged Identity Management (PIM) controls. The successful tenderer will be expected to validate privileged account inventories, access models and governance arrangements during mobilisation and onboarding activities. </w:t>
      </w:r>
    </w:p>
    <w:p w14:paraId="62CE9CF1" w14:textId="77777777" w:rsidR="00E12CC6" w:rsidRDefault="00646C77" w:rsidP="00EB5EC9">
      <w:pPr>
        <w:numPr>
          <w:ilvl w:val="0"/>
          <w:numId w:val="100"/>
        </w:numPr>
        <w:rPr>
          <w:rFonts w:ascii="Calibri" w:hAnsi="Calibri" w:cs="Calibri"/>
        </w:rPr>
      </w:pPr>
      <w:r>
        <w:rPr>
          <w:rFonts w:ascii="Calibri" w:hAnsi="Calibri" w:cs="Calibri"/>
          <w:b/>
          <w:bCs/>
        </w:rPr>
        <w:lastRenderedPageBreak/>
        <w:t xml:space="preserve">IAM: </w:t>
      </w:r>
      <w:r w:rsidR="00E12CC6" w:rsidRPr="00E12CC6">
        <w:rPr>
          <w:rFonts w:ascii="Calibri" w:hAnsi="Calibri" w:cs="Calibri"/>
        </w:rPr>
        <w:t>Does the scope include periodic access reviews and privileged access governance activities?</w:t>
      </w:r>
    </w:p>
    <w:p w14:paraId="2B67C449" w14:textId="5F10E710" w:rsidR="002E7041" w:rsidRDefault="00333F12">
      <w:pPr>
        <w:pStyle w:val="ListParagraph"/>
        <w:rPr>
          <w:b/>
          <w:color w:val="000000" w:themeColor="text1"/>
          <w:sz w:val="20"/>
        </w:rPr>
      </w:pPr>
      <w:r w:rsidRPr="00387913">
        <w:rPr>
          <w:b/>
          <w:color w:val="000000" w:themeColor="text1"/>
          <w:sz w:val="20"/>
        </w:rPr>
        <w:t xml:space="preserve">Yes. The scope includes advisory and governance support for identity and access management, including periodic access reviews, privileged access governance and related controls where required. The successful tenderer will be expected to support DCDE in reviewing, improving and maintaining these arrangements in line with good practice and compliance requirements. </w:t>
      </w:r>
    </w:p>
    <w:p w14:paraId="2B80D2D7" w14:textId="77777777" w:rsidR="00164741" w:rsidRDefault="00164741">
      <w:pPr>
        <w:pStyle w:val="ListParagraph"/>
      </w:pPr>
    </w:p>
    <w:p w14:paraId="46E1EC3A" w14:textId="77777777" w:rsidR="00E12CC6" w:rsidRDefault="00646C77" w:rsidP="00EB5EC9">
      <w:pPr>
        <w:numPr>
          <w:ilvl w:val="0"/>
          <w:numId w:val="100"/>
        </w:numPr>
        <w:rPr>
          <w:rFonts w:ascii="Calibri" w:hAnsi="Calibri" w:cs="Calibri"/>
        </w:rPr>
      </w:pPr>
      <w:r>
        <w:rPr>
          <w:rFonts w:ascii="Calibri" w:hAnsi="Calibri" w:cs="Calibri"/>
          <w:b/>
          <w:bCs/>
        </w:rPr>
        <w:t xml:space="preserve">Vulnerability Management: </w:t>
      </w:r>
      <w:r w:rsidR="00E12CC6" w:rsidRPr="00E12CC6">
        <w:rPr>
          <w:rFonts w:ascii="Calibri" w:hAnsi="Calibri" w:cs="Calibri"/>
        </w:rPr>
        <w:t>Which vulnerability management platform(s) are currently used?</w:t>
      </w:r>
    </w:p>
    <w:p w14:paraId="64304064" w14:textId="082552A8" w:rsidR="002E7041" w:rsidRDefault="00333F12">
      <w:pPr>
        <w:pStyle w:val="ListParagraph"/>
        <w:rPr>
          <w:b/>
          <w:color w:val="000000" w:themeColor="text1"/>
          <w:sz w:val="20"/>
        </w:rPr>
      </w:pPr>
      <w:r w:rsidRPr="00387913">
        <w:rPr>
          <w:b/>
          <w:color w:val="000000" w:themeColor="text1"/>
          <w:sz w:val="20"/>
        </w:rPr>
        <w:t xml:space="preserve">DCDE does not currently operate a dedicated vulnerability-management platform for the in-scope environment. Microsoft Defender for Cloud and other Microsoft security capabilities may provide vulnerability-related information. The successful supplier will be expected to assess the current tooling and advise DCDE on the most appropriate vulnerability-management approach, tooling and configuration for the environment. </w:t>
      </w:r>
    </w:p>
    <w:p w14:paraId="397E1D71" w14:textId="77777777" w:rsidR="00164741" w:rsidRDefault="00164741">
      <w:pPr>
        <w:pStyle w:val="ListParagraph"/>
      </w:pPr>
    </w:p>
    <w:p w14:paraId="2A231592" w14:textId="77777777" w:rsidR="00E12CC6" w:rsidRDefault="00646C77" w:rsidP="00EB5EC9">
      <w:pPr>
        <w:numPr>
          <w:ilvl w:val="0"/>
          <w:numId w:val="100"/>
        </w:numPr>
        <w:rPr>
          <w:rFonts w:ascii="Calibri" w:hAnsi="Calibri" w:cs="Calibri"/>
        </w:rPr>
      </w:pPr>
      <w:r>
        <w:rPr>
          <w:rFonts w:ascii="Calibri" w:hAnsi="Calibri" w:cs="Calibri"/>
          <w:b/>
          <w:bCs/>
        </w:rPr>
        <w:t xml:space="preserve">Vulnerability Management: </w:t>
      </w:r>
      <w:r w:rsidR="00E12CC6" w:rsidRPr="00E12CC6">
        <w:rPr>
          <w:rFonts w:ascii="Calibri" w:hAnsi="Calibri" w:cs="Calibri"/>
        </w:rPr>
        <w:t>Could DCDE provide the approximate number of assets covered by the vulnerability management programme?</w:t>
      </w:r>
    </w:p>
    <w:p w14:paraId="1EFF4254" w14:textId="363C3E2F" w:rsidR="002E7041" w:rsidRDefault="00333F12">
      <w:pPr>
        <w:pStyle w:val="ListParagraph"/>
        <w:rPr>
          <w:b/>
          <w:color w:val="000000" w:themeColor="text1"/>
          <w:sz w:val="20"/>
        </w:rPr>
      </w:pPr>
      <w:r w:rsidRPr="00387913">
        <w:rPr>
          <w:b/>
          <w:color w:val="000000" w:themeColor="text1"/>
          <w:sz w:val="20"/>
        </w:rPr>
        <w:t xml:space="preserve">DCDE cannot provide a definitive asset count at this stage. The vulnerability-management scope is expected to include the in-scope Azure tenant, associated line-of-business applications, supporting workloads, service accounts, selected virtual machines and related cloud resources. The successful supplier will be expected to baseline and validate the asset inventory during mobilisation. </w:t>
      </w:r>
    </w:p>
    <w:p w14:paraId="366B63A5" w14:textId="77777777" w:rsidR="00164741" w:rsidRDefault="00164741">
      <w:pPr>
        <w:pStyle w:val="ListParagraph"/>
      </w:pPr>
    </w:p>
    <w:p w14:paraId="41A06483" w14:textId="77777777" w:rsidR="00E12CC6" w:rsidRDefault="00646C77" w:rsidP="00EB5EC9">
      <w:pPr>
        <w:numPr>
          <w:ilvl w:val="0"/>
          <w:numId w:val="100"/>
        </w:numPr>
        <w:rPr>
          <w:rFonts w:ascii="Calibri" w:hAnsi="Calibri" w:cs="Calibri"/>
        </w:rPr>
      </w:pPr>
      <w:r>
        <w:rPr>
          <w:rFonts w:ascii="Calibri" w:hAnsi="Calibri" w:cs="Calibri"/>
          <w:b/>
          <w:bCs/>
        </w:rPr>
        <w:t xml:space="preserve">Vulnerability Management: </w:t>
      </w:r>
      <w:r w:rsidR="00E12CC6" w:rsidRPr="00E12CC6">
        <w:rPr>
          <w:rFonts w:ascii="Calibri" w:hAnsi="Calibri" w:cs="Calibri"/>
        </w:rPr>
        <w:t>Is remediation management expected as part of the service, or only identification and reporting activities?</w:t>
      </w:r>
    </w:p>
    <w:p w14:paraId="413CC0D1" w14:textId="50DA8FBA" w:rsidR="002E7041" w:rsidRDefault="00333F12">
      <w:pPr>
        <w:pStyle w:val="ListParagraph"/>
        <w:rPr>
          <w:b/>
          <w:color w:val="000000" w:themeColor="text1"/>
          <w:sz w:val="20"/>
        </w:rPr>
      </w:pPr>
      <w:r w:rsidRPr="00387913">
        <w:rPr>
          <w:b/>
          <w:color w:val="000000" w:themeColor="text1"/>
          <w:sz w:val="20"/>
        </w:rPr>
        <w:t xml:space="preserve">The service is expected to include vulnerability identification, assessment, prioritisation, reporting, remediation tracking and advisory support. Responsibility for implementing remediation actions will normally remain with DCDE, its infrastructure partner or relevant service owners. The successful supplier will support and monitor remediation progress and provide assurance and recommendations. </w:t>
      </w:r>
    </w:p>
    <w:p w14:paraId="0B4078B1" w14:textId="77777777" w:rsidR="00164741" w:rsidRDefault="00164741">
      <w:pPr>
        <w:pStyle w:val="ListParagraph"/>
      </w:pPr>
    </w:p>
    <w:p w14:paraId="52BDF9DA" w14:textId="77777777" w:rsidR="00E12CC6" w:rsidRDefault="00E36D5C" w:rsidP="00EB5EC9">
      <w:pPr>
        <w:numPr>
          <w:ilvl w:val="0"/>
          <w:numId w:val="100"/>
        </w:numPr>
        <w:rPr>
          <w:rFonts w:ascii="Calibri" w:hAnsi="Calibri" w:cs="Calibri"/>
        </w:rPr>
      </w:pPr>
      <w:r>
        <w:rPr>
          <w:rFonts w:ascii="Calibri" w:hAnsi="Calibri" w:cs="Calibri"/>
          <w:b/>
          <w:bCs/>
        </w:rPr>
        <w:t xml:space="preserve">NIS2: </w:t>
      </w:r>
      <w:r w:rsidR="00E12CC6" w:rsidRPr="00E12CC6">
        <w:rPr>
          <w:rFonts w:ascii="Calibri" w:hAnsi="Calibri" w:cs="Calibri"/>
        </w:rPr>
        <w:t>Could DCDE provide a summary of the findings from the latest NIS2 readiness assessment?</w:t>
      </w:r>
    </w:p>
    <w:p w14:paraId="5D26F78F" w14:textId="4362DEF7" w:rsidR="002E7041" w:rsidRDefault="00CE7BE5">
      <w:pPr>
        <w:pStyle w:val="ListParagraph"/>
        <w:rPr>
          <w:b/>
          <w:color w:val="000000" w:themeColor="text1"/>
          <w:sz w:val="20"/>
        </w:rPr>
      </w:pPr>
      <w:r w:rsidRPr="00387913">
        <w:rPr>
          <w:b/>
          <w:color w:val="000000" w:themeColor="text1"/>
          <w:sz w:val="20"/>
        </w:rPr>
        <w:t xml:space="preserve">A NIS2 readiness assessment has been completed. Details are addressed in section 1.2 of the RFT. The recommendations from the gap analysis are grouped into 8 initiatives, 4 of which remain outstanding. DCDE’s target is to reach approximately 3.5 on the CyFun scale. Further detail may be shared with the successful supplier subject to confidentiality and procurement requirements. The successful tenderer should support DCDE in aligning with NIS2, CER where applicable, CyFun, Irish Risk Management Measures, the National Cyber Security Bill and relevant NCSC guidance. DCDE expects a pragmatic mapping approach, with CyFun and the Irish risk management measures used as the operational assurance </w:t>
      </w:r>
      <w:r w:rsidRPr="00387913">
        <w:rPr>
          <w:b/>
          <w:color w:val="000000" w:themeColor="text1"/>
          <w:sz w:val="20"/>
        </w:rPr>
        <w:lastRenderedPageBreak/>
        <w:t>model where relevant, while recognising that statutory obligations and final competent-authority requirements will prevail once confirmed.</w:t>
      </w:r>
    </w:p>
    <w:p w14:paraId="6A2CF9E0" w14:textId="77777777" w:rsidR="00164741" w:rsidRDefault="00164741">
      <w:pPr>
        <w:pStyle w:val="ListParagraph"/>
      </w:pPr>
    </w:p>
    <w:p w14:paraId="3AF42136" w14:textId="77777777" w:rsidR="00E12CC6" w:rsidRDefault="00E36D5C" w:rsidP="00EB5EC9">
      <w:pPr>
        <w:numPr>
          <w:ilvl w:val="0"/>
          <w:numId w:val="100"/>
        </w:numPr>
        <w:rPr>
          <w:rFonts w:ascii="Calibri" w:hAnsi="Calibri" w:cs="Calibri"/>
        </w:rPr>
      </w:pPr>
      <w:r>
        <w:rPr>
          <w:rFonts w:ascii="Calibri" w:hAnsi="Calibri" w:cs="Calibri"/>
          <w:b/>
          <w:bCs/>
        </w:rPr>
        <w:t xml:space="preserve">NIS2: </w:t>
      </w:r>
      <w:r w:rsidR="00E12CC6" w:rsidRPr="00E12CC6">
        <w:rPr>
          <w:rFonts w:ascii="Calibri" w:hAnsi="Calibri" w:cs="Calibri"/>
        </w:rPr>
        <w:t>Which NIS2 control domains remain open and require remediation support?</w:t>
      </w:r>
    </w:p>
    <w:p w14:paraId="42AADC8C" w14:textId="5A7AF02C" w:rsidR="002E7041" w:rsidRDefault="00333F12">
      <w:pPr>
        <w:pStyle w:val="ListParagraph"/>
        <w:rPr>
          <w:b/>
          <w:color w:val="000000" w:themeColor="text1"/>
          <w:sz w:val="20"/>
        </w:rPr>
      </w:pPr>
      <w:r w:rsidRPr="00387913">
        <w:rPr>
          <w:b/>
          <w:color w:val="000000" w:themeColor="text1"/>
          <w:sz w:val="20"/>
        </w:rPr>
        <w:t xml:space="preserve">The detailed findings of the NIS2 readiness assessment are addressed in Section 1.2 of the RFT and may be shared with the successful supplier. The recommendations have been grouped into eight initiatives, four of which remain outstanding. The successful supplier will be expected to support remediation, assurance and maturity-improvement activities. </w:t>
      </w:r>
    </w:p>
    <w:p w14:paraId="34764DC5" w14:textId="77777777" w:rsidR="00164741" w:rsidRDefault="00164741">
      <w:pPr>
        <w:pStyle w:val="ListParagraph"/>
      </w:pPr>
    </w:p>
    <w:p w14:paraId="2FDBCF16" w14:textId="77777777" w:rsidR="00E12CC6" w:rsidRDefault="00E36D5C" w:rsidP="00EB5EC9">
      <w:pPr>
        <w:numPr>
          <w:ilvl w:val="0"/>
          <w:numId w:val="100"/>
        </w:numPr>
        <w:rPr>
          <w:rFonts w:ascii="Calibri" w:hAnsi="Calibri" w:cs="Calibri"/>
        </w:rPr>
      </w:pPr>
      <w:r>
        <w:rPr>
          <w:rFonts w:ascii="Calibri" w:hAnsi="Calibri" w:cs="Calibri"/>
          <w:b/>
          <w:bCs/>
        </w:rPr>
        <w:t xml:space="preserve">NIS2: </w:t>
      </w:r>
      <w:r w:rsidR="00E12CC6" w:rsidRPr="00E12CC6">
        <w:rPr>
          <w:rFonts w:ascii="Calibri" w:hAnsi="Calibri" w:cs="Calibri"/>
        </w:rPr>
        <w:t>Has a formal CER assessment already been completed?</w:t>
      </w:r>
    </w:p>
    <w:p w14:paraId="1EA44BDF" w14:textId="39924FDD" w:rsidR="002E7041" w:rsidRDefault="00FC41E7">
      <w:pPr>
        <w:pStyle w:val="ListParagraph"/>
        <w:rPr>
          <w:b/>
          <w:color w:val="000000" w:themeColor="text1"/>
          <w:sz w:val="20"/>
        </w:rPr>
      </w:pPr>
      <w:r w:rsidRPr="00387913">
        <w:rPr>
          <w:b/>
          <w:color w:val="000000" w:themeColor="text1"/>
          <w:sz w:val="20"/>
        </w:rPr>
        <w:t xml:space="preserve">A formal NIS2 readiness assessment has been completed. The initial assessment was undertaken with NIS2 requirements in mind before Ireland adopted the CyFun framework. A separate formal CER assessment has not been completed. The successful tenderer will be expected to support alignment with both NIS2 and CER-related obligations as applicable. </w:t>
      </w:r>
    </w:p>
    <w:p w14:paraId="773D96FE" w14:textId="77777777" w:rsidR="00164741" w:rsidRDefault="00164741">
      <w:pPr>
        <w:pStyle w:val="ListParagraph"/>
      </w:pPr>
    </w:p>
    <w:p w14:paraId="1FFF6B6D" w14:textId="77777777" w:rsidR="00E12CC6" w:rsidRDefault="00E36D5C" w:rsidP="00EB5EC9">
      <w:pPr>
        <w:numPr>
          <w:ilvl w:val="0"/>
          <w:numId w:val="100"/>
        </w:numPr>
        <w:rPr>
          <w:rFonts w:ascii="Calibri" w:hAnsi="Calibri" w:cs="Calibri"/>
        </w:rPr>
      </w:pPr>
      <w:r>
        <w:rPr>
          <w:rFonts w:ascii="Calibri" w:hAnsi="Calibri" w:cs="Calibri"/>
          <w:b/>
          <w:bCs/>
        </w:rPr>
        <w:t xml:space="preserve">NIS2: </w:t>
      </w:r>
      <w:r w:rsidR="00E12CC6" w:rsidRPr="00E12CC6">
        <w:rPr>
          <w:rFonts w:ascii="Calibri" w:hAnsi="Calibri" w:cs="Calibri"/>
        </w:rPr>
        <w:t>Which governance, risk and compliance frameworks are currently used by DCDE?</w:t>
      </w:r>
    </w:p>
    <w:p w14:paraId="24C8FE08" w14:textId="10D67E85" w:rsidR="002E7041" w:rsidRDefault="00FC41E7">
      <w:pPr>
        <w:pStyle w:val="ListParagraph"/>
        <w:rPr>
          <w:b/>
          <w:color w:val="000000" w:themeColor="text1"/>
          <w:sz w:val="20"/>
        </w:rPr>
      </w:pPr>
      <w:r w:rsidRPr="00387913">
        <w:rPr>
          <w:b/>
          <w:color w:val="000000" w:themeColor="text1"/>
          <w:sz w:val="20"/>
        </w:rPr>
        <w:t xml:space="preserve">DCDE's cyber-security and compliance activities are informed by NIS2, CER, CyFun, the Irish Risk Management Measures, NCSC guidance and applicable Irish and EU legal requirements. The successful supplier will be expected to support governance, risk and compliance activities across these frameworks and assist with ongoing maturity and assurance improvements. </w:t>
      </w:r>
    </w:p>
    <w:p w14:paraId="63F021B1" w14:textId="77777777" w:rsidR="00164741" w:rsidRDefault="00164741">
      <w:pPr>
        <w:pStyle w:val="ListParagraph"/>
      </w:pPr>
    </w:p>
    <w:p w14:paraId="4DC62CAE" w14:textId="77777777" w:rsidR="00E12CC6" w:rsidRDefault="00E36D5C" w:rsidP="00EB5EC9">
      <w:pPr>
        <w:numPr>
          <w:ilvl w:val="0"/>
          <w:numId w:val="100"/>
        </w:numPr>
        <w:rPr>
          <w:rFonts w:ascii="Calibri" w:hAnsi="Calibri" w:cs="Calibri"/>
        </w:rPr>
      </w:pPr>
      <w:r>
        <w:rPr>
          <w:rFonts w:ascii="Calibri" w:hAnsi="Calibri" w:cs="Calibri"/>
          <w:b/>
          <w:bCs/>
        </w:rPr>
        <w:t xml:space="preserve">NIS2: </w:t>
      </w:r>
      <w:r w:rsidR="00E12CC6" w:rsidRPr="00E12CC6">
        <w:rPr>
          <w:rFonts w:ascii="Calibri" w:hAnsi="Calibri" w:cs="Calibri"/>
        </w:rPr>
        <w:t>Are there any planned regulatory audits or compliance milestones during the contract period?</w:t>
      </w:r>
    </w:p>
    <w:p w14:paraId="46ACFCC2" w14:textId="0E496C94" w:rsidR="002E7041" w:rsidRDefault="00FC41E7">
      <w:pPr>
        <w:pStyle w:val="ListParagraph"/>
        <w:rPr>
          <w:b/>
          <w:color w:val="000000" w:themeColor="text1"/>
          <w:sz w:val="20"/>
        </w:rPr>
      </w:pPr>
      <w:r w:rsidRPr="00387913">
        <w:rPr>
          <w:b/>
          <w:color w:val="000000" w:themeColor="text1"/>
          <w:sz w:val="20"/>
        </w:rPr>
        <w:t xml:space="preserve">DCDE anticipates ongoing compliance, assurance and audit activities throughout the contract term to support its obligations under NIS2, CER, CyFun, NCSC guidance and other applicable requirements. Specific regulatory audits or milestones cannot be confirmed at this stage, and the successful supplier should be prepared to support emerging compliance requirements. </w:t>
      </w:r>
    </w:p>
    <w:p w14:paraId="25B7779E" w14:textId="77777777" w:rsidR="00164741" w:rsidRDefault="00164741">
      <w:pPr>
        <w:pStyle w:val="ListParagraph"/>
      </w:pPr>
    </w:p>
    <w:p w14:paraId="75696761" w14:textId="77777777" w:rsidR="00E12CC6" w:rsidRDefault="0009484D" w:rsidP="00EB5EC9">
      <w:pPr>
        <w:numPr>
          <w:ilvl w:val="0"/>
          <w:numId w:val="100"/>
        </w:numPr>
        <w:rPr>
          <w:rFonts w:ascii="Calibri" w:hAnsi="Calibri" w:cs="Calibri"/>
        </w:rPr>
      </w:pPr>
      <w:r w:rsidRPr="0009484D">
        <w:rPr>
          <w:rFonts w:ascii="Calibri" w:hAnsi="Calibri" w:cs="Calibri"/>
          <w:b/>
          <w:bCs/>
        </w:rPr>
        <w:t xml:space="preserve">Application Security: </w:t>
      </w:r>
      <w:r w:rsidR="00E12CC6" w:rsidRPr="00E12CC6">
        <w:rPr>
          <w:rFonts w:ascii="Calibri" w:hAnsi="Calibri" w:cs="Calibri"/>
        </w:rPr>
        <w:t>Could DCDE provide the current number of business applications that are expected to be monitored as part of the service?</w:t>
      </w:r>
    </w:p>
    <w:p w14:paraId="67AFEA53" w14:textId="0A74B714" w:rsidR="002E7041" w:rsidRDefault="00CE7BE5">
      <w:pPr>
        <w:pStyle w:val="ListParagraph"/>
        <w:rPr>
          <w:b/>
          <w:color w:val="000000" w:themeColor="text1"/>
          <w:sz w:val="20"/>
        </w:rPr>
      </w:pPr>
      <w:r w:rsidRPr="00387913">
        <w:rPr>
          <w:b/>
          <w:color w:val="000000" w:themeColor="text1"/>
          <w:sz w:val="20"/>
        </w:rPr>
        <w:t xml:space="preserve">Tenderers should assume approximately 4-5 line-of-business applications, with a Fabric environment and Microsoft-based workloads including Power Apps, Power Pages and SharePoint. Future Dynamics workloads have no confirmed timeline. Additional application onboarding </w:t>
      </w:r>
      <w:r w:rsidR="00015AA8" w:rsidRPr="00387913">
        <w:rPr>
          <w:b/>
          <w:color w:val="000000" w:themeColor="text1"/>
          <w:sz w:val="20"/>
        </w:rPr>
        <w:t xml:space="preserve">will </w:t>
      </w:r>
      <w:r w:rsidRPr="00387913">
        <w:rPr>
          <w:b/>
          <w:color w:val="000000" w:themeColor="text1"/>
          <w:sz w:val="20"/>
        </w:rPr>
        <w:t>be required during the contract term subject to DCDE priorities and agreed onboarding activity.</w:t>
      </w:r>
    </w:p>
    <w:p w14:paraId="2C6F7610" w14:textId="77777777" w:rsidR="00164741" w:rsidRDefault="00164741">
      <w:pPr>
        <w:pStyle w:val="ListParagraph"/>
      </w:pPr>
    </w:p>
    <w:p w14:paraId="62BD562E" w14:textId="77777777" w:rsidR="00E12CC6" w:rsidRDefault="0009484D" w:rsidP="00EB5EC9">
      <w:pPr>
        <w:numPr>
          <w:ilvl w:val="0"/>
          <w:numId w:val="100"/>
        </w:numPr>
        <w:rPr>
          <w:rFonts w:ascii="Calibri" w:hAnsi="Calibri" w:cs="Calibri"/>
        </w:rPr>
      </w:pPr>
      <w:r w:rsidRPr="0009484D">
        <w:rPr>
          <w:rFonts w:ascii="Calibri" w:hAnsi="Calibri" w:cs="Calibri"/>
          <w:b/>
          <w:bCs/>
        </w:rPr>
        <w:lastRenderedPageBreak/>
        <w:t xml:space="preserve">Application Security: </w:t>
      </w:r>
      <w:r w:rsidR="00E12CC6" w:rsidRPr="00E12CC6">
        <w:rPr>
          <w:rFonts w:ascii="Calibri" w:hAnsi="Calibri" w:cs="Calibri"/>
        </w:rPr>
        <w:t>Besides Power Apps, Power Pages, Microsoft Fabric, SharePoint and future Dynamics workloads, are there any additional critical applications currently in scope?</w:t>
      </w:r>
    </w:p>
    <w:p w14:paraId="14A00F5C" w14:textId="4B110094" w:rsidR="002E7041" w:rsidRDefault="00015AA8">
      <w:pPr>
        <w:pStyle w:val="ListParagraph"/>
        <w:rPr>
          <w:b/>
          <w:color w:val="000000" w:themeColor="text1"/>
          <w:sz w:val="20"/>
        </w:rPr>
      </w:pPr>
      <w:r w:rsidRPr="00387913">
        <w:rPr>
          <w:b/>
          <w:color w:val="000000" w:themeColor="text1"/>
          <w:sz w:val="20"/>
        </w:rPr>
        <w:t xml:space="preserve">At present, DCDE has identified approximately 4-5 line-of-business applications within scope. These are primarily Microsoft/Azure-based workloads, including Microsoft Fabric and Power Platform services. DCDE is not currently providing a detailed application inventory. Additional applications will be onboarded during the contract term as business requirements evolve. </w:t>
      </w:r>
    </w:p>
    <w:p w14:paraId="2909A26B" w14:textId="77777777" w:rsidR="00164741" w:rsidRDefault="00164741">
      <w:pPr>
        <w:pStyle w:val="ListParagraph"/>
      </w:pPr>
    </w:p>
    <w:p w14:paraId="5B79FE6F" w14:textId="77777777" w:rsidR="00E12CC6" w:rsidRDefault="0009484D" w:rsidP="00EB5EC9">
      <w:pPr>
        <w:numPr>
          <w:ilvl w:val="0"/>
          <w:numId w:val="100"/>
        </w:numPr>
        <w:rPr>
          <w:rFonts w:ascii="Calibri" w:hAnsi="Calibri" w:cs="Calibri"/>
        </w:rPr>
      </w:pPr>
      <w:r w:rsidRPr="0009484D">
        <w:rPr>
          <w:rFonts w:ascii="Calibri" w:hAnsi="Calibri" w:cs="Calibri"/>
          <w:b/>
          <w:bCs/>
        </w:rPr>
        <w:t xml:space="preserve">Application Security: </w:t>
      </w:r>
      <w:r w:rsidR="00E12CC6" w:rsidRPr="00E12CC6">
        <w:rPr>
          <w:rFonts w:ascii="Calibri" w:hAnsi="Calibri" w:cs="Calibri"/>
        </w:rPr>
        <w:t>Is additional application onboarding expected during the lifetime of the contract and, if so, what is the anticipated volume?</w:t>
      </w:r>
    </w:p>
    <w:p w14:paraId="7222C322" w14:textId="71A8B930" w:rsidR="002E7041" w:rsidRDefault="00015AA8">
      <w:pPr>
        <w:pStyle w:val="ListParagraph"/>
        <w:rPr>
          <w:b/>
          <w:color w:val="000000" w:themeColor="text1"/>
          <w:sz w:val="20"/>
        </w:rPr>
      </w:pPr>
      <w:r w:rsidRPr="00387913">
        <w:rPr>
          <w:b/>
          <w:color w:val="000000" w:themeColor="text1"/>
          <w:sz w:val="20"/>
        </w:rPr>
        <w:t xml:space="preserve">Yes. Additional application onboarding is expected during the contract term as the Department's digital services evolve. This may include further Microsoft-based services, line-of-business applications and potential future Dynamics workloads. DCDE cannot provide a definitive volume at this stage, and onboarding requirements will be prioritised and agreed as needed. </w:t>
      </w:r>
    </w:p>
    <w:p w14:paraId="28889D4A" w14:textId="77777777" w:rsidR="00164741" w:rsidRDefault="00164741">
      <w:pPr>
        <w:pStyle w:val="ListParagraph"/>
      </w:pPr>
    </w:p>
    <w:p w14:paraId="3AA4F540" w14:textId="77777777" w:rsidR="00E12CC6" w:rsidRDefault="00DC23EC" w:rsidP="00EB5EC9">
      <w:pPr>
        <w:numPr>
          <w:ilvl w:val="0"/>
          <w:numId w:val="100"/>
        </w:numPr>
        <w:rPr>
          <w:rFonts w:ascii="Calibri" w:hAnsi="Calibri" w:cs="Calibri"/>
        </w:rPr>
      </w:pPr>
      <w:r w:rsidRPr="00DC23EC">
        <w:rPr>
          <w:rFonts w:ascii="Calibri" w:hAnsi="Calibri" w:cs="Calibri"/>
          <w:b/>
          <w:bCs/>
        </w:rPr>
        <w:t>CTI</w:t>
      </w:r>
      <w:r>
        <w:rPr>
          <w:rFonts w:ascii="Calibri" w:hAnsi="Calibri" w:cs="Calibri"/>
          <w:b/>
          <w:bCs/>
        </w:rPr>
        <w:t xml:space="preserve">: </w:t>
      </w:r>
      <w:r w:rsidR="00E12CC6" w:rsidRPr="00E12CC6">
        <w:rPr>
          <w:rFonts w:ascii="Calibri" w:hAnsi="Calibri" w:cs="Calibri"/>
        </w:rPr>
        <w:t>How many brands are under DCDE scope?</w:t>
      </w:r>
    </w:p>
    <w:p w14:paraId="65616281" w14:textId="1C06FA2D" w:rsidR="002E7041" w:rsidRDefault="00CE7BE5">
      <w:pPr>
        <w:pStyle w:val="ListParagraph"/>
        <w:rPr>
          <w:b/>
          <w:color w:val="000000" w:themeColor="text1"/>
          <w:sz w:val="20"/>
        </w:rPr>
      </w:pPr>
      <w:r w:rsidRPr="00387913">
        <w:rPr>
          <w:b/>
          <w:color w:val="000000" w:themeColor="text1"/>
          <w:sz w:val="20"/>
        </w:rPr>
        <w:t>DCDE does not currently subscribe to a commercial threat intelligence service but receives NCSC-provided cyber threat intelligence. Tenderers should describe how they will gather, synthesise and report relevant threat intelligence, including NCSC, public, sectoral and vendor sources, as part of the service. Brand, VIP, underground and digital-risk monitoring are not confirmed as baseline requirements unless proposed and agreed. Tenderers should identify any such services separately if offered.</w:t>
      </w:r>
    </w:p>
    <w:p w14:paraId="0159AF7A" w14:textId="77777777" w:rsidR="00164741" w:rsidRDefault="00164741">
      <w:pPr>
        <w:pStyle w:val="ListParagraph"/>
      </w:pPr>
    </w:p>
    <w:p w14:paraId="640CC8ED" w14:textId="77777777" w:rsidR="00E12CC6" w:rsidRDefault="00DC23EC" w:rsidP="00EB5EC9">
      <w:pPr>
        <w:numPr>
          <w:ilvl w:val="0"/>
          <w:numId w:val="100"/>
        </w:numPr>
        <w:rPr>
          <w:rFonts w:ascii="Calibri" w:hAnsi="Calibri" w:cs="Calibri"/>
        </w:rPr>
      </w:pPr>
      <w:r w:rsidRPr="00DC23EC">
        <w:rPr>
          <w:rFonts w:ascii="Calibri" w:hAnsi="Calibri" w:cs="Calibri"/>
          <w:b/>
          <w:bCs/>
        </w:rPr>
        <w:t>CTI</w:t>
      </w:r>
      <w:r>
        <w:rPr>
          <w:rFonts w:ascii="Calibri" w:hAnsi="Calibri" w:cs="Calibri"/>
          <w:b/>
          <w:bCs/>
        </w:rPr>
        <w:t xml:space="preserve">: </w:t>
      </w:r>
      <w:r w:rsidR="00E12CC6" w:rsidRPr="00E12CC6">
        <w:rPr>
          <w:rFonts w:ascii="Calibri" w:hAnsi="Calibri" w:cs="Calibri"/>
        </w:rPr>
        <w:t xml:space="preserve">Does DCDE currently use any </w:t>
      </w:r>
      <w:proofErr w:type="gramStart"/>
      <w:r w:rsidR="00E12CC6" w:rsidRPr="00E12CC6">
        <w:rPr>
          <w:rFonts w:ascii="Calibri" w:hAnsi="Calibri" w:cs="Calibri"/>
        </w:rPr>
        <w:t>third party</w:t>
      </w:r>
      <w:proofErr w:type="gramEnd"/>
      <w:r w:rsidR="00E12CC6" w:rsidRPr="00E12CC6">
        <w:rPr>
          <w:rFonts w:ascii="Calibri" w:hAnsi="Calibri" w:cs="Calibri"/>
        </w:rPr>
        <w:t xml:space="preserve"> intelligence tool or source?</w:t>
      </w:r>
    </w:p>
    <w:p w14:paraId="598512AC" w14:textId="68AD856E" w:rsidR="002E7041" w:rsidRDefault="00CE7BE5">
      <w:pPr>
        <w:pStyle w:val="ListParagraph"/>
        <w:rPr>
          <w:b/>
          <w:color w:val="000000" w:themeColor="text1"/>
          <w:sz w:val="20"/>
        </w:rPr>
      </w:pPr>
      <w:r w:rsidRPr="00387913">
        <w:rPr>
          <w:b/>
          <w:color w:val="000000" w:themeColor="text1"/>
          <w:sz w:val="20"/>
        </w:rPr>
        <w:t>DCDE does not currently subscribe to a commercial threat intelligence service but receives NCSC-provided cyber threat intelligence. Tenderers should describe how they will gather, synthesise and report relevant threat intelligence, including NCSC, public, sectoral and vendor sources, as part of the service. Brand, VIP, underground and digital-risk monitoring are not confirmed as baseline requirements unless proposed and agreed. Tenderers should identify any such services separately if offered.</w:t>
      </w:r>
    </w:p>
    <w:p w14:paraId="56589E2D" w14:textId="77777777" w:rsidR="00164741" w:rsidRDefault="00164741">
      <w:pPr>
        <w:pStyle w:val="ListParagraph"/>
      </w:pPr>
    </w:p>
    <w:p w14:paraId="612A43DF" w14:textId="77777777" w:rsidR="00E12CC6" w:rsidRDefault="00DC23EC" w:rsidP="00EB5EC9">
      <w:pPr>
        <w:numPr>
          <w:ilvl w:val="0"/>
          <w:numId w:val="100"/>
        </w:numPr>
        <w:rPr>
          <w:rFonts w:ascii="Calibri" w:hAnsi="Calibri" w:cs="Calibri"/>
        </w:rPr>
      </w:pPr>
      <w:r w:rsidRPr="00DC23EC">
        <w:rPr>
          <w:rFonts w:ascii="Calibri" w:hAnsi="Calibri" w:cs="Calibri"/>
          <w:b/>
          <w:bCs/>
        </w:rPr>
        <w:t>CTI</w:t>
      </w:r>
      <w:r>
        <w:rPr>
          <w:rFonts w:ascii="Calibri" w:hAnsi="Calibri" w:cs="Calibri"/>
          <w:b/>
          <w:bCs/>
        </w:rPr>
        <w:t xml:space="preserve">: </w:t>
      </w:r>
      <w:r w:rsidR="00E12CC6" w:rsidRPr="00E12CC6">
        <w:rPr>
          <w:rFonts w:ascii="Calibri" w:hAnsi="Calibri" w:cs="Calibri"/>
        </w:rPr>
        <w:t>Could you please provide the number of digital assets within scope (domains, websites, social media, apps, etc)?</w:t>
      </w:r>
    </w:p>
    <w:p w14:paraId="2D7AB7BA" w14:textId="20B90874" w:rsidR="002E7041" w:rsidRDefault="007B362E">
      <w:pPr>
        <w:pStyle w:val="ListParagraph"/>
        <w:rPr>
          <w:b/>
          <w:color w:val="000000" w:themeColor="text1"/>
          <w:sz w:val="20"/>
        </w:rPr>
      </w:pPr>
      <w:r w:rsidRPr="00387913">
        <w:rPr>
          <w:b/>
          <w:color w:val="000000" w:themeColor="text1"/>
          <w:sz w:val="20"/>
        </w:rPr>
        <w:t xml:space="preserve">DCDE cannot currently provide a definitive inventory of digital assets within scope. The environment includes approximately 4-5 line-of-business applications and associated Microsoft/Azure-based services. Tenderers should assume that any digital asset monitoring requirements will be confirmed during mobilisation and may evolve over the contract term as services are onboarded. </w:t>
      </w:r>
    </w:p>
    <w:p w14:paraId="343C3B95" w14:textId="77777777" w:rsidR="00164741" w:rsidRDefault="00164741">
      <w:pPr>
        <w:pStyle w:val="ListParagraph"/>
      </w:pPr>
    </w:p>
    <w:p w14:paraId="57E71BC2" w14:textId="77777777" w:rsidR="00E12CC6" w:rsidRDefault="00DC23EC" w:rsidP="00EB5EC9">
      <w:pPr>
        <w:numPr>
          <w:ilvl w:val="0"/>
          <w:numId w:val="100"/>
        </w:numPr>
        <w:rPr>
          <w:rFonts w:ascii="Calibri" w:hAnsi="Calibri" w:cs="Calibri"/>
        </w:rPr>
      </w:pPr>
      <w:r w:rsidRPr="00DC23EC">
        <w:rPr>
          <w:rFonts w:ascii="Calibri" w:hAnsi="Calibri" w:cs="Calibri"/>
          <w:b/>
          <w:bCs/>
        </w:rPr>
        <w:t>CTI</w:t>
      </w:r>
      <w:r>
        <w:rPr>
          <w:rFonts w:ascii="Calibri" w:hAnsi="Calibri" w:cs="Calibri"/>
          <w:b/>
          <w:bCs/>
        </w:rPr>
        <w:t xml:space="preserve">: </w:t>
      </w:r>
      <w:r w:rsidR="00E12CC6" w:rsidRPr="00E12CC6">
        <w:rPr>
          <w:rFonts w:ascii="Calibri" w:hAnsi="Calibri" w:cs="Calibri"/>
        </w:rPr>
        <w:t>Is there any specific threat actor or underground monitoring requirement?</w:t>
      </w:r>
    </w:p>
    <w:p w14:paraId="5820BC5D" w14:textId="05C69E78" w:rsidR="002E7041" w:rsidRDefault="007B362E">
      <w:pPr>
        <w:pStyle w:val="ListParagraph"/>
        <w:rPr>
          <w:b/>
          <w:color w:val="000000" w:themeColor="text1"/>
          <w:sz w:val="20"/>
        </w:rPr>
      </w:pPr>
      <w:r w:rsidRPr="00387913">
        <w:rPr>
          <w:b/>
          <w:color w:val="000000" w:themeColor="text1"/>
          <w:sz w:val="20"/>
        </w:rPr>
        <w:lastRenderedPageBreak/>
        <w:t xml:space="preserve">No specific threat actor, dark web or underground monitoring requirement is currently mandated as part of the baseline service. However, the successful supplier should incorporate relevant threat-intelligence monitoring and provide advice where emerging threats, campaigns or actors pose a credible risk to DCDE or its in-scope services. </w:t>
      </w:r>
    </w:p>
    <w:p w14:paraId="13312969" w14:textId="77777777" w:rsidR="00164741" w:rsidRDefault="00164741">
      <w:pPr>
        <w:pStyle w:val="ListParagraph"/>
      </w:pPr>
    </w:p>
    <w:p w14:paraId="7AE72249" w14:textId="77777777" w:rsidR="00E12CC6" w:rsidRPr="006D2A81" w:rsidRDefault="00DC23EC" w:rsidP="00EB5EC9">
      <w:pPr>
        <w:numPr>
          <w:ilvl w:val="0"/>
          <w:numId w:val="100"/>
        </w:numPr>
        <w:rPr>
          <w:rFonts w:ascii="Calibri" w:hAnsi="Calibri" w:cs="Calibri"/>
        </w:rPr>
      </w:pPr>
      <w:r w:rsidRPr="00DC23EC">
        <w:rPr>
          <w:rFonts w:ascii="Calibri" w:hAnsi="Calibri" w:cs="Calibri"/>
          <w:b/>
          <w:bCs/>
        </w:rPr>
        <w:t>CTI</w:t>
      </w:r>
      <w:r>
        <w:rPr>
          <w:rFonts w:ascii="Calibri" w:hAnsi="Calibri" w:cs="Calibri"/>
          <w:b/>
          <w:bCs/>
        </w:rPr>
        <w:t xml:space="preserve">: </w:t>
      </w:r>
      <w:r w:rsidR="00E12CC6" w:rsidRPr="00E12CC6">
        <w:rPr>
          <w:rFonts w:ascii="Calibri" w:hAnsi="Calibri" w:cs="Calibri"/>
        </w:rPr>
        <w:t>Would DCDE be interested in monitoring VIPs within the organization?</w:t>
      </w:r>
    </w:p>
    <w:p w14:paraId="101B36F2" w14:textId="600E507F" w:rsidR="002E7041" w:rsidRDefault="007B362E">
      <w:pPr>
        <w:pStyle w:val="ListParagraph"/>
      </w:pPr>
      <w:r w:rsidRPr="00387913">
        <w:rPr>
          <w:b/>
          <w:color w:val="000000" w:themeColor="text1"/>
          <w:sz w:val="20"/>
        </w:rPr>
        <w:t xml:space="preserve">VIP monitoring is not currently a mandatory requirement within the baseline service. However, DCDE may consider risk-based monitoring of senior officials, key personnel or high-profile accounts </w:t>
      </w:r>
      <w:proofErr w:type="spellStart"/>
      <w:proofErr w:type="gramStart"/>
      <w:r w:rsidRPr="00387913">
        <w:rPr>
          <w:b/>
          <w:color w:val="000000" w:themeColor="text1"/>
          <w:sz w:val="20"/>
        </w:rPr>
        <w:t>where</w:t>
      </w:r>
      <w:proofErr w:type="spellEnd"/>
      <w:proofErr w:type="gramEnd"/>
      <w:r w:rsidRPr="00387913">
        <w:rPr>
          <w:b/>
          <w:color w:val="000000" w:themeColor="text1"/>
          <w:sz w:val="20"/>
        </w:rPr>
        <w:t xml:space="preserve"> justified by the threat landscape, operational need or emerging cyber-security risks. Any such requirement would be agreed separately with the successful supplier. </w:t>
      </w:r>
    </w:p>
    <w:p w14:paraId="7F178F18" w14:textId="77777777" w:rsidR="00022DAC" w:rsidRPr="006D2A81" w:rsidRDefault="00022DAC" w:rsidP="009F3A37">
      <w:pPr>
        <w:rPr>
          <w:rFonts w:ascii="Calibri" w:hAnsi="Calibri" w:cs="Calibri"/>
        </w:rPr>
      </w:pPr>
    </w:p>
    <w:p w14:paraId="45D979DD" w14:textId="77777777" w:rsidR="002E7041" w:rsidRDefault="002E7041"/>
    <w:p w14:paraId="4324EDB9" w14:textId="77777777" w:rsidR="002E7041" w:rsidRDefault="002E7041"/>
    <w:p w14:paraId="5D802C3C" w14:textId="77777777" w:rsidR="005254EC" w:rsidRDefault="005254EC"/>
    <w:sectPr w:rsidR="005254EC" w:rsidSect="0077540E">
      <w:headerReference w:type="default" r:id="rId15"/>
      <w:footerReference w:type="default" r:id="rId16"/>
      <w:pgSz w:w="11906" w:h="16838"/>
      <w:pgMar w:top="1440" w:right="1440" w:bottom="1440" w:left="1440" w:header="19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B6881" w14:textId="77777777" w:rsidR="001460FC" w:rsidRDefault="001460FC" w:rsidP="001F5945">
      <w:pPr>
        <w:spacing w:after="0" w:line="240" w:lineRule="auto"/>
      </w:pPr>
      <w:r>
        <w:separator/>
      </w:r>
    </w:p>
  </w:endnote>
  <w:endnote w:type="continuationSeparator" w:id="0">
    <w:p w14:paraId="32F95493" w14:textId="77777777" w:rsidR="001460FC" w:rsidRDefault="001460FC" w:rsidP="001F59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306996"/>
      <w:docPartObj>
        <w:docPartGallery w:val="Page Numbers (Bottom of Page)"/>
        <w:docPartUnique/>
      </w:docPartObj>
    </w:sdtPr>
    <w:sdtEndPr>
      <w:rPr>
        <w:noProof/>
      </w:rPr>
    </w:sdtEndPr>
    <w:sdtContent>
      <w:p w14:paraId="6878BEDA" w14:textId="77777777" w:rsidR="003604A9" w:rsidRDefault="003604A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3EB1FE" w14:textId="77777777" w:rsidR="001F5945" w:rsidRPr="003604A9" w:rsidRDefault="001F5945">
    <w:pPr>
      <w:pStyle w:val="Footer"/>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47BE2" w14:textId="77777777" w:rsidR="001460FC" w:rsidRDefault="001460FC" w:rsidP="001F5945">
      <w:pPr>
        <w:spacing w:after="0" w:line="240" w:lineRule="auto"/>
      </w:pPr>
      <w:r>
        <w:separator/>
      </w:r>
    </w:p>
  </w:footnote>
  <w:footnote w:type="continuationSeparator" w:id="0">
    <w:p w14:paraId="74A6D1B6" w14:textId="77777777" w:rsidR="001460FC" w:rsidRDefault="001460FC" w:rsidP="001F59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015EB" w14:textId="77777777" w:rsidR="001F5945" w:rsidRDefault="001F5945">
    <w:pPr>
      <w:pStyle w:val="Header"/>
    </w:pPr>
    <w:r>
      <w:rPr>
        <w:noProof/>
        <w:lang w:eastAsia="en-IE"/>
      </w:rPr>
      <w:drawing>
        <wp:anchor distT="0" distB="0" distL="114300" distR="114300" simplePos="0" relativeHeight="251659264" behindDoc="1" locked="1" layoutInCell="1" allowOverlap="0" wp14:anchorId="675921A2" wp14:editId="35838A31">
          <wp:simplePos x="0" y="0"/>
          <wp:positionH relativeFrom="margin">
            <wp:align>left</wp:align>
          </wp:positionH>
          <wp:positionV relativeFrom="page">
            <wp:align>top</wp:align>
          </wp:positionV>
          <wp:extent cx="5036820" cy="1592580"/>
          <wp:effectExtent l="0" t="0" r="0" b="0"/>
          <wp:wrapNone/>
          <wp:docPr id="4" name="Picture 4" descr="A black background with blue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descr="A black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036820" cy="15925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E2E99"/>
    <w:multiLevelType w:val="multilevel"/>
    <w:tmpl w:val="A8D47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480317"/>
    <w:multiLevelType w:val="multilevel"/>
    <w:tmpl w:val="53E02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A30481"/>
    <w:multiLevelType w:val="multilevel"/>
    <w:tmpl w:val="F1D8A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292147"/>
    <w:multiLevelType w:val="multilevel"/>
    <w:tmpl w:val="C41CD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0440D9"/>
    <w:multiLevelType w:val="multilevel"/>
    <w:tmpl w:val="FDCC3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7022A2"/>
    <w:multiLevelType w:val="multilevel"/>
    <w:tmpl w:val="9D22C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FD0CCD"/>
    <w:multiLevelType w:val="multilevel"/>
    <w:tmpl w:val="A7642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473C0C"/>
    <w:multiLevelType w:val="multilevel"/>
    <w:tmpl w:val="8E68D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5A56CA"/>
    <w:multiLevelType w:val="multilevel"/>
    <w:tmpl w:val="BAD4E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6858D9"/>
    <w:multiLevelType w:val="multilevel"/>
    <w:tmpl w:val="88CEE0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872352"/>
    <w:multiLevelType w:val="multilevel"/>
    <w:tmpl w:val="5610F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775FEF"/>
    <w:multiLevelType w:val="multilevel"/>
    <w:tmpl w:val="3E7EE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370959"/>
    <w:multiLevelType w:val="multilevel"/>
    <w:tmpl w:val="756E5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785A78"/>
    <w:multiLevelType w:val="hybridMultilevel"/>
    <w:tmpl w:val="030401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0D016A8"/>
    <w:multiLevelType w:val="multilevel"/>
    <w:tmpl w:val="E2464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281674E"/>
    <w:multiLevelType w:val="hybridMultilevel"/>
    <w:tmpl w:val="4A4240D4"/>
    <w:lvl w:ilvl="0" w:tplc="18090001">
      <w:start w:val="1"/>
      <w:numFmt w:val="bullet"/>
      <w:lvlText w:val=""/>
      <w:lvlJc w:val="left"/>
      <w:pPr>
        <w:ind w:left="2062" w:hanging="360"/>
      </w:pPr>
      <w:rPr>
        <w:rFonts w:ascii="Symbol" w:hAnsi="Symbol" w:hint="default"/>
      </w:rPr>
    </w:lvl>
    <w:lvl w:ilvl="1" w:tplc="18090003" w:tentative="1">
      <w:start w:val="1"/>
      <w:numFmt w:val="bullet"/>
      <w:lvlText w:val="o"/>
      <w:lvlJc w:val="left"/>
      <w:pPr>
        <w:ind w:left="2782" w:hanging="360"/>
      </w:pPr>
      <w:rPr>
        <w:rFonts w:ascii="Courier New" w:hAnsi="Courier New" w:cs="Courier New" w:hint="default"/>
      </w:rPr>
    </w:lvl>
    <w:lvl w:ilvl="2" w:tplc="18090001">
      <w:start w:val="1"/>
      <w:numFmt w:val="bullet"/>
      <w:lvlText w:val=""/>
      <w:lvlJc w:val="left"/>
      <w:pPr>
        <w:ind w:left="720" w:hanging="360"/>
      </w:pPr>
      <w:rPr>
        <w:rFonts w:ascii="Symbol" w:hAnsi="Symbol" w:hint="default"/>
      </w:rPr>
    </w:lvl>
    <w:lvl w:ilvl="3" w:tplc="18090001" w:tentative="1">
      <w:start w:val="1"/>
      <w:numFmt w:val="bullet"/>
      <w:lvlText w:val=""/>
      <w:lvlJc w:val="left"/>
      <w:pPr>
        <w:ind w:left="4222" w:hanging="360"/>
      </w:pPr>
      <w:rPr>
        <w:rFonts w:ascii="Symbol" w:hAnsi="Symbol" w:hint="default"/>
      </w:rPr>
    </w:lvl>
    <w:lvl w:ilvl="4" w:tplc="18090003" w:tentative="1">
      <w:start w:val="1"/>
      <w:numFmt w:val="bullet"/>
      <w:lvlText w:val="o"/>
      <w:lvlJc w:val="left"/>
      <w:pPr>
        <w:ind w:left="4942" w:hanging="360"/>
      </w:pPr>
      <w:rPr>
        <w:rFonts w:ascii="Courier New" w:hAnsi="Courier New" w:cs="Courier New" w:hint="default"/>
      </w:rPr>
    </w:lvl>
    <w:lvl w:ilvl="5" w:tplc="18090005" w:tentative="1">
      <w:start w:val="1"/>
      <w:numFmt w:val="bullet"/>
      <w:lvlText w:val=""/>
      <w:lvlJc w:val="left"/>
      <w:pPr>
        <w:ind w:left="5662" w:hanging="360"/>
      </w:pPr>
      <w:rPr>
        <w:rFonts w:ascii="Wingdings" w:hAnsi="Wingdings" w:hint="default"/>
      </w:rPr>
    </w:lvl>
    <w:lvl w:ilvl="6" w:tplc="18090001" w:tentative="1">
      <w:start w:val="1"/>
      <w:numFmt w:val="bullet"/>
      <w:lvlText w:val=""/>
      <w:lvlJc w:val="left"/>
      <w:pPr>
        <w:ind w:left="6382" w:hanging="360"/>
      </w:pPr>
      <w:rPr>
        <w:rFonts w:ascii="Symbol" w:hAnsi="Symbol" w:hint="default"/>
      </w:rPr>
    </w:lvl>
    <w:lvl w:ilvl="7" w:tplc="18090003" w:tentative="1">
      <w:start w:val="1"/>
      <w:numFmt w:val="bullet"/>
      <w:lvlText w:val="o"/>
      <w:lvlJc w:val="left"/>
      <w:pPr>
        <w:ind w:left="7102" w:hanging="360"/>
      </w:pPr>
      <w:rPr>
        <w:rFonts w:ascii="Courier New" w:hAnsi="Courier New" w:cs="Courier New" w:hint="default"/>
      </w:rPr>
    </w:lvl>
    <w:lvl w:ilvl="8" w:tplc="18090005" w:tentative="1">
      <w:start w:val="1"/>
      <w:numFmt w:val="bullet"/>
      <w:lvlText w:val=""/>
      <w:lvlJc w:val="left"/>
      <w:pPr>
        <w:ind w:left="7822" w:hanging="360"/>
      </w:pPr>
      <w:rPr>
        <w:rFonts w:ascii="Wingdings" w:hAnsi="Wingdings" w:hint="default"/>
      </w:rPr>
    </w:lvl>
  </w:abstractNum>
  <w:abstractNum w:abstractNumId="16" w15:restartNumberingAfterBreak="0">
    <w:nsid w:val="246F7656"/>
    <w:multiLevelType w:val="multilevel"/>
    <w:tmpl w:val="5158F590"/>
    <w:lvl w:ilvl="0">
      <w:start w:val="1"/>
      <w:numFmt w:val="decimal"/>
      <w:lvlText w:val="%1."/>
      <w:lvlJc w:val="left"/>
      <w:pPr>
        <w:tabs>
          <w:tab w:val="num" w:pos="720"/>
        </w:tabs>
        <w:ind w:left="720" w:hanging="360"/>
      </w:pPr>
    </w:lvl>
    <w:lvl w:ilvl="1">
      <w:numFmt w:val="bullet"/>
      <w:lvlText w:val="-"/>
      <w:lvlJc w:val="left"/>
      <w:pPr>
        <w:ind w:left="1440" w:hanging="360"/>
      </w:pPr>
      <w:rPr>
        <w:rFonts w:ascii="Calibri" w:eastAsiaTheme="minorHAnsi"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67F0420"/>
    <w:multiLevelType w:val="multilevel"/>
    <w:tmpl w:val="F9B41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CD22FD0"/>
    <w:multiLevelType w:val="multilevel"/>
    <w:tmpl w:val="1BF03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E1D39B1"/>
    <w:multiLevelType w:val="multilevel"/>
    <w:tmpl w:val="D62E4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E9C5BA9"/>
    <w:multiLevelType w:val="hybridMultilevel"/>
    <w:tmpl w:val="FFD663A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66C0D7F"/>
    <w:multiLevelType w:val="multilevel"/>
    <w:tmpl w:val="0ACEE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C1B0F46"/>
    <w:multiLevelType w:val="multilevel"/>
    <w:tmpl w:val="560EB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D524269"/>
    <w:multiLevelType w:val="hybridMultilevel"/>
    <w:tmpl w:val="2168DE90"/>
    <w:lvl w:ilvl="0" w:tplc="5D528E92">
      <w:start w:val="2"/>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4" w15:restartNumberingAfterBreak="0">
    <w:nsid w:val="478B7466"/>
    <w:multiLevelType w:val="multilevel"/>
    <w:tmpl w:val="9962C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D00482E"/>
    <w:multiLevelType w:val="multilevel"/>
    <w:tmpl w:val="C6287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ECF2010"/>
    <w:multiLevelType w:val="multilevel"/>
    <w:tmpl w:val="9E969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1B26570"/>
    <w:multiLevelType w:val="multilevel"/>
    <w:tmpl w:val="9326B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3B5575"/>
    <w:multiLevelType w:val="multilevel"/>
    <w:tmpl w:val="D764A0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numFmt w:val="bullet"/>
      <w:lvlText w:val="-"/>
      <w:lvlJc w:val="left"/>
      <w:pPr>
        <w:ind w:left="2062" w:hanging="360"/>
      </w:pPr>
      <w:rPr>
        <w:rFonts w:ascii="Calibri" w:eastAsiaTheme="minorHAnsi" w:hAnsi="Calibri" w:cs="Calibri"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3647B35"/>
    <w:multiLevelType w:val="multilevel"/>
    <w:tmpl w:val="E6086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7453603"/>
    <w:multiLevelType w:val="multilevel"/>
    <w:tmpl w:val="9DB47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B2D0A62"/>
    <w:multiLevelType w:val="multilevel"/>
    <w:tmpl w:val="E0280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D9B5F2A"/>
    <w:multiLevelType w:val="multilevel"/>
    <w:tmpl w:val="18802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3DF3D31"/>
    <w:multiLevelType w:val="multilevel"/>
    <w:tmpl w:val="A8380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4723E24"/>
    <w:multiLevelType w:val="multilevel"/>
    <w:tmpl w:val="57F81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B5C07F1"/>
    <w:multiLevelType w:val="multilevel"/>
    <w:tmpl w:val="A1A4B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CCC2012"/>
    <w:multiLevelType w:val="multilevel"/>
    <w:tmpl w:val="39F4C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E45280E"/>
    <w:multiLevelType w:val="multilevel"/>
    <w:tmpl w:val="C596A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401141D"/>
    <w:multiLevelType w:val="hybridMultilevel"/>
    <w:tmpl w:val="ADDA14C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16cid:durableId="1559705928">
    <w:abstractNumId w:val="14"/>
  </w:num>
  <w:num w:numId="2" w16cid:durableId="1006248740">
    <w:abstractNumId w:val="21"/>
  </w:num>
  <w:num w:numId="3" w16cid:durableId="1318920513">
    <w:abstractNumId w:val="21"/>
    <w:lvlOverride w:ilvl="0">
      <w:lvl w:ilvl="0">
        <w:numFmt w:val="bullet"/>
        <w:lvlText w:val=""/>
        <w:lvlJc w:val="left"/>
        <w:pPr>
          <w:tabs>
            <w:tab w:val="num" w:pos="720"/>
          </w:tabs>
          <w:ind w:left="720" w:hanging="360"/>
        </w:pPr>
        <w:rPr>
          <w:rFonts w:ascii="Symbol" w:hAnsi="Symbol" w:hint="default"/>
          <w:sz w:val="20"/>
        </w:rPr>
      </w:lvl>
    </w:lvlOverride>
  </w:num>
  <w:num w:numId="4" w16cid:durableId="1679890728">
    <w:abstractNumId w:val="21"/>
    <w:lvlOverride w:ilvl="0">
      <w:lvl w:ilvl="0">
        <w:numFmt w:val="bullet"/>
        <w:lvlText w:val=""/>
        <w:lvlJc w:val="left"/>
        <w:pPr>
          <w:tabs>
            <w:tab w:val="num" w:pos="720"/>
          </w:tabs>
          <w:ind w:left="720" w:hanging="360"/>
        </w:pPr>
        <w:rPr>
          <w:rFonts w:ascii="Symbol" w:hAnsi="Symbol" w:hint="default"/>
          <w:sz w:val="20"/>
        </w:rPr>
      </w:lvl>
    </w:lvlOverride>
  </w:num>
  <w:num w:numId="5" w16cid:durableId="2125612470">
    <w:abstractNumId w:val="21"/>
    <w:lvlOverride w:ilvl="0">
      <w:lvl w:ilvl="0">
        <w:numFmt w:val="bullet"/>
        <w:lvlText w:val=""/>
        <w:lvlJc w:val="left"/>
        <w:pPr>
          <w:tabs>
            <w:tab w:val="num" w:pos="720"/>
          </w:tabs>
          <w:ind w:left="720" w:hanging="360"/>
        </w:pPr>
        <w:rPr>
          <w:rFonts w:ascii="Symbol" w:hAnsi="Symbol" w:hint="default"/>
          <w:sz w:val="20"/>
        </w:rPr>
      </w:lvl>
    </w:lvlOverride>
  </w:num>
  <w:num w:numId="6" w16cid:durableId="1206484304">
    <w:abstractNumId w:val="21"/>
    <w:lvlOverride w:ilvl="0">
      <w:lvl w:ilvl="0">
        <w:numFmt w:val="bullet"/>
        <w:lvlText w:val=""/>
        <w:lvlJc w:val="left"/>
        <w:pPr>
          <w:tabs>
            <w:tab w:val="num" w:pos="720"/>
          </w:tabs>
          <w:ind w:left="720" w:hanging="360"/>
        </w:pPr>
        <w:rPr>
          <w:rFonts w:ascii="Symbol" w:hAnsi="Symbol" w:hint="default"/>
          <w:sz w:val="20"/>
        </w:rPr>
      </w:lvl>
    </w:lvlOverride>
  </w:num>
  <w:num w:numId="7" w16cid:durableId="718675894">
    <w:abstractNumId w:val="16"/>
  </w:num>
  <w:num w:numId="8" w16cid:durableId="1317029076">
    <w:abstractNumId w:val="28"/>
  </w:num>
  <w:num w:numId="9" w16cid:durableId="820736459">
    <w:abstractNumId w:val="28"/>
    <w:lvlOverride w:ilvl="0">
      <w:lvl w:ilvl="0">
        <w:numFmt w:val="bullet"/>
        <w:lvlText w:val=""/>
        <w:lvlJc w:val="left"/>
        <w:pPr>
          <w:tabs>
            <w:tab w:val="num" w:pos="720"/>
          </w:tabs>
          <w:ind w:left="720" w:hanging="360"/>
        </w:pPr>
        <w:rPr>
          <w:rFonts w:ascii="Symbol" w:hAnsi="Symbol" w:hint="default"/>
          <w:sz w:val="20"/>
        </w:rPr>
      </w:lvl>
    </w:lvlOverride>
  </w:num>
  <w:num w:numId="10" w16cid:durableId="1477066323">
    <w:abstractNumId w:val="28"/>
    <w:lvlOverride w:ilvl="0">
      <w:lvl w:ilvl="0">
        <w:numFmt w:val="bullet"/>
        <w:lvlText w:val=""/>
        <w:lvlJc w:val="left"/>
        <w:pPr>
          <w:tabs>
            <w:tab w:val="num" w:pos="720"/>
          </w:tabs>
          <w:ind w:left="720" w:hanging="360"/>
        </w:pPr>
        <w:rPr>
          <w:rFonts w:ascii="Symbol" w:hAnsi="Symbol" w:hint="default"/>
          <w:sz w:val="20"/>
        </w:rPr>
      </w:lvl>
    </w:lvlOverride>
  </w:num>
  <w:num w:numId="11" w16cid:durableId="1610698405">
    <w:abstractNumId w:val="28"/>
    <w:lvlOverride w:ilvl="0">
      <w:lvl w:ilvl="0">
        <w:numFmt w:val="bullet"/>
        <w:lvlText w:val=""/>
        <w:lvlJc w:val="left"/>
        <w:pPr>
          <w:tabs>
            <w:tab w:val="num" w:pos="720"/>
          </w:tabs>
          <w:ind w:left="720" w:hanging="360"/>
        </w:pPr>
        <w:rPr>
          <w:rFonts w:ascii="Symbol" w:hAnsi="Symbol" w:hint="default"/>
          <w:sz w:val="20"/>
        </w:rPr>
      </w:lvl>
    </w:lvlOverride>
  </w:num>
  <w:num w:numId="12" w16cid:durableId="1865828293">
    <w:abstractNumId w:val="28"/>
    <w:lvlOverride w:ilvl="0">
      <w:lvl w:ilvl="0">
        <w:numFmt w:val="bullet"/>
        <w:lvlText w:val=""/>
        <w:lvlJc w:val="left"/>
        <w:pPr>
          <w:tabs>
            <w:tab w:val="num" w:pos="720"/>
          </w:tabs>
          <w:ind w:left="720" w:hanging="360"/>
        </w:pPr>
        <w:rPr>
          <w:rFonts w:ascii="Symbol" w:hAnsi="Symbol" w:hint="default"/>
          <w:sz w:val="20"/>
        </w:rPr>
      </w:lvl>
    </w:lvlOverride>
  </w:num>
  <w:num w:numId="13" w16cid:durableId="1491286333">
    <w:abstractNumId w:val="28"/>
    <w:lvlOverride w:ilvl="0">
      <w:lvl w:ilvl="0">
        <w:numFmt w:val="bullet"/>
        <w:lvlText w:val=""/>
        <w:lvlJc w:val="left"/>
        <w:pPr>
          <w:tabs>
            <w:tab w:val="num" w:pos="720"/>
          </w:tabs>
          <w:ind w:left="720" w:hanging="360"/>
        </w:pPr>
        <w:rPr>
          <w:rFonts w:ascii="Symbol" w:hAnsi="Symbol" w:hint="default"/>
          <w:sz w:val="20"/>
        </w:rPr>
      </w:lvl>
    </w:lvlOverride>
  </w:num>
  <w:num w:numId="14" w16cid:durableId="1842617908">
    <w:abstractNumId w:val="28"/>
    <w:lvlOverride w:ilvl="0">
      <w:lvl w:ilvl="0">
        <w:numFmt w:val="bullet"/>
        <w:lvlText w:val=""/>
        <w:lvlJc w:val="left"/>
        <w:pPr>
          <w:tabs>
            <w:tab w:val="num" w:pos="720"/>
          </w:tabs>
          <w:ind w:left="720" w:hanging="360"/>
        </w:pPr>
        <w:rPr>
          <w:rFonts w:ascii="Symbol" w:hAnsi="Symbol" w:hint="default"/>
          <w:sz w:val="20"/>
        </w:rPr>
      </w:lvl>
    </w:lvlOverride>
  </w:num>
  <w:num w:numId="15" w16cid:durableId="826481414">
    <w:abstractNumId w:val="28"/>
    <w:lvlOverride w:ilvl="0">
      <w:lvl w:ilvl="0">
        <w:numFmt w:val="bullet"/>
        <w:lvlText w:val=""/>
        <w:lvlJc w:val="left"/>
        <w:pPr>
          <w:tabs>
            <w:tab w:val="num" w:pos="720"/>
          </w:tabs>
          <w:ind w:left="720" w:hanging="360"/>
        </w:pPr>
        <w:rPr>
          <w:rFonts w:ascii="Symbol" w:hAnsi="Symbol" w:hint="default"/>
          <w:sz w:val="20"/>
        </w:rPr>
      </w:lvl>
    </w:lvlOverride>
  </w:num>
  <w:num w:numId="16" w16cid:durableId="1971666748">
    <w:abstractNumId w:val="28"/>
    <w:lvlOverride w:ilvl="0">
      <w:lvl w:ilvl="0">
        <w:numFmt w:val="bullet"/>
        <w:lvlText w:val=""/>
        <w:lvlJc w:val="left"/>
        <w:pPr>
          <w:tabs>
            <w:tab w:val="num" w:pos="720"/>
          </w:tabs>
          <w:ind w:left="720" w:hanging="360"/>
        </w:pPr>
        <w:rPr>
          <w:rFonts w:ascii="Symbol" w:hAnsi="Symbol" w:hint="default"/>
          <w:sz w:val="20"/>
        </w:rPr>
      </w:lvl>
    </w:lvlOverride>
  </w:num>
  <w:num w:numId="17" w16cid:durableId="1195074789">
    <w:abstractNumId w:val="28"/>
    <w:lvlOverride w:ilvl="0">
      <w:lvl w:ilvl="0">
        <w:numFmt w:val="bullet"/>
        <w:lvlText w:val=""/>
        <w:lvlJc w:val="left"/>
        <w:pPr>
          <w:tabs>
            <w:tab w:val="num" w:pos="720"/>
          </w:tabs>
          <w:ind w:left="720" w:hanging="360"/>
        </w:pPr>
        <w:rPr>
          <w:rFonts w:ascii="Symbol" w:hAnsi="Symbol" w:hint="default"/>
          <w:sz w:val="20"/>
        </w:rPr>
      </w:lvl>
    </w:lvlOverride>
  </w:num>
  <w:num w:numId="18" w16cid:durableId="428164106">
    <w:abstractNumId w:val="28"/>
    <w:lvlOverride w:ilvl="0">
      <w:lvl w:ilvl="0">
        <w:numFmt w:val="bullet"/>
        <w:lvlText w:val=""/>
        <w:lvlJc w:val="left"/>
        <w:pPr>
          <w:tabs>
            <w:tab w:val="num" w:pos="720"/>
          </w:tabs>
          <w:ind w:left="720" w:hanging="360"/>
        </w:pPr>
        <w:rPr>
          <w:rFonts w:ascii="Symbol" w:hAnsi="Symbol" w:hint="default"/>
          <w:sz w:val="20"/>
        </w:rPr>
      </w:lvl>
    </w:lvlOverride>
  </w:num>
  <w:num w:numId="19" w16cid:durableId="1138887267">
    <w:abstractNumId w:val="7"/>
  </w:num>
  <w:num w:numId="20" w16cid:durableId="710229076">
    <w:abstractNumId w:val="7"/>
    <w:lvlOverride w:ilvl="0">
      <w:lvl w:ilvl="0">
        <w:numFmt w:val="bullet"/>
        <w:lvlText w:val=""/>
        <w:lvlJc w:val="left"/>
        <w:pPr>
          <w:tabs>
            <w:tab w:val="num" w:pos="720"/>
          </w:tabs>
          <w:ind w:left="720" w:hanging="360"/>
        </w:pPr>
        <w:rPr>
          <w:rFonts w:ascii="Symbol" w:hAnsi="Symbol" w:hint="default"/>
          <w:sz w:val="20"/>
        </w:rPr>
      </w:lvl>
    </w:lvlOverride>
  </w:num>
  <w:num w:numId="21" w16cid:durableId="1708750298">
    <w:abstractNumId w:val="7"/>
    <w:lvlOverride w:ilvl="0">
      <w:lvl w:ilvl="0">
        <w:numFmt w:val="bullet"/>
        <w:lvlText w:val=""/>
        <w:lvlJc w:val="left"/>
        <w:pPr>
          <w:tabs>
            <w:tab w:val="num" w:pos="720"/>
          </w:tabs>
          <w:ind w:left="720" w:hanging="360"/>
        </w:pPr>
        <w:rPr>
          <w:rFonts w:ascii="Symbol" w:hAnsi="Symbol" w:hint="default"/>
          <w:sz w:val="20"/>
        </w:rPr>
      </w:lvl>
    </w:lvlOverride>
  </w:num>
  <w:num w:numId="22" w16cid:durableId="1852911257">
    <w:abstractNumId w:val="7"/>
    <w:lvlOverride w:ilvl="0">
      <w:lvl w:ilvl="0">
        <w:numFmt w:val="bullet"/>
        <w:lvlText w:val=""/>
        <w:lvlJc w:val="left"/>
        <w:pPr>
          <w:tabs>
            <w:tab w:val="num" w:pos="720"/>
          </w:tabs>
          <w:ind w:left="720" w:hanging="360"/>
        </w:pPr>
        <w:rPr>
          <w:rFonts w:ascii="Symbol" w:hAnsi="Symbol" w:hint="default"/>
          <w:sz w:val="20"/>
        </w:rPr>
      </w:lvl>
    </w:lvlOverride>
  </w:num>
  <w:num w:numId="23" w16cid:durableId="235676586">
    <w:abstractNumId w:val="7"/>
    <w:lvlOverride w:ilvl="0">
      <w:lvl w:ilvl="0">
        <w:numFmt w:val="bullet"/>
        <w:lvlText w:val=""/>
        <w:lvlJc w:val="left"/>
        <w:pPr>
          <w:tabs>
            <w:tab w:val="num" w:pos="720"/>
          </w:tabs>
          <w:ind w:left="720" w:hanging="360"/>
        </w:pPr>
        <w:rPr>
          <w:rFonts w:ascii="Symbol" w:hAnsi="Symbol" w:hint="default"/>
          <w:sz w:val="20"/>
        </w:rPr>
      </w:lvl>
    </w:lvlOverride>
  </w:num>
  <w:num w:numId="24" w16cid:durableId="584265413">
    <w:abstractNumId w:val="7"/>
    <w:lvlOverride w:ilvl="0">
      <w:lvl w:ilvl="0">
        <w:numFmt w:val="bullet"/>
        <w:lvlText w:val=""/>
        <w:lvlJc w:val="left"/>
        <w:pPr>
          <w:tabs>
            <w:tab w:val="num" w:pos="720"/>
          </w:tabs>
          <w:ind w:left="720" w:hanging="360"/>
        </w:pPr>
        <w:rPr>
          <w:rFonts w:ascii="Symbol" w:hAnsi="Symbol" w:hint="default"/>
          <w:sz w:val="20"/>
        </w:rPr>
      </w:lvl>
    </w:lvlOverride>
  </w:num>
  <w:num w:numId="25" w16cid:durableId="1600528464">
    <w:abstractNumId w:val="9"/>
  </w:num>
  <w:num w:numId="26" w16cid:durableId="432557876">
    <w:abstractNumId w:val="9"/>
    <w:lvlOverride w:ilvl="0">
      <w:lvl w:ilvl="0">
        <w:numFmt w:val="bullet"/>
        <w:lvlText w:val=""/>
        <w:lvlJc w:val="left"/>
        <w:pPr>
          <w:tabs>
            <w:tab w:val="num" w:pos="720"/>
          </w:tabs>
          <w:ind w:left="720" w:hanging="360"/>
        </w:pPr>
        <w:rPr>
          <w:rFonts w:ascii="Symbol" w:hAnsi="Symbol" w:hint="default"/>
          <w:sz w:val="20"/>
        </w:rPr>
      </w:lvl>
    </w:lvlOverride>
  </w:num>
  <w:num w:numId="27" w16cid:durableId="911428992">
    <w:abstractNumId w:val="9"/>
    <w:lvlOverride w:ilvl="0">
      <w:lvl w:ilvl="0">
        <w:numFmt w:val="bullet"/>
        <w:lvlText w:val=""/>
        <w:lvlJc w:val="left"/>
        <w:pPr>
          <w:tabs>
            <w:tab w:val="num" w:pos="720"/>
          </w:tabs>
          <w:ind w:left="720" w:hanging="360"/>
        </w:pPr>
        <w:rPr>
          <w:rFonts w:ascii="Symbol" w:hAnsi="Symbol" w:hint="default"/>
          <w:sz w:val="20"/>
        </w:rPr>
      </w:lvl>
    </w:lvlOverride>
  </w:num>
  <w:num w:numId="28" w16cid:durableId="630984214">
    <w:abstractNumId w:val="9"/>
    <w:lvlOverride w:ilvl="0">
      <w:lvl w:ilvl="0">
        <w:numFmt w:val="bullet"/>
        <w:lvlText w:val=""/>
        <w:lvlJc w:val="left"/>
        <w:pPr>
          <w:tabs>
            <w:tab w:val="num" w:pos="720"/>
          </w:tabs>
          <w:ind w:left="720" w:hanging="360"/>
        </w:pPr>
        <w:rPr>
          <w:rFonts w:ascii="Symbol" w:hAnsi="Symbol" w:hint="default"/>
          <w:sz w:val="20"/>
        </w:rPr>
      </w:lvl>
    </w:lvlOverride>
  </w:num>
  <w:num w:numId="29" w16cid:durableId="2117093639">
    <w:abstractNumId w:val="22"/>
  </w:num>
  <w:num w:numId="30" w16cid:durableId="297497671">
    <w:abstractNumId w:val="34"/>
  </w:num>
  <w:num w:numId="31" w16cid:durableId="1077359828">
    <w:abstractNumId w:val="8"/>
  </w:num>
  <w:num w:numId="32" w16cid:durableId="794252515">
    <w:abstractNumId w:val="30"/>
  </w:num>
  <w:num w:numId="33" w16cid:durableId="57216224">
    <w:abstractNumId w:val="29"/>
  </w:num>
  <w:num w:numId="34" w16cid:durableId="100532951">
    <w:abstractNumId w:val="10"/>
  </w:num>
  <w:num w:numId="35" w16cid:durableId="2028168822">
    <w:abstractNumId w:val="19"/>
  </w:num>
  <w:num w:numId="36" w16cid:durableId="1616323206">
    <w:abstractNumId w:val="2"/>
  </w:num>
  <w:num w:numId="37" w16cid:durableId="1137843010">
    <w:abstractNumId w:val="36"/>
    <w:lvlOverride w:ilvl="0">
      <w:lvl w:ilvl="0">
        <w:numFmt w:val="bullet"/>
        <w:lvlText w:val=""/>
        <w:lvlJc w:val="left"/>
        <w:pPr>
          <w:tabs>
            <w:tab w:val="num" w:pos="720"/>
          </w:tabs>
          <w:ind w:left="720" w:hanging="360"/>
        </w:pPr>
        <w:rPr>
          <w:rFonts w:ascii="Symbol" w:hAnsi="Symbol" w:hint="default"/>
          <w:sz w:val="20"/>
        </w:rPr>
      </w:lvl>
    </w:lvlOverride>
  </w:num>
  <w:num w:numId="38" w16cid:durableId="169637433">
    <w:abstractNumId w:val="36"/>
    <w:lvlOverride w:ilvl="0">
      <w:lvl w:ilvl="0">
        <w:numFmt w:val="bullet"/>
        <w:lvlText w:val=""/>
        <w:lvlJc w:val="left"/>
        <w:pPr>
          <w:tabs>
            <w:tab w:val="num" w:pos="720"/>
          </w:tabs>
          <w:ind w:left="720" w:hanging="360"/>
        </w:pPr>
        <w:rPr>
          <w:rFonts w:ascii="Symbol" w:hAnsi="Symbol" w:hint="default"/>
          <w:sz w:val="20"/>
        </w:rPr>
      </w:lvl>
    </w:lvlOverride>
  </w:num>
  <w:num w:numId="39" w16cid:durableId="602961708">
    <w:abstractNumId w:val="36"/>
    <w:lvlOverride w:ilvl="0">
      <w:lvl w:ilvl="0">
        <w:numFmt w:val="bullet"/>
        <w:lvlText w:val=""/>
        <w:lvlJc w:val="left"/>
        <w:pPr>
          <w:tabs>
            <w:tab w:val="num" w:pos="720"/>
          </w:tabs>
          <w:ind w:left="720" w:hanging="360"/>
        </w:pPr>
        <w:rPr>
          <w:rFonts w:ascii="Symbol" w:hAnsi="Symbol" w:hint="default"/>
          <w:sz w:val="20"/>
        </w:rPr>
      </w:lvl>
    </w:lvlOverride>
  </w:num>
  <w:num w:numId="40" w16cid:durableId="1142189587">
    <w:abstractNumId w:val="36"/>
    <w:lvlOverride w:ilvl="0">
      <w:lvl w:ilvl="0">
        <w:numFmt w:val="bullet"/>
        <w:lvlText w:val=""/>
        <w:lvlJc w:val="left"/>
        <w:pPr>
          <w:tabs>
            <w:tab w:val="num" w:pos="720"/>
          </w:tabs>
          <w:ind w:left="720" w:hanging="360"/>
        </w:pPr>
        <w:rPr>
          <w:rFonts w:ascii="Symbol" w:hAnsi="Symbol" w:hint="default"/>
          <w:sz w:val="20"/>
        </w:rPr>
      </w:lvl>
    </w:lvlOverride>
  </w:num>
  <w:num w:numId="41" w16cid:durableId="361711039">
    <w:abstractNumId w:val="36"/>
    <w:lvlOverride w:ilvl="0">
      <w:lvl w:ilvl="0">
        <w:numFmt w:val="bullet"/>
        <w:lvlText w:val=""/>
        <w:lvlJc w:val="left"/>
        <w:pPr>
          <w:tabs>
            <w:tab w:val="num" w:pos="720"/>
          </w:tabs>
          <w:ind w:left="720" w:hanging="360"/>
        </w:pPr>
        <w:rPr>
          <w:rFonts w:ascii="Symbol" w:hAnsi="Symbol" w:hint="default"/>
          <w:sz w:val="20"/>
        </w:rPr>
      </w:lvl>
    </w:lvlOverride>
  </w:num>
  <w:num w:numId="42" w16cid:durableId="903879691">
    <w:abstractNumId w:val="36"/>
    <w:lvlOverride w:ilvl="0">
      <w:lvl w:ilvl="0">
        <w:numFmt w:val="bullet"/>
        <w:lvlText w:val=""/>
        <w:lvlJc w:val="left"/>
        <w:pPr>
          <w:tabs>
            <w:tab w:val="num" w:pos="720"/>
          </w:tabs>
          <w:ind w:left="720" w:hanging="360"/>
        </w:pPr>
        <w:rPr>
          <w:rFonts w:ascii="Symbol" w:hAnsi="Symbol" w:hint="default"/>
          <w:sz w:val="20"/>
        </w:rPr>
      </w:lvl>
    </w:lvlOverride>
  </w:num>
  <w:num w:numId="43" w16cid:durableId="984626277">
    <w:abstractNumId w:val="33"/>
  </w:num>
  <w:num w:numId="44" w16cid:durableId="1752507839">
    <w:abstractNumId w:val="33"/>
    <w:lvlOverride w:ilvl="0">
      <w:lvl w:ilvl="0">
        <w:numFmt w:val="bullet"/>
        <w:lvlText w:val=""/>
        <w:lvlJc w:val="left"/>
        <w:pPr>
          <w:tabs>
            <w:tab w:val="num" w:pos="720"/>
          </w:tabs>
          <w:ind w:left="720" w:hanging="360"/>
        </w:pPr>
        <w:rPr>
          <w:rFonts w:ascii="Symbol" w:hAnsi="Symbol" w:hint="default"/>
          <w:sz w:val="20"/>
        </w:rPr>
      </w:lvl>
    </w:lvlOverride>
  </w:num>
  <w:num w:numId="45" w16cid:durableId="1439065463">
    <w:abstractNumId w:val="33"/>
    <w:lvlOverride w:ilvl="0">
      <w:lvl w:ilvl="0">
        <w:numFmt w:val="bullet"/>
        <w:lvlText w:val=""/>
        <w:lvlJc w:val="left"/>
        <w:pPr>
          <w:tabs>
            <w:tab w:val="num" w:pos="720"/>
          </w:tabs>
          <w:ind w:left="720" w:hanging="360"/>
        </w:pPr>
        <w:rPr>
          <w:rFonts w:ascii="Symbol" w:hAnsi="Symbol" w:hint="default"/>
          <w:sz w:val="20"/>
        </w:rPr>
      </w:lvl>
    </w:lvlOverride>
  </w:num>
  <w:num w:numId="46" w16cid:durableId="1010792900">
    <w:abstractNumId w:val="33"/>
    <w:lvlOverride w:ilvl="0">
      <w:lvl w:ilvl="0">
        <w:numFmt w:val="bullet"/>
        <w:lvlText w:val=""/>
        <w:lvlJc w:val="left"/>
        <w:pPr>
          <w:tabs>
            <w:tab w:val="num" w:pos="720"/>
          </w:tabs>
          <w:ind w:left="720" w:hanging="360"/>
        </w:pPr>
        <w:rPr>
          <w:rFonts w:ascii="Symbol" w:hAnsi="Symbol" w:hint="default"/>
          <w:sz w:val="20"/>
        </w:rPr>
      </w:lvl>
    </w:lvlOverride>
  </w:num>
  <w:num w:numId="47" w16cid:durableId="1190532270">
    <w:abstractNumId w:val="33"/>
    <w:lvlOverride w:ilvl="0">
      <w:lvl w:ilvl="0">
        <w:numFmt w:val="bullet"/>
        <w:lvlText w:val=""/>
        <w:lvlJc w:val="left"/>
        <w:pPr>
          <w:tabs>
            <w:tab w:val="num" w:pos="720"/>
          </w:tabs>
          <w:ind w:left="720" w:hanging="360"/>
        </w:pPr>
        <w:rPr>
          <w:rFonts w:ascii="Symbol" w:hAnsi="Symbol" w:hint="default"/>
          <w:sz w:val="20"/>
        </w:rPr>
      </w:lvl>
    </w:lvlOverride>
  </w:num>
  <w:num w:numId="48" w16cid:durableId="15427388">
    <w:abstractNumId w:val="33"/>
    <w:lvlOverride w:ilvl="0">
      <w:lvl w:ilvl="0">
        <w:numFmt w:val="bullet"/>
        <w:lvlText w:val=""/>
        <w:lvlJc w:val="left"/>
        <w:pPr>
          <w:tabs>
            <w:tab w:val="num" w:pos="720"/>
          </w:tabs>
          <w:ind w:left="720" w:hanging="360"/>
        </w:pPr>
        <w:rPr>
          <w:rFonts w:ascii="Symbol" w:hAnsi="Symbol" w:hint="default"/>
          <w:sz w:val="20"/>
        </w:rPr>
      </w:lvl>
    </w:lvlOverride>
  </w:num>
  <w:num w:numId="49" w16cid:durableId="828448412">
    <w:abstractNumId w:val="33"/>
    <w:lvlOverride w:ilvl="0">
      <w:lvl w:ilvl="0">
        <w:numFmt w:val="bullet"/>
        <w:lvlText w:val=""/>
        <w:lvlJc w:val="left"/>
        <w:pPr>
          <w:tabs>
            <w:tab w:val="num" w:pos="720"/>
          </w:tabs>
          <w:ind w:left="720" w:hanging="360"/>
        </w:pPr>
        <w:rPr>
          <w:rFonts w:ascii="Symbol" w:hAnsi="Symbol" w:hint="default"/>
          <w:sz w:val="20"/>
        </w:rPr>
      </w:lvl>
    </w:lvlOverride>
  </w:num>
  <w:num w:numId="50" w16cid:durableId="952980476">
    <w:abstractNumId w:val="33"/>
    <w:lvlOverride w:ilvl="0">
      <w:lvl w:ilvl="0">
        <w:numFmt w:val="bullet"/>
        <w:lvlText w:val=""/>
        <w:lvlJc w:val="left"/>
        <w:pPr>
          <w:tabs>
            <w:tab w:val="num" w:pos="720"/>
          </w:tabs>
          <w:ind w:left="720" w:hanging="360"/>
        </w:pPr>
        <w:rPr>
          <w:rFonts w:ascii="Symbol" w:hAnsi="Symbol" w:hint="default"/>
          <w:sz w:val="20"/>
        </w:rPr>
      </w:lvl>
    </w:lvlOverride>
  </w:num>
  <w:num w:numId="51" w16cid:durableId="2009863503">
    <w:abstractNumId w:val="33"/>
    <w:lvlOverride w:ilvl="0">
      <w:lvl w:ilvl="0">
        <w:numFmt w:val="bullet"/>
        <w:lvlText w:val=""/>
        <w:lvlJc w:val="left"/>
        <w:pPr>
          <w:tabs>
            <w:tab w:val="num" w:pos="720"/>
          </w:tabs>
          <w:ind w:left="720" w:hanging="360"/>
        </w:pPr>
        <w:rPr>
          <w:rFonts w:ascii="Symbol" w:hAnsi="Symbol" w:hint="default"/>
          <w:sz w:val="20"/>
        </w:rPr>
      </w:lvl>
    </w:lvlOverride>
  </w:num>
  <w:num w:numId="52" w16cid:durableId="534922794">
    <w:abstractNumId w:val="33"/>
    <w:lvlOverride w:ilvl="0">
      <w:lvl w:ilvl="0">
        <w:numFmt w:val="bullet"/>
        <w:lvlText w:val=""/>
        <w:lvlJc w:val="left"/>
        <w:pPr>
          <w:tabs>
            <w:tab w:val="num" w:pos="720"/>
          </w:tabs>
          <w:ind w:left="720" w:hanging="360"/>
        </w:pPr>
        <w:rPr>
          <w:rFonts w:ascii="Symbol" w:hAnsi="Symbol" w:hint="default"/>
          <w:sz w:val="20"/>
        </w:rPr>
      </w:lvl>
    </w:lvlOverride>
  </w:num>
  <w:num w:numId="53" w16cid:durableId="789209408">
    <w:abstractNumId w:val="26"/>
  </w:num>
  <w:num w:numId="54" w16cid:durableId="908687624">
    <w:abstractNumId w:val="11"/>
  </w:num>
  <w:num w:numId="55" w16cid:durableId="346294409">
    <w:abstractNumId w:val="11"/>
    <w:lvlOverride w:ilvl="0">
      <w:lvl w:ilvl="0">
        <w:numFmt w:val="bullet"/>
        <w:lvlText w:val=""/>
        <w:lvlJc w:val="left"/>
        <w:pPr>
          <w:tabs>
            <w:tab w:val="num" w:pos="720"/>
          </w:tabs>
          <w:ind w:left="720" w:hanging="360"/>
        </w:pPr>
        <w:rPr>
          <w:rFonts w:ascii="Symbol" w:hAnsi="Symbol" w:hint="default"/>
          <w:sz w:val="20"/>
        </w:rPr>
      </w:lvl>
    </w:lvlOverride>
  </w:num>
  <w:num w:numId="56" w16cid:durableId="1232346170">
    <w:abstractNumId w:val="11"/>
    <w:lvlOverride w:ilvl="0">
      <w:lvl w:ilvl="0">
        <w:numFmt w:val="bullet"/>
        <w:lvlText w:val=""/>
        <w:lvlJc w:val="left"/>
        <w:pPr>
          <w:tabs>
            <w:tab w:val="num" w:pos="720"/>
          </w:tabs>
          <w:ind w:left="720" w:hanging="360"/>
        </w:pPr>
        <w:rPr>
          <w:rFonts w:ascii="Symbol" w:hAnsi="Symbol" w:hint="default"/>
          <w:sz w:val="20"/>
        </w:rPr>
      </w:lvl>
    </w:lvlOverride>
  </w:num>
  <w:num w:numId="57" w16cid:durableId="1957061082">
    <w:abstractNumId w:val="11"/>
    <w:lvlOverride w:ilvl="0">
      <w:lvl w:ilvl="0">
        <w:numFmt w:val="bullet"/>
        <w:lvlText w:val=""/>
        <w:lvlJc w:val="left"/>
        <w:pPr>
          <w:tabs>
            <w:tab w:val="num" w:pos="720"/>
          </w:tabs>
          <w:ind w:left="720" w:hanging="360"/>
        </w:pPr>
        <w:rPr>
          <w:rFonts w:ascii="Symbol" w:hAnsi="Symbol" w:hint="default"/>
          <w:sz w:val="20"/>
        </w:rPr>
      </w:lvl>
    </w:lvlOverride>
  </w:num>
  <w:num w:numId="58" w16cid:durableId="1664160295">
    <w:abstractNumId w:val="11"/>
    <w:lvlOverride w:ilvl="0">
      <w:lvl w:ilvl="0">
        <w:numFmt w:val="bullet"/>
        <w:lvlText w:val=""/>
        <w:lvlJc w:val="left"/>
        <w:pPr>
          <w:tabs>
            <w:tab w:val="num" w:pos="720"/>
          </w:tabs>
          <w:ind w:left="720" w:hanging="360"/>
        </w:pPr>
        <w:rPr>
          <w:rFonts w:ascii="Symbol" w:hAnsi="Symbol" w:hint="default"/>
          <w:sz w:val="20"/>
        </w:rPr>
      </w:lvl>
    </w:lvlOverride>
  </w:num>
  <w:num w:numId="59" w16cid:durableId="2121145299">
    <w:abstractNumId w:val="17"/>
  </w:num>
  <w:num w:numId="60" w16cid:durableId="1798259813">
    <w:abstractNumId w:val="12"/>
  </w:num>
  <w:num w:numId="61" w16cid:durableId="1415975752">
    <w:abstractNumId w:val="3"/>
  </w:num>
  <w:num w:numId="62" w16cid:durableId="1218589244">
    <w:abstractNumId w:val="35"/>
  </w:num>
  <w:num w:numId="63" w16cid:durableId="1807971481">
    <w:abstractNumId w:val="35"/>
    <w:lvlOverride w:ilvl="0">
      <w:lvl w:ilvl="0">
        <w:numFmt w:val="bullet"/>
        <w:lvlText w:val=""/>
        <w:lvlJc w:val="left"/>
        <w:pPr>
          <w:tabs>
            <w:tab w:val="num" w:pos="720"/>
          </w:tabs>
          <w:ind w:left="720" w:hanging="360"/>
        </w:pPr>
        <w:rPr>
          <w:rFonts w:ascii="Symbol" w:hAnsi="Symbol" w:hint="default"/>
          <w:sz w:val="20"/>
        </w:rPr>
      </w:lvl>
    </w:lvlOverride>
  </w:num>
  <w:num w:numId="64" w16cid:durableId="1176312990">
    <w:abstractNumId w:val="35"/>
    <w:lvlOverride w:ilvl="0">
      <w:lvl w:ilvl="0">
        <w:numFmt w:val="bullet"/>
        <w:lvlText w:val=""/>
        <w:lvlJc w:val="left"/>
        <w:pPr>
          <w:tabs>
            <w:tab w:val="num" w:pos="720"/>
          </w:tabs>
          <w:ind w:left="720" w:hanging="360"/>
        </w:pPr>
        <w:rPr>
          <w:rFonts w:ascii="Symbol" w:hAnsi="Symbol" w:hint="default"/>
          <w:sz w:val="20"/>
        </w:rPr>
      </w:lvl>
    </w:lvlOverride>
  </w:num>
  <w:num w:numId="65" w16cid:durableId="1161584954">
    <w:abstractNumId w:val="35"/>
    <w:lvlOverride w:ilvl="0">
      <w:lvl w:ilvl="0">
        <w:numFmt w:val="bullet"/>
        <w:lvlText w:val=""/>
        <w:lvlJc w:val="left"/>
        <w:pPr>
          <w:tabs>
            <w:tab w:val="num" w:pos="720"/>
          </w:tabs>
          <w:ind w:left="720" w:hanging="360"/>
        </w:pPr>
        <w:rPr>
          <w:rFonts w:ascii="Symbol" w:hAnsi="Symbol" w:hint="default"/>
          <w:sz w:val="20"/>
        </w:rPr>
      </w:lvl>
    </w:lvlOverride>
  </w:num>
  <w:num w:numId="66" w16cid:durableId="48655915">
    <w:abstractNumId w:val="35"/>
    <w:lvlOverride w:ilvl="0">
      <w:lvl w:ilvl="0">
        <w:numFmt w:val="bullet"/>
        <w:lvlText w:val=""/>
        <w:lvlJc w:val="left"/>
        <w:pPr>
          <w:tabs>
            <w:tab w:val="num" w:pos="720"/>
          </w:tabs>
          <w:ind w:left="720" w:hanging="360"/>
        </w:pPr>
        <w:rPr>
          <w:rFonts w:ascii="Symbol" w:hAnsi="Symbol" w:hint="default"/>
          <w:sz w:val="20"/>
        </w:rPr>
      </w:lvl>
    </w:lvlOverride>
  </w:num>
  <w:num w:numId="67" w16cid:durableId="1785228235">
    <w:abstractNumId w:val="24"/>
    <w:lvlOverride w:ilvl="0">
      <w:lvl w:ilvl="0">
        <w:numFmt w:val="bullet"/>
        <w:lvlText w:val=""/>
        <w:lvlJc w:val="left"/>
        <w:pPr>
          <w:tabs>
            <w:tab w:val="num" w:pos="720"/>
          </w:tabs>
          <w:ind w:left="720" w:hanging="360"/>
        </w:pPr>
        <w:rPr>
          <w:rFonts w:ascii="Symbol" w:hAnsi="Symbol" w:hint="default"/>
          <w:sz w:val="20"/>
        </w:rPr>
      </w:lvl>
    </w:lvlOverride>
  </w:num>
  <w:num w:numId="68" w16cid:durableId="1586844546">
    <w:abstractNumId w:val="24"/>
    <w:lvlOverride w:ilvl="0">
      <w:lvl w:ilvl="0">
        <w:numFmt w:val="bullet"/>
        <w:lvlText w:val=""/>
        <w:lvlJc w:val="left"/>
        <w:pPr>
          <w:tabs>
            <w:tab w:val="num" w:pos="720"/>
          </w:tabs>
          <w:ind w:left="720" w:hanging="360"/>
        </w:pPr>
        <w:rPr>
          <w:rFonts w:ascii="Symbol" w:hAnsi="Symbol" w:hint="default"/>
          <w:sz w:val="20"/>
        </w:rPr>
      </w:lvl>
    </w:lvlOverride>
  </w:num>
  <w:num w:numId="69" w16cid:durableId="508368531">
    <w:abstractNumId w:val="24"/>
    <w:lvlOverride w:ilvl="0">
      <w:lvl w:ilvl="0">
        <w:numFmt w:val="bullet"/>
        <w:lvlText w:val=""/>
        <w:lvlJc w:val="left"/>
        <w:pPr>
          <w:tabs>
            <w:tab w:val="num" w:pos="720"/>
          </w:tabs>
          <w:ind w:left="720" w:hanging="360"/>
        </w:pPr>
        <w:rPr>
          <w:rFonts w:ascii="Symbol" w:hAnsi="Symbol" w:hint="default"/>
          <w:sz w:val="20"/>
        </w:rPr>
      </w:lvl>
    </w:lvlOverride>
  </w:num>
  <w:num w:numId="70" w16cid:durableId="2101173675">
    <w:abstractNumId w:val="24"/>
    <w:lvlOverride w:ilvl="0">
      <w:lvl w:ilvl="0">
        <w:numFmt w:val="bullet"/>
        <w:lvlText w:val=""/>
        <w:lvlJc w:val="left"/>
        <w:pPr>
          <w:tabs>
            <w:tab w:val="num" w:pos="720"/>
          </w:tabs>
          <w:ind w:left="720" w:hanging="360"/>
        </w:pPr>
        <w:rPr>
          <w:rFonts w:ascii="Symbol" w:hAnsi="Symbol" w:hint="default"/>
          <w:sz w:val="20"/>
        </w:rPr>
      </w:lvl>
    </w:lvlOverride>
  </w:num>
  <w:num w:numId="71" w16cid:durableId="907302965">
    <w:abstractNumId w:val="32"/>
    <w:lvlOverride w:ilvl="0">
      <w:lvl w:ilvl="0">
        <w:numFmt w:val="bullet"/>
        <w:lvlText w:val=""/>
        <w:lvlJc w:val="left"/>
        <w:pPr>
          <w:tabs>
            <w:tab w:val="num" w:pos="720"/>
          </w:tabs>
          <w:ind w:left="720" w:hanging="360"/>
        </w:pPr>
        <w:rPr>
          <w:rFonts w:ascii="Symbol" w:hAnsi="Symbol" w:hint="default"/>
          <w:sz w:val="20"/>
        </w:rPr>
      </w:lvl>
    </w:lvlOverride>
  </w:num>
  <w:num w:numId="72" w16cid:durableId="1399474400">
    <w:abstractNumId w:val="32"/>
    <w:lvlOverride w:ilvl="0">
      <w:lvl w:ilvl="0">
        <w:numFmt w:val="bullet"/>
        <w:lvlText w:val=""/>
        <w:lvlJc w:val="left"/>
        <w:pPr>
          <w:tabs>
            <w:tab w:val="num" w:pos="720"/>
          </w:tabs>
          <w:ind w:left="720" w:hanging="360"/>
        </w:pPr>
        <w:rPr>
          <w:rFonts w:ascii="Symbol" w:hAnsi="Symbol" w:hint="default"/>
          <w:sz w:val="20"/>
        </w:rPr>
      </w:lvl>
    </w:lvlOverride>
  </w:num>
  <w:num w:numId="73" w16cid:durableId="846945516">
    <w:abstractNumId w:val="32"/>
    <w:lvlOverride w:ilvl="0">
      <w:lvl w:ilvl="0">
        <w:numFmt w:val="bullet"/>
        <w:lvlText w:val=""/>
        <w:lvlJc w:val="left"/>
        <w:pPr>
          <w:tabs>
            <w:tab w:val="num" w:pos="720"/>
          </w:tabs>
          <w:ind w:left="720" w:hanging="360"/>
        </w:pPr>
        <w:rPr>
          <w:rFonts w:ascii="Symbol" w:hAnsi="Symbol" w:hint="default"/>
          <w:sz w:val="20"/>
        </w:rPr>
      </w:lvl>
    </w:lvlOverride>
  </w:num>
  <w:num w:numId="74" w16cid:durableId="985816462">
    <w:abstractNumId w:val="32"/>
    <w:lvlOverride w:ilvl="0">
      <w:lvl w:ilvl="0">
        <w:numFmt w:val="bullet"/>
        <w:lvlText w:val=""/>
        <w:lvlJc w:val="left"/>
        <w:pPr>
          <w:tabs>
            <w:tab w:val="num" w:pos="720"/>
          </w:tabs>
          <w:ind w:left="720" w:hanging="360"/>
        </w:pPr>
        <w:rPr>
          <w:rFonts w:ascii="Symbol" w:hAnsi="Symbol" w:hint="default"/>
          <w:sz w:val="20"/>
        </w:rPr>
      </w:lvl>
    </w:lvlOverride>
  </w:num>
  <w:num w:numId="75" w16cid:durableId="704672419">
    <w:abstractNumId w:val="13"/>
  </w:num>
  <w:num w:numId="76" w16cid:durableId="1093551300">
    <w:abstractNumId w:val="6"/>
  </w:num>
  <w:num w:numId="77" w16cid:durableId="1321886021">
    <w:abstractNumId w:val="5"/>
  </w:num>
  <w:num w:numId="78" w16cid:durableId="444271867">
    <w:abstractNumId w:val="37"/>
  </w:num>
  <w:num w:numId="79" w16cid:durableId="426269016">
    <w:abstractNumId w:val="1"/>
  </w:num>
  <w:num w:numId="80" w16cid:durableId="204832010">
    <w:abstractNumId w:val="27"/>
    <w:lvlOverride w:ilvl="0">
      <w:lvl w:ilvl="0">
        <w:numFmt w:val="bullet"/>
        <w:lvlText w:val=""/>
        <w:lvlJc w:val="left"/>
        <w:pPr>
          <w:tabs>
            <w:tab w:val="num" w:pos="720"/>
          </w:tabs>
          <w:ind w:left="720" w:hanging="360"/>
        </w:pPr>
        <w:rPr>
          <w:rFonts w:ascii="Symbol" w:hAnsi="Symbol" w:hint="default"/>
          <w:sz w:val="20"/>
        </w:rPr>
      </w:lvl>
    </w:lvlOverride>
  </w:num>
  <w:num w:numId="81" w16cid:durableId="2058160658">
    <w:abstractNumId w:val="27"/>
    <w:lvlOverride w:ilvl="0">
      <w:lvl w:ilvl="0">
        <w:numFmt w:val="bullet"/>
        <w:lvlText w:val=""/>
        <w:lvlJc w:val="left"/>
        <w:pPr>
          <w:tabs>
            <w:tab w:val="num" w:pos="720"/>
          </w:tabs>
          <w:ind w:left="720" w:hanging="360"/>
        </w:pPr>
        <w:rPr>
          <w:rFonts w:ascii="Symbol" w:hAnsi="Symbol" w:hint="default"/>
          <w:sz w:val="20"/>
        </w:rPr>
      </w:lvl>
    </w:lvlOverride>
  </w:num>
  <w:num w:numId="82" w16cid:durableId="785732434">
    <w:abstractNumId w:val="27"/>
    <w:lvlOverride w:ilvl="0">
      <w:lvl w:ilvl="0">
        <w:numFmt w:val="bullet"/>
        <w:lvlText w:val=""/>
        <w:lvlJc w:val="left"/>
        <w:pPr>
          <w:tabs>
            <w:tab w:val="num" w:pos="720"/>
          </w:tabs>
          <w:ind w:left="720" w:hanging="360"/>
        </w:pPr>
        <w:rPr>
          <w:rFonts w:ascii="Symbol" w:hAnsi="Symbol" w:hint="default"/>
          <w:sz w:val="20"/>
        </w:rPr>
      </w:lvl>
    </w:lvlOverride>
  </w:num>
  <w:num w:numId="83" w16cid:durableId="968516495">
    <w:abstractNumId w:val="27"/>
    <w:lvlOverride w:ilvl="0">
      <w:lvl w:ilvl="0">
        <w:numFmt w:val="bullet"/>
        <w:lvlText w:val=""/>
        <w:lvlJc w:val="left"/>
        <w:pPr>
          <w:tabs>
            <w:tab w:val="num" w:pos="720"/>
          </w:tabs>
          <w:ind w:left="720" w:hanging="360"/>
        </w:pPr>
        <w:rPr>
          <w:rFonts w:ascii="Symbol" w:hAnsi="Symbol" w:hint="default"/>
          <w:sz w:val="20"/>
        </w:rPr>
      </w:lvl>
    </w:lvlOverride>
  </w:num>
  <w:num w:numId="84" w16cid:durableId="2109428764">
    <w:abstractNumId w:val="31"/>
    <w:lvlOverride w:ilvl="0">
      <w:lvl w:ilvl="0">
        <w:numFmt w:val="bullet"/>
        <w:lvlText w:val=""/>
        <w:lvlJc w:val="left"/>
        <w:pPr>
          <w:tabs>
            <w:tab w:val="num" w:pos="720"/>
          </w:tabs>
          <w:ind w:left="720" w:hanging="360"/>
        </w:pPr>
        <w:rPr>
          <w:rFonts w:ascii="Symbol" w:hAnsi="Symbol" w:hint="default"/>
          <w:sz w:val="20"/>
        </w:rPr>
      </w:lvl>
    </w:lvlOverride>
  </w:num>
  <w:num w:numId="85" w16cid:durableId="326441308">
    <w:abstractNumId w:val="31"/>
    <w:lvlOverride w:ilvl="0">
      <w:lvl w:ilvl="0">
        <w:numFmt w:val="bullet"/>
        <w:lvlText w:val=""/>
        <w:lvlJc w:val="left"/>
        <w:pPr>
          <w:tabs>
            <w:tab w:val="num" w:pos="720"/>
          </w:tabs>
          <w:ind w:left="720" w:hanging="360"/>
        </w:pPr>
        <w:rPr>
          <w:rFonts w:ascii="Symbol" w:hAnsi="Symbol" w:hint="default"/>
          <w:sz w:val="20"/>
        </w:rPr>
      </w:lvl>
    </w:lvlOverride>
  </w:num>
  <w:num w:numId="86" w16cid:durableId="1622495653">
    <w:abstractNumId w:val="31"/>
    <w:lvlOverride w:ilvl="0">
      <w:lvl w:ilvl="0">
        <w:numFmt w:val="bullet"/>
        <w:lvlText w:val=""/>
        <w:lvlJc w:val="left"/>
        <w:pPr>
          <w:tabs>
            <w:tab w:val="num" w:pos="720"/>
          </w:tabs>
          <w:ind w:left="720" w:hanging="360"/>
        </w:pPr>
        <w:rPr>
          <w:rFonts w:ascii="Symbol" w:hAnsi="Symbol" w:hint="default"/>
          <w:sz w:val="20"/>
        </w:rPr>
      </w:lvl>
    </w:lvlOverride>
  </w:num>
  <w:num w:numId="87" w16cid:durableId="1825006461">
    <w:abstractNumId w:val="31"/>
    <w:lvlOverride w:ilvl="0">
      <w:lvl w:ilvl="0">
        <w:numFmt w:val="bullet"/>
        <w:lvlText w:val=""/>
        <w:lvlJc w:val="left"/>
        <w:pPr>
          <w:tabs>
            <w:tab w:val="num" w:pos="720"/>
          </w:tabs>
          <w:ind w:left="720" w:hanging="360"/>
        </w:pPr>
        <w:rPr>
          <w:rFonts w:ascii="Symbol" w:hAnsi="Symbol" w:hint="default"/>
          <w:sz w:val="20"/>
        </w:rPr>
      </w:lvl>
    </w:lvlOverride>
  </w:num>
  <w:num w:numId="88" w16cid:durableId="677928106">
    <w:abstractNumId w:val="4"/>
    <w:lvlOverride w:ilvl="0">
      <w:lvl w:ilvl="0">
        <w:numFmt w:val="bullet"/>
        <w:lvlText w:val=""/>
        <w:lvlJc w:val="left"/>
        <w:pPr>
          <w:tabs>
            <w:tab w:val="num" w:pos="720"/>
          </w:tabs>
          <w:ind w:left="720" w:hanging="360"/>
        </w:pPr>
        <w:rPr>
          <w:rFonts w:ascii="Symbol" w:hAnsi="Symbol" w:hint="default"/>
          <w:sz w:val="20"/>
        </w:rPr>
      </w:lvl>
    </w:lvlOverride>
  </w:num>
  <w:num w:numId="89" w16cid:durableId="807088455">
    <w:abstractNumId w:val="4"/>
    <w:lvlOverride w:ilvl="0">
      <w:lvl w:ilvl="0">
        <w:numFmt w:val="bullet"/>
        <w:lvlText w:val=""/>
        <w:lvlJc w:val="left"/>
        <w:pPr>
          <w:tabs>
            <w:tab w:val="num" w:pos="720"/>
          </w:tabs>
          <w:ind w:left="720" w:hanging="360"/>
        </w:pPr>
        <w:rPr>
          <w:rFonts w:ascii="Symbol" w:hAnsi="Symbol" w:hint="default"/>
          <w:sz w:val="20"/>
        </w:rPr>
      </w:lvl>
    </w:lvlOverride>
  </w:num>
  <w:num w:numId="90" w16cid:durableId="1182814192">
    <w:abstractNumId w:val="4"/>
    <w:lvlOverride w:ilvl="0">
      <w:lvl w:ilvl="0">
        <w:numFmt w:val="bullet"/>
        <w:lvlText w:val=""/>
        <w:lvlJc w:val="left"/>
        <w:pPr>
          <w:tabs>
            <w:tab w:val="num" w:pos="720"/>
          </w:tabs>
          <w:ind w:left="720" w:hanging="360"/>
        </w:pPr>
        <w:rPr>
          <w:rFonts w:ascii="Symbol" w:hAnsi="Symbol" w:hint="default"/>
          <w:sz w:val="20"/>
        </w:rPr>
      </w:lvl>
    </w:lvlOverride>
  </w:num>
  <w:num w:numId="91" w16cid:durableId="1992901582">
    <w:abstractNumId w:val="18"/>
    <w:lvlOverride w:ilvl="0">
      <w:lvl w:ilvl="0">
        <w:numFmt w:val="bullet"/>
        <w:lvlText w:val=""/>
        <w:lvlJc w:val="left"/>
        <w:pPr>
          <w:tabs>
            <w:tab w:val="num" w:pos="720"/>
          </w:tabs>
          <w:ind w:left="720" w:hanging="360"/>
        </w:pPr>
        <w:rPr>
          <w:rFonts w:ascii="Symbol" w:hAnsi="Symbol" w:hint="default"/>
          <w:sz w:val="20"/>
        </w:rPr>
      </w:lvl>
    </w:lvlOverride>
  </w:num>
  <w:num w:numId="92" w16cid:durableId="1484394984">
    <w:abstractNumId w:val="18"/>
    <w:lvlOverride w:ilvl="0">
      <w:lvl w:ilvl="0">
        <w:numFmt w:val="bullet"/>
        <w:lvlText w:val=""/>
        <w:lvlJc w:val="left"/>
        <w:pPr>
          <w:tabs>
            <w:tab w:val="num" w:pos="720"/>
          </w:tabs>
          <w:ind w:left="720" w:hanging="360"/>
        </w:pPr>
        <w:rPr>
          <w:rFonts w:ascii="Symbol" w:hAnsi="Symbol" w:hint="default"/>
          <w:sz w:val="20"/>
        </w:rPr>
      </w:lvl>
    </w:lvlOverride>
  </w:num>
  <w:num w:numId="93" w16cid:durableId="691299413">
    <w:abstractNumId w:val="0"/>
    <w:lvlOverride w:ilvl="0">
      <w:lvl w:ilvl="0">
        <w:numFmt w:val="bullet"/>
        <w:lvlText w:val=""/>
        <w:lvlJc w:val="left"/>
        <w:pPr>
          <w:tabs>
            <w:tab w:val="num" w:pos="720"/>
          </w:tabs>
          <w:ind w:left="720" w:hanging="360"/>
        </w:pPr>
        <w:rPr>
          <w:rFonts w:ascii="Symbol" w:hAnsi="Symbol" w:hint="default"/>
          <w:sz w:val="20"/>
        </w:rPr>
      </w:lvl>
    </w:lvlOverride>
  </w:num>
  <w:num w:numId="94" w16cid:durableId="898130646">
    <w:abstractNumId w:val="0"/>
    <w:lvlOverride w:ilvl="0">
      <w:lvl w:ilvl="0">
        <w:numFmt w:val="bullet"/>
        <w:lvlText w:val=""/>
        <w:lvlJc w:val="left"/>
        <w:pPr>
          <w:tabs>
            <w:tab w:val="num" w:pos="720"/>
          </w:tabs>
          <w:ind w:left="720" w:hanging="360"/>
        </w:pPr>
        <w:rPr>
          <w:rFonts w:ascii="Symbol" w:hAnsi="Symbol" w:hint="default"/>
          <w:sz w:val="20"/>
        </w:rPr>
      </w:lvl>
    </w:lvlOverride>
  </w:num>
  <w:num w:numId="95" w16cid:durableId="199778921">
    <w:abstractNumId w:val="0"/>
    <w:lvlOverride w:ilvl="0">
      <w:lvl w:ilvl="0">
        <w:numFmt w:val="bullet"/>
        <w:lvlText w:val=""/>
        <w:lvlJc w:val="left"/>
        <w:pPr>
          <w:tabs>
            <w:tab w:val="num" w:pos="720"/>
          </w:tabs>
          <w:ind w:left="720" w:hanging="360"/>
        </w:pPr>
        <w:rPr>
          <w:rFonts w:ascii="Symbol" w:hAnsi="Symbol" w:hint="default"/>
          <w:sz w:val="20"/>
        </w:rPr>
      </w:lvl>
    </w:lvlOverride>
  </w:num>
  <w:num w:numId="96" w16cid:durableId="1402289600">
    <w:abstractNumId w:val="25"/>
    <w:lvlOverride w:ilvl="0">
      <w:lvl w:ilvl="0">
        <w:numFmt w:val="bullet"/>
        <w:lvlText w:val=""/>
        <w:lvlJc w:val="left"/>
        <w:pPr>
          <w:tabs>
            <w:tab w:val="num" w:pos="720"/>
          </w:tabs>
          <w:ind w:left="720" w:hanging="360"/>
        </w:pPr>
        <w:rPr>
          <w:rFonts w:ascii="Symbol" w:hAnsi="Symbol" w:hint="default"/>
          <w:sz w:val="20"/>
        </w:rPr>
      </w:lvl>
    </w:lvlOverride>
  </w:num>
  <w:num w:numId="97" w16cid:durableId="796291947">
    <w:abstractNumId w:val="25"/>
    <w:lvlOverride w:ilvl="0">
      <w:lvl w:ilvl="0">
        <w:numFmt w:val="bullet"/>
        <w:lvlText w:val=""/>
        <w:lvlJc w:val="left"/>
        <w:pPr>
          <w:tabs>
            <w:tab w:val="num" w:pos="720"/>
          </w:tabs>
          <w:ind w:left="720" w:hanging="360"/>
        </w:pPr>
        <w:rPr>
          <w:rFonts w:ascii="Symbol" w:hAnsi="Symbol" w:hint="default"/>
          <w:sz w:val="20"/>
        </w:rPr>
      </w:lvl>
    </w:lvlOverride>
  </w:num>
  <w:num w:numId="98" w16cid:durableId="804464808">
    <w:abstractNumId w:val="25"/>
    <w:lvlOverride w:ilvl="0">
      <w:lvl w:ilvl="0">
        <w:numFmt w:val="bullet"/>
        <w:lvlText w:val=""/>
        <w:lvlJc w:val="left"/>
        <w:pPr>
          <w:tabs>
            <w:tab w:val="num" w:pos="720"/>
          </w:tabs>
          <w:ind w:left="720" w:hanging="360"/>
        </w:pPr>
        <w:rPr>
          <w:rFonts w:ascii="Symbol" w:hAnsi="Symbol" w:hint="default"/>
          <w:sz w:val="20"/>
        </w:rPr>
      </w:lvl>
    </w:lvlOverride>
  </w:num>
  <w:num w:numId="99" w16cid:durableId="1243877668">
    <w:abstractNumId w:val="25"/>
    <w:lvlOverride w:ilvl="0">
      <w:lvl w:ilvl="0">
        <w:numFmt w:val="bullet"/>
        <w:lvlText w:val=""/>
        <w:lvlJc w:val="left"/>
        <w:pPr>
          <w:tabs>
            <w:tab w:val="num" w:pos="720"/>
          </w:tabs>
          <w:ind w:left="720" w:hanging="360"/>
        </w:pPr>
        <w:rPr>
          <w:rFonts w:ascii="Symbol" w:hAnsi="Symbol" w:hint="default"/>
          <w:sz w:val="20"/>
        </w:rPr>
      </w:lvl>
    </w:lvlOverride>
  </w:num>
  <w:num w:numId="100" w16cid:durableId="1479423187">
    <w:abstractNumId w:val="20"/>
  </w:num>
  <w:num w:numId="101" w16cid:durableId="1399474852">
    <w:abstractNumId w:val="23"/>
  </w:num>
  <w:num w:numId="102" w16cid:durableId="81222878">
    <w:abstractNumId w:val="38"/>
  </w:num>
  <w:num w:numId="103" w16cid:durableId="498230619">
    <w:abstractNumId w:val="15"/>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945"/>
    <w:rsid w:val="00007081"/>
    <w:rsid w:val="000110AA"/>
    <w:rsid w:val="00011F94"/>
    <w:rsid w:val="00015AA8"/>
    <w:rsid w:val="00022DAC"/>
    <w:rsid w:val="00022FB2"/>
    <w:rsid w:val="0002553B"/>
    <w:rsid w:val="00045EF8"/>
    <w:rsid w:val="00064B09"/>
    <w:rsid w:val="00070C8A"/>
    <w:rsid w:val="00071F83"/>
    <w:rsid w:val="0007460F"/>
    <w:rsid w:val="00087A42"/>
    <w:rsid w:val="00090A7F"/>
    <w:rsid w:val="0009335C"/>
    <w:rsid w:val="0009484D"/>
    <w:rsid w:val="000965FF"/>
    <w:rsid w:val="000A03EA"/>
    <w:rsid w:val="000A6749"/>
    <w:rsid w:val="000C01A6"/>
    <w:rsid w:val="000C43C4"/>
    <w:rsid w:val="000D3E55"/>
    <w:rsid w:val="000D44BA"/>
    <w:rsid w:val="000F0E67"/>
    <w:rsid w:val="000F3BBB"/>
    <w:rsid w:val="000F71CE"/>
    <w:rsid w:val="000F720F"/>
    <w:rsid w:val="0012473B"/>
    <w:rsid w:val="001363B1"/>
    <w:rsid w:val="00136622"/>
    <w:rsid w:val="001441C0"/>
    <w:rsid w:val="001460FC"/>
    <w:rsid w:val="00151606"/>
    <w:rsid w:val="00155EA6"/>
    <w:rsid w:val="00164741"/>
    <w:rsid w:val="001666A7"/>
    <w:rsid w:val="00170765"/>
    <w:rsid w:val="001714F8"/>
    <w:rsid w:val="001821AF"/>
    <w:rsid w:val="001869DF"/>
    <w:rsid w:val="00192DF9"/>
    <w:rsid w:val="00196DBF"/>
    <w:rsid w:val="00196FAA"/>
    <w:rsid w:val="001A21D5"/>
    <w:rsid w:val="001C797A"/>
    <w:rsid w:val="001F06FA"/>
    <w:rsid w:val="001F5945"/>
    <w:rsid w:val="00205507"/>
    <w:rsid w:val="002161C2"/>
    <w:rsid w:val="002168CA"/>
    <w:rsid w:val="00217030"/>
    <w:rsid w:val="002178AD"/>
    <w:rsid w:val="00217EC7"/>
    <w:rsid w:val="0022422E"/>
    <w:rsid w:val="00246A03"/>
    <w:rsid w:val="002506F8"/>
    <w:rsid w:val="00255A00"/>
    <w:rsid w:val="0025662B"/>
    <w:rsid w:val="002615F3"/>
    <w:rsid w:val="002652DC"/>
    <w:rsid w:val="00271652"/>
    <w:rsid w:val="0027168B"/>
    <w:rsid w:val="00272215"/>
    <w:rsid w:val="0027427F"/>
    <w:rsid w:val="002818DD"/>
    <w:rsid w:val="00290ED1"/>
    <w:rsid w:val="00294444"/>
    <w:rsid w:val="00294F07"/>
    <w:rsid w:val="002A276B"/>
    <w:rsid w:val="002A4132"/>
    <w:rsid w:val="002A5421"/>
    <w:rsid w:val="002A5CC4"/>
    <w:rsid w:val="002A6E00"/>
    <w:rsid w:val="002A7A92"/>
    <w:rsid w:val="002B0BD7"/>
    <w:rsid w:val="002B37F3"/>
    <w:rsid w:val="002B6DED"/>
    <w:rsid w:val="002C42B2"/>
    <w:rsid w:val="002C5439"/>
    <w:rsid w:val="002C590B"/>
    <w:rsid w:val="002D2151"/>
    <w:rsid w:val="002D7B79"/>
    <w:rsid w:val="002E3257"/>
    <w:rsid w:val="002E7041"/>
    <w:rsid w:val="002F7E7F"/>
    <w:rsid w:val="00302183"/>
    <w:rsid w:val="00307F67"/>
    <w:rsid w:val="00315D24"/>
    <w:rsid w:val="00322E02"/>
    <w:rsid w:val="00326698"/>
    <w:rsid w:val="00333F12"/>
    <w:rsid w:val="003367ED"/>
    <w:rsid w:val="00341A11"/>
    <w:rsid w:val="00350403"/>
    <w:rsid w:val="003604A9"/>
    <w:rsid w:val="003637D0"/>
    <w:rsid w:val="0036624B"/>
    <w:rsid w:val="00367DBA"/>
    <w:rsid w:val="00381F5C"/>
    <w:rsid w:val="00385184"/>
    <w:rsid w:val="00387913"/>
    <w:rsid w:val="003957FF"/>
    <w:rsid w:val="003A025C"/>
    <w:rsid w:val="003A3163"/>
    <w:rsid w:val="003B66DD"/>
    <w:rsid w:val="003C25E4"/>
    <w:rsid w:val="003E21DF"/>
    <w:rsid w:val="003E3E7E"/>
    <w:rsid w:val="003E4CCF"/>
    <w:rsid w:val="003F2485"/>
    <w:rsid w:val="003F28CE"/>
    <w:rsid w:val="003F3929"/>
    <w:rsid w:val="0040320C"/>
    <w:rsid w:val="00413E5F"/>
    <w:rsid w:val="00417190"/>
    <w:rsid w:val="00417E73"/>
    <w:rsid w:val="00421CCC"/>
    <w:rsid w:val="00437174"/>
    <w:rsid w:val="00437F45"/>
    <w:rsid w:val="00442A72"/>
    <w:rsid w:val="0044422A"/>
    <w:rsid w:val="00462838"/>
    <w:rsid w:val="00465043"/>
    <w:rsid w:val="004658BA"/>
    <w:rsid w:val="0046685D"/>
    <w:rsid w:val="00477784"/>
    <w:rsid w:val="0047797B"/>
    <w:rsid w:val="00481D54"/>
    <w:rsid w:val="00486575"/>
    <w:rsid w:val="004873BD"/>
    <w:rsid w:val="00494252"/>
    <w:rsid w:val="004A06FE"/>
    <w:rsid w:val="004A1FAB"/>
    <w:rsid w:val="004B17B3"/>
    <w:rsid w:val="004B3A0E"/>
    <w:rsid w:val="004C18A2"/>
    <w:rsid w:val="004C63FE"/>
    <w:rsid w:val="004D33CB"/>
    <w:rsid w:val="004D52E2"/>
    <w:rsid w:val="004D7B35"/>
    <w:rsid w:val="004E518E"/>
    <w:rsid w:val="004F3B32"/>
    <w:rsid w:val="004F4EFD"/>
    <w:rsid w:val="005008A8"/>
    <w:rsid w:val="00503E3E"/>
    <w:rsid w:val="00507F5D"/>
    <w:rsid w:val="005254EC"/>
    <w:rsid w:val="0052575C"/>
    <w:rsid w:val="005310CF"/>
    <w:rsid w:val="00535877"/>
    <w:rsid w:val="005524E7"/>
    <w:rsid w:val="005550DE"/>
    <w:rsid w:val="005602BC"/>
    <w:rsid w:val="00561E15"/>
    <w:rsid w:val="00566E46"/>
    <w:rsid w:val="005673F4"/>
    <w:rsid w:val="005679C3"/>
    <w:rsid w:val="0057411B"/>
    <w:rsid w:val="0057420A"/>
    <w:rsid w:val="005759B4"/>
    <w:rsid w:val="00586C65"/>
    <w:rsid w:val="00597A8F"/>
    <w:rsid w:val="005A00DF"/>
    <w:rsid w:val="005D5E0B"/>
    <w:rsid w:val="005E7FF4"/>
    <w:rsid w:val="005F0F2E"/>
    <w:rsid w:val="005F1475"/>
    <w:rsid w:val="005F51A5"/>
    <w:rsid w:val="00634616"/>
    <w:rsid w:val="00640300"/>
    <w:rsid w:val="006468CD"/>
    <w:rsid w:val="00646C77"/>
    <w:rsid w:val="006520DA"/>
    <w:rsid w:val="00660944"/>
    <w:rsid w:val="00661981"/>
    <w:rsid w:val="00666092"/>
    <w:rsid w:val="00670E67"/>
    <w:rsid w:val="00672BE0"/>
    <w:rsid w:val="00686D1E"/>
    <w:rsid w:val="00692B4E"/>
    <w:rsid w:val="00693484"/>
    <w:rsid w:val="006C2979"/>
    <w:rsid w:val="006C485C"/>
    <w:rsid w:val="006C525C"/>
    <w:rsid w:val="006D0988"/>
    <w:rsid w:val="006D2A81"/>
    <w:rsid w:val="006D5B6E"/>
    <w:rsid w:val="006D6542"/>
    <w:rsid w:val="006E2743"/>
    <w:rsid w:val="006E7267"/>
    <w:rsid w:val="006E7762"/>
    <w:rsid w:val="006F08BA"/>
    <w:rsid w:val="006F50A6"/>
    <w:rsid w:val="007042BB"/>
    <w:rsid w:val="00707AA2"/>
    <w:rsid w:val="007144F7"/>
    <w:rsid w:val="007149A3"/>
    <w:rsid w:val="0073495A"/>
    <w:rsid w:val="00734C19"/>
    <w:rsid w:val="0073528A"/>
    <w:rsid w:val="007430A2"/>
    <w:rsid w:val="00743B1F"/>
    <w:rsid w:val="0075684F"/>
    <w:rsid w:val="00762B91"/>
    <w:rsid w:val="0077540E"/>
    <w:rsid w:val="00777A68"/>
    <w:rsid w:val="007876D7"/>
    <w:rsid w:val="00793D81"/>
    <w:rsid w:val="007950E9"/>
    <w:rsid w:val="007953AB"/>
    <w:rsid w:val="007A54F1"/>
    <w:rsid w:val="007B0A98"/>
    <w:rsid w:val="007B0F78"/>
    <w:rsid w:val="007B362E"/>
    <w:rsid w:val="007B522F"/>
    <w:rsid w:val="007D0816"/>
    <w:rsid w:val="007D4850"/>
    <w:rsid w:val="007D6A4C"/>
    <w:rsid w:val="007D6C55"/>
    <w:rsid w:val="007E48EE"/>
    <w:rsid w:val="007E6758"/>
    <w:rsid w:val="007F0761"/>
    <w:rsid w:val="007F77DD"/>
    <w:rsid w:val="0080378F"/>
    <w:rsid w:val="00806FC0"/>
    <w:rsid w:val="00812B10"/>
    <w:rsid w:val="008148E0"/>
    <w:rsid w:val="008170F2"/>
    <w:rsid w:val="008255DD"/>
    <w:rsid w:val="00826E59"/>
    <w:rsid w:val="00833022"/>
    <w:rsid w:val="00834AD0"/>
    <w:rsid w:val="00835F56"/>
    <w:rsid w:val="00855F5E"/>
    <w:rsid w:val="00861AA7"/>
    <w:rsid w:val="00864448"/>
    <w:rsid w:val="00876AA7"/>
    <w:rsid w:val="00877A0D"/>
    <w:rsid w:val="00877D15"/>
    <w:rsid w:val="00883FE0"/>
    <w:rsid w:val="008977BC"/>
    <w:rsid w:val="008A17B7"/>
    <w:rsid w:val="008A4CD7"/>
    <w:rsid w:val="008A70EF"/>
    <w:rsid w:val="008B40D7"/>
    <w:rsid w:val="008B596A"/>
    <w:rsid w:val="008C5762"/>
    <w:rsid w:val="008D1A31"/>
    <w:rsid w:val="008E7D8D"/>
    <w:rsid w:val="008F1936"/>
    <w:rsid w:val="008F315D"/>
    <w:rsid w:val="00903282"/>
    <w:rsid w:val="00906DDB"/>
    <w:rsid w:val="00910395"/>
    <w:rsid w:val="00910A6E"/>
    <w:rsid w:val="00911863"/>
    <w:rsid w:val="009212C9"/>
    <w:rsid w:val="0092293A"/>
    <w:rsid w:val="00922AD4"/>
    <w:rsid w:val="0093340B"/>
    <w:rsid w:val="009357E9"/>
    <w:rsid w:val="009427C7"/>
    <w:rsid w:val="00945896"/>
    <w:rsid w:val="00946317"/>
    <w:rsid w:val="0095163C"/>
    <w:rsid w:val="0095725C"/>
    <w:rsid w:val="00961C2D"/>
    <w:rsid w:val="00982C61"/>
    <w:rsid w:val="00985F22"/>
    <w:rsid w:val="009875E0"/>
    <w:rsid w:val="00990848"/>
    <w:rsid w:val="00991C0F"/>
    <w:rsid w:val="0099339D"/>
    <w:rsid w:val="0099573B"/>
    <w:rsid w:val="009960B6"/>
    <w:rsid w:val="009A0E5E"/>
    <w:rsid w:val="009A312C"/>
    <w:rsid w:val="009A5751"/>
    <w:rsid w:val="009B4C76"/>
    <w:rsid w:val="009C37FA"/>
    <w:rsid w:val="009C5B21"/>
    <w:rsid w:val="009C62AC"/>
    <w:rsid w:val="009C75BA"/>
    <w:rsid w:val="009D2A79"/>
    <w:rsid w:val="009E3245"/>
    <w:rsid w:val="009E3D0C"/>
    <w:rsid w:val="009E4FC0"/>
    <w:rsid w:val="009E7A4A"/>
    <w:rsid w:val="009F3A37"/>
    <w:rsid w:val="009F3DF6"/>
    <w:rsid w:val="00A140BE"/>
    <w:rsid w:val="00A211B6"/>
    <w:rsid w:val="00A236D5"/>
    <w:rsid w:val="00A5510A"/>
    <w:rsid w:val="00A5627B"/>
    <w:rsid w:val="00A77685"/>
    <w:rsid w:val="00A81268"/>
    <w:rsid w:val="00A83887"/>
    <w:rsid w:val="00A86A0D"/>
    <w:rsid w:val="00AA60B2"/>
    <w:rsid w:val="00AB5DB8"/>
    <w:rsid w:val="00AE0AD1"/>
    <w:rsid w:val="00AE6D42"/>
    <w:rsid w:val="00AF4144"/>
    <w:rsid w:val="00AF4D01"/>
    <w:rsid w:val="00B26EB0"/>
    <w:rsid w:val="00B424A5"/>
    <w:rsid w:val="00B4344B"/>
    <w:rsid w:val="00B5294A"/>
    <w:rsid w:val="00B80986"/>
    <w:rsid w:val="00B82242"/>
    <w:rsid w:val="00B82289"/>
    <w:rsid w:val="00B87DA6"/>
    <w:rsid w:val="00B916B1"/>
    <w:rsid w:val="00B94C52"/>
    <w:rsid w:val="00BA1AC5"/>
    <w:rsid w:val="00BA1DD0"/>
    <w:rsid w:val="00BC19D0"/>
    <w:rsid w:val="00BD2B2E"/>
    <w:rsid w:val="00BE645E"/>
    <w:rsid w:val="00BF1CA3"/>
    <w:rsid w:val="00C05F99"/>
    <w:rsid w:val="00C11121"/>
    <w:rsid w:val="00C11BC2"/>
    <w:rsid w:val="00C1224C"/>
    <w:rsid w:val="00C17C9C"/>
    <w:rsid w:val="00C24101"/>
    <w:rsid w:val="00C263AA"/>
    <w:rsid w:val="00C75BF6"/>
    <w:rsid w:val="00C913EA"/>
    <w:rsid w:val="00C95A70"/>
    <w:rsid w:val="00C97770"/>
    <w:rsid w:val="00C97F8B"/>
    <w:rsid w:val="00CB2799"/>
    <w:rsid w:val="00CB396C"/>
    <w:rsid w:val="00CB668F"/>
    <w:rsid w:val="00CB6EAE"/>
    <w:rsid w:val="00CC28A7"/>
    <w:rsid w:val="00CC3A72"/>
    <w:rsid w:val="00CD0079"/>
    <w:rsid w:val="00CD12DB"/>
    <w:rsid w:val="00CD2E1A"/>
    <w:rsid w:val="00CD51CB"/>
    <w:rsid w:val="00CE7BE5"/>
    <w:rsid w:val="00CE7D03"/>
    <w:rsid w:val="00D01681"/>
    <w:rsid w:val="00D05F88"/>
    <w:rsid w:val="00D068DA"/>
    <w:rsid w:val="00D11CED"/>
    <w:rsid w:val="00D12346"/>
    <w:rsid w:val="00D1258B"/>
    <w:rsid w:val="00D14D29"/>
    <w:rsid w:val="00D153C7"/>
    <w:rsid w:val="00D2487F"/>
    <w:rsid w:val="00D260B4"/>
    <w:rsid w:val="00D263E1"/>
    <w:rsid w:val="00D308AC"/>
    <w:rsid w:val="00D31C32"/>
    <w:rsid w:val="00D33C68"/>
    <w:rsid w:val="00D351B6"/>
    <w:rsid w:val="00D35455"/>
    <w:rsid w:val="00D369BC"/>
    <w:rsid w:val="00D569E1"/>
    <w:rsid w:val="00D647FF"/>
    <w:rsid w:val="00D762D4"/>
    <w:rsid w:val="00D77FD5"/>
    <w:rsid w:val="00D82277"/>
    <w:rsid w:val="00D82334"/>
    <w:rsid w:val="00D83627"/>
    <w:rsid w:val="00D84344"/>
    <w:rsid w:val="00D91BA5"/>
    <w:rsid w:val="00D93BF9"/>
    <w:rsid w:val="00D94253"/>
    <w:rsid w:val="00DA17C6"/>
    <w:rsid w:val="00DA27D4"/>
    <w:rsid w:val="00DA5AB4"/>
    <w:rsid w:val="00DC23EC"/>
    <w:rsid w:val="00DC4AEB"/>
    <w:rsid w:val="00DC5235"/>
    <w:rsid w:val="00DD15DF"/>
    <w:rsid w:val="00DD5583"/>
    <w:rsid w:val="00DD5608"/>
    <w:rsid w:val="00DD57C8"/>
    <w:rsid w:val="00DD6DAD"/>
    <w:rsid w:val="00DF2FC4"/>
    <w:rsid w:val="00DF685C"/>
    <w:rsid w:val="00E070BA"/>
    <w:rsid w:val="00E12CC6"/>
    <w:rsid w:val="00E13073"/>
    <w:rsid w:val="00E1532C"/>
    <w:rsid w:val="00E21DE9"/>
    <w:rsid w:val="00E25E95"/>
    <w:rsid w:val="00E302FC"/>
    <w:rsid w:val="00E33D16"/>
    <w:rsid w:val="00E36D5C"/>
    <w:rsid w:val="00E40408"/>
    <w:rsid w:val="00E521FB"/>
    <w:rsid w:val="00E66B22"/>
    <w:rsid w:val="00E836EA"/>
    <w:rsid w:val="00EB0798"/>
    <w:rsid w:val="00EB5EC9"/>
    <w:rsid w:val="00EB70C1"/>
    <w:rsid w:val="00EC4B17"/>
    <w:rsid w:val="00EC6516"/>
    <w:rsid w:val="00EC733A"/>
    <w:rsid w:val="00ED0BDD"/>
    <w:rsid w:val="00EE6648"/>
    <w:rsid w:val="00EF6979"/>
    <w:rsid w:val="00EF6AB8"/>
    <w:rsid w:val="00F15936"/>
    <w:rsid w:val="00F219A7"/>
    <w:rsid w:val="00F456D6"/>
    <w:rsid w:val="00F708AA"/>
    <w:rsid w:val="00F70F44"/>
    <w:rsid w:val="00F83A58"/>
    <w:rsid w:val="00F95F71"/>
    <w:rsid w:val="00FA3D22"/>
    <w:rsid w:val="00FC41E7"/>
    <w:rsid w:val="00FD0DEC"/>
    <w:rsid w:val="00FD13AC"/>
    <w:rsid w:val="00FE2AEF"/>
    <w:rsid w:val="00FF1D38"/>
    <w:rsid w:val="00FF2968"/>
    <w:rsid w:val="00FF439D"/>
    <w:rsid w:val="00FF60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6BBB4"/>
  <w15:chartTrackingRefBased/>
  <w15:docId w15:val="{5C9A59FA-467C-4BED-865F-38148D699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C4"/>
  </w:style>
  <w:style w:type="paragraph" w:styleId="Heading1">
    <w:name w:val="heading 1"/>
    <w:basedOn w:val="Normal"/>
    <w:next w:val="Normal"/>
    <w:link w:val="Heading1Char"/>
    <w:uiPriority w:val="9"/>
    <w:qFormat/>
    <w:rsid w:val="001F594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1F594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1F5945"/>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1F5945"/>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1F5945"/>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1F59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59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59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59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5945"/>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1F5945"/>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F5945"/>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1F5945"/>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1F5945"/>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1F59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59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59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5945"/>
    <w:rPr>
      <w:rFonts w:eastAsiaTheme="majorEastAsia" w:cstheme="majorBidi"/>
      <w:color w:val="272727" w:themeColor="text1" w:themeTint="D8"/>
    </w:rPr>
  </w:style>
  <w:style w:type="paragraph" w:styleId="Title">
    <w:name w:val="Title"/>
    <w:basedOn w:val="Normal"/>
    <w:next w:val="Normal"/>
    <w:link w:val="TitleChar"/>
    <w:uiPriority w:val="10"/>
    <w:qFormat/>
    <w:rsid w:val="001F59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59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59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59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5945"/>
    <w:pPr>
      <w:spacing w:before="160"/>
      <w:jc w:val="center"/>
    </w:pPr>
    <w:rPr>
      <w:i/>
      <w:iCs/>
      <w:color w:val="404040" w:themeColor="text1" w:themeTint="BF"/>
    </w:rPr>
  </w:style>
  <w:style w:type="character" w:customStyle="1" w:styleId="QuoteChar">
    <w:name w:val="Quote Char"/>
    <w:basedOn w:val="DefaultParagraphFont"/>
    <w:link w:val="Quote"/>
    <w:uiPriority w:val="29"/>
    <w:rsid w:val="001F5945"/>
    <w:rPr>
      <w:i/>
      <w:iCs/>
      <w:color w:val="404040" w:themeColor="text1" w:themeTint="BF"/>
    </w:rPr>
  </w:style>
  <w:style w:type="paragraph" w:styleId="ListParagraph">
    <w:name w:val="List Paragraph"/>
    <w:basedOn w:val="Normal"/>
    <w:uiPriority w:val="34"/>
    <w:qFormat/>
    <w:rsid w:val="001F5945"/>
    <w:pPr>
      <w:ind w:left="720"/>
      <w:contextualSpacing/>
    </w:pPr>
  </w:style>
  <w:style w:type="character" w:styleId="IntenseEmphasis">
    <w:name w:val="Intense Emphasis"/>
    <w:basedOn w:val="DefaultParagraphFont"/>
    <w:uiPriority w:val="21"/>
    <w:qFormat/>
    <w:rsid w:val="001F5945"/>
    <w:rPr>
      <w:i/>
      <w:iCs/>
      <w:color w:val="2E74B5" w:themeColor="accent1" w:themeShade="BF"/>
    </w:rPr>
  </w:style>
  <w:style w:type="paragraph" w:styleId="IntenseQuote">
    <w:name w:val="Intense Quote"/>
    <w:basedOn w:val="Normal"/>
    <w:next w:val="Normal"/>
    <w:link w:val="IntenseQuoteChar"/>
    <w:uiPriority w:val="30"/>
    <w:qFormat/>
    <w:rsid w:val="001F594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1F5945"/>
    <w:rPr>
      <w:i/>
      <w:iCs/>
      <w:color w:val="2E74B5" w:themeColor="accent1" w:themeShade="BF"/>
    </w:rPr>
  </w:style>
  <w:style w:type="character" w:styleId="IntenseReference">
    <w:name w:val="Intense Reference"/>
    <w:basedOn w:val="DefaultParagraphFont"/>
    <w:uiPriority w:val="32"/>
    <w:qFormat/>
    <w:rsid w:val="001F5945"/>
    <w:rPr>
      <w:b/>
      <w:bCs/>
      <w:smallCaps/>
      <w:color w:val="2E74B5" w:themeColor="accent1" w:themeShade="BF"/>
      <w:spacing w:val="5"/>
    </w:rPr>
  </w:style>
  <w:style w:type="paragraph" w:styleId="Header">
    <w:name w:val="header"/>
    <w:basedOn w:val="Normal"/>
    <w:link w:val="HeaderChar"/>
    <w:uiPriority w:val="99"/>
    <w:unhideWhenUsed/>
    <w:rsid w:val="001F59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5945"/>
  </w:style>
  <w:style w:type="paragraph" w:styleId="Footer">
    <w:name w:val="footer"/>
    <w:basedOn w:val="Normal"/>
    <w:link w:val="FooterChar"/>
    <w:uiPriority w:val="99"/>
    <w:unhideWhenUsed/>
    <w:rsid w:val="001F59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5945"/>
  </w:style>
  <w:style w:type="table" w:styleId="TableGrid">
    <w:name w:val="Table Grid"/>
    <w:basedOn w:val="TableNormal"/>
    <w:uiPriority w:val="39"/>
    <w:rsid w:val="001F5945"/>
    <w:pPr>
      <w:spacing w:after="0" w:line="240" w:lineRule="auto"/>
    </w:pPr>
    <w:rPr>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A5CC4"/>
    <w:rPr>
      <w:rFonts w:ascii="Times New Roman" w:hAnsi="Times New Roman" w:cs="Times New Roman"/>
      <w:sz w:val="24"/>
      <w:szCs w:val="24"/>
    </w:rPr>
  </w:style>
  <w:style w:type="character" w:styleId="Hyperlink">
    <w:name w:val="Hyperlink"/>
    <w:basedOn w:val="DefaultParagraphFont"/>
    <w:uiPriority w:val="99"/>
    <w:unhideWhenUsed/>
    <w:rsid w:val="009C5B21"/>
    <w:rPr>
      <w:color w:val="0563C1" w:themeColor="hyperlink"/>
      <w:u w:val="single"/>
    </w:rPr>
  </w:style>
  <w:style w:type="character" w:styleId="UnresolvedMention">
    <w:name w:val="Unresolved Mention"/>
    <w:basedOn w:val="DefaultParagraphFont"/>
    <w:uiPriority w:val="99"/>
    <w:semiHidden/>
    <w:unhideWhenUsed/>
    <w:rsid w:val="009C5B21"/>
    <w:rPr>
      <w:color w:val="605E5C"/>
      <w:shd w:val="clear" w:color="auto" w:fill="E1DFDD"/>
    </w:rPr>
  </w:style>
  <w:style w:type="character" w:styleId="CommentReference">
    <w:name w:val="annotation reference"/>
    <w:basedOn w:val="DefaultParagraphFont"/>
    <w:uiPriority w:val="99"/>
    <w:semiHidden/>
    <w:unhideWhenUsed/>
    <w:rsid w:val="00AF4D01"/>
    <w:rPr>
      <w:sz w:val="16"/>
      <w:szCs w:val="16"/>
    </w:rPr>
  </w:style>
  <w:style w:type="paragraph" w:styleId="CommentText">
    <w:name w:val="annotation text"/>
    <w:basedOn w:val="Normal"/>
    <w:link w:val="CommentTextChar"/>
    <w:uiPriority w:val="99"/>
    <w:unhideWhenUsed/>
    <w:rsid w:val="00AF4D01"/>
    <w:pPr>
      <w:spacing w:line="240" w:lineRule="auto"/>
    </w:pPr>
    <w:rPr>
      <w:sz w:val="20"/>
      <w:szCs w:val="20"/>
    </w:rPr>
  </w:style>
  <w:style w:type="character" w:customStyle="1" w:styleId="CommentTextChar">
    <w:name w:val="Comment Text Char"/>
    <w:basedOn w:val="DefaultParagraphFont"/>
    <w:link w:val="CommentText"/>
    <w:uiPriority w:val="99"/>
    <w:rsid w:val="00AF4D01"/>
    <w:rPr>
      <w:sz w:val="20"/>
      <w:szCs w:val="20"/>
    </w:rPr>
  </w:style>
  <w:style w:type="paragraph" w:styleId="CommentSubject">
    <w:name w:val="annotation subject"/>
    <w:basedOn w:val="CommentText"/>
    <w:next w:val="CommentText"/>
    <w:link w:val="CommentSubjectChar"/>
    <w:uiPriority w:val="99"/>
    <w:semiHidden/>
    <w:unhideWhenUsed/>
    <w:rsid w:val="00AF4D01"/>
    <w:rPr>
      <w:b/>
      <w:bCs/>
    </w:rPr>
  </w:style>
  <w:style w:type="character" w:customStyle="1" w:styleId="CommentSubjectChar">
    <w:name w:val="Comment Subject Char"/>
    <w:basedOn w:val="CommentTextChar"/>
    <w:link w:val="CommentSubject"/>
    <w:uiPriority w:val="99"/>
    <w:semiHidden/>
    <w:rsid w:val="00AF4D01"/>
    <w:rPr>
      <w:b/>
      <w:bCs/>
      <w:sz w:val="20"/>
      <w:szCs w:val="20"/>
    </w:rPr>
  </w:style>
  <w:style w:type="character" w:styleId="Strong">
    <w:name w:val="Strong"/>
    <w:basedOn w:val="DefaultParagraphFont"/>
    <w:uiPriority w:val="22"/>
    <w:qFormat/>
    <w:rsid w:val="006D2A81"/>
    <w:rPr>
      <w:b/>
      <w:bCs/>
    </w:rPr>
  </w:style>
  <w:style w:type="paragraph" w:styleId="Revision">
    <w:name w:val="Revision"/>
    <w:hidden/>
    <w:uiPriority w:val="99"/>
    <w:semiHidden/>
    <w:rsid w:val="008037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38037">
      <w:bodyDiv w:val="1"/>
      <w:marLeft w:val="0"/>
      <w:marRight w:val="0"/>
      <w:marTop w:val="0"/>
      <w:marBottom w:val="0"/>
      <w:divBdr>
        <w:top w:val="none" w:sz="0" w:space="0" w:color="auto"/>
        <w:left w:val="none" w:sz="0" w:space="0" w:color="auto"/>
        <w:bottom w:val="none" w:sz="0" w:space="0" w:color="auto"/>
        <w:right w:val="none" w:sz="0" w:space="0" w:color="auto"/>
      </w:divBdr>
    </w:div>
    <w:div w:id="28461894">
      <w:bodyDiv w:val="1"/>
      <w:marLeft w:val="0"/>
      <w:marRight w:val="0"/>
      <w:marTop w:val="0"/>
      <w:marBottom w:val="0"/>
      <w:divBdr>
        <w:top w:val="none" w:sz="0" w:space="0" w:color="auto"/>
        <w:left w:val="none" w:sz="0" w:space="0" w:color="auto"/>
        <w:bottom w:val="none" w:sz="0" w:space="0" w:color="auto"/>
        <w:right w:val="none" w:sz="0" w:space="0" w:color="auto"/>
      </w:divBdr>
    </w:div>
    <w:div w:id="126167278">
      <w:bodyDiv w:val="1"/>
      <w:marLeft w:val="0"/>
      <w:marRight w:val="0"/>
      <w:marTop w:val="0"/>
      <w:marBottom w:val="0"/>
      <w:divBdr>
        <w:top w:val="none" w:sz="0" w:space="0" w:color="auto"/>
        <w:left w:val="none" w:sz="0" w:space="0" w:color="auto"/>
        <w:bottom w:val="none" w:sz="0" w:space="0" w:color="auto"/>
        <w:right w:val="none" w:sz="0" w:space="0" w:color="auto"/>
      </w:divBdr>
    </w:div>
    <w:div w:id="887258750">
      <w:bodyDiv w:val="1"/>
      <w:marLeft w:val="0"/>
      <w:marRight w:val="0"/>
      <w:marTop w:val="0"/>
      <w:marBottom w:val="0"/>
      <w:divBdr>
        <w:top w:val="none" w:sz="0" w:space="0" w:color="auto"/>
        <w:left w:val="none" w:sz="0" w:space="0" w:color="auto"/>
        <w:bottom w:val="none" w:sz="0" w:space="0" w:color="auto"/>
        <w:right w:val="none" w:sz="0" w:space="0" w:color="auto"/>
      </w:divBdr>
    </w:div>
    <w:div w:id="1219123947">
      <w:bodyDiv w:val="1"/>
      <w:marLeft w:val="0"/>
      <w:marRight w:val="0"/>
      <w:marTop w:val="0"/>
      <w:marBottom w:val="0"/>
      <w:divBdr>
        <w:top w:val="none" w:sz="0" w:space="0" w:color="auto"/>
        <w:left w:val="none" w:sz="0" w:space="0" w:color="auto"/>
        <w:bottom w:val="none" w:sz="0" w:space="0" w:color="auto"/>
        <w:right w:val="none" w:sz="0" w:space="0" w:color="auto"/>
      </w:divBdr>
    </w:div>
    <w:div w:id="200003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tegrity360-my.sharepoint.com/personal/tom_smith_integrity360_com/_layouts/15/Doc.aspx?sourcedoc=%7B81BC75F9-7B9C-4E0A-B9F8-8661F9EE4295%7D&amp;file=Cyber%20Security%20Consultancy%20and%20Technical%20Services%20RFT%20%281%29.docx&amp;action=default&amp;mobileredirect=tru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tegrity360-my.sharepoint.com/personal/tom_smith_integrity360_com/_layouts/15/Doc.aspx?sourcedoc=%7B81BC75F9-7B9C-4E0A-B9F8-8661F9EE4295%7D&amp;file=Cyber%20Security%20Consultancy%20and%20Technical%20Services%20RFT%20%281%29.docx&amp;action=default&amp;mobileredirect=tru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tegrity360-my.sharepoint.com/personal/tom_smith_integrity360_com/_layouts/15/Doc.aspx?sourcedoc=%7B81BC75F9-7B9C-4E0A-B9F8-8661F9EE4295%7D&amp;file=Cyber%20Security%20Consultancy%20and%20Technical%20Services%20RFT%20%281%29.docx&amp;action=default&amp;mobileredirect=tru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7C197E06BF43B24C816BDCFDD5217585" ma:contentTypeVersion="253" ma:contentTypeDescription="" ma:contentTypeScope="" ma:versionID="a9c613abb20ac40271e93ec1c74854c3">
  <xsd:schema xmlns:xsd="http://www.w3.org/2001/XMLSchema" xmlns:xs="http://www.w3.org/2001/XMLSchema" xmlns:p="http://schemas.microsoft.com/office/2006/metadata/properties" xmlns:ns2="12d4f2b2-8817-46bf-a457-718d525bdc52" targetNamespace="http://schemas.microsoft.com/office/2006/metadata/properties" ma:root="true" ma:fieldsID="c9e2dd6de8612ccc43d07bccee80a282" ns2:_="">
    <xsd:import namespace="12d4f2b2-8817-46bf-a457-718d525bdc52"/>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d4f2b2-8817-46bf-a457-718d525bdc52"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82df1f26-905b-4fb1-806b-4eb0f78c484c}" ma:internalName="TaxCatchAll" ma:showField="CatchAllData" ma:web="12d4f2b2-8817-46bf-a457-718d525bdc5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2df1f26-905b-4fb1-806b-4eb0f78c484c}" ma:internalName="TaxCatchAllLabel" ma:readOnly="true" ma:showField="CatchAllDataLabel" ma:web="12d4f2b2-8817-46bf-a457-718d525bdc52">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73|8ae29418-19bc-4b86-b25d-93a2773e5b8d" ma:fieldId="{11f8bb48-43d6-459a-8b80-9123185593c7}" ma:sspId="57e7e60b-f886-4616-80e3-4ff9016d03ec" ma:termSetId="b3889887-9a7c-400c-b02c-24a256b2a331"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57e7e60b-f886-4616-80e3-4ff9016d03ec" ma:termSetId="a18e9c84-e14d-404b-82c6-13f8f0a7cda7"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57e7e60b-f886-4616-80e3-4ff9016d03ec" ma:termSetId="7dc88cf9-f866-48b2-9aa6-be053ad3b2f7"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4b26ba5a-b2cf-4159-a102-fb5f4f13f242" ma:fieldId="{6bbd3faf-a5ab-4e5e-b8a6-a5e099cef439}" ma:sspId="57e7e60b-f886-4616-80e3-4ff9016d03ec" ma:termSetId="288cfce8-12ec-42a5-9c92-0acebe80e926"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57e7e60b-f886-4616-80e3-4ff9016d03ec" ma:termSetId="7dc88cf9-f866-48b2-9aa6-be053ad3b2f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bbd3fafa5ab4e5eb8a6a5e099cef439 xmlns="12d4f2b2-8817-46bf-a457-718d525bdc52">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4b26ba5a-b2cf-4159-a102-fb5f4f13f242</TermId>
        </TermInfo>
      </Terms>
    </mbbd3fafa5ab4e5eb8a6a5e099cef439>
    <TaxCatchAll xmlns="12d4f2b2-8817-46bf-a457-718d525bdc52">
      <Value>79</Value>
      <Value>9</Value>
      <Value>93</Value>
      <Value>4</Value>
      <Value>1</Value>
      <Value>8</Value>
    </TaxCatchAll>
    <h1f8bb4843d6459a8b809123185593c7 xmlns="12d4f2b2-8817-46bf-a457-718d525bdc52">
      <Terms xmlns="http://schemas.microsoft.com/office/infopath/2007/PartnerControls">
        <TermInfo xmlns="http://schemas.microsoft.com/office/infopath/2007/PartnerControls">
          <TermName xmlns="http://schemas.microsoft.com/office/infopath/2007/PartnerControls">073</TermName>
          <TermId xmlns="http://schemas.microsoft.com/office/infopath/2007/PartnerControls">8ae29418-19bc-4b86-b25d-93a2773e5b8d</TermId>
        </TermInfo>
      </Terms>
    </h1f8bb4843d6459a8b809123185593c7>
    <eDocs_eFileName xmlns="12d4f2b2-8817-46bf-a457-718d525bdc52">DCYA073-016-2025</eDocs_eFileName>
    <fbaa881fc4ae443f9fdafbdd527793df xmlns="12d4f2b2-8817-46bf-a457-718d525bdc52">
      <Terms xmlns="http://schemas.microsoft.com/office/infopath/2007/PartnerControls"/>
    </fbaa881fc4ae443f9fdafbdd527793df>
    <eDocs_FileStatus xmlns="12d4f2b2-8817-46bf-a457-718d525bdc52">Live</eDocs_FileStatus>
    <nb1b8a72855341e18dd75ce464e281f2 xmlns="12d4f2b2-8817-46bf-a457-718d525bdc52">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7124070a-9fc1-4944-b950-017d25087367</TermId>
        </TermInfo>
      </Terms>
    </nb1b8a72855341e18dd75ce464e281f2>
    <_vti_ItemDeclaredRecord xmlns="12d4f2b2-8817-46bf-a457-718d525bdc52" xsi:nil="true"/>
    <m02c691f3efa402dab5cbaa8c240a9e7 xmlns="12d4f2b2-8817-46bf-a457-718d525bdc52">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7a96756c-76d1-43cf-81b5-9942e234800f</TermId>
        </TermInfo>
        <TermInfo xmlns="http://schemas.microsoft.com/office/infopath/2007/PartnerControls">
          <TermName xmlns="http://schemas.microsoft.com/office/infopath/2007/PartnerControls">#Security</TermName>
          <TermId xmlns="http://schemas.microsoft.com/office/infopath/2007/PartnerControls">3ee5cb4b-6a7c-4ec8-92f4-d08d47967257</TermId>
        </TermInfo>
        <TermInfo xmlns="http://schemas.microsoft.com/office/infopath/2007/PartnerControls">
          <TermName xmlns="http://schemas.microsoft.com/office/infopath/2007/PartnerControls">#ICT</TermName>
          <TermId xmlns="http://schemas.microsoft.com/office/infopath/2007/PartnerControls">0036c144-f28b-48b6-9232-654f5564bea2</TermId>
        </TermInfo>
      </Terms>
    </m02c691f3efa402dab5cbaa8c240a9e7>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F0F91B-E188-4ABC-AA5A-1771EAE4F446}">
  <ds:schemaRefs>
    <ds:schemaRef ds:uri="http://schemas.microsoft.com/sharepoint/v3/contenttype/forms"/>
  </ds:schemaRefs>
</ds:datastoreItem>
</file>

<file path=customXml/itemProps2.xml><?xml version="1.0" encoding="utf-8"?>
<ds:datastoreItem xmlns:ds="http://schemas.openxmlformats.org/officeDocument/2006/customXml" ds:itemID="{AB766286-D144-4209-99C6-8712D69E65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d4f2b2-8817-46bf-a457-718d525bdc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BB7AC2-EEE1-4320-902B-D4ED50F7AE6D}">
  <ds:schemaRefs>
    <ds:schemaRef ds:uri="http://schemas.microsoft.com/office/2006/metadata/properties"/>
    <ds:schemaRef ds:uri="http://schemas.microsoft.com/office/infopath/2007/PartnerControls"/>
    <ds:schemaRef ds:uri="12d4f2b2-8817-46bf-a457-718d525bdc52"/>
  </ds:schemaRefs>
</ds:datastoreItem>
</file>

<file path=customXml/itemProps4.xml><?xml version="1.0" encoding="utf-8"?>
<ds:datastoreItem xmlns:ds="http://schemas.openxmlformats.org/officeDocument/2006/customXml" ds:itemID="{96ECA52E-BE34-4C5A-8F78-D29F1F8B9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71</Pages>
  <Words>26845</Words>
  <Characters>153020</Characters>
  <Application>Microsoft Office Word</Application>
  <DocSecurity>0</DocSecurity>
  <Lines>1275</Lines>
  <Paragraphs>359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Muldoon (DCDE)</dc:creator>
  <cp:keywords/>
  <dc:description/>
  <cp:lastModifiedBy>Barry Brennan (DCDE)</cp:lastModifiedBy>
  <cp:revision>3</cp:revision>
  <dcterms:created xsi:type="dcterms:W3CDTF">2026-08-17T14:50:00Z</dcterms:created>
  <dcterms:modified xsi:type="dcterms:W3CDTF">2026-08-18T14:34:00Z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0x0101000BC94875665D404BB1351B53C41FD2C0007C197E06BF43B24C816BDCFDD5217585</vt:lpwstr>
  </property>
  <property fmtid="{D5CDD505-2E9C-101B-9397-08002B2CF9AE}" pid="3" name="eDocs_Series">
    <vt:lpwstr>1;#073|8ae29418-19bc-4b86-b25d-93a2773e5b8d</vt:lpwstr>
  </property>
  <property fmtid="{D5CDD505-2E9C-101B-9397-08002B2CF9AE}" pid="4" name="eDocs_SecurityClassification">
    <vt:lpwstr>4;#Unclassified|4b26ba5a-b2cf-4159-a102-fb5f4f13f242</vt:lpwstr>
  </property>
  <property fmtid="{D5CDD505-2E9C-101B-9397-08002B2CF9AE}" pid="5" name="eDocs_Year">
    <vt:lpwstr>79;#2025|7124070a-9fc1-4944-b950-017d25087367</vt:lpwstr>
  </property>
  <property fmtid="{D5CDD505-2E9C-101B-9397-08002B2CF9AE}" pid="6" name="ge25f6a3ef6f42d4865685f2a74bf8c7">
    <vt:lpwstr/>
  </property>
  <property fmtid="{D5CDD505-2E9C-101B-9397-08002B2CF9AE}" pid="7" name="eDocs_FileTopics">
    <vt:lpwstr>9;#Procurement|7a96756c-76d1-43cf-81b5-9942e234800f;#93;##Security|3ee5cb4b-6a7c-4ec8-92f4-d08d47967257;#8;##ICT|0036c144-f28b-48b6-9232-654f5564bea2</vt:lpwstr>
  </property>
  <property fmtid="{D5CDD505-2E9C-101B-9397-08002B2CF9AE}" pid="8" name="eDocs_DocumentTopics">
    <vt:lpwstr/>
  </property>
  <property fmtid="{D5CDD505-2E9C-101B-9397-08002B2CF9AE}" pid="9" name="eDocs_RetentionPeriodTerm">
    <vt:lpwstr/>
  </property>
  <property fmtid="{D5CDD505-2E9C-101B-9397-08002B2CF9AE}" pid="10" name="GrammarlyDocumentId">
    <vt:lpwstr>50a20c82-516d-4346-9616-cc7c63f408a3</vt:lpwstr>
  </property>
</Properties>
</file>