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7711"/>
      </w:tblGrid>
      <w:tr w:rsidR="00496697" w14:paraId="49475EA9" w14:textId="77777777" w:rsidTr="5ADB1813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301D" w14:textId="77777777" w:rsidR="00496697" w:rsidRDefault="003E64B7">
            <w:pPr>
              <w:spacing w:after="0" w:line="240" w:lineRule="auto"/>
            </w:pPr>
            <w:r>
              <w:t>Q1</w:t>
            </w:r>
          </w:p>
        </w:tc>
        <w:tc>
          <w:tcPr>
            <w:tcW w:w="7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4BA8" w14:textId="77777777" w:rsidR="00CA21EB" w:rsidRPr="00B736F8" w:rsidRDefault="00CA21EB" w:rsidP="008822E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736F8">
              <w:rPr>
                <w:rFonts w:ascii="Calibri" w:hAnsi="Calibri" w:cs="Calibri"/>
                <w:b/>
                <w:bCs/>
              </w:rPr>
              <w:t>Scope of the 30 November 2026 Deadline (RFT Section D Appendix 1, D2 and D8)</w:t>
            </w:r>
          </w:p>
          <w:p w14:paraId="39681A7D" w14:textId="77777777" w:rsidR="00CA21EB" w:rsidRPr="00B736F8" w:rsidRDefault="00CA21EB" w:rsidP="008822E3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C85BF4" w14:textId="77777777" w:rsidR="00B711C8" w:rsidRDefault="00CA21EB" w:rsidP="008822E3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736F8">
              <w:rPr>
                <w:rFonts w:ascii="Calibri" w:hAnsi="Calibri" w:cs="Calibri"/>
              </w:rPr>
              <w:t xml:space="preserve">The RFT states that the instrument must be fully installed and operational no later than 30 November 2026. </w:t>
            </w:r>
          </w:p>
          <w:p w14:paraId="5A53FA28" w14:textId="77777777" w:rsidR="00B711C8" w:rsidRDefault="00B711C8" w:rsidP="008822E3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C4B0346" w14:textId="367C519E" w:rsidR="00CA21EB" w:rsidRDefault="00CA21EB" w:rsidP="008822E3">
            <w:pPr>
              <w:spacing w:after="0" w:line="240" w:lineRule="auto"/>
              <w:jc w:val="both"/>
            </w:pPr>
            <w:r w:rsidRPr="00B736F8">
              <w:rPr>
                <w:rFonts w:ascii="Calibri" w:hAnsi="Calibri" w:cs="Calibri"/>
              </w:rPr>
              <w:t>Could TU Dublin confirm whether this deadline applies to the entire Upgrade Package as a whole- including the AFP, high-temperature thermoplastic processing (flashlamp), </w:t>
            </w:r>
            <w:r w:rsidRPr="00B736F8">
              <w:rPr>
                <w:rFonts w:ascii="Calibri" w:hAnsi="Calibri" w:cs="Calibri"/>
                <w:b/>
                <w:bCs/>
              </w:rPr>
              <w:t>and</w:t>
            </w:r>
            <w:r w:rsidRPr="00B736F8">
              <w:rPr>
                <w:rFonts w:ascii="Calibri" w:hAnsi="Calibri" w:cs="Calibri"/>
              </w:rPr>
              <w:t> the additive manufacturing (3D printing) component; </w:t>
            </w:r>
            <w:r w:rsidRPr="00B736F8">
              <w:rPr>
                <w:rFonts w:ascii="Calibri" w:hAnsi="Calibri" w:cs="Calibri"/>
                <w:b/>
                <w:bCs/>
              </w:rPr>
              <w:t>or</w:t>
            </w:r>
            <w:r w:rsidRPr="00B736F8">
              <w:rPr>
                <w:rFonts w:ascii="Calibri" w:hAnsi="Calibri" w:cs="Calibri"/>
              </w:rPr>
              <w:t> whether the deadline specifically relates to the core AFP and high-temperature thermoplastic upgrade, with the additive manufacturing component permitted to follow on a separate timeline?</w:t>
            </w:r>
          </w:p>
          <w:p w14:paraId="19360AC1" w14:textId="77777777" w:rsidR="00D1019A" w:rsidRDefault="00D1019A" w:rsidP="008822E3">
            <w:pPr>
              <w:spacing w:after="0" w:line="240" w:lineRule="auto"/>
              <w:jc w:val="both"/>
            </w:pPr>
          </w:p>
        </w:tc>
      </w:tr>
      <w:tr w:rsidR="00496697" w14:paraId="3FB9EBDE" w14:textId="77777777" w:rsidTr="5ADB1813">
        <w:trPr>
          <w:trHeight w:val="1065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5D59" w14:textId="77777777" w:rsidR="00496697" w:rsidRDefault="003E64B7">
            <w:pPr>
              <w:spacing w:after="0" w:line="240" w:lineRule="auto"/>
            </w:pPr>
            <w:r w:rsidRPr="00F17ABC">
              <w:rPr>
                <w:color w:val="0070C0"/>
              </w:rPr>
              <w:t>A1</w:t>
            </w:r>
          </w:p>
        </w:tc>
        <w:tc>
          <w:tcPr>
            <w:tcW w:w="7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364E" w14:textId="183EA6A7" w:rsidR="00371AA9" w:rsidRDefault="3D138FB2" w:rsidP="008822E3">
            <w:pPr>
              <w:spacing w:after="0" w:line="240" w:lineRule="auto"/>
              <w:jc w:val="both"/>
              <w:rPr>
                <w:color w:val="0070C0"/>
              </w:rPr>
            </w:pPr>
            <w:r w:rsidRPr="00371AA9">
              <w:rPr>
                <w:color w:val="0070C0"/>
              </w:rPr>
              <w:t xml:space="preserve">The deadline </w:t>
            </w:r>
            <w:r w:rsidR="007B2B51">
              <w:rPr>
                <w:color w:val="0070C0"/>
              </w:rPr>
              <w:t>applies</w:t>
            </w:r>
            <w:r w:rsidRPr="00371AA9">
              <w:rPr>
                <w:color w:val="0070C0"/>
              </w:rPr>
              <w:t xml:space="preserve"> to the core AFP and high-temp </w:t>
            </w:r>
            <w:r w:rsidR="00677683" w:rsidRPr="00677683">
              <w:rPr>
                <w:color w:val="0070C0"/>
              </w:rPr>
              <w:t xml:space="preserve">thermoplastic </w:t>
            </w:r>
            <w:r w:rsidRPr="00371AA9">
              <w:rPr>
                <w:color w:val="0070C0"/>
              </w:rPr>
              <w:t xml:space="preserve">upgrade. </w:t>
            </w:r>
          </w:p>
          <w:p w14:paraId="039AA3EC" w14:textId="77777777" w:rsidR="00371AA9" w:rsidRDefault="00371AA9" w:rsidP="008822E3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7A909CAD" w14:textId="77777777" w:rsidR="007B2B51" w:rsidRDefault="3D138FB2" w:rsidP="008822E3">
            <w:pPr>
              <w:spacing w:after="0" w:line="240" w:lineRule="auto"/>
              <w:jc w:val="both"/>
              <w:rPr>
                <w:color w:val="0070C0"/>
              </w:rPr>
            </w:pPr>
            <w:r w:rsidRPr="00371AA9">
              <w:rPr>
                <w:color w:val="0070C0"/>
              </w:rPr>
              <w:t xml:space="preserve">Given the complexity of the upgrade package, TU Dublin </w:t>
            </w:r>
            <w:r w:rsidR="19F175D8" w:rsidRPr="00371AA9">
              <w:rPr>
                <w:color w:val="0070C0"/>
              </w:rPr>
              <w:t>is</w:t>
            </w:r>
            <w:r w:rsidRPr="00371AA9">
              <w:rPr>
                <w:color w:val="0070C0"/>
              </w:rPr>
              <w:t xml:space="preserve"> will</w:t>
            </w:r>
            <w:r w:rsidR="79248DFF" w:rsidRPr="00371AA9">
              <w:rPr>
                <w:color w:val="0070C0"/>
              </w:rPr>
              <w:t xml:space="preserve">ing to be flexible on </w:t>
            </w:r>
            <w:r w:rsidR="121D9E81" w:rsidRPr="00371AA9">
              <w:rPr>
                <w:color w:val="0070C0"/>
              </w:rPr>
              <w:t>the</w:t>
            </w:r>
            <w:r w:rsidR="79248DFF" w:rsidRPr="00371AA9">
              <w:rPr>
                <w:color w:val="0070C0"/>
              </w:rPr>
              <w:t xml:space="preserve"> deadlines</w:t>
            </w:r>
            <w:r w:rsidR="68DE8D0B" w:rsidRPr="00371AA9">
              <w:rPr>
                <w:color w:val="0070C0"/>
              </w:rPr>
              <w:t xml:space="preserve"> and permit the AM component to be installed at a later date</w:t>
            </w:r>
            <w:r w:rsidR="79248DFF" w:rsidRPr="00371AA9">
              <w:rPr>
                <w:color w:val="0070C0"/>
              </w:rPr>
              <w:t>.</w:t>
            </w:r>
          </w:p>
          <w:p w14:paraId="237049F4" w14:textId="77777777" w:rsidR="007B2B51" w:rsidRDefault="007B2B51" w:rsidP="008822E3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174E4E25" w14:textId="25D1D3D5" w:rsidR="007D4EC0" w:rsidRPr="00371AA9" w:rsidRDefault="0B15AB43" w:rsidP="008822E3">
            <w:pPr>
              <w:spacing w:after="0" w:line="240" w:lineRule="auto"/>
              <w:jc w:val="both"/>
              <w:rPr>
                <w:color w:val="0070C0"/>
              </w:rPr>
            </w:pPr>
            <w:r w:rsidRPr="00371AA9">
              <w:rPr>
                <w:color w:val="0070C0"/>
              </w:rPr>
              <w:t xml:space="preserve">It is sufficient for the tenderer to propose </w:t>
            </w:r>
            <w:r w:rsidR="3A32791E" w:rsidRPr="00371AA9">
              <w:rPr>
                <w:color w:val="0070C0"/>
              </w:rPr>
              <w:t>their own</w:t>
            </w:r>
            <w:r w:rsidRPr="00371AA9">
              <w:rPr>
                <w:color w:val="0070C0"/>
              </w:rPr>
              <w:t xml:space="preserve"> installation schedul</w:t>
            </w:r>
            <w:r w:rsidR="552F0DC0" w:rsidRPr="00371AA9">
              <w:rPr>
                <w:color w:val="0070C0"/>
              </w:rPr>
              <w:t>e</w:t>
            </w:r>
            <w:r w:rsidR="5A75EDB2" w:rsidRPr="00371AA9">
              <w:rPr>
                <w:color w:val="0070C0"/>
              </w:rPr>
              <w:t>.</w:t>
            </w:r>
          </w:p>
          <w:p w14:paraId="267DB5F3" w14:textId="77777777" w:rsidR="007F0192" w:rsidRDefault="007F0192" w:rsidP="008822E3">
            <w:pPr>
              <w:spacing w:after="0" w:line="240" w:lineRule="auto"/>
              <w:jc w:val="both"/>
            </w:pPr>
          </w:p>
        </w:tc>
      </w:tr>
    </w:tbl>
    <w:p w14:paraId="793730C1" w14:textId="77777777" w:rsidR="007F0192" w:rsidRDefault="007F0192"/>
    <w:tbl>
      <w:tblPr>
        <w:tblW w:w="9016" w:type="dxa"/>
        <w:tblLook w:val="0000" w:firstRow="0" w:lastRow="0" w:firstColumn="0" w:lastColumn="0" w:noHBand="0" w:noVBand="0"/>
      </w:tblPr>
      <w:tblGrid>
        <w:gridCol w:w="1413"/>
        <w:gridCol w:w="7603"/>
      </w:tblGrid>
      <w:tr w:rsidR="00C51EEF" w14:paraId="27C9CDBB" w14:textId="77777777" w:rsidTr="00C51EEF">
        <w:trPr>
          <w:trHeight w:val="66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196C" w14:textId="6E9F13DA" w:rsidR="00C51EEF" w:rsidRDefault="00C51EEF" w:rsidP="00CA21EB">
            <w:pPr>
              <w:spacing w:after="0" w:line="240" w:lineRule="auto"/>
            </w:pPr>
            <w:r>
              <w:t>Q2</w:t>
            </w:r>
          </w:p>
        </w:tc>
        <w:tc>
          <w:tcPr>
            <w:tcW w:w="7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80844" w14:textId="77777777" w:rsidR="00C51EEF" w:rsidRPr="00B736F8" w:rsidRDefault="00C51EEF" w:rsidP="00CA21E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B736F8">
              <w:rPr>
                <w:rFonts w:ascii="Calibri" w:hAnsi="Calibri" w:cs="Calibri"/>
                <w:b/>
                <w:bCs/>
              </w:rPr>
              <w:t>Payment Terms (Appendix 5 – Goods Contract, Clause 5)</w:t>
            </w:r>
          </w:p>
          <w:p w14:paraId="30621349" w14:textId="77777777" w:rsidR="00C51EEF" w:rsidRPr="00B736F8" w:rsidRDefault="00C51EEF" w:rsidP="00CA21E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3D8AB7A7" w14:textId="6D1B0EEF" w:rsidR="00C51EEF" w:rsidRPr="00B736F8" w:rsidRDefault="00C51EEF" w:rsidP="008822E3">
            <w:pPr>
              <w:spacing w:after="0" w:line="240" w:lineRule="auto"/>
              <w:jc w:val="both"/>
            </w:pPr>
            <w:r w:rsidRPr="00B736F8">
              <w:rPr>
                <w:rFonts w:ascii="Calibri" w:hAnsi="Calibri" w:cs="Calibri"/>
              </w:rPr>
              <w:t>The Goods Contract provides for payment following invoicing upon completion</w:t>
            </w:r>
            <w:r w:rsidR="008822E3">
              <w:rPr>
                <w:rFonts w:ascii="Calibri" w:hAnsi="Calibri" w:cs="Calibri"/>
              </w:rPr>
              <w:t xml:space="preserve"> </w:t>
            </w:r>
            <w:r w:rsidRPr="00B736F8">
              <w:rPr>
                <w:rFonts w:ascii="Calibri" w:hAnsi="Calibri" w:cs="Calibri"/>
              </w:rPr>
              <w:t xml:space="preserve">/compliance with agreed milestones, but does not specify a fixed payment schedule. </w:t>
            </w:r>
          </w:p>
          <w:p w14:paraId="0DB45D3C" w14:textId="77777777" w:rsidR="00C51EEF" w:rsidRPr="00B736F8" w:rsidRDefault="00C51EEF" w:rsidP="008822E3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B6978EC" w14:textId="77777777" w:rsidR="00C51EEF" w:rsidRPr="00B736F8" w:rsidRDefault="00C51EEF" w:rsidP="008822E3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736F8">
              <w:rPr>
                <w:rFonts w:ascii="Calibri" w:hAnsi="Calibri" w:cs="Calibri"/>
              </w:rPr>
              <w:t>Would TU Dublin accept a staged payment structure linked to defined project milestones (e.g., a percentage on PO confirmation/order placement, a percentage on delivery, and the balance on successful commissioning and acceptance), rather than a single payment following final acceptance?</w:t>
            </w:r>
          </w:p>
          <w:p w14:paraId="4D68305A" w14:textId="77777777" w:rsidR="00C51EEF" w:rsidRDefault="00C51EEF" w:rsidP="00CA21EB"/>
        </w:tc>
      </w:tr>
      <w:tr w:rsidR="00C51EEF" w14:paraId="776AEC19" w14:textId="77777777" w:rsidTr="00C51EEF">
        <w:trPr>
          <w:trHeight w:val="30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3E78" w14:textId="2D8EC11F" w:rsidR="00C51EEF" w:rsidRPr="00F17ABC" w:rsidRDefault="00C51EEF" w:rsidP="00CA21EB">
            <w:pPr>
              <w:spacing w:after="0" w:line="240" w:lineRule="auto"/>
              <w:rPr>
                <w:color w:val="0070C0"/>
              </w:rPr>
            </w:pPr>
            <w:r w:rsidRPr="00F17ABC">
              <w:rPr>
                <w:color w:val="0070C0"/>
              </w:rPr>
              <w:t>A2</w:t>
            </w:r>
          </w:p>
        </w:tc>
        <w:tc>
          <w:tcPr>
            <w:tcW w:w="7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7AB64" w14:textId="77777777" w:rsidR="00C51EEF" w:rsidRPr="00C51EEF" w:rsidRDefault="00C51EEF" w:rsidP="00CA21EB">
            <w:pPr>
              <w:spacing w:after="0" w:line="300" w:lineRule="auto"/>
              <w:rPr>
                <w:color w:val="0070C0"/>
              </w:rPr>
            </w:pPr>
            <w:r w:rsidRPr="00C51EEF">
              <w:rPr>
                <w:color w:val="0070C0"/>
              </w:rPr>
              <w:t>The acceptability of any proposed payment schedule will be subject to review and agreement as part of the contract finalisation process with the successful tenderer.</w:t>
            </w:r>
          </w:p>
          <w:p w14:paraId="76ADA680" w14:textId="77777777" w:rsidR="00C51EEF" w:rsidRDefault="00C51EEF" w:rsidP="00CA21EB">
            <w:pPr>
              <w:spacing w:after="0" w:line="240" w:lineRule="auto"/>
            </w:pPr>
          </w:p>
          <w:p w14:paraId="601B9746" w14:textId="77777777" w:rsidR="00C51EEF" w:rsidRDefault="00C51EEF" w:rsidP="00CA21EB">
            <w:pPr>
              <w:spacing w:after="0" w:line="240" w:lineRule="auto"/>
              <w:rPr>
                <w:color w:val="0070C0"/>
              </w:rPr>
            </w:pPr>
          </w:p>
        </w:tc>
      </w:tr>
    </w:tbl>
    <w:p w14:paraId="583A6D0A" w14:textId="77777777" w:rsidR="00DD0B0F" w:rsidRDefault="00DD0B0F"/>
    <w:sectPr w:rsidR="00DD0B0F">
      <w:headerReference w:type="default" r:id="rId10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AAF9" w14:textId="77777777" w:rsidR="001E17EF" w:rsidRDefault="001E17EF">
      <w:pPr>
        <w:spacing w:after="0" w:line="240" w:lineRule="auto"/>
      </w:pPr>
      <w:r>
        <w:separator/>
      </w:r>
    </w:p>
  </w:endnote>
  <w:endnote w:type="continuationSeparator" w:id="0">
    <w:p w14:paraId="1F728269" w14:textId="77777777" w:rsidR="001E17EF" w:rsidRDefault="001E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5177" w14:textId="77777777" w:rsidR="001E17EF" w:rsidRDefault="001E17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F989EF" w14:textId="77777777" w:rsidR="001E17EF" w:rsidRDefault="001E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CD7A" w14:textId="4D9D21B4" w:rsidR="00621661" w:rsidRDefault="00621661" w:rsidP="00621661">
    <w:pPr>
      <w:pStyle w:val="Header"/>
      <w:jc w:val="center"/>
    </w:pPr>
    <w:r w:rsidRPr="00621661">
      <w:rPr>
        <w:noProof/>
      </w:rPr>
      <w:drawing>
        <wp:inline distT="0" distB="0" distL="0" distR="0" wp14:anchorId="2A1DADB5" wp14:editId="430D73CD">
          <wp:extent cx="2067339" cy="1621890"/>
          <wp:effectExtent l="0" t="0" r="9525" b="0"/>
          <wp:docPr id="621809977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809977" name="Picture 1" descr="A blue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2805" cy="162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3ACA41" w14:textId="77777777" w:rsidR="00621661" w:rsidRDefault="00621661" w:rsidP="009E2EAB">
    <w:pPr>
      <w:pStyle w:val="Header"/>
    </w:pPr>
  </w:p>
  <w:p w14:paraId="5016053D" w14:textId="195F0658" w:rsidR="00972392" w:rsidRPr="00CA21EB" w:rsidRDefault="009E2EAB" w:rsidP="00972392">
    <w:pPr>
      <w:pStyle w:val="Header"/>
      <w:jc w:val="center"/>
      <w:rPr>
        <w:rFonts w:ascii="Calibri" w:hAnsi="Calibri" w:cs="Calibri"/>
        <w:b/>
        <w:bCs/>
        <w:color w:val="0F4761" w:themeColor="accent1" w:themeShade="BF"/>
      </w:rPr>
    </w:pPr>
    <w:r w:rsidRPr="00972392">
      <w:rPr>
        <w:rFonts w:ascii="Calibri" w:hAnsi="Calibri" w:cs="Calibri"/>
        <w:b/>
        <w:bCs/>
        <w:color w:val="0F4761" w:themeColor="accent1" w:themeShade="BF"/>
      </w:rPr>
      <w:t>NCTR2</w:t>
    </w:r>
    <w:r w:rsidR="00F924E2" w:rsidRPr="00972392">
      <w:rPr>
        <w:rFonts w:ascii="Calibri" w:hAnsi="Calibri" w:cs="Calibri"/>
        <w:b/>
        <w:bCs/>
        <w:color w:val="0F4761" w:themeColor="accent1" w:themeShade="BF"/>
      </w:rPr>
      <w:t>6</w:t>
    </w:r>
    <w:r w:rsidR="00CA21EB" w:rsidRPr="00972392">
      <w:rPr>
        <w:rFonts w:ascii="Calibri" w:hAnsi="Calibri" w:cs="Calibri"/>
        <w:b/>
        <w:bCs/>
        <w:color w:val="0F4761" w:themeColor="accent1" w:themeShade="BF"/>
      </w:rPr>
      <w:t>95</w:t>
    </w:r>
    <w:r w:rsidR="00F924E2" w:rsidRPr="00972392">
      <w:rPr>
        <w:rFonts w:ascii="Calibri" w:hAnsi="Calibri" w:cs="Calibri"/>
        <w:b/>
        <w:bCs/>
        <w:color w:val="0F4761" w:themeColor="accent1" w:themeShade="BF"/>
      </w:rPr>
      <w:t xml:space="preserve"> - </w:t>
    </w:r>
    <w:r w:rsidR="00CA21EB" w:rsidRPr="00972392">
      <w:rPr>
        <w:rFonts w:ascii="Calibri" w:hAnsi="Calibri" w:cs="Calibri"/>
        <w:b/>
        <w:bCs/>
        <w:color w:val="0F4761" w:themeColor="accent1" w:themeShade="BF"/>
      </w:rPr>
      <w:t>Supply, Delivery, Installation and Commissioning of a High-Temperature AFP/ATL</w:t>
    </w:r>
    <w:r w:rsidR="00972392">
      <w:rPr>
        <w:rFonts w:ascii="Calibri" w:hAnsi="Calibri" w:cs="Calibri"/>
        <w:b/>
        <w:bCs/>
        <w:color w:val="0F4761" w:themeColor="accent1" w:themeShade="BF"/>
      </w:rPr>
      <w:t xml:space="preserve"> </w:t>
    </w:r>
    <w:r w:rsidR="00CA21EB" w:rsidRPr="00972392">
      <w:rPr>
        <w:rFonts w:ascii="Calibri" w:hAnsi="Calibri" w:cs="Calibri"/>
        <w:b/>
        <w:bCs/>
        <w:color w:val="0F4761" w:themeColor="accent1" w:themeShade="BF"/>
      </w:rPr>
      <w:t>Upgrade Package for TU Dublin</w:t>
    </w:r>
    <w:r w:rsidR="00972392">
      <w:rPr>
        <w:color w:val="0F4761" w:themeColor="accent1" w:themeShade="BF"/>
      </w:rPr>
      <w:t xml:space="preserve"> - </w:t>
    </w:r>
    <w:r w:rsidR="00972392" w:rsidRPr="00CA21EB">
      <w:rPr>
        <w:rFonts w:ascii="Calibri" w:hAnsi="Calibri" w:cs="Calibri"/>
        <w:b/>
        <w:bCs/>
        <w:color w:val="0F4761" w:themeColor="accent1" w:themeShade="BF"/>
      </w:rPr>
      <w:t>Clarification Document</w:t>
    </w:r>
  </w:p>
  <w:p w14:paraId="642215DC" w14:textId="77D3E626" w:rsidR="00CA21EB" w:rsidRDefault="00CA21EB" w:rsidP="00972392">
    <w:pPr>
      <w:pStyle w:val="Header"/>
      <w:rPr>
        <w:color w:val="0F4761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16508"/>
    <w:multiLevelType w:val="hybridMultilevel"/>
    <w:tmpl w:val="50E6EA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01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697"/>
    <w:rsid w:val="00004063"/>
    <w:rsid w:val="0007271C"/>
    <w:rsid w:val="00080119"/>
    <w:rsid w:val="000A41FF"/>
    <w:rsid w:val="000B5129"/>
    <w:rsid w:val="000E4C69"/>
    <w:rsid w:val="00117AB7"/>
    <w:rsid w:val="00117F6A"/>
    <w:rsid w:val="00142E5A"/>
    <w:rsid w:val="00160934"/>
    <w:rsid w:val="00183405"/>
    <w:rsid w:val="001D3113"/>
    <w:rsid w:val="001D4804"/>
    <w:rsid w:val="001D53F0"/>
    <w:rsid w:val="001E17EF"/>
    <w:rsid w:val="0020327C"/>
    <w:rsid w:val="0024431C"/>
    <w:rsid w:val="00262EA6"/>
    <w:rsid w:val="00271420"/>
    <w:rsid w:val="00286161"/>
    <w:rsid w:val="002C5A43"/>
    <w:rsid w:val="002F690F"/>
    <w:rsid w:val="00363B20"/>
    <w:rsid w:val="00366321"/>
    <w:rsid w:val="00371AA9"/>
    <w:rsid w:val="00374964"/>
    <w:rsid w:val="003B0FAC"/>
    <w:rsid w:val="003D4ADE"/>
    <w:rsid w:val="003E64B7"/>
    <w:rsid w:val="00421FDB"/>
    <w:rsid w:val="00444211"/>
    <w:rsid w:val="00490220"/>
    <w:rsid w:val="00496697"/>
    <w:rsid w:val="004C6BE7"/>
    <w:rsid w:val="004D2AEC"/>
    <w:rsid w:val="00515699"/>
    <w:rsid w:val="00565844"/>
    <w:rsid w:val="005A5917"/>
    <w:rsid w:val="005B6FB2"/>
    <w:rsid w:val="005D6ED8"/>
    <w:rsid w:val="005E34E1"/>
    <w:rsid w:val="005F0740"/>
    <w:rsid w:val="005F2FC9"/>
    <w:rsid w:val="005F7091"/>
    <w:rsid w:val="006020D4"/>
    <w:rsid w:val="00611CF1"/>
    <w:rsid w:val="00621661"/>
    <w:rsid w:val="006352DD"/>
    <w:rsid w:val="006362E5"/>
    <w:rsid w:val="00645AC8"/>
    <w:rsid w:val="00663A0E"/>
    <w:rsid w:val="00677683"/>
    <w:rsid w:val="006814CB"/>
    <w:rsid w:val="006A03E0"/>
    <w:rsid w:val="006B3874"/>
    <w:rsid w:val="006B770A"/>
    <w:rsid w:val="00700741"/>
    <w:rsid w:val="007061A0"/>
    <w:rsid w:val="00711BF7"/>
    <w:rsid w:val="007231A7"/>
    <w:rsid w:val="00726BB7"/>
    <w:rsid w:val="00732E41"/>
    <w:rsid w:val="007645CE"/>
    <w:rsid w:val="00767110"/>
    <w:rsid w:val="00777E58"/>
    <w:rsid w:val="007A5CF2"/>
    <w:rsid w:val="007B1A9A"/>
    <w:rsid w:val="007B2B51"/>
    <w:rsid w:val="007D350F"/>
    <w:rsid w:val="007D4EC0"/>
    <w:rsid w:val="007F0192"/>
    <w:rsid w:val="00813879"/>
    <w:rsid w:val="00832736"/>
    <w:rsid w:val="008501C3"/>
    <w:rsid w:val="00871559"/>
    <w:rsid w:val="008770CE"/>
    <w:rsid w:val="00882113"/>
    <w:rsid w:val="008822E3"/>
    <w:rsid w:val="008A0AAE"/>
    <w:rsid w:val="008A43F8"/>
    <w:rsid w:val="008C09A7"/>
    <w:rsid w:val="008D33ED"/>
    <w:rsid w:val="008E02A1"/>
    <w:rsid w:val="008F5C68"/>
    <w:rsid w:val="009023E2"/>
    <w:rsid w:val="00953509"/>
    <w:rsid w:val="00955337"/>
    <w:rsid w:val="00972392"/>
    <w:rsid w:val="00973EAD"/>
    <w:rsid w:val="009C412C"/>
    <w:rsid w:val="009E2EAB"/>
    <w:rsid w:val="009F2BCB"/>
    <w:rsid w:val="00A10F95"/>
    <w:rsid w:val="00A20F00"/>
    <w:rsid w:val="00A25158"/>
    <w:rsid w:val="00A32F0F"/>
    <w:rsid w:val="00A416BC"/>
    <w:rsid w:val="00A4289D"/>
    <w:rsid w:val="00A42943"/>
    <w:rsid w:val="00A471D0"/>
    <w:rsid w:val="00A60866"/>
    <w:rsid w:val="00A81734"/>
    <w:rsid w:val="00AD427D"/>
    <w:rsid w:val="00B168A5"/>
    <w:rsid w:val="00B3411C"/>
    <w:rsid w:val="00B5507B"/>
    <w:rsid w:val="00B60C72"/>
    <w:rsid w:val="00B711C8"/>
    <w:rsid w:val="00B946AB"/>
    <w:rsid w:val="00BA59CE"/>
    <w:rsid w:val="00BA7EA0"/>
    <w:rsid w:val="00BC0762"/>
    <w:rsid w:val="00BD3A10"/>
    <w:rsid w:val="00BE3195"/>
    <w:rsid w:val="00C15B4D"/>
    <w:rsid w:val="00C270DC"/>
    <w:rsid w:val="00C411C4"/>
    <w:rsid w:val="00C475F5"/>
    <w:rsid w:val="00C51EEF"/>
    <w:rsid w:val="00C61D23"/>
    <w:rsid w:val="00C778DC"/>
    <w:rsid w:val="00CA21EB"/>
    <w:rsid w:val="00CB0450"/>
    <w:rsid w:val="00CB06AA"/>
    <w:rsid w:val="00CB23A5"/>
    <w:rsid w:val="00CC2C30"/>
    <w:rsid w:val="00CC7C5F"/>
    <w:rsid w:val="00D1019A"/>
    <w:rsid w:val="00D67794"/>
    <w:rsid w:val="00DB4B2E"/>
    <w:rsid w:val="00DD0B0F"/>
    <w:rsid w:val="00DF732E"/>
    <w:rsid w:val="00E21467"/>
    <w:rsid w:val="00E41C1F"/>
    <w:rsid w:val="00E43E2A"/>
    <w:rsid w:val="00E47DD9"/>
    <w:rsid w:val="00E56D07"/>
    <w:rsid w:val="00E93C5A"/>
    <w:rsid w:val="00E93FD8"/>
    <w:rsid w:val="00EA4672"/>
    <w:rsid w:val="00ED4002"/>
    <w:rsid w:val="00F17ABC"/>
    <w:rsid w:val="00F41546"/>
    <w:rsid w:val="00F42CAE"/>
    <w:rsid w:val="00F924E2"/>
    <w:rsid w:val="00FF1EE4"/>
    <w:rsid w:val="00FF30FB"/>
    <w:rsid w:val="02697A4D"/>
    <w:rsid w:val="0476E578"/>
    <w:rsid w:val="0486A57B"/>
    <w:rsid w:val="04F2E9C5"/>
    <w:rsid w:val="0602012C"/>
    <w:rsid w:val="07C8E4D0"/>
    <w:rsid w:val="07D79050"/>
    <w:rsid w:val="08945FB4"/>
    <w:rsid w:val="08D5FB33"/>
    <w:rsid w:val="097898D4"/>
    <w:rsid w:val="0B15AB43"/>
    <w:rsid w:val="0B87488C"/>
    <w:rsid w:val="0E8F8FA7"/>
    <w:rsid w:val="121D9E81"/>
    <w:rsid w:val="19F175D8"/>
    <w:rsid w:val="1A280A97"/>
    <w:rsid w:val="1B5D8C93"/>
    <w:rsid w:val="206EB028"/>
    <w:rsid w:val="21F2EA23"/>
    <w:rsid w:val="272FD8B5"/>
    <w:rsid w:val="27EB022A"/>
    <w:rsid w:val="2D9BD74D"/>
    <w:rsid w:val="2DAF3E51"/>
    <w:rsid w:val="3388FC65"/>
    <w:rsid w:val="3A32791E"/>
    <w:rsid w:val="3B9C535B"/>
    <w:rsid w:val="3BA7FD3F"/>
    <w:rsid w:val="3D138FB2"/>
    <w:rsid w:val="3D4F25E7"/>
    <w:rsid w:val="4044015F"/>
    <w:rsid w:val="41695AB1"/>
    <w:rsid w:val="4204B803"/>
    <w:rsid w:val="4344F482"/>
    <w:rsid w:val="4430FF3B"/>
    <w:rsid w:val="44DBC754"/>
    <w:rsid w:val="44ECC47C"/>
    <w:rsid w:val="469A2CB2"/>
    <w:rsid w:val="476BC826"/>
    <w:rsid w:val="47AF5340"/>
    <w:rsid w:val="4852378B"/>
    <w:rsid w:val="5041A43C"/>
    <w:rsid w:val="5195BDDE"/>
    <w:rsid w:val="52082625"/>
    <w:rsid w:val="53288C4D"/>
    <w:rsid w:val="5376F363"/>
    <w:rsid w:val="54C8E233"/>
    <w:rsid w:val="552F0DC0"/>
    <w:rsid w:val="57CD0D93"/>
    <w:rsid w:val="5A75EDB2"/>
    <w:rsid w:val="5ADB1813"/>
    <w:rsid w:val="5D25C72E"/>
    <w:rsid w:val="5DD0073A"/>
    <w:rsid w:val="649DEDE2"/>
    <w:rsid w:val="66A80A5F"/>
    <w:rsid w:val="68DE8D0B"/>
    <w:rsid w:val="6B490472"/>
    <w:rsid w:val="6B51933A"/>
    <w:rsid w:val="6DBB596D"/>
    <w:rsid w:val="6F4DBB0F"/>
    <w:rsid w:val="6F9EADB1"/>
    <w:rsid w:val="710FD849"/>
    <w:rsid w:val="7396BBBE"/>
    <w:rsid w:val="76B25DAF"/>
    <w:rsid w:val="77676A49"/>
    <w:rsid w:val="77D648BD"/>
    <w:rsid w:val="78BF7AEF"/>
    <w:rsid w:val="79248DFF"/>
    <w:rsid w:val="79BA6979"/>
    <w:rsid w:val="7C1DA625"/>
    <w:rsid w:val="7C7F11B2"/>
    <w:rsid w:val="7CE3322A"/>
    <w:rsid w:val="7DF7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DA78B"/>
  <w15:docId w15:val="{D15761DD-675C-4AA8-B6BE-A3E12B2F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73B74A4F1C649A1C6B48530742686" ma:contentTypeVersion="16" ma:contentTypeDescription="Create a new document." ma:contentTypeScope="" ma:versionID="176274f8bfa914d1852c5a560012ea16">
  <xsd:schema xmlns:xsd="http://www.w3.org/2001/XMLSchema" xmlns:xs="http://www.w3.org/2001/XMLSchema" xmlns:p="http://schemas.microsoft.com/office/2006/metadata/properties" xmlns:ns2="5f7dfa74-5a2c-4f56-9d07-0cf4bbfa8d12" xmlns:ns3="6f951b0b-0839-454e-a5ea-d64b510892db" targetNamespace="http://schemas.microsoft.com/office/2006/metadata/properties" ma:root="true" ma:fieldsID="861aa4cdd00ebacd5958a472d35c1a3c" ns2:_="" ns3:_="">
    <xsd:import namespace="5f7dfa74-5a2c-4f56-9d07-0cf4bbfa8d12"/>
    <xsd:import namespace="6f951b0b-0839-454e-a5ea-d64b51089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dfa74-5a2c-4f56-9d07-0cf4bbfa8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b168bf0-f213-4887-af2e-cac682fa2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1b0b-0839-454e-a5ea-d64b51089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86076f-2d5a-48aa-a9e0-d120c5246cab}" ma:internalName="TaxCatchAll" ma:showField="CatchAllData" ma:web="6f951b0b-0839-454e-a5ea-d64b51089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dfa74-5a2c-4f56-9d07-0cf4bbfa8d12">
      <Terms xmlns="http://schemas.microsoft.com/office/infopath/2007/PartnerControls"/>
    </lcf76f155ced4ddcb4097134ff3c332f>
    <TaxCatchAll xmlns="6f951b0b-0839-454e-a5ea-d64b510892db" xsi:nil="true"/>
  </documentManagement>
</p:properties>
</file>

<file path=customXml/itemProps1.xml><?xml version="1.0" encoding="utf-8"?>
<ds:datastoreItem xmlns:ds="http://schemas.openxmlformats.org/officeDocument/2006/customXml" ds:itemID="{B9CD21F8-741C-4562-AD59-E2607F0C5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62575-DB70-40DB-A2DD-384524FE6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dfa74-5a2c-4f56-9d07-0cf4bbfa8d12"/>
    <ds:schemaRef ds:uri="6f951b0b-0839-454e-a5ea-d64b51089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C3209B-ADF0-431C-B61A-C753AE6330CA}">
  <ds:schemaRefs>
    <ds:schemaRef ds:uri="http://schemas.microsoft.com/office/2006/metadata/properties"/>
    <ds:schemaRef ds:uri="http://schemas.microsoft.com/office/infopath/2007/PartnerControls"/>
    <ds:schemaRef ds:uri="5f7dfa74-5a2c-4f56-9d07-0cf4bbfa8d12"/>
    <ds:schemaRef ds:uri="6f951b0b-0839-454e-a5ea-d64b510892db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Eimear Brennan</dc:creator>
  <dc:description/>
  <cp:lastModifiedBy>Linda Maher</cp:lastModifiedBy>
  <cp:revision>12</cp:revision>
  <dcterms:created xsi:type="dcterms:W3CDTF">2026-08-14T07:39:00Z</dcterms:created>
  <dcterms:modified xsi:type="dcterms:W3CDTF">2026-08-17T06:08:00Z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0x010100A7673B74A4F1C649A1C6B48530742686</vt:lpwstr>
  </property>
  <property fmtid="{D5CDD505-2E9C-101B-9397-08002B2CF9AE}" pid="3" name="MediaServiceImageTags">
    <vt:lpwstr/>
  </property>
</Properties>
</file>