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bookmarkStart w:id="0" w:name="_GoBack"/>
      <w:bookmarkEnd w:id="0"/>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2103E124" w:rsidR="00713C11" w:rsidRPr="00295C3C" w:rsidRDefault="000F04C3"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rPr>
              <w:t>GAELSCOIL SHLÍ DÁLA</w:t>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0C18B2BE" w:rsidR="00713C11" w:rsidRPr="00221EC4" w:rsidRDefault="00942139"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 xml:space="preserve"> Gaelscoil Shlí Dála</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576133FE" w:rsidR="00713C11" w:rsidRPr="00221EC4" w:rsidRDefault="00942139"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Ballaghmore, Borris-in-Ossory, Co. Laois R32 TN62</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will be assessed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Required: </w:t>
      </w:r>
      <w:r w:rsidRPr="008E7243">
        <w:rPr>
          <w:rFonts w:asciiTheme="minorHAnsi" w:hAnsiTheme="minorHAnsi" w:cstheme="minorHAnsi"/>
          <w:szCs w:val="22"/>
        </w:rPr>
        <w:t xml:space="preserve">Tenderer must provide the contract examples and referee contact details in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w:t>
      </w:r>
      <w:r w:rsidRPr="005E43EF">
        <w:rPr>
          <w:rFonts w:asciiTheme="minorHAnsi" w:hAnsiTheme="minorHAnsi" w:cstheme="minorHAnsi"/>
          <w:szCs w:val="22"/>
        </w:rPr>
        <w:lastRenderedPageBreak/>
        <w:t>email address clearly shown. In order to verify the reference, or in the event of insufficient detail in the reference, the Contracting Authority may contact the referee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4606079A"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 xml:space="preserve">(e.g. app, website, e-mail, etc.) through which meals can be ordered and adjusted, including details on how to order and time limits for ordering and </w:t>
            </w:r>
            <w:r w:rsidRPr="00CA28F8">
              <w:rPr>
                <w:rFonts w:ascii="Calibri" w:hAnsi="Calibri" w:cs="Calibri"/>
                <w:sz w:val="22"/>
                <w:szCs w:val="22"/>
                <w:lang w:val="en-GB"/>
              </w:rPr>
              <w:lastRenderedPageBreak/>
              <w:t xml:space="preserve">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p w14:paraId="38E7B30A" w14:textId="702D2194" w:rsidR="00685D5B" w:rsidRPr="00CA28F8" w:rsidDel="00221E65"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lastRenderedPageBreak/>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8B00302" w14:textId="77777777" w:rsidR="00CA28F8" w:rsidRDefault="00CA28F8" w:rsidP="00CA28F8">
            <w:pPr>
              <w:spacing w:after="120"/>
              <w:rPr>
                <w:rFonts w:ascii="Calibri" w:hAnsi="Calibri"/>
                <w:sz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p w14:paraId="4F7B59D5" w14:textId="23A0DF21" w:rsidR="00685D5B" w:rsidRPr="00CA28F8"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16B552E7" w14:textId="77777777" w:rsid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w:t>
            </w:r>
            <w:r w:rsidRPr="00CA28F8">
              <w:rPr>
                <w:rFonts w:ascii="Calibri" w:hAnsi="Calibri" w:cs="Calibri"/>
                <w:sz w:val="22"/>
                <w:szCs w:val="22"/>
                <w:lang w:val="en-GB"/>
              </w:rPr>
              <w:lastRenderedPageBreak/>
              <w:t>free, gluten-free, vegetarian, vegan and halal options; available per day, per week and per season.</w:t>
            </w:r>
          </w:p>
          <w:p w14:paraId="32A679C5" w14:textId="572CFB99" w:rsidR="00A0251A" w:rsidRPr="0020602F" w:rsidRDefault="00A0251A" w:rsidP="00CA28F8">
            <w:pPr>
              <w:spacing w:after="120"/>
              <w:rPr>
                <w:rFonts w:ascii="Calibri" w:hAnsi="Calibri" w:cs="Calibri"/>
                <w:bCs/>
                <w:sz w:val="22"/>
                <w:szCs w:val="22"/>
                <w:lang w:val="en-GB"/>
              </w:rPr>
            </w:pPr>
            <w:r w:rsidRPr="0020602F">
              <w:rPr>
                <w:rFonts w:ascii="Calibri" w:hAnsi="Calibri" w:cs="Calibri"/>
                <w:bCs/>
                <w:sz w:val="22"/>
                <w:szCs w:val="22"/>
                <w:lang w:val="en-GB"/>
              </w:rPr>
              <w:t xml:space="preserve">Tenderers </w:t>
            </w:r>
            <w:r w:rsidRPr="0020602F">
              <w:rPr>
                <w:rFonts w:ascii="Calibri" w:hAnsi="Calibri" w:cs="Calibri"/>
                <w:b/>
                <w:sz w:val="22"/>
                <w:szCs w:val="22"/>
                <w:u w:val="single"/>
                <w:lang w:val="en-GB"/>
              </w:rPr>
              <w:t>must</w:t>
            </w:r>
            <w:r w:rsidRPr="0020602F">
              <w:rPr>
                <w:rFonts w:ascii="Calibri" w:hAnsi="Calibri" w:cs="Calibri"/>
                <w:bCs/>
                <w:sz w:val="22"/>
                <w:szCs w:val="22"/>
                <w:lang w:val="en-GB"/>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lastRenderedPageBreak/>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lastRenderedPageBreak/>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68C8BEAD" w14:textId="72379650" w:rsidR="00CA28F8" w:rsidRDefault="00CA28F8" w:rsidP="00CA28F8">
            <w:pPr>
              <w:spacing w:after="120"/>
              <w:rPr>
                <w:rFonts w:ascii="Calibri" w:hAnsi="Calibri" w:cs="Calibri"/>
                <w:color w:val="000000"/>
                <w:sz w:val="22"/>
                <w:szCs w:val="22"/>
                <w:lang w:val="en-IE"/>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w:t>
            </w:r>
          </w:p>
          <w:p w14:paraId="185B198F" w14:textId="785ED93C" w:rsidR="004D7387" w:rsidRPr="0020602F" w:rsidRDefault="004D7387" w:rsidP="00CA28F8">
            <w:pPr>
              <w:spacing w:after="120"/>
              <w:rPr>
                <w:rFonts w:ascii="Calibri" w:hAnsi="Calibri" w:cs="Calibri"/>
                <w:bCs/>
                <w:sz w:val="22"/>
                <w:szCs w:val="22"/>
                <w:lang w:val="en-GB"/>
              </w:rPr>
            </w:pPr>
            <w:r w:rsidRPr="0020602F">
              <w:rPr>
                <w:rFonts w:ascii="Calibri" w:hAnsi="Calibri" w:cs="Calibri"/>
                <w:bCs/>
                <w:sz w:val="22"/>
                <w:szCs w:val="22"/>
              </w:rPr>
              <w:t xml:space="preserve">Tenderers </w:t>
            </w:r>
            <w:r w:rsidRPr="0020602F">
              <w:rPr>
                <w:rFonts w:ascii="Calibri" w:hAnsi="Calibri" w:cs="Calibri"/>
                <w:b/>
                <w:sz w:val="22"/>
                <w:szCs w:val="22"/>
              </w:rPr>
              <w:t>must</w:t>
            </w:r>
            <w:r w:rsidRPr="0020602F">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1B154582"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p w14:paraId="4EECBA83" w14:textId="3DBB54A7" w:rsidR="00F3695C" w:rsidRPr="00CA28F8" w:rsidRDefault="00F3695C" w:rsidP="00CA28F8">
            <w:pPr>
              <w:spacing w:after="120"/>
              <w:rPr>
                <w:rFonts w:ascii="Calibri" w:hAnsi="Calibri" w:cs="Calibri"/>
                <w:sz w:val="22"/>
                <w:szCs w:val="22"/>
                <w:lang w:val="en-GB"/>
              </w:rPr>
            </w:pPr>
            <w:r w:rsidRPr="00F3695C">
              <w:rPr>
                <w:rFonts w:ascii="Calibri" w:hAnsi="Calibri" w:cs="Calibri"/>
                <w:sz w:val="22"/>
                <w:szCs w:val="22"/>
              </w:rPr>
              <w:t xml:space="preserve">Tenderers </w:t>
            </w:r>
            <w:r w:rsidRPr="00F3695C">
              <w:rPr>
                <w:rFonts w:ascii="Calibri" w:hAnsi="Calibri" w:cs="Calibri"/>
                <w:b/>
                <w:sz w:val="22"/>
                <w:szCs w:val="22"/>
                <w:u w:val="single"/>
              </w:rPr>
              <w:t>must</w:t>
            </w:r>
            <w:r w:rsidRPr="00F3695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A8BDD8F" w14:textId="77777777" w:rsidR="004618F4"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avoiding food cross-contamination in respect of food allergies and food intolerances including but not limited to: lactose-free, gluten-free, religious observance, halal, vegetarian, and vegan.</w:t>
            </w:r>
          </w:p>
          <w:p w14:paraId="1141DE91" w14:textId="7D2F73DB" w:rsidR="00ED6193" w:rsidRPr="00CA28F8" w:rsidRDefault="00ED6193" w:rsidP="004618F4">
            <w:pPr>
              <w:spacing w:after="120"/>
              <w:rPr>
                <w:rFonts w:ascii="Calibri" w:hAnsi="Calibri" w:cs="Calibri"/>
                <w:sz w:val="22"/>
                <w:szCs w:val="22"/>
                <w:lang w:val="en-GB"/>
              </w:rPr>
            </w:pPr>
            <w:r w:rsidRPr="00ED6193">
              <w:rPr>
                <w:rFonts w:ascii="Calibri" w:hAnsi="Calibri" w:cs="Calibri"/>
                <w:sz w:val="22"/>
                <w:szCs w:val="22"/>
              </w:rPr>
              <w:t xml:space="preserve">Tenderers </w:t>
            </w:r>
            <w:r w:rsidRPr="00ED6193">
              <w:rPr>
                <w:rFonts w:ascii="Calibri" w:hAnsi="Calibri" w:cs="Calibri"/>
                <w:b/>
                <w:sz w:val="22"/>
                <w:szCs w:val="22"/>
                <w:u w:val="single"/>
              </w:rPr>
              <w:t>must</w:t>
            </w:r>
            <w:r w:rsidRPr="00ED6193">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lastRenderedPageBreak/>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lastRenderedPageBreak/>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6D315213"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demonstrate, by providing a clear and comprehensive description in the </w:t>
            </w:r>
            <w:r w:rsidR="0020602F">
              <w:rPr>
                <w:rFonts w:ascii="Calibri" w:hAnsi="Calibri" w:cs="Calibri"/>
                <w:b/>
                <w:bCs/>
                <w:color w:val="000000"/>
                <w:sz w:val="22"/>
                <w:szCs w:val="22"/>
                <w:lang w:val="en-IE"/>
              </w:rPr>
              <w:t>response box below</w:t>
            </w:r>
            <w:r w:rsidRPr="00CA28F8">
              <w:rPr>
                <w:rFonts w:ascii="Calibri" w:hAnsi="Calibri" w:cs="Calibri"/>
                <w:b/>
                <w:bCs/>
                <w:color w:val="000000"/>
                <w:sz w:val="22"/>
                <w:szCs w:val="22"/>
                <w:lang w:val="en-IE"/>
              </w:rPr>
              <w:t xml:space="preserve"> how their proposed KAM will manage the delivery of the Service including the KAM’s role as set out in Appendix 1 below.</w:t>
            </w:r>
          </w:p>
          <w:p w14:paraId="0B529D57" w14:textId="0A642730"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Tenderers must also provide a curriculum vitae</w:t>
            </w:r>
            <w:r w:rsidR="0020602F">
              <w:rPr>
                <w:rFonts w:ascii="Calibri" w:hAnsi="Calibri" w:cs="Calibri"/>
                <w:b/>
                <w:bCs/>
                <w:color w:val="000000"/>
                <w:sz w:val="22"/>
                <w:szCs w:val="22"/>
                <w:lang w:val="en-IE"/>
              </w:rPr>
              <w:t xml:space="preserve"> as a separate document</w:t>
            </w:r>
            <w:r w:rsidRPr="00CA28F8">
              <w:rPr>
                <w:rFonts w:ascii="Calibri" w:hAnsi="Calibri" w:cs="Calibri"/>
                <w:b/>
                <w:bCs/>
                <w:color w:val="000000"/>
                <w:sz w:val="22"/>
                <w:szCs w:val="22"/>
                <w:lang w:val="en-IE"/>
              </w:rPr>
              <w:t xml:space="preserv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contamination e.g.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lastRenderedPageBreak/>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(e.g.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Tenderers should note that the Contracting Authority has set out its Contract performance requirement in Schedule D: (Service Level Agreement) of the Services Contract appended at Appendix 5.</w:t>
            </w:r>
          </w:p>
          <w:p w14:paraId="4125A5C9" w14:textId="7414A63F" w:rsidR="004618F4" w:rsidRPr="00CA28F8" w:rsidRDefault="0020602F" w:rsidP="004618F4">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lastRenderedPageBreak/>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74F82AE7" w14:textId="77777777" w:rsidR="004618F4" w:rsidRPr="0020602F"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p w14:paraId="6C920642" w14:textId="77777777" w:rsidR="001D1739" w:rsidRDefault="001D1739" w:rsidP="001D1739">
            <w:pPr>
              <w:spacing w:after="120" w:line="276" w:lineRule="auto"/>
              <w:contextualSpacing/>
              <w:outlineLvl w:val="2"/>
              <w:rPr>
                <w:rFonts w:ascii="Calibri" w:hAnsi="Calibri" w:cs="Calibri"/>
                <w:color w:val="000000"/>
                <w:sz w:val="22"/>
                <w:szCs w:val="22"/>
                <w:lang w:val="en-GB"/>
              </w:rPr>
            </w:pPr>
          </w:p>
          <w:p w14:paraId="118B1CD6" w14:textId="58887154" w:rsidR="001D1739" w:rsidRPr="00CA28F8" w:rsidRDefault="001D1739" w:rsidP="0020602F">
            <w:pPr>
              <w:spacing w:after="120" w:line="276" w:lineRule="auto"/>
              <w:contextualSpacing/>
              <w:outlineLvl w:val="2"/>
              <w:rPr>
                <w:rFonts w:ascii="Calibri" w:hAnsi="Calibri" w:cs="Calibri"/>
                <w:color w:val="000000"/>
                <w:sz w:val="22"/>
                <w:szCs w:val="22"/>
                <w:lang w:val="en-IE"/>
              </w:rPr>
            </w:pPr>
            <w:r w:rsidRPr="001D1739">
              <w:rPr>
                <w:rFonts w:ascii="Calibri" w:hAnsi="Calibri" w:cs="Calibri"/>
                <w:color w:val="000000"/>
                <w:sz w:val="22"/>
                <w:szCs w:val="22"/>
              </w:rPr>
              <w:t xml:space="preserve">Tenderers </w:t>
            </w:r>
            <w:r w:rsidRPr="001D1739">
              <w:rPr>
                <w:rFonts w:ascii="Calibri" w:hAnsi="Calibri" w:cs="Calibri"/>
                <w:b/>
                <w:color w:val="000000"/>
                <w:sz w:val="22"/>
                <w:szCs w:val="22"/>
                <w:u w:val="single"/>
              </w:rPr>
              <w:t>must</w:t>
            </w:r>
            <w:r w:rsidRPr="001D1739">
              <w:rPr>
                <w:rFonts w:ascii="Calibri" w:hAnsi="Calibri" w:cs="Calibri"/>
                <w:color w:val="000000"/>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lastRenderedPageBreak/>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lastRenderedPageBreak/>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3"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19C4E06C"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p w14:paraId="60770750" w14:textId="1B7AF40B" w:rsidR="00B4658C" w:rsidRPr="00CA28F8" w:rsidRDefault="00B4658C" w:rsidP="004618F4">
            <w:pPr>
              <w:spacing w:after="120"/>
              <w:rPr>
                <w:rFonts w:ascii="Calibri" w:hAnsi="Calibri" w:cs="Calibri"/>
                <w:sz w:val="22"/>
                <w:szCs w:val="22"/>
                <w:lang w:val="en-GB"/>
              </w:rPr>
            </w:pPr>
            <w:r w:rsidRPr="00B4658C">
              <w:rPr>
                <w:rFonts w:ascii="Calibri" w:hAnsi="Calibri" w:cs="Calibri"/>
                <w:sz w:val="22"/>
                <w:szCs w:val="22"/>
              </w:rPr>
              <w:t xml:space="preserve">Tenderers </w:t>
            </w:r>
            <w:r w:rsidRPr="00B4658C">
              <w:rPr>
                <w:rFonts w:ascii="Calibri" w:hAnsi="Calibri" w:cs="Calibri"/>
                <w:b/>
                <w:sz w:val="22"/>
                <w:szCs w:val="22"/>
                <w:u w:val="single"/>
              </w:rPr>
              <w:t>must</w:t>
            </w:r>
            <w:r w:rsidRPr="00B4658C">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31E646F7" w14:textId="77777777" w:rsidR="004618F4" w:rsidRDefault="004618F4" w:rsidP="004618F4">
            <w:pPr>
              <w:spacing w:after="120"/>
              <w:rPr>
                <w:rFonts w:ascii="Calibri" w:hAnsi="Calibri"/>
                <w:sz w:val="22"/>
                <w:lang w:val="en-GB"/>
              </w:rPr>
            </w:pPr>
            <w:r w:rsidRPr="00CA28F8">
              <w:rPr>
                <w:rFonts w:ascii="Calibri" w:hAnsi="Calibri" w:cs="Calibri"/>
                <w:sz w:val="22"/>
                <w:szCs w:val="22"/>
                <w:lang w:val="en-GB"/>
              </w:rPr>
              <w:t>Tenderers are required to set out their proposed waste management plan for the school campus, including but not limited to: the process for daily collection of food waste, packaging, and the proposed p</w:t>
            </w:r>
            <w:r w:rsidRPr="00CA28F8">
              <w:rPr>
                <w:rFonts w:ascii="Calibri" w:hAnsi="Calibri"/>
                <w:sz w:val="22"/>
                <w:lang w:val="en-GB"/>
              </w:rPr>
              <w:t>est control measures for waste areas, food storage, preparation and service areas.</w:t>
            </w:r>
          </w:p>
          <w:p w14:paraId="17EC7418" w14:textId="6AB1369F" w:rsidR="00F16C6F" w:rsidRPr="00CA28F8" w:rsidRDefault="00F16C6F" w:rsidP="004618F4">
            <w:pPr>
              <w:spacing w:after="120"/>
              <w:rPr>
                <w:rFonts w:ascii="Calibri" w:hAnsi="Calibri" w:cs="Calibri"/>
                <w:sz w:val="22"/>
                <w:szCs w:val="22"/>
                <w:lang w:val="en-GB"/>
              </w:rPr>
            </w:pPr>
            <w:r w:rsidRPr="00F16C6F">
              <w:rPr>
                <w:rFonts w:ascii="Calibri" w:hAnsi="Calibri" w:cs="Calibri"/>
                <w:sz w:val="22"/>
                <w:szCs w:val="22"/>
              </w:rPr>
              <w:t xml:space="preserve">Tenderers </w:t>
            </w:r>
            <w:r w:rsidRPr="00F16C6F">
              <w:rPr>
                <w:rFonts w:ascii="Calibri" w:hAnsi="Calibri" w:cs="Calibri"/>
                <w:b/>
                <w:sz w:val="22"/>
                <w:szCs w:val="22"/>
                <w:u w:val="single"/>
              </w:rPr>
              <w:t>must</w:t>
            </w:r>
            <w:r w:rsidRPr="00F16C6F">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Tenderers to expand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3FA7A749"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w:t>
            </w:r>
            <w:r w:rsidRPr="00CA28F8">
              <w:rPr>
                <w:rFonts w:ascii="Calibri" w:hAnsi="Calibri" w:cs="Calibri"/>
                <w:sz w:val="22"/>
                <w:szCs w:val="22"/>
                <w:lang w:val="en-GB"/>
              </w:rPr>
              <w:lastRenderedPageBreak/>
              <w:t xml:space="preserve">reduce transport miles and to support the local economy, favouring seasonal and local produce. </w:t>
            </w:r>
          </w:p>
          <w:p w14:paraId="6247B98B" w14:textId="7DE5943B" w:rsidR="00F16C6F" w:rsidRPr="00CA28F8" w:rsidRDefault="001B78BB" w:rsidP="004618F4">
            <w:pPr>
              <w:spacing w:after="120"/>
              <w:rPr>
                <w:rFonts w:ascii="Calibri" w:hAnsi="Calibri" w:cs="Calibri"/>
                <w:sz w:val="22"/>
                <w:szCs w:val="22"/>
                <w:lang w:val="en-GB"/>
              </w:rPr>
            </w:pPr>
            <w:r w:rsidRPr="001B78BB">
              <w:rPr>
                <w:rFonts w:ascii="Calibri" w:hAnsi="Calibri" w:cs="Calibri"/>
                <w:sz w:val="22"/>
                <w:szCs w:val="22"/>
              </w:rPr>
              <w:t xml:space="preserve">Tenderers </w:t>
            </w:r>
            <w:r w:rsidRPr="001B78BB">
              <w:rPr>
                <w:rFonts w:ascii="Calibri" w:hAnsi="Calibri" w:cs="Calibri"/>
                <w:b/>
                <w:sz w:val="22"/>
                <w:szCs w:val="22"/>
                <w:u w:val="single"/>
              </w:rPr>
              <w:t>must</w:t>
            </w:r>
            <w:r w:rsidRPr="001B78BB">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lastRenderedPageBreak/>
              <w:t>Tenderers to expand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t>For the avoidance of doubt,</w:t>
            </w:r>
            <w:r w:rsidRPr="002806D6">
              <w:rPr>
                <w:rFonts w:asciiTheme="minorHAnsi" w:hAnsiTheme="minorHAnsi" w:cstheme="minorHAnsi"/>
                <w:bCs/>
                <w:sz w:val="22"/>
                <w:szCs w:val="20"/>
              </w:rPr>
              <w:t xml:space="preserve"> Tenderers are advised the Contracting Authority, with the exception of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34DAB7FB" w14:textId="77777777" w:rsidR="001B78BB" w:rsidRDefault="001B78BB" w:rsidP="00325F16">
      <w:pPr>
        <w:spacing w:line="288" w:lineRule="auto"/>
        <w:rPr>
          <w:rFonts w:asciiTheme="minorHAnsi" w:hAnsiTheme="minorHAnsi" w:cs="Arial"/>
          <w:sz w:val="22"/>
          <w:szCs w:val="22"/>
        </w:rPr>
      </w:pPr>
    </w:p>
    <w:p w14:paraId="39DFD037" w14:textId="77777777" w:rsidR="001B78BB" w:rsidRDefault="001B78BB" w:rsidP="00325F16">
      <w:pPr>
        <w:spacing w:line="288" w:lineRule="auto"/>
        <w:rPr>
          <w:rFonts w:asciiTheme="minorHAnsi" w:hAnsiTheme="minorHAnsi" w:cs="Arial"/>
          <w:sz w:val="22"/>
          <w:szCs w:val="22"/>
        </w:rPr>
      </w:pPr>
    </w:p>
    <w:p w14:paraId="49680B98" w14:textId="77777777" w:rsidR="001B78BB" w:rsidRDefault="001B78BB" w:rsidP="00325F16">
      <w:pPr>
        <w:spacing w:line="288" w:lineRule="auto"/>
        <w:rPr>
          <w:rFonts w:asciiTheme="minorHAnsi" w:hAnsiTheme="minorHAnsi" w:cs="Arial"/>
          <w:sz w:val="22"/>
          <w:szCs w:val="22"/>
        </w:rPr>
      </w:pPr>
    </w:p>
    <w:p w14:paraId="6A8ABC0A" w14:textId="77777777" w:rsidR="001B78BB" w:rsidRDefault="001B78BB" w:rsidP="00325F16">
      <w:pPr>
        <w:spacing w:line="288" w:lineRule="auto"/>
        <w:rPr>
          <w:rFonts w:asciiTheme="minorHAnsi" w:hAnsiTheme="minorHAnsi" w:cs="Arial"/>
          <w:sz w:val="22"/>
          <w:szCs w:val="22"/>
        </w:rPr>
      </w:pPr>
    </w:p>
    <w:p w14:paraId="66B03DBF" w14:textId="77777777" w:rsidR="001B78BB" w:rsidRDefault="001B78BB" w:rsidP="00325F16">
      <w:pPr>
        <w:spacing w:line="288" w:lineRule="auto"/>
        <w:rPr>
          <w:rFonts w:asciiTheme="minorHAnsi" w:hAnsiTheme="minorHAnsi" w:cs="Arial"/>
          <w:sz w:val="22"/>
          <w:szCs w:val="22"/>
        </w:rPr>
      </w:pPr>
    </w:p>
    <w:p w14:paraId="43E0D659" w14:textId="77777777" w:rsidR="001B78BB" w:rsidRDefault="001B78BB" w:rsidP="00325F16">
      <w:pPr>
        <w:spacing w:line="288" w:lineRule="auto"/>
        <w:rPr>
          <w:rFonts w:asciiTheme="minorHAnsi" w:hAnsiTheme="minorHAnsi" w:cs="Arial"/>
          <w:sz w:val="22"/>
          <w:szCs w:val="22"/>
        </w:rPr>
      </w:pPr>
    </w:p>
    <w:p w14:paraId="47BEBC5E" w14:textId="77777777" w:rsidR="001B78BB" w:rsidRDefault="001B78BB" w:rsidP="00325F16">
      <w:pPr>
        <w:spacing w:line="288" w:lineRule="auto"/>
        <w:rPr>
          <w:rFonts w:asciiTheme="minorHAnsi" w:hAnsiTheme="minorHAnsi" w:cs="Arial"/>
          <w:sz w:val="22"/>
          <w:szCs w:val="22"/>
        </w:rPr>
      </w:pPr>
    </w:p>
    <w:p w14:paraId="0F9B8A65" w14:textId="77777777" w:rsidR="001B78BB" w:rsidRDefault="001B78BB" w:rsidP="00325F16">
      <w:pPr>
        <w:spacing w:line="288" w:lineRule="auto"/>
        <w:rPr>
          <w:rFonts w:asciiTheme="minorHAnsi" w:hAnsiTheme="minorHAnsi" w:cs="Arial"/>
          <w:sz w:val="22"/>
          <w:szCs w:val="22"/>
        </w:rPr>
      </w:pPr>
    </w:p>
    <w:p w14:paraId="202E945A" w14:textId="77777777" w:rsidR="001B78BB" w:rsidRDefault="001B78BB" w:rsidP="00325F16">
      <w:pPr>
        <w:spacing w:line="288" w:lineRule="auto"/>
        <w:rPr>
          <w:rFonts w:asciiTheme="minorHAnsi" w:hAnsiTheme="minorHAnsi" w:cs="Arial"/>
          <w:sz w:val="22"/>
          <w:szCs w:val="22"/>
        </w:rPr>
      </w:pPr>
    </w:p>
    <w:p w14:paraId="3BC306E1" w14:textId="77777777" w:rsidR="001B78BB" w:rsidRDefault="001B78BB" w:rsidP="00325F16">
      <w:pPr>
        <w:spacing w:line="288" w:lineRule="auto"/>
        <w:rPr>
          <w:rFonts w:asciiTheme="minorHAnsi" w:hAnsiTheme="minorHAnsi" w:cs="Arial"/>
          <w:sz w:val="22"/>
          <w:szCs w:val="22"/>
        </w:rPr>
      </w:pPr>
    </w:p>
    <w:p w14:paraId="5D76E473" w14:textId="77777777" w:rsidR="001B78BB" w:rsidRDefault="001B78BB"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641291">
      <w:pPr>
        <w:pStyle w:val="ListParagraph"/>
        <w:numPr>
          <w:ilvl w:val="0"/>
          <w:numId w:val="3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641291">
      <w:pPr>
        <w:pStyle w:val="ListParagraph"/>
        <w:numPr>
          <w:ilvl w:val="0"/>
          <w:numId w:val="4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AF72A4">
      <w:pPr>
        <w:numPr>
          <w:ilvl w:val="0"/>
          <w:numId w:val="48"/>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AF72A4">
      <w:pPr>
        <w:numPr>
          <w:ilvl w:val="0"/>
          <w:numId w:val="48"/>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AF72A4">
      <w:pPr>
        <w:numPr>
          <w:ilvl w:val="0"/>
          <w:numId w:val="48"/>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AF72A4">
      <w:pPr>
        <w:numPr>
          <w:ilvl w:val="0"/>
          <w:numId w:val="48"/>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AF72A4">
      <w:pPr>
        <w:numPr>
          <w:ilvl w:val="0"/>
          <w:numId w:val="49"/>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4"/>
      <w:headerReference w:type="default" r:id="rId15"/>
      <w:footerReference w:type="default" r:id="rId16"/>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83155" w14:textId="77777777" w:rsidR="00FC50F6" w:rsidRDefault="00FC50F6">
      <w:r>
        <w:separator/>
      </w:r>
    </w:p>
  </w:endnote>
  <w:endnote w:type="continuationSeparator" w:id="0">
    <w:p w14:paraId="0D72F405" w14:textId="77777777" w:rsidR="00FC50F6" w:rsidRDefault="00FC50F6">
      <w:r>
        <w:continuationSeparator/>
      </w:r>
    </w:p>
  </w:endnote>
  <w:endnote w:type="continuationNotice" w:id="1">
    <w:p w14:paraId="692A3621" w14:textId="77777777" w:rsidR="00FC50F6" w:rsidRDefault="00FC50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465560"/>
      <w:docPartObj>
        <w:docPartGallery w:val="Page Numbers (Bottom of Page)"/>
        <w:docPartUnique/>
      </w:docPartObj>
    </w:sdtPr>
    <w:sdtEndPr>
      <w:rPr>
        <w:noProof/>
      </w:rPr>
    </w:sdtEndPr>
    <w:sdtContent>
      <w:p w14:paraId="4B9F6488" w14:textId="72D3676A"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BD445B">
          <w:rPr>
            <w:rFonts w:asciiTheme="minorHAnsi" w:hAnsiTheme="minorHAnsi" w:cstheme="minorHAnsi"/>
            <w:noProof/>
          </w:rPr>
          <w:t>3</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125BA" w14:textId="77777777" w:rsidR="00FC50F6" w:rsidRDefault="00FC50F6">
      <w:r>
        <w:separator/>
      </w:r>
    </w:p>
  </w:footnote>
  <w:footnote w:type="continuationSeparator" w:id="0">
    <w:p w14:paraId="64B2515E" w14:textId="77777777" w:rsidR="00FC50F6" w:rsidRDefault="00FC50F6">
      <w:r>
        <w:continuationSeparator/>
      </w:r>
    </w:p>
  </w:footnote>
  <w:footnote w:type="continuationNotice" w:id="1">
    <w:p w14:paraId="19DC5538" w14:textId="77777777" w:rsidR="00FC50F6" w:rsidRDefault="00FC50F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5"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7"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6"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8"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21"/>
  </w:num>
  <w:num w:numId="3">
    <w:abstractNumId w:val="24"/>
  </w:num>
  <w:num w:numId="4">
    <w:abstractNumId w:val="16"/>
  </w:num>
  <w:num w:numId="5">
    <w:abstractNumId w:val="22"/>
  </w:num>
  <w:num w:numId="6">
    <w:abstractNumId w:val="46"/>
  </w:num>
  <w:num w:numId="7">
    <w:abstractNumId w:val="7"/>
  </w:num>
  <w:num w:numId="8">
    <w:abstractNumId w:val="18"/>
  </w:num>
  <w:num w:numId="9">
    <w:abstractNumId w:val="42"/>
  </w:num>
  <w:num w:numId="10">
    <w:abstractNumId w:val="27"/>
  </w:num>
  <w:num w:numId="11">
    <w:abstractNumId w:val="6"/>
  </w:num>
  <w:num w:numId="12">
    <w:abstractNumId w:val="32"/>
  </w:num>
  <w:num w:numId="13">
    <w:abstractNumId w:val="35"/>
  </w:num>
  <w:num w:numId="14">
    <w:abstractNumId w:val="39"/>
  </w:num>
  <w:num w:numId="15">
    <w:abstractNumId w:val="28"/>
  </w:num>
  <w:num w:numId="16">
    <w:abstractNumId w:val="9"/>
  </w:num>
  <w:num w:numId="17">
    <w:abstractNumId w:val="31"/>
  </w:num>
  <w:num w:numId="18">
    <w:abstractNumId w:val="49"/>
  </w:num>
  <w:num w:numId="19">
    <w:abstractNumId w:val="23"/>
  </w:num>
  <w:num w:numId="20">
    <w:abstractNumId w:val="3"/>
  </w:num>
  <w:num w:numId="21">
    <w:abstractNumId w:val="4"/>
  </w:num>
  <w:num w:numId="22">
    <w:abstractNumId w:val="8"/>
  </w:num>
  <w:num w:numId="23">
    <w:abstractNumId w:val="13"/>
  </w:num>
  <w:num w:numId="24">
    <w:abstractNumId w:val="34"/>
  </w:num>
  <w:num w:numId="25">
    <w:abstractNumId w:val="10"/>
  </w:num>
  <w:num w:numId="26">
    <w:abstractNumId w:val="14"/>
  </w:num>
  <w:num w:numId="27">
    <w:abstractNumId w:val="38"/>
  </w:num>
  <w:num w:numId="28">
    <w:abstractNumId w:val="19"/>
  </w:num>
  <w:num w:numId="29">
    <w:abstractNumId w:val="1"/>
  </w:num>
  <w:num w:numId="30">
    <w:abstractNumId w:val="37"/>
  </w:num>
  <w:num w:numId="31">
    <w:abstractNumId w:val="33"/>
  </w:num>
  <w:num w:numId="32">
    <w:abstractNumId w:val="30"/>
  </w:num>
  <w:num w:numId="33">
    <w:abstractNumId w:val="20"/>
  </w:num>
  <w:num w:numId="34">
    <w:abstractNumId w:val="36"/>
  </w:num>
  <w:num w:numId="35">
    <w:abstractNumId w:val="43"/>
  </w:num>
  <w:num w:numId="36">
    <w:abstractNumId w:val="2"/>
  </w:num>
  <w:num w:numId="37">
    <w:abstractNumId w:val="5"/>
  </w:num>
  <w:num w:numId="38">
    <w:abstractNumId w:val="48"/>
  </w:num>
  <w:num w:numId="39">
    <w:abstractNumId w:val="40"/>
  </w:num>
  <w:num w:numId="40">
    <w:abstractNumId w:val="26"/>
  </w:num>
  <w:num w:numId="41">
    <w:abstractNumId w:val="11"/>
  </w:num>
  <w:num w:numId="42">
    <w:abstractNumId w:val="44"/>
  </w:num>
  <w:num w:numId="43">
    <w:abstractNumId w:val="29"/>
  </w:num>
  <w:num w:numId="44">
    <w:abstractNumId w:val="41"/>
  </w:num>
  <w:num w:numId="45">
    <w:abstractNumId w:val="45"/>
  </w:num>
  <w:num w:numId="46">
    <w:abstractNumId w:val="15"/>
  </w:num>
  <w:num w:numId="47">
    <w:abstractNumId w:val="12"/>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04C3"/>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B6C"/>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6EB8"/>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42139"/>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445B"/>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6BE6"/>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0F6"/>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ssets.gov.ie/static/documents/buying-greener-green-public-procurement-strategy-and-action-plan-2024-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E8A86-CAF4-47EB-92D8-1626BBA58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0FC1592B-3186-489C-A1C4-89DCE0AB9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5827</Words>
  <Characters>33216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38966</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admin</cp:lastModifiedBy>
  <cp:revision>2</cp:revision>
  <cp:lastPrinted>2019-01-25T10:59:00Z</cp:lastPrinted>
  <dcterms:created xsi:type="dcterms:W3CDTF">2026-08-16T18:28:00Z</dcterms:created>
  <dcterms:modified xsi:type="dcterms:W3CDTF">2026-08-16T18:28:00Z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