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2D815" w14:textId="77777777"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CLARIFICATION DOCUMENT 1</w:t>
      </w:r>
    </w:p>
    <w:p w14:paraId="50F99E9F" w14:textId="48C3FE9C" w:rsidR="00087F99" w:rsidRPr="00087F99" w:rsidRDefault="00264CB5"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Pr>
          <w:rFonts w:cstheme="minorHAnsi"/>
          <w:b/>
          <w:sz w:val="20"/>
          <w:szCs w:val="20"/>
        </w:rPr>
        <w:t>Multi</w:t>
      </w:r>
      <w:r w:rsidR="00087F99" w:rsidRPr="00087F99">
        <w:rPr>
          <w:rFonts w:cstheme="minorHAnsi"/>
          <w:b/>
          <w:sz w:val="20"/>
          <w:szCs w:val="20"/>
        </w:rPr>
        <w:t xml:space="preserve"> Party Framework Agreement for the </w:t>
      </w:r>
      <w:r w:rsidR="00561C39">
        <w:rPr>
          <w:rFonts w:cstheme="minorHAnsi"/>
          <w:b/>
          <w:sz w:val="20"/>
          <w:szCs w:val="20"/>
        </w:rPr>
        <w:t xml:space="preserve">Provision of </w:t>
      </w:r>
      <w:r>
        <w:rPr>
          <w:rFonts w:cstheme="minorHAnsi"/>
          <w:b/>
          <w:sz w:val="20"/>
          <w:szCs w:val="20"/>
        </w:rPr>
        <w:t xml:space="preserve">Management Consultancy </w:t>
      </w:r>
      <w:r w:rsidR="00561C39">
        <w:rPr>
          <w:rFonts w:cstheme="minorHAnsi"/>
          <w:b/>
          <w:sz w:val="20"/>
          <w:szCs w:val="20"/>
        </w:rPr>
        <w:t xml:space="preserve">Services </w:t>
      </w:r>
      <w:r w:rsidR="000056FF">
        <w:rPr>
          <w:rFonts w:cstheme="minorHAnsi"/>
          <w:b/>
          <w:sz w:val="20"/>
          <w:szCs w:val="20"/>
        </w:rPr>
        <w:t xml:space="preserve">to Horse </w:t>
      </w:r>
      <w:r w:rsidR="00A447F8">
        <w:rPr>
          <w:rFonts w:cstheme="minorHAnsi"/>
          <w:b/>
          <w:sz w:val="20"/>
          <w:szCs w:val="20"/>
        </w:rPr>
        <w:t xml:space="preserve">Racing Ireland and Subsidiaries </w:t>
      </w:r>
    </w:p>
    <w:p w14:paraId="134722E4" w14:textId="63C93A69"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OJEU Ref </w:t>
      </w:r>
      <w:r w:rsidR="00264CB5" w:rsidRPr="00264CB5">
        <w:rPr>
          <w:rFonts w:cstheme="minorHAnsi"/>
          <w:b/>
          <w:sz w:val="20"/>
          <w:szCs w:val="20"/>
        </w:rPr>
        <w:t>471652-2026</w:t>
      </w:r>
    </w:p>
    <w:p w14:paraId="741E047B" w14:textId="77777777"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p>
    <w:p w14:paraId="3E9ED6F9" w14:textId="77777777" w:rsidR="00087F99" w:rsidRPr="00087F99" w:rsidRDefault="00087F99" w:rsidP="00087F99">
      <w:pPr>
        <w:pBdr>
          <w:top w:val="single" w:sz="4" w:space="1" w:color="auto"/>
          <w:left w:val="single" w:sz="4" w:space="4" w:color="auto"/>
          <w:bottom w:val="single" w:sz="4" w:space="1" w:color="auto"/>
          <w:right w:val="single" w:sz="4" w:space="4" w:color="auto"/>
        </w:pBdr>
        <w:spacing w:line="276" w:lineRule="auto"/>
        <w:jc w:val="center"/>
        <w:rPr>
          <w:rFonts w:cstheme="minorHAnsi"/>
          <w:b/>
          <w:sz w:val="20"/>
          <w:szCs w:val="20"/>
        </w:rPr>
      </w:pPr>
      <w:r w:rsidRPr="00087F99">
        <w:rPr>
          <w:rFonts w:cstheme="minorHAnsi"/>
          <w:b/>
          <w:sz w:val="20"/>
          <w:szCs w:val="20"/>
        </w:rPr>
        <w:t>(MAXIMUM POTENTIAL DURATION: 4 YEARS)</w:t>
      </w:r>
    </w:p>
    <w:p w14:paraId="06B7837E" w14:textId="442EEAE2"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sz w:val="20"/>
          <w:szCs w:val="20"/>
        </w:rPr>
      </w:pPr>
      <w:r w:rsidRPr="00087F99">
        <w:rPr>
          <w:rFonts w:cstheme="minorHAnsi"/>
          <w:sz w:val="20"/>
          <w:szCs w:val="20"/>
        </w:rPr>
        <w:t xml:space="preserve">DEADLINE DATE FOR RECEIPT OF QUERIES: COB </w:t>
      </w:r>
      <w:r w:rsidR="008C5FF9">
        <w:rPr>
          <w:rFonts w:cstheme="minorHAnsi"/>
          <w:sz w:val="20"/>
          <w:szCs w:val="20"/>
        </w:rPr>
        <w:t>28</w:t>
      </w:r>
      <w:r w:rsidRPr="00087F99">
        <w:rPr>
          <w:rFonts w:cstheme="minorHAnsi"/>
          <w:sz w:val="20"/>
          <w:szCs w:val="20"/>
        </w:rPr>
        <w:t>/</w:t>
      </w:r>
      <w:r w:rsidR="00561C39">
        <w:rPr>
          <w:rFonts w:cstheme="minorHAnsi"/>
          <w:sz w:val="20"/>
          <w:szCs w:val="20"/>
        </w:rPr>
        <w:t>07</w:t>
      </w:r>
      <w:r w:rsidRPr="00087F99">
        <w:rPr>
          <w:rFonts w:cstheme="minorHAnsi"/>
          <w:sz w:val="20"/>
          <w:szCs w:val="20"/>
        </w:rPr>
        <w:t>/202</w:t>
      </w:r>
      <w:r w:rsidR="00561C39">
        <w:rPr>
          <w:rFonts w:cstheme="minorHAnsi"/>
          <w:sz w:val="20"/>
          <w:szCs w:val="20"/>
        </w:rPr>
        <w:t>6</w:t>
      </w:r>
    </w:p>
    <w:p w14:paraId="493C31F2" w14:textId="3EA15FCA"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sz w:val="20"/>
          <w:szCs w:val="20"/>
        </w:rPr>
        <w:t xml:space="preserve">DEADLINE DATE FOR RECEIPT OF TENDERS: </w:t>
      </w:r>
      <w:r w:rsidR="008C5FF9" w:rsidRPr="00F15113">
        <w:rPr>
          <w:rFonts w:cstheme="minorHAnsi"/>
          <w:b/>
          <w:bCs/>
          <w:sz w:val="20"/>
          <w:szCs w:val="20"/>
          <w:highlight w:val="yellow"/>
        </w:rPr>
        <w:t>TUESDAY</w:t>
      </w:r>
      <w:r w:rsidRPr="00F15113">
        <w:rPr>
          <w:rFonts w:cstheme="minorHAnsi"/>
          <w:b/>
          <w:bCs/>
          <w:sz w:val="20"/>
          <w:szCs w:val="20"/>
          <w:highlight w:val="yellow"/>
        </w:rPr>
        <w:t xml:space="preserve"> </w:t>
      </w:r>
      <w:r w:rsidR="000056FF" w:rsidRPr="00F15113">
        <w:rPr>
          <w:rFonts w:cstheme="minorHAnsi"/>
          <w:b/>
          <w:bCs/>
          <w:sz w:val="20"/>
          <w:szCs w:val="20"/>
          <w:highlight w:val="yellow"/>
        </w:rPr>
        <w:t>1</w:t>
      </w:r>
      <w:r w:rsidR="00F15113" w:rsidRPr="00F15113">
        <w:rPr>
          <w:rFonts w:cstheme="minorHAnsi"/>
          <w:b/>
          <w:bCs/>
          <w:sz w:val="20"/>
          <w:szCs w:val="20"/>
          <w:highlight w:val="yellow"/>
        </w:rPr>
        <w:t>8</w:t>
      </w:r>
      <w:r w:rsidRPr="00F15113">
        <w:rPr>
          <w:rFonts w:cstheme="minorHAnsi"/>
          <w:b/>
          <w:bCs/>
          <w:sz w:val="20"/>
          <w:szCs w:val="20"/>
          <w:highlight w:val="yellow"/>
        </w:rPr>
        <w:t>/</w:t>
      </w:r>
      <w:r w:rsidR="000056FF" w:rsidRPr="00F15113">
        <w:rPr>
          <w:rFonts w:cstheme="minorHAnsi"/>
          <w:b/>
          <w:bCs/>
          <w:sz w:val="20"/>
          <w:szCs w:val="20"/>
          <w:highlight w:val="yellow"/>
        </w:rPr>
        <w:t>0</w:t>
      </w:r>
      <w:r w:rsidR="00561C39" w:rsidRPr="00F15113">
        <w:rPr>
          <w:rFonts w:cstheme="minorHAnsi"/>
          <w:b/>
          <w:bCs/>
          <w:sz w:val="20"/>
          <w:szCs w:val="20"/>
          <w:highlight w:val="yellow"/>
        </w:rPr>
        <w:t>8</w:t>
      </w:r>
      <w:r w:rsidRPr="00F15113">
        <w:rPr>
          <w:rFonts w:cstheme="minorHAnsi"/>
          <w:b/>
          <w:bCs/>
          <w:sz w:val="20"/>
          <w:szCs w:val="20"/>
          <w:highlight w:val="yellow"/>
        </w:rPr>
        <w:t>/202</w:t>
      </w:r>
      <w:r w:rsidR="000056FF" w:rsidRPr="00F15113">
        <w:rPr>
          <w:rFonts w:cstheme="minorHAnsi"/>
          <w:b/>
          <w:bCs/>
          <w:sz w:val="20"/>
          <w:szCs w:val="20"/>
          <w:highlight w:val="yellow"/>
        </w:rPr>
        <w:t>6</w:t>
      </w:r>
      <w:r w:rsidRPr="00087F99">
        <w:rPr>
          <w:rFonts w:cstheme="minorHAnsi"/>
          <w:b/>
          <w:bCs/>
          <w:sz w:val="20"/>
          <w:szCs w:val="20"/>
        </w:rPr>
        <w:t xml:space="preserve"> AT 1</w:t>
      </w:r>
      <w:r w:rsidR="00A447F8">
        <w:rPr>
          <w:rFonts w:cstheme="minorHAnsi"/>
          <w:b/>
          <w:bCs/>
          <w:sz w:val="20"/>
          <w:szCs w:val="20"/>
        </w:rPr>
        <w:t>5</w:t>
      </w:r>
      <w:r w:rsidRPr="00087F99">
        <w:rPr>
          <w:rFonts w:cstheme="minorHAnsi"/>
          <w:b/>
          <w:bCs/>
          <w:sz w:val="20"/>
          <w:szCs w:val="20"/>
        </w:rPr>
        <w:t>.00 (LOCAL</w:t>
      </w:r>
      <w:r w:rsidRPr="00087F99">
        <w:rPr>
          <w:rFonts w:cstheme="minorHAnsi"/>
          <w:b/>
          <w:sz w:val="20"/>
          <w:szCs w:val="20"/>
        </w:rPr>
        <w:t xml:space="preserve"> TIME)</w:t>
      </w:r>
    </w:p>
    <w:p w14:paraId="5969F6AE" w14:textId="77777777" w:rsidR="003B13F3" w:rsidRDefault="003B13F3" w:rsidP="000950CF">
      <w:pPr>
        <w:rPr>
          <w:rFonts w:cstheme="minorHAnsi"/>
          <w:sz w:val="20"/>
          <w:szCs w:val="20"/>
        </w:rPr>
      </w:pPr>
    </w:p>
    <w:p w14:paraId="543067B9" w14:textId="374A63A0" w:rsidR="00535BBA" w:rsidRPr="00087F99" w:rsidRDefault="00535BBA" w:rsidP="000950CF">
      <w:pPr>
        <w:rPr>
          <w:rFonts w:cstheme="minorHAnsi"/>
          <w:sz w:val="20"/>
          <w:szCs w:val="20"/>
        </w:rPr>
      </w:pPr>
    </w:p>
    <w:p w14:paraId="79F7D828" w14:textId="77777777"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1: </w:t>
      </w:r>
    </w:p>
    <w:p w14:paraId="5BE403EF" w14:textId="5577C855" w:rsidR="00264CB5" w:rsidRPr="00264CB5" w:rsidRDefault="00264CB5" w:rsidP="00561C39">
      <w:pPr>
        <w:jc w:val="both"/>
        <w:rPr>
          <w:rFonts w:cstheme="minorHAnsi"/>
          <w:sz w:val="20"/>
          <w:szCs w:val="20"/>
        </w:rPr>
      </w:pPr>
      <w:r w:rsidRPr="00264CB5">
        <w:rPr>
          <w:rFonts w:cstheme="minorHAnsi"/>
          <w:sz w:val="20"/>
          <w:szCs w:val="20"/>
        </w:rPr>
        <w:t>It is noted that in Appendix 4 of the ITT document, the draft terms and conditions of the framework agreement are provided. Please could you also provide an example of the form of contract that will be used to draw down services from the framework.</w:t>
      </w:r>
    </w:p>
    <w:p w14:paraId="0E64C00D" w14:textId="46CA59CE" w:rsidR="00087F99" w:rsidRP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1:</w:t>
      </w:r>
    </w:p>
    <w:p w14:paraId="0E5016E0" w14:textId="37B604CD" w:rsidR="000056FF" w:rsidRDefault="0077156E" w:rsidP="00087F99">
      <w:pPr>
        <w:jc w:val="both"/>
        <w:rPr>
          <w:rFonts w:cstheme="minorHAnsi"/>
          <w:sz w:val="20"/>
          <w:szCs w:val="20"/>
          <w:lang w:val="en-IE"/>
        </w:rPr>
      </w:pPr>
      <w:r>
        <w:rPr>
          <w:rFonts w:cstheme="minorHAnsi"/>
          <w:sz w:val="20"/>
          <w:szCs w:val="20"/>
        </w:rPr>
        <w:t>I</w:t>
      </w:r>
      <w:r w:rsidR="001C7703">
        <w:rPr>
          <w:rFonts w:cstheme="minorHAnsi"/>
          <w:sz w:val="20"/>
          <w:szCs w:val="20"/>
        </w:rPr>
        <w:t>n</w:t>
      </w:r>
      <w:r>
        <w:rPr>
          <w:rFonts w:cstheme="minorHAnsi"/>
          <w:sz w:val="20"/>
          <w:szCs w:val="20"/>
        </w:rPr>
        <w:t xml:space="preserve"> the ITT document, the draft Terms and Conditions </w:t>
      </w:r>
      <w:r w:rsidR="001C7703">
        <w:rPr>
          <w:rFonts w:cstheme="minorHAnsi"/>
          <w:sz w:val="20"/>
          <w:szCs w:val="20"/>
        </w:rPr>
        <w:t xml:space="preserve">of the framework agreement is provided only.  There is no one specific form of contract that </w:t>
      </w:r>
      <w:r w:rsidR="00352540">
        <w:rPr>
          <w:rFonts w:cstheme="minorHAnsi"/>
          <w:sz w:val="20"/>
          <w:szCs w:val="20"/>
        </w:rPr>
        <w:t xml:space="preserve">could be provided as each business function would have different requirements for each </w:t>
      </w:r>
      <w:r w:rsidR="000A75B3">
        <w:rPr>
          <w:rFonts w:cstheme="minorHAnsi"/>
          <w:sz w:val="20"/>
          <w:szCs w:val="20"/>
        </w:rPr>
        <w:t>service</w:t>
      </w:r>
      <w:r w:rsidR="00352540">
        <w:rPr>
          <w:rFonts w:cstheme="minorHAnsi"/>
          <w:sz w:val="20"/>
          <w:szCs w:val="20"/>
        </w:rPr>
        <w:t xml:space="preserve"> that </w:t>
      </w:r>
      <w:r w:rsidR="000A75B3">
        <w:rPr>
          <w:rFonts w:cstheme="minorHAnsi"/>
          <w:sz w:val="20"/>
          <w:szCs w:val="20"/>
        </w:rPr>
        <w:t xml:space="preserve">may </w:t>
      </w:r>
      <w:r w:rsidR="00352540">
        <w:rPr>
          <w:rFonts w:cstheme="minorHAnsi"/>
          <w:sz w:val="20"/>
          <w:szCs w:val="20"/>
        </w:rPr>
        <w:t>be requested.</w:t>
      </w:r>
    </w:p>
    <w:p w14:paraId="2B8B6CDD" w14:textId="2EEA3ED6"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2: </w:t>
      </w:r>
    </w:p>
    <w:p w14:paraId="77FA088B" w14:textId="77777777" w:rsidR="00264CB5" w:rsidRPr="00264CB5" w:rsidRDefault="00264CB5" w:rsidP="00264CB5">
      <w:pPr>
        <w:rPr>
          <w:rFonts w:cstheme="minorHAnsi"/>
          <w:sz w:val="20"/>
          <w:szCs w:val="20"/>
          <w:lang w:val="en-IE"/>
        </w:rPr>
      </w:pPr>
      <w:r w:rsidRPr="00264CB5">
        <w:rPr>
          <w:rFonts w:cstheme="minorHAnsi"/>
          <w:sz w:val="20"/>
          <w:szCs w:val="20"/>
          <w:lang w:val="en-IE"/>
        </w:rPr>
        <w:t>Reference: ITT Section 2.1 (iv) Process and System Review</w:t>
      </w:r>
    </w:p>
    <w:p w14:paraId="4E26A1CC" w14:textId="77777777" w:rsidR="00264CB5" w:rsidRPr="00264CB5" w:rsidRDefault="00264CB5" w:rsidP="00264CB5">
      <w:pPr>
        <w:rPr>
          <w:rFonts w:cstheme="minorHAnsi"/>
          <w:sz w:val="20"/>
          <w:szCs w:val="20"/>
          <w:lang w:val="en-IE"/>
        </w:rPr>
      </w:pPr>
      <w:r w:rsidRPr="00264CB5">
        <w:rPr>
          <w:rFonts w:cstheme="minorHAnsi"/>
          <w:sz w:val="20"/>
          <w:szCs w:val="20"/>
          <w:lang w:val="en-IE"/>
        </w:rPr>
        <w:t>Section 2.1 (iv) states there may be a requirement for independent process and system reviews across areas of the business. To support an accurate response under Award Criteria 4.2(b) Methodology and 4.2(c) Resources, please clarify:</w:t>
      </w:r>
    </w:p>
    <w:p w14:paraId="3B19FF21" w14:textId="77777777" w:rsidR="00264CB5" w:rsidRPr="00264CB5" w:rsidRDefault="00264CB5" w:rsidP="006C620C">
      <w:pPr>
        <w:numPr>
          <w:ilvl w:val="0"/>
          <w:numId w:val="1"/>
        </w:numPr>
        <w:rPr>
          <w:rFonts w:cstheme="minorHAnsi"/>
          <w:sz w:val="20"/>
          <w:szCs w:val="20"/>
          <w:lang w:val="en-IE"/>
        </w:rPr>
      </w:pPr>
      <w:r w:rsidRPr="00264CB5">
        <w:rPr>
          <w:rFonts w:cstheme="minorHAnsi"/>
          <w:sz w:val="20"/>
          <w:szCs w:val="20"/>
          <w:lang w:val="en-IE"/>
        </w:rPr>
        <w:t>Which business areas/functions are most likely to be in scope?</w:t>
      </w:r>
    </w:p>
    <w:p w14:paraId="6F5D5DAB" w14:textId="77777777" w:rsidR="00264CB5" w:rsidRPr="00264CB5" w:rsidRDefault="00264CB5" w:rsidP="006C620C">
      <w:pPr>
        <w:numPr>
          <w:ilvl w:val="0"/>
          <w:numId w:val="1"/>
        </w:numPr>
        <w:rPr>
          <w:rFonts w:cstheme="minorHAnsi"/>
          <w:sz w:val="20"/>
          <w:szCs w:val="20"/>
          <w:lang w:val="en-IE"/>
        </w:rPr>
      </w:pPr>
      <w:r w:rsidRPr="00264CB5">
        <w:rPr>
          <w:rFonts w:cstheme="minorHAnsi"/>
          <w:sz w:val="20"/>
          <w:szCs w:val="20"/>
          <w:lang w:val="en-IE"/>
        </w:rPr>
        <w:t>What does “system” refer to in this context (e.g., IT applications/ERP/workflow tools, manual control systems, or end-to-end process plus enabling technology)?</w:t>
      </w:r>
    </w:p>
    <w:p w14:paraId="6BDF4A4D" w14:textId="77777777" w:rsidR="00264CB5" w:rsidRPr="00264CB5" w:rsidRDefault="00264CB5" w:rsidP="006C620C">
      <w:pPr>
        <w:numPr>
          <w:ilvl w:val="0"/>
          <w:numId w:val="1"/>
        </w:numPr>
        <w:rPr>
          <w:rFonts w:cstheme="minorHAnsi"/>
          <w:sz w:val="20"/>
          <w:szCs w:val="20"/>
          <w:lang w:val="en-IE"/>
        </w:rPr>
      </w:pPr>
      <w:r w:rsidRPr="00264CB5">
        <w:rPr>
          <w:rFonts w:cstheme="minorHAnsi"/>
          <w:sz w:val="20"/>
          <w:szCs w:val="20"/>
          <w:lang w:val="en-IE"/>
        </w:rPr>
        <w:t>What are the typical objectives and expected deliverables (e.g., diagnostic review, control assessment, process maps, recommendations/roadmap, requirements/business case, implementation support)?</w:t>
      </w:r>
    </w:p>
    <w:p w14:paraId="70325C70" w14:textId="77777777" w:rsidR="00264CB5" w:rsidRPr="00264CB5" w:rsidRDefault="00264CB5" w:rsidP="006C620C">
      <w:pPr>
        <w:numPr>
          <w:ilvl w:val="0"/>
          <w:numId w:val="1"/>
        </w:numPr>
        <w:rPr>
          <w:rFonts w:cstheme="minorHAnsi"/>
          <w:sz w:val="20"/>
          <w:szCs w:val="20"/>
          <w:lang w:val="en-IE"/>
        </w:rPr>
      </w:pPr>
      <w:proofErr w:type="gramStart"/>
      <w:r w:rsidRPr="00264CB5">
        <w:rPr>
          <w:rFonts w:cstheme="minorHAnsi"/>
          <w:sz w:val="20"/>
          <w:szCs w:val="20"/>
          <w:lang w:val="en-IE"/>
        </w:rPr>
        <w:t>Is</w:t>
      </w:r>
      <w:proofErr w:type="gramEnd"/>
      <w:r w:rsidRPr="00264CB5">
        <w:rPr>
          <w:rFonts w:cstheme="minorHAnsi"/>
          <w:sz w:val="20"/>
          <w:szCs w:val="20"/>
          <w:lang w:val="en-IE"/>
        </w:rPr>
        <w:t xml:space="preserve"> the intent primarily independent assurance/recommendations, or can it include design and implementation support?</w:t>
      </w:r>
    </w:p>
    <w:p w14:paraId="5070F277" w14:textId="17D295BB" w:rsidR="00087F99" w:rsidRPr="00087F99" w:rsidRDefault="00087F99" w:rsidP="000056FF">
      <w:pPr>
        <w:rPr>
          <w:rFonts w:cstheme="minorHAnsi"/>
          <w:b/>
          <w:color w:val="C00000"/>
          <w:sz w:val="20"/>
          <w:szCs w:val="20"/>
          <w:u w:val="single"/>
        </w:rPr>
      </w:pPr>
      <w:r w:rsidRPr="00087F99">
        <w:rPr>
          <w:rFonts w:cstheme="minorHAnsi"/>
          <w:b/>
          <w:color w:val="C00000"/>
          <w:sz w:val="20"/>
          <w:szCs w:val="20"/>
          <w:u w:val="single"/>
        </w:rPr>
        <w:t>Response 2:</w:t>
      </w:r>
    </w:p>
    <w:p w14:paraId="58B1CA96" w14:textId="70DAFAC4" w:rsidR="00561C39" w:rsidRPr="00102336" w:rsidRDefault="00D54875" w:rsidP="00102336">
      <w:pPr>
        <w:pStyle w:val="ListParagraph"/>
        <w:numPr>
          <w:ilvl w:val="1"/>
          <w:numId w:val="1"/>
        </w:numPr>
        <w:jc w:val="both"/>
        <w:rPr>
          <w:rFonts w:cstheme="minorHAnsi"/>
          <w:sz w:val="20"/>
          <w:szCs w:val="20"/>
          <w:lang w:val="en-IE"/>
        </w:rPr>
      </w:pPr>
      <w:r w:rsidRPr="00102336">
        <w:rPr>
          <w:rFonts w:cstheme="minorHAnsi"/>
          <w:sz w:val="20"/>
          <w:szCs w:val="20"/>
          <w:lang w:val="en-IE"/>
        </w:rPr>
        <w:t xml:space="preserve">The business areas/ functions which </w:t>
      </w:r>
      <w:r w:rsidR="000A75B3" w:rsidRPr="00102336">
        <w:rPr>
          <w:rFonts w:cstheme="minorHAnsi"/>
          <w:sz w:val="20"/>
          <w:szCs w:val="20"/>
          <w:lang w:val="en-IE"/>
        </w:rPr>
        <w:t xml:space="preserve">may </w:t>
      </w:r>
      <w:r w:rsidRPr="00102336">
        <w:rPr>
          <w:rFonts w:cstheme="minorHAnsi"/>
          <w:sz w:val="20"/>
          <w:szCs w:val="20"/>
          <w:lang w:val="en-IE"/>
        </w:rPr>
        <w:t xml:space="preserve">be in scope </w:t>
      </w:r>
      <w:r w:rsidR="000A75B3" w:rsidRPr="00102336">
        <w:rPr>
          <w:rFonts w:cstheme="minorHAnsi"/>
          <w:sz w:val="20"/>
          <w:szCs w:val="20"/>
          <w:lang w:val="en-IE"/>
        </w:rPr>
        <w:t xml:space="preserve">include </w:t>
      </w:r>
      <w:r w:rsidRPr="00102336">
        <w:rPr>
          <w:rFonts w:cstheme="minorHAnsi"/>
          <w:sz w:val="20"/>
          <w:szCs w:val="20"/>
          <w:lang w:val="en-IE"/>
        </w:rPr>
        <w:t>Finance Operations</w:t>
      </w:r>
      <w:r w:rsidR="000A75B3" w:rsidRPr="00102336">
        <w:rPr>
          <w:rFonts w:cstheme="minorHAnsi"/>
          <w:sz w:val="20"/>
          <w:szCs w:val="20"/>
          <w:lang w:val="en-IE"/>
        </w:rPr>
        <w:t>, Human Resources, Racing Administration and Third Party ‘Client’ Accounts.</w:t>
      </w:r>
    </w:p>
    <w:p w14:paraId="762A99B7" w14:textId="0DC54F6E" w:rsidR="00D54875" w:rsidRDefault="00E43F97" w:rsidP="000A75B3">
      <w:pPr>
        <w:pStyle w:val="ListParagraph"/>
        <w:numPr>
          <w:ilvl w:val="1"/>
          <w:numId w:val="1"/>
        </w:numPr>
        <w:jc w:val="both"/>
        <w:rPr>
          <w:rFonts w:cstheme="minorHAnsi"/>
          <w:sz w:val="20"/>
          <w:szCs w:val="20"/>
          <w:lang w:val="en-IE"/>
        </w:rPr>
      </w:pPr>
      <w:r w:rsidRPr="00E43F97">
        <w:rPr>
          <w:rFonts w:cstheme="minorHAnsi"/>
          <w:sz w:val="20"/>
          <w:szCs w:val="20"/>
          <w:lang w:val="en-IE"/>
        </w:rPr>
        <w:t>Reference</w:t>
      </w:r>
      <w:r w:rsidR="00D54875" w:rsidRPr="00102336">
        <w:rPr>
          <w:rFonts w:cstheme="minorHAnsi"/>
          <w:sz w:val="20"/>
          <w:szCs w:val="20"/>
          <w:lang w:val="en-IE"/>
        </w:rPr>
        <w:t xml:space="preserve"> to “system” </w:t>
      </w:r>
      <w:r w:rsidR="000A75B3" w:rsidRPr="00102336">
        <w:rPr>
          <w:rFonts w:cstheme="minorHAnsi"/>
          <w:sz w:val="20"/>
          <w:szCs w:val="20"/>
          <w:lang w:val="en-IE"/>
        </w:rPr>
        <w:t>in this context means end-to-end process plus enabling technology.</w:t>
      </w:r>
    </w:p>
    <w:p w14:paraId="7AFBC271" w14:textId="356EDB2A" w:rsidR="000A75B3" w:rsidRDefault="000A75B3" w:rsidP="000A75B3">
      <w:pPr>
        <w:pStyle w:val="ListParagraph"/>
        <w:numPr>
          <w:ilvl w:val="1"/>
          <w:numId w:val="1"/>
        </w:numPr>
        <w:jc w:val="both"/>
        <w:rPr>
          <w:rFonts w:cstheme="minorHAnsi"/>
          <w:sz w:val="20"/>
          <w:szCs w:val="20"/>
          <w:lang w:val="en-IE"/>
        </w:rPr>
      </w:pPr>
      <w:r>
        <w:rPr>
          <w:rFonts w:cstheme="minorHAnsi"/>
          <w:sz w:val="20"/>
          <w:szCs w:val="20"/>
          <w:lang w:val="en-IE"/>
        </w:rPr>
        <w:t>T</w:t>
      </w:r>
      <w:r w:rsidRPr="00264CB5">
        <w:rPr>
          <w:rFonts w:cstheme="minorHAnsi"/>
          <w:sz w:val="20"/>
          <w:szCs w:val="20"/>
          <w:lang w:val="en-IE"/>
        </w:rPr>
        <w:t>ypical objectives and expected deliverables</w:t>
      </w:r>
      <w:r>
        <w:rPr>
          <w:rFonts w:cstheme="minorHAnsi"/>
          <w:sz w:val="20"/>
          <w:szCs w:val="20"/>
          <w:lang w:val="en-IE"/>
        </w:rPr>
        <w:t xml:space="preserve"> would include </w:t>
      </w:r>
      <w:r w:rsidR="00996592">
        <w:rPr>
          <w:rFonts w:cstheme="minorHAnsi"/>
          <w:sz w:val="20"/>
          <w:szCs w:val="20"/>
          <w:lang w:val="en-IE"/>
        </w:rPr>
        <w:t>“</w:t>
      </w:r>
      <w:r>
        <w:rPr>
          <w:rFonts w:cstheme="minorHAnsi"/>
          <w:sz w:val="20"/>
          <w:szCs w:val="20"/>
          <w:lang w:val="en-IE"/>
        </w:rPr>
        <w:t>as is</w:t>
      </w:r>
      <w:r w:rsidR="00996592">
        <w:rPr>
          <w:rFonts w:cstheme="minorHAnsi"/>
          <w:sz w:val="20"/>
          <w:szCs w:val="20"/>
          <w:lang w:val="en-IE"/>
        </w:rPr>
        <w:t>”</w:t>
      </w:r>
      <w:r>
        <w:rPr>
          <w:rFonts w:cstheme="minorHAnsi"/>
          <w:sz w:val="20"/>
          <w:szCs w:val="20"/>
          <w:lang w:val="en-IE"/>
        </w:rPr>
        <w:t xml:space="preserve"> and </w:t>
      </w:r>
      <w:r w:rsidR="00996592">
        <w:rPr>
          <w:rFonts w:cstheme="minorHAnsi"/>
          <w:sz w:val="20"/>
          <w:szCs w:val="20"/>
          <w:lang w:val="en-IE"/>
        </w:rPr>
        <w:t>“</w:t>
      </w:r>
      <w:r>
        <w:rPr>
          <w:rFonts w:cstheme="minorHAnsi"/>
          <w:sz w:val="20"/>
          <w:szCs w:val="20"/>
          <w:lang w:val="en-IE"/>
        </w:rPr>
        <w:t>to be</w:t>
      </w:r>
      <w:r w:rsidR="00996592">
        <w:rPr>
          <w:rFonts w:cstheme="minorHAnsi"/>
          <w:sz w:val="20"/>
          <w:szCs w:val="20"/>
          <w:lang w:val="en-IE"/>
        </w:rPr>
        <w:t>”</w:t>
      </w:r>
      <w:r>
        <w:rPr>
          <w:rFonts w:cstheme="minorHAnsi"/>
          <w:sz w:val="20"/>
          <w:szCs w:val="20"/>
          <w:lang w:val="en-IE"/>
        </w:rPr>
        <w:t xml:space="preserve"> process maps, a control assessment, recommendations and a roadmap. </w:t>
      </w:r>
    </w:p>
    <w:p w14:paraId="162FB8AD" w14:textId="11A1558F" w:rsidR="000A75B3" w:rsidRDefault="001F36FE" w:rsidP="000A75B3">
      <w:pPr>
        <w:pStyle w:val="ListParagraph"/>
        <w:numPr>
          <w:ilvl w:val="1"/>
          <w:numId w:val="1"/>
        </w:numPr>
        <w:jc w:val="both"/>
        <w:rPr>
          <w:rFonts w:cstheme="minorHAnsi"/>
          <w:sz w:val="20"/>
          <w:szCs w:val="20"/>
          <w:lang w:val="en-IE"/>
        </w:rPr>
      </w:pPr>
      <w:r>
        <w:rPr>
          <w:rFonts w:cstheme="minorHAnsi"/>
          <w:sz w:val="20"/>
          <w:szCs w:val="20"/>
          <w:lang w:val="en-IE"/>
        </w:rPr>
        <w:t>The output expected would be an</w:t>
      </w:r>
      <w:r w:rsidR="000A75B3">
        <w:rPr>
          <w:rFonts w:cstheme="minorHAnsi"/>
          <w:sz w:val="20"/>
          <w:szCs w:val="20"/>
          <w:lang w:val="en-IE"/>
        </w:rPr>
        <w:t xml:space="preserve"> </w:t>
      </w:r>
      <w:r w:rsidR="000A75B3" w:rsidRPr="00264CB5">
        <w:rPr>
          <w:rFonts w:cstheme="minorHAnsi"/>
          <w:sz w:val="20"/>
          <w:szCs w:val="20"/>
          <w:lang w:val="en-IE"/>
        </w:rPr>
        <w:t xml:space="preserve">independent </w:t>
      </w:r>
      <w:r w:rsidR="000A75B3">
        <w:rPr>
          <w:rFonts w:cstheme="minorHAnsi"/>
          <w:sz w:val="20"/>
          <w:szCs w:val="20"/>
          <w:lang w:val="en-IE"/>
        </w:rPr>
        <w:t xml:space="preserve">review and </w:t>
      </w:r>
      <w:r w:rsidR="000A75B3" w:rsidRPr="00264CB5">
        <w:rPr>
          <w:rFonts w:cstheme="minorHAnsi"/>
          <w:sz w:val="20"/>
          <w:szCs w:val="20"/>
          <w:lang w:val="en-IE"/>
        </w:rPr>
        <w:t>recommendations</w:t>
      </w:r>
      <w:r w:rsidR="000A75B3">
        <w:rPr>
          <w:rFonts w:cstheme="minorHAnsi"/>
          <w:sz w:val="20"/>
          <w:szCs w:val="20"/>
          <w:lang w:val="en-IE"/>
        </w:rPr>
        <w:t xml:space="preserve">, followed up by design and implementation support. </w:t>
      </w:r>
    </w:p>
    <w:p w14:paraId="055DEAE9" w14:textId="77777777" w:rsidR="000A75B3" w:rsidRPr="00102336" w:rsidRDefault="000A75B3" w:rsidP="00102336">
      <w:pPr>
        <w:pStyle w:val="ListParagraph"/>
        <w:ind w:left="1440"/>
        <w:jc w:val="both"/>
        <w:rPr>
          <w:rFonts w:cstheme="minorHAnsi"/>
          <w:sz w:val="20"/>
          <w:szCs w:val="20"/>
          <w:lang w:val="en-IE"/>
        </w:rPr>
      </w:pPr>
    </w:p>
    <w:p w14:paraId="698981DF" w14:textId="77777777" w:rsidR="00D54875" w:rsidRPr="00D54875" w:rsidRDefault="00D54875" w:rsidP="00D54875">
      <w:pPr>
        <w:ind w:left="360"/>
        <w:jc w:val="both"/>
        <w:rPr>
          <w:rFonts w:cstheme="minorHAnsi"/>
          <w:b/>
          <w:color w:val="C00000"/>
          <w:sz w:val="20"/>
          <w:szCs w:val="20"/>
          <w:u w:val="single"/>
        </w:rPr>
      </w:pPr>
    </w:p>
    <w:p w14:paraId="6E725FC6" w14:textId="11D66912" w:rsidR="00087F99" w:rsidRPr="00D54875" w:rsidRDefault="00087F99" w:rsidP="00D54875">
      <w:pPr>
        <w:jc w:val="both"/>
        <w:rPr>
          <w:rFonts w:cstheme="minorHAnsi"/>
          <w:b/>
          <w:color w:val="C00000"/>
          <w:sz w:val="20"/>
          <w:szCs w:val="20"/>
          <w:u w:val="single"/>
        </w:rPr>
      </w:pPr>
      <w:r w:rsidRPr="00D54875">
        <w:rPr>
          <w:rFonts w:cstheme="minorHAnsi"/>
          <w:b/>
          <w:color w:val="C00000"/>
          <w:sz w:val="20"/>
          <w:szCs w:val="20"/>
          <w:u w:val="single"/>
        </w:rPr>
        <w:t xml:space="preserve">Query 3: </w:t>
      </w:r>
    </w:p>
    <w:p w14:paraId="1E952400" w14:textId="77777777" w:rsidR="00264CB5" w:rsidRPr="00264CB5" w:rsidRDefault="00264CB5" w:rsidP="00264CB5">
      <w:pPr>
        <w:jc w:val="both"/>
        <w:rPr>
          <w:rFonts w:cstheme="minorHAnsi"/>
          <w:sz w:val="20"/>
          <w:szCs w:val="20"/>
          <w:lang w:val="en-IE"/>
        </w:rPr>
      </w:pPr>
      <w:r w:rsidRPr="00264CB5">
        <w:rPr>
          <w:rFonts w:cstheme="minorHAnsi"/>
          <w:sz w:val="20"/>
          <w:szCs w:val="20"/>
          <w:lang w:val="en-IE"/>
        </w:rPr>
        <w:t xml:space="preserve">In section 1.3 it says this is for tax and accountancy consultancy services, but </w:t>
      </w:r>
      <w:proofErr w:type="gramStart"/>
      <w:r w:rsidRPr="00264CB5">
        <w:rPr>
          <w:rFonts w:cstheme="minorHAnsi"/>
          <w:sz w:val="20"/>
          <w:szCs w:val="20"/>
          <w:lang w:val="en-IE"/>
        </w:rPr>
        <w:t>later on</w:t>
      </w:r>
      <w:proofErr w:type="gramEnd"/>
      <w:r w:rsidRPr="00264CB5">
        <w:rPr>
          <w:rFonts w:cstheme="minorHAnsi"/>
          <w:sz w:val="20"/>
          <w:szCs w:val="20"/>
          <w:lang w:val="en-IE"/>
        </w:rPr>
        <w:t xml:space="preserve"> it includes ESG Review in the list of potential services required. Can you clarify are you inviting tenders from only tax/accountancy consultancy services, who also happen to do ESG?</w:t>
      </w:r>
    </w:p>
    <w:p w14:paraId="5A92DBB5" w14:textId="5A0FA1D9" w:rsidR="00264CB5" w:rsidRPr="00264CB5" w:rsidRDefault="00264CB5" w:rsidP="00264CB5">
      <w:pPr>
        <w:jc w:val="both"/>
        <w:rPr>
          <w:rFonts w:cstheme="minorHAnsi"/>
          <w:sz w:val="20"/>
          <w:szCs w:val="20"/>
          <w:lang w:val="en-IE"/>
        </w:rPr>
      </w:pPr>
      <w:r w:rsidRPr="00264CB5">
        <w:rPr>
          <w:rFonts w:cstheme="minorHAnsi"/>
          <w:sz w:val="20"/>
          <w:szCs w:val="20"/>
          <w:lang w:val="en-IE"/>
        </w:rPr>
        <w:t>Who is the current incumbent for ESG services? And why are you looking to change providers?</w:t>
      </w:r>
    </w:p>
    <w:p w14:paraId="7731460F" w14:textId="27498BC4" w:rsidR="00087F99" w:rsidRP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3:</w:t>
      </w:r>
    </w:p>
    <w:p w14:paraId="1B153221" w14:textId="5713A883" w:rsidR="00561C39" w:rsidRDefault="0029243F" w:rsidP="00561C39">
      <w:pPr>
        <w:spacing w:after="0" w:line="240" w:lineRule="auto"/>
        <w:rPr>
          <w:rFonts w:cstheme="minorHAnsi"/>
          <w:sz w:val="20"/>
          <w:szCs w:val="20"/>
          <w:lang w:val="en-IE"/>
        </w:rPr>
      </w:pPr>
      <w:r>
        <w:rPr>
          <w:rFonts w:cstheme="minorHAnsi"/>
          <w:sz w:val="20"/>
          <w:szCs w:val="20"/>
          <w:lang w:val="en-IE"/>
        </w:rPr>
        <w:t>This is an error in the ITT, it should state “Provision of Management Consultancy Services”.  This ITT covers the following services as a minimum:</w:t>
      </w:r>
    </w:p>
    <w:p w14:paraId="1BDE0366" w14:textId="77777777" w:rsidR="0029243F" w:rsidRDefault="0029243F" w:rsidP="00561C39">
      <w:pPr>
        <w:spacing w:after="0" w:line="240" w:lineRule="auto"/>
        <w:rPr>
          <w:rFonts w:cstheme="minorHAnsi"/>
          <w:sz w:val="20"/>
          <w:szCs w:val="20"/>
          <w:lang w:val="en-IE"/>
        </w:rPr>
      </w:pPr>
    </w:p>
    <w:p w14:paraId="54512FE4" w14:textId="77777777" w:rsidR="0029243F" w:rsidRPr="00A24350" w:rsidRDefault="0029243F" w:rsidP="006C620C">
      <w:pPr>
        <w:pStyle w:val="ListParagraph"/>
        <w:numPr>
          <w:ilvl w:val="0"/>
          <w:numId w:val="5"/>
        </w:numPr>
        <w:spacing w:after="0" w:line="240" w:lineRule="auto"/>
        <w:rPr>
          <w:rFonts w:cs="Verdana"/>
          <w:bCs/>
          <w:color w:val="000000" w:themeColor="text1"/>
          <w:sz w:val="20"/>
          <w:szCs w:val="20"/>
        </w:rPr>
      </w:pPr>
      <w:r w:rsidRPr="00A24350">
        <w:rPr>
          <w:bCs/>
          <w:color w:val="000000" w:themeColor="text1"/>
          <w:sz w:val="20"/>
          <w:lang w:val="en-IE"/>
        </w:rPr>
        <w:t>Strategic/ Operational Review</w:t>
      </w:r>
    </w:p>
    <w:p w14:paraId="49A70EAD" w14:textId="77777777" w:rsidR="0029243F" w:rsidRPr="00A24350" w:rsidRDefault="0029243F" w:rsidP="006C620C">
      <w:pPr>
        <w:pStyle w:val="ListParagraph"/>
        <w:numPr>
          <w:ilvl w:val="0"/>
          <w:numId w:val="5"/>
        </w:numPr>
        <w:spacing w:after="0" w:line="240" w:lineRule="auto"/>
        <w:rPr>
          <w:rFonts w:cs="Verdana"/>
          <w:bCs/>
          <w:color w:val="000000" w:themeColor="text1"/>
          <w:sz w:val="20"/>
          <w:szCs w:val="20"/>
        </w:rPr>
      </w:pPr>
      <w:r w:rsidRPr="00A24350">
        <w:rPr>
          <w:bCs/>
          <w:color w:val="000000" w:themeColor="text1"/>
          <w:sz w:val="20"/>
          <w:lang w:val="en-IE"/>
        </w:rPr>
        <w:t>Corporate Finance Strategic Evaluation &amp; Advice</w:t>
      </w:r>
      <w:r w:rsidRPr="00A24350" w:rsidDel="00635A16">
        <w:rPr>
          <w:rFonts w:cs="Verdana"/>
          <w:bCs/>
          <w:color w:val="000000" w:themeColor="text1"/>
          <w:sz w:val="20"/>
          <w:szCs w:val="20"/>
        </w:rPr>
        <w:t xml:space="preserve"> </w:t>
      </w:r>
    </w:p>
    <w:p w14:paraId="28EADC50" w14:textId="77777777" w:rsidR="0029243F" w:rsidRPr="00A24350" w:rsidRDefault="0029243F" w:rsidP="006C620C">
      <w:pPr>
        <w:pStyle w:val="ListParagraph"/>
        <w:numPr>
          <w:ilvl w:val="0"/>
          <w:numId w:val="5"/>
        </w:numPr>
        <w:spacing w:after="0" w:line="240" w:lineRule="auto"/>
        <w:rPr>
          <w:rFonts w:cs="Verdana"/>
          <w:bCs/>
          <w:color w:val="000000" w:themeColor="text1"/>
          <w:sz w:val="20"/>
          <w:szCs w:val="20"/>
        </w:rPr>
      </w:pPr>
      <w:r>
        <w:rPr>
          <w:rFonts w:cs="Verdana"/>
          <w:bCs/>
          <w:color w:val="000000" w:themeColor="text1"/>
          <w:sz w:val="20"/>
          <w:szCs w:val="20"/>
        </w:rPr>
        <w:t>Industry Social and Economic Impact Review</w:t>
      </w:r>
    </w:p>
    <w:p w14:paraId="5512BE41" w14:textId="77777777" w:rsidR="0029243F" w:rsidRPr="00A24350" w:rsidRDefault="0029243F" w:rsidP="006C620C">
      <w:pPr>
        <w:pStyle w:val="ListParagraph"/>
        <w:numPr>
          <w:ilvl w:val="0"/>
          <w:numId w:val="5"/>
        </w:numPr>
        <w:spacing w:after="0" w:line="240" w:lineRule="auto"/>
        <w:rPr>
          <w:rFonts w:cs="Verdana"/>
          <w:bCs/>
          <w:color w:val="000000" w:themeColor="text1"/>
          <w:sz w:val="20"/>
          <w:szCs w:val="20"/>
        </w:rPr>
      </w:pPr>
      <w:r w:rsidRPr="00A24350">
        <w:rPr>
          <w:bCs/>
          <w:color w:val="000000" w:themeColor="text1"/>
          <w:sz w:val="20"/>
          <w:lang w:val="en-IE"/>
        </w:rPr>
        <w:t>Process and System Review</w:t>
      </w:r>
    </w:p>
    <w:p w14:paraId="4B19B19C" w14:textId="77777777" w:rsidR="0029243F" w:rsidRPr="00A24350" w:rsidRDefault="0029243F" w:rsidP="006C620C">
      <w:pPr>
        <w:pStyle w:val="ListParagraph"/>
        <w:numPr>
          <w:ilvl w:val="0"/>
          <w:numId w:val="5"/>
        </w:numPr>
        <w:spacing w:after="0" w:line="240" w:lineRule="auto"/>
        <w:rPr>
          <w:rFonts w:cs="Verdana"/>
          <w:bCs/>
          <w:color w:val="000000" w:themeColor="text1"/>
          <w:sz w:val="20"/>
          <w:szCs w:val="20"/>
        </w:rPr>
      </w:pPr>
      <w:r w:rsidRPr="00A24350">
        <w:rPr>
          <w:rFonts w:cs="Verdana"/>
          <w:bCs/>
          <w:color w:val="000000" w:themeColor="text1"/>
          <w:sz w:val="20"/>
          <w:szCs w:val="20"/>
        </w:rPr>
        <w:t>ESG</w:t>
      </w:r>
      <w:r>
        <w:rPr>
          <w:rFonts w:cs="Verdana"/>
          <w:bCs/>
          <w:color w:val="000000" w:themeColor="text1"/>
          <w:sz w:val="20"/>
          <w:szCs w:val="20"/>
        </w:rPr>
        <w:t xml:space="preserve"> Review</w:t>
      </w:r>
    </w:p>
    <w:p w14:paraId="33BF7A06" w14:textId="77777777" w:rsidR="0029243F" w:rsidRPr="00A24350" w:rsidRDefault="0029243F" w:rsidP="006C620C">
      <w:pPr>
        <w:pStyle w:val="ListParagraph"/>
        <w:numPr>
          <w:ilvl w:val="0"/>
          <w:numId w:val="5"/>
        </w:numPr>
        <w:spacing w:after="0" w:line="240" w:lineRule="auto"/>
        <w:rPr>
          <w:rFonts w:cs="Verdana"/>
          <w:bCs/>
          <w:color w:val="000000" w:themeColor="text1"/>
          <w:sz w:val="20"/>
          <w:szCs w:val="20"/>
        </w:rPr>
      </w:pPr>
      <w:r w:rsidRPr="00A24350">
        <w:rPr>
          <w:rFonts w:cs="Verdana"/>
          <w:bCs/>
          <w:color w:val="000000" w:themeColor="text1"/>
          <w:sz w:val="20"/>
          <w:szCs w:val="20"/>
        </w:rPr>
        <w:t>Accountancy Services</w:t>
      </w:r>
    </w:p>
    <w:p w14:paraId="53B9158A" w14:textId="77777777" w:rsidR="0029243F" w:rsidRPr="00A24350" w:rsidRDefault="0029243F" w:rsidP="006C620C">
      <w:pPr>
        <w:pStyle w:val="ListParagraph"/>
        <w:numPr>
          <w:ilvl w:val="0"/>
          <w:numId w:val="5"/>
        </w:numPr>
        <w:spacing w:after="0" w:line="240" w:lineRule="auto"/>
        <w:rPr>
          <w:rFonts w:cs="Verdana"/>
          <w:bCs/>
          <w:color w:val="000000" w:themeColor="text1"/>
          <w:sz w:val="20"/>
          <w:szCs w:val="20"/>
        </w:rPr>
      </w:pPr>
      <w:r w:rsidRPr="00A24350">
        <w:rPr>
          <w:bCs/>
          <w:color w:val="000000" w:themeColor="text1"/>
          <w:sz w:val="20"/>
          <w:lang w:val="en-IE"/>
        </w:rPr>
        <w:t>Risk and Audit Effectiveness Reviews</w:t>
      </w:r>
    </w:p>
    <w:p w14:paraId="6A57544D" w14:textId="23EC39E0" w:rsidR="0029243F" w:rsidRDefault="0029243F" w:rsidP="006C620C">
      <w:pPr>
        <w:pStyle w:val="ListParagraph"/>
        <w:numPr>
          <w:ilvl w:val="0"/>
          <w:numId w:val="5"/>
        </w:numPr>
        <w:spacing w:after="0" w:line="240" w:lineRule="auto"/>
        <w:rPr>
          <w:rFonts w:cs="Verdana"/>
          <w:sz w:val="20"/>
          <w:szCs w:val="20"/>
        </w:rPr>
      </w:pPr>
      <w:r w:rsidRPr="005B0D4E">
        <w:rPr>
          <w:rFonts w:cs="Verdana"/>
          <w:sz w:val="20"/>
          <w:szCs w:val="20"/>
        </w:rPr>
        <w:t>Other Management Services (This does not include Internal Audit Services)</w:t>
      </w:r>
    </w:p>
    <w:p w14:paraId="7B5FA954" w14:textId="77777777" w:rsidR="0029243F" w:rsidRDefault="0029243F" w:rsidP="0029243F">
      <w:pPr>
        <w:spacing w:after="0" w:line="240" w:lineRule="auto"/>
        <w:rPr>
          <w:rFonts w:cs="Verdana"/>
          <w:sz w:val="20"/>
          <w:szCs w:val="20"/>
        </w:rPr>
      </w:pPr>
    </w:p>
    <w:p w14:paraId="54AF72DA" w14:textId="0357D0FB" w:rsidR="0029243F" w:rsidRPr="0029243F" w:rsidRDefault="00B3025E" w:rsidP="0029243F">
      <w:pPr>
        <w:spacing w:after="0" w:line="240" w:lineRule="auto"/>
        <w:rPr>
          <w:rFonts w:cs="Verdana"/>
          <w:sz w:val="20"/>
          <w:szCs w:val="20"/>
        </w:rPr>
      </w:pPr>
      <w:r>
        <w:rPr>
          <w:rFonts w:cs="Verdana"/>
          <w:sz w:val="20"/>
          <w:szCs w:val="20"/>
        </w:rPr>
        <w:t>Grant Thornton are our current ESG advisors</w:t>
      </w:r>
      <w:r w:rsidR="007B23B7">
        <w:rPr>
          <w:rFonts w:cs="Verdana"/>
          <w:sz w:val="20"/>
          <w:szCs w:val="20"/>
        </w:rPr>
        <w:t>.</w:t>
      </w:r>
      <w:r w:rsidR="00925070">
        <w:rPr>
          <w:rFonts w:cs="Verdana"/>
          <w:sz w:val="20"/>
          <w:szCs w:val="20"/>
        </w:rPr>
        <w:t xml:space="preserve">  </w:t>
      </w:r>
      <w:r w:rsidR="007A10C3">
        <w:rPr>
          <w:rFonts w:cs="Verdana"/>
          <w:sz w:val="20"/>
          <w:szCs w:val="20"/>
        </w:rPr>
        <w:t xml:space="preserve">As a commercial semi-state, we must align to the Public Procurement Requirements.  </w:t>
      </w:r>
    </w:p>
    <w:p w14:paraId="224F392D" w14:textId="77777777" w:rsidR="0029243F" w:rsidRPr="00561C39" w:rsidRDefault="0029243F" w:rsidP="00561C39">
      <w:pPr>
        <w:spacing w:after="0" w:line="240" w:lineRule="auto"/>
        <w:rPr>
          <w:rFonts w:cstheme="minorHAnsi"/>
          <w:sz w:val="20"/>
          <w:szCs w:val="20"/>
          <w:lang w:val="en-IE"/>
        </w:rPr>
      </w:pPr>
    </w:p>
    <w:p w14:paraId="59D4775E" w14:textId="60D1A3AF" w:rsidR="00087F99" w:rsidRPr="00087F99" w:rsidRDefault="00D5478E" w:rsidP="00DB7463">
      <w:pPr>
        <w:rPr>
          <w:rFonts w:cstheme="minorHAnsi"/>
          <w:b/>
          <w:color w:val="C00000"/>
          <w:sz w:val="20"/>
          <w:szCs w:val="20"/>
          <w:u w:val="single"/>
        </w:rPr>
      </w:pPr>
      <w:r w:rsidRPr="00D5478E">
        <w:rPr>
          <w:rFonts w:cstheme="minorHAnsi"/>
          <w:sz w:val="20"/>
          <w:szCs w:val="20"/>
        </w:rPr>
        <w:t xml:space="preserve"> </w:t>
      </w:r>
      <w:r w:rsidR="00087F99" w:rsidRPr="00087F99">
        <w:rPr>
          <w:rFonts w:cstheme="minorHAnsi"/>
          <w:b/>
          <w:color w:val="C00000"/>
          <w:sz w:val="20"/>
          <w:szCs w:val="20"/>
          <w:u w:val="single"/>
        </w:rPr>
        <w:t xml:space="preserve">Query 4: </w:t>
      </w:r>
    </w:p>
    <w:p w14:paraId="74E462ED" w14:textId="78B41707" w:rsidR="00264CB5" w:rsidRDefault="00264CB5" w:rsidP="00087F99">
      <w:pPr>
        <w:jc w:val="both"/>
        <w:rPr>
          <w:rFonts w:cstheme="minorHAnsi"/>
          <w:sz w:val="20"/>
          <w:szCs w:val="20"/>
        </w:rPr>
      </w:pPr>
      <w:r w:rsidRPr="00264CB5">
        <w:rPr>
          <w:rFonts w:cstheme="minorHAnsi"/>
          <w:sz w:val="20"/>
          <w:szCs w:val="20"/>
        </w:rPr>
        <w:t>Are all tenderers required to provide all services on the framework (</w:t>
      </w:r>
      <w:proofErr w:type="spellStart"/>
      <w:r w:rsidRPr="00264CB5">
        <w:rPr>
          <w:rFonts w:cstheme="minorHAnsi"/>
          <w:sz w:val="20"/>
          <w:szCs w:val="20"/>
        </w:rPr>
        <w:t>i</w:t>
      </w:r>
      <w:proofErr w:type="spellEnd"/>
      <w:r w:rsidRPr="00264CB5">
        <w:rPr>
          <w:rFonts w:cstheme="minorHAnsi"/>
          <w:sz w:val="20"/>
          <w:szCs w:val="20"/>
        </w:rPr>
        <w:t xml:space="preserve"> to viii) or will tenders offering specific services in the list be considered?</w:t>
      </w:r>
    </w:p>
    <w:p w14:paraId="1681B8E2" w14:textId="24CD5937"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Response 4:</w:t>
      </w:r>
    </w:p>
    <w:p w14:paraId="738B144C" w14:textId="77777777" w:rsidR="009F7E1A" w:rsidRDefault="009F7E1A" w:rsidP="00CF3C7E">
      <w:pPr>
        <w:rPr>
          <w:rFonts w:cstheme="minorHAnsi"/>
          <w:sz w:val="20"/>
          <w:szCs w:val="20"/>
        </w:rPr>
      </w:pPr>
      <w:bookmarkStart w:id="0" w:name="_Hlk152153138"/>
      <w:r w:rsidRPr="009F7E1A">
        <w:rPr>
          <w:rFonts w:cstheme="minorHAnsi"/>
          <w:sz w:val="20"/>
          <w:szCs w:val="20"/>
        </w:rPr>
        <w:t xml:space="preserve">The specification lists </w:t>
      </w:r>
      <w:proofErr w:type="gramStart"/>
      <w:r w:rsidRPr="009F7E1A">
        <w:rPr>
          <w:rFonts w:cstheme="minorHAnsi"/>
          <w:sz w:val="20"/>
          <w:szCs w:val="20"/>
        </w:rPr>
        <w:t>a number of</w:t>
      </w:r>
      <w:proofErr w:type="gramEnd"/>
      <w:r w:rsidRPr="009F7E1A">
        <w:rPr>
          <w:rFonts w:cstheme="minorHAnsi"/>
          <w:sz w:val="20"/>
          <w:szCs w:val="20"/>
        </w:rPr>
        <w:t xml:space="preserve"> services which may be required during the framework period. This list is not exhaustive and may expand during the duration. Therefore, while it is of benefit for a tenderer or a grouping to facilitate service delivery of all requirements, tender submissions only partially covering service provision will be considered also. Tenderers are asked to clearly detail which services they do not cover. </w:t>
      </w:r>
    </w:p>
    <w:p w14:paraId="59FA6EF2" w14:textId="6C9B6A7C" w:rsidR="00282986" w:rsidRDefault="00282986" w:rsidP="00CF3C7E">
      <w:pPr>
        <w:rPr>
          <w:rFonts w:cstheme="minorHAnsi"/>
          <w:sz w:val="20"/>
          <w:szCs w:val="20"/>
        </w:rPr>
      </w:pPr>
      <w:r>
        <w:rPr>
          <w:rFonts w:cstheme="minorHAnsi"/>
          <w:sz w:val="20"/>
          <w:szCs w:val="20"/>
        </w:rPr>
        <w:t>Scoring will be conducted</w:t>
      </w:r>
      <w:r w:rsidRPr="00282986">
        <w:rPr>
          <w:rFonts w:cstheme="minorHAnsi"/>
          <w:sz w:val="20"/>
          <w:szCs w:val="20"/>
        </w:rPr>
        <w:t xml:space="preserve"> on a proportionate basis.</w:t>
      </w:r>
    </w:p>
    <w:p w14:paraId="1AD665C4" w14:textId="75D7D173" w:rsidR="00087F99" w:rsidRPr="00087F99" w:rsidRDefault="00087F99" w:rsidP="00CF3C7E">
      <w:pPr>
        <w:rPr>
          <w:rFonts w:cstheme="minorHAnsi"/>
          <w:b/>
          <w:color w:val="C00000"/>
          <w:sz w:val="20"/>
          <w:szCs w:val="20"/>
          <w:u w:val="single"/>
        </w:rPr>
      </w:pPr>
      <w:r w:rsidRPr="00087F99">
        <w:rPr>
          <w:rFonts w:cstheme="minorHAnsi"/>
          <w:b/>
          <w:color w:val="C00000"/>
          <w:sz w:val="20"/>
          <w:szCs w:val="20"/>
          <w:u w:val="single"/>
        </w:rPr>
        <w:t xml:space="preserve">Query 5: </w:t>
      </w:r>
    </w:p>
    <w:p w14:paraId="22EAB5D6" w14:textId="77777777" w:rsidR="007B23B7" w:rsidRDefault="00264CB5" w:rsidP="007B23B7">
      <w:pPr>
        <w:shd w:val="clear" w:color="auto" w:fill="FFFFFF"/>
        <w:spacing w:after="100" w:afterAutospacing="1" w:line="240" w:lineRule="auto"/>
        <w:rPr>
          <w:rFonts w:cstheme="minorHAnsi"/>
          <w:sz w:val="20"/>
          <w:szCs w:val="20"/>
        </w:rPr>
      </w:pPr>
      <w:r w:rsidRPr="00264CB5">
        <w:rPr>
          <w:rFonts w:cstheme="minorHAnsi"/>
          <w:sz w:val="20"/>
          <w:szCs w:val="20"/>
        </w:rPr>
        <w:t>Coverage of scope in joint submissions Section 1.3(f) of the ITT allows tenderers to submit joint responses as a group of undertakings. Could HRI please confirm:</w:t>
      </w:r>
    </w:p>
    <w:p w14:paraId="72A00E3B" w14:textId="7D0E2692" w:rsidR="00264CB5" w:rsidRPr="007B23B7" w:rsidRDefault="00264CB5" w:rsidP="007B23B7">
      <w:pPr>
        <w:pStyle w:val="ListParagraph"/>
        <w:numPr>
          <w:ilvl w:val="0"/>
          <w:numId w:val="4"/>
        </w:numPr>
        <w:shd w:val="clear" w:color="auto" w:fill="FFFFFF"/>
        <w:spacing w:after="100" w:afterAutospacing="1" w:line="240" w:lineRule="auto"/>
        <w:rPr>
          <w:rFonts w:cstheme="minorHAnsi"/>
          <w:sz w:val="20"/>
          <w:szCs w:val="20"/>
        </w:rPr>
      </w:pPr>
      <w:r w:rsidRPr="007B23B7">
        <w:rPr>
          <w:rFonts w:cstheme="minorHAnsi"/>
          <w:sz w:val="20"/>
          <w:szCs w:val="20"/>
        </w:rPr>
        <w:t>Must a joint submission cover the full scope of services listed in Section 2.1 (</w:t>
      </w:r>
      <w:proofErr w:type="spellStart"/>
      <w:r w:rsidRPr="007B23B7">
        <w:rPr>
          <w:rFonts w:cstheme="minorHAnsi"/>
          <w:sz w:val="20"/>
          <w:szCs w:val="20"/>
        </w:rPr>
        <w:t>i</w:t>
      </w:r>
      <w:proofErr w:type="spellEnd"/>
      <w:r w:rsidRPr="007B23B7">
        <w:rPr>
          <w:rFonts w:cstheme="minorHAnsi"/>
          <w:sz w:val="20"/>
          <w:szCs w:val="20"/>
        </w:rPr>
        <w:t xml:space="preserve"> to viii), or will a submission that covers most, but not all, of the service areas still be considered compliant?</w:t>
      </w:r>
    </w:p>
    <w:p w14:paraId="014ED9B6" w14:textId="77777777" w:rsidR="00264CB5" w:rsidRPr="00264CB5" w:rsidRDefault="00264CB5" w:rsidP="006C620C">
      <w:pPr>
        <w:numPr>
          <w:ilvl w:val="0"/>
          <w:numId w:val="2"/>
        </w:numPr>
        <w:shd w:val="clear" w:color="auto" w:fill="FFFFFF"/>
        <w:spacing w:before="100" w:beforeAutospacing="1" w:after="100" w:afterAutospacing="1" w:line="240" w:lineRule="auto"/>
        <w:rPr>
          <w:rFonts w:cstheme="minorHAnsi"/>
          <w:sz w:val="20"/>
          <w:szCs w:val="20"/>
        </w:rPr>
      </w:pPr>
      <w:r w:rsidRPr="00264CB5">
        <w:rPr>
          <w:rFonts w:cstheme="minorHAnsi"/>
          <w:sz w:val="20"/>
          <w:szCs w:val="20"/>
        </w:rPr>
        <w:t>If partial coverage is acceptable, how will this be treated under the qualitative award criteria, where a specific service area is not addressed?</w:t>
      </w:r>
    </w:p>
    <w:p w14:paraId="64450C4B" w14:textId="7C42D2AA" w:rsid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Response 5:</w:t>
      </w:r>
    </w:p>
    <w:bookmarkEnd w:id="0"/>
    <w:p w14:paraId="510036F5" w14:textId="59A35CB9" w:rsidR="00282986" w:rsidRPr="00D6779F" w:rsidRDefault="00282986" w:rsidP="00282986">
      <w:pPr>
        <w:rPr>
          <w:rFonts w:cstheme="minorHAnsi"/>
          <w:sz w:val="20"/>
          <w:szCs w:val="20"/>
        </w:rPr>
      </w:pPr>
      <w:r w:rsidRPr="00D6779F">
        <w:rPr>
          <w:rFonts w:cstheme="minorHAnsi"/>
          <w:sz w:val="20"/>
          <w:szCs w:val="20"/>
        </w:rPr>
        <w:t xml:space="preserve">Refer to response </w:t>
      </w:r>
      <w:r>
        <w:rPr>
          <w:rFonts w:cstheme="minorHAnsi"/>
          <w:sz w:val="20"/>
          <w:szCs w:val="20"/>
        </w:rPr>
        <w:t>4</w:t>
      </w:r>
      <w:r w:rsidRPr="00D6779F">
        <w:rPr>
          <w:rFonts w:cstheme="minorHAnsi"/>
          <w:sz w:val="20"/>
          <w:szCs w:val="20"/>
        </w:rPr>
        <w:t xml:space="preserve">. </w:t>
      </w:r>
    </w:p>
    <w:p w14:paraId="734B7639" w14:textId="1EFF37FA"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6: </w:t>
      </w:r>
    </w:p>
    <w:p w14:paraId="31036D8E" w14:textId="77777777" w:rsidR="00D909F3" w:rsidRPr="00D6779F" w:rsidRDefault="00D909F3" w:rsidP="00D909F3">
      <w:pPr>
        <w:jc w:val="both"/>
        <w:rPr>
          <w:rFonts w:cstheme="minorHAnsi"/>
          <w:sz w:val="20"/>
          <w:szCs w:val="20"/>
          <w:lang w:val="en-IE"/>
        </w:rPr>
      </w:pPr>
      <w:r w:rsidRPr="00D6779F">
        <w:rPr>
          <w:rFonts w:cstheme="minorHAnsi"/>
          <w:sz w:val="20"/>
          <w:szCs w:val="20"/>
          <w:lang w:val="en-IE"/>
        </w:rPr>
        <w:t>Please confirm what pensions advice HRI expects to receive? Is this general advice or IORP specific?</w:t>
      </w:r>
    </w:p>
    <w:p w14:paraId="528B9867" w14:textId="6E92DC64" w:rsidR="00370877" w:rsidRPr="00D6779F" w:rsidRDefault="00D909F3" w:rsidP="00370877">
      <w:pPr>
        <w:jc w:val="both"/>
        <w:rPr>
          <w:rFonts w:cstheme="minorHAnsi"/>
          <w:b/>
          <w:color w:val="C00000"/>
          <w:sz w:val="20"/>
          <w:szCs w:val="20"/>
          <w:u w:val="single"/>
        </w:rPr>
      </w:pPr>
      <w:r w:rsidRPr="00D6779F">
        <w:rPr>
          <w:rFonts w:cstheme="minorHAnsi"/>
          <w:b/>
          <w:color w:val="C00000"/>
          <w:sz w:val="20"/>
          <w:szCs w:val="20"/>
          <w:u w:val="single"/>
        </w:rPr>
        <w:lastRenderedPageBreak/>
        <w:t>Response 6:</w:t>
      </w:r>
    </w:p>
    <w:p w14:paraId="26AEF8EC" w14:textId="0D73EAA3" w:rsidR="00370877" w:rsidRPr="00D6779F" w:rsidRDefault="00370877" w:rsidP="00370877">
      <w:pPr>
        <w:jc w:val="both"/>
        <w:rPr>
          <w:rFonts w:cstheme="minorHAnsi"/>
          <w:b/>
          <w:color w:val="C00000"/>
          <w:sz w:val="20"/>
          <w:szCs w:val="20"/>
          <w:u w:val="single"/>
        </w:rPr>
      </w:pPr>
      <w:r w:rsidRPr="00D6779F">
        <w:rPr>
          <w:rFonts w:cstheme="minorHAnsi"/>
          <w:sz w:val="20"/>
          <w:szCs w:val="20"/>
          <w:lang w:val="en-IE"/>
        </w:rPr>
        <w:t>Lane Clarke Peacock are</w:t>
      </w:r>
      <w:r w:rsidR="00934B1F" w:rsidRPr="00D6779F">
        <w:rPr>
          <w:rFonts w:cstheme="minorHAnsi"/>
          <w:sz w:val="20"/>
          <w:szCs w:val="20"/>
          <w:lang w:val="en-IE"/>
        </w:rPr>
        <w:t xml:space="preserve"> our</w:t>
      </w:r>
      <w:r w:rsidRPr="00D6779F">
        <w:rPr>
          <w:rFonts w:cstheme="minorHAnsi"/>
          <w:sz w:val="20"/>
          <w:szCs w:val="20"/>
          <w:lang w:val="en-IE"/>
        </w:rPr>
        <w:t xml:space="preserve"> a</w:t>
      </w:r>
      <w:r w:rsidR="00934B1F" w:rsidRPr="00D6779F">
        <w:rPr>
          <w:rFonts w:cstheme="minorHAnsi"/>
          <w:sz w:val="20"/>
          <w:szCs w:val="20"/>
          <w:lang w:val="en-IE"/>
        </w:rPr>
        <w:t>ppointed advisors for</w:t>
      </w:r>
      <w:r w:rsidRPr="00D6779F">
        <w:rPr>
          <w:rFonts w:cstheme="minorHAnsi"/>
          <w:sz w:val="20"/>
          <w:szCs w:val="20"/>
          <w:lang w:val="en-IE"/>
        </w:rPr>
        <w:t xml:space="preserve"> employer pensions</w:t>
      </w:r>
      <w:r w:rsidR="00934B1F" w:rsidRPr="00D6779F">
        <w:rPr>
          <w:rFonts w:cstheme="minorHAnsi"/>
          <w:sz w:val="20"/>
          <w:szCs w:val="20"/>
          <w:lang w:val="en-IE"/>
        </w:rPr>
        <w:t>.  HRI</w:t>
      </w:r>
      <w:r w:rsidRPr="00D6779F">
        <w:rPr>
          <w:rFonts w:cstheme="minorHAnsi"/>
          <w:sz w:val="20"/>
          <w:szCs w:val="20"/>
          <w:lang w:val="en-IE"/>
        </w:rPr>
        <w:t xml:space="preserve"> will be tendering for this service later in the year</w:t>
      </w:r>
      <w:r w:rsidR="00EC73D2" w:rsidRPr="00D6779F">
        <w:rPr>
          <w:rFonts w:cstheme="minorHAnsi"/>
          <w:sz w:val="20"/>
          <w:szCs w:val="20"/>
          <w:lang w:val="en-IE"/>
        </w:rPr>
        <w:t xml:space="preserve">.  It is </w:t>
      </w:r>
      <w:r w:rsidRPr="00D6779F">
        <w:rPr>
          <w:rFonts w:cstheme="minorHAnsi"/>
          <w:sz w:val="20"/>
          <w:szCs w:val="20"/>
          <w:lang w:val="en-IE"/>
        </w:rPr>
        <w:t>excluded from this tender</w:t>
      </w:r>
      <w:r w:rsidR="00EC73D2" w:rsidRPr="00D6779F">
        <w:rPr>
          <w:rFonts w:cstheme="minorHAnsi"/>
          <w:sz w:val="20"/>
          <w:szCs w:val="20"/>
          <w:lang w:val="en-IE"/>
        </w:rPr>
        <w:t>.</w:t>
      </w:r>
    </w:p>
    <w:p w14:paraId="2A9ED53C" w14:textId="77777777" w:rsidR="00E43F97" w:rsidRDefault="00E43F97" w:rsidP="00D909F3">
      <w:pPr>
        <w:rPr>
          <w:rFonts w:cstheme="minorHAnsi"/>
          <w:b/>
          <w:color w:val="C00000"/>
          <w:sz w:val="20"/>
          <w:szCs w:val="20"/>
          <w:u w:val="single"/>
        </w:rPr>
      </w:pPr>
    </w:p>
    <w:p w14:paraId="1401269E" w14:textId="2C85F899"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7: </w:t>
      </w:r>
    </w:p>
    <w:p w14:paraId="0B332D01" w14:textId="77777777" w:rsidR="00D909F3" w:rsidRPr="00D6779F" w:rsidRDefault="00D909F3" w:rsidP="00D909F3">
      <w:pPr>
        <w:jc w:val="both"/>
        <w:rPr>
          <w:rFonts w:cstheme="minorHAnsi"/>
          <w:sz w:val="20"/>
          <w:szCs w:val="20"/>
          <w:lang w:val="en-IE"/>
        </w:rPr>
      </w:pPr>
      <w:r w:rsidRPr="00D6779F">
        <w:rPr>
          <w:rFonts w:cstheme="minorHAnsi"/>
          <w:sz w:val="20"/>
          <w:szCs w:val="20"/>
          <w:lang w:val="en-IE"/>
        </w:rPr>
        <w:t>Can more than one CV at each level be included (such as Directors for 'Social and Economic Impact')?</w:t>
      </w:r>
    </w:p>
    <w:p w14:paraId="45523C48"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7:</w:t>
      </w:r>
    </w:p>
    <w:p w14:paraId="7EDF637B" w14:textId="0F62E9F2" w:rsidR="00D909F3" w:rsidRPr="00D6779F" w:rsidRDefault="00635FDA" w:rsidP="00D909F3">
      <w:pPr>
        <w:rPr>
          <w:rFonts w:cstheme="minorHAnsi"/>
          <w:sz w:val="20"/>
          <w:szCs w:val="20"/>
        </w:rPr>
      </w:pPr>
      <w:r w:rsidRPr="00D6779F">
        <w:rPr>
          <w:rFonts w:cstheme="minorHAnsi"/>
          <w:sz w:val="20"/>
          <w:szCs w:val="20"/>
        </w:rPr>
        <w:t>Yes, you can supply more tha</w:t>
      </w:r>
      <w:r w:rsidR="00A301FB" w:rsidRPr="00D6779F">
        <w:rPr>
          <w:rFonts w:cstheme="minorHAnsi"/>
          <w:sz w:val="20"/>
          <w:szCs w:val="20"/>
        </w:rPr>
        <w:t>n</w:t>
      </w:r>
      <w:r w:rsidRPr="00D6779F">
        <w:rPr>
          <w:rFonts w:cstheme="minorHAnsi"/>
          <w:sz w:val="20"/>
          <w:szCs w:val="20"/>
        </w:rPr>
        <w:t xml:space="preserve"> one </w:t>
      </w:r>
      <w:r w:rsidR="001F36FE">
        <w:rPr>
          <w:rFonts w:cstheme="minorHAnsi"/>
          <w:sz w:val="20"/>
          <w:szCs w:val="20"/>
        </w:rPr>
        <w:t xml:space="preserve">CV </w:t>
      </w:r>
      <w:r w:rsidRPr="00D6779F">
        <w:rPr>
          <w:rFonts w:cstheme="minorHAnsi"/>
          <w:sz w:val="20"/>
          <w:szCs w:val="20"/>
        </w:rPr>
        <w:t>at each level.</w:t>
      </w:r>
    </w:p>
    <w:p w14:paraId="5AF850E8" w14:textId="7C1B4BA9"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8: </w:t>
      </w:r>
    </w:p>
    <w:p w14:paraId="0344AB6D" w14:textId="77777777" w:rsidR="00D909F3" w:rsidRPr="00D6779F" w:rsidRDefault="00D909F3" w:rsidP="00D909F3">
      <w:pPr>
        <w:jc w:val="both"/>
        <w:rPr>
          <w:rFonts w:cstheme="minorHAnsi"/>
          <w:sz w:val="20"/>
          <w:szCs w:val="20"/>
          <w:lang w:val="en-IE"/>
        </w:rPr>
      </w:pPr>
      <w:r w:rsidRPr="00D6779F">
        <w:rPr>
          <w:rFonts w:cstheme="minorHAnsi"/>
          <w:sz w:val="20"/>
          <w:szCs w:val="20"/>
          <w:lang w:val="en-IE"/>
        </w:rPr>
        <w:t>Can other resource CVs / rates be included in the rates tables or are the tables fixed? For instance, can Associate Directors be included for 'ESG Reviews' as an additional row?</w:t>
      </w:r>
    </w:p>
    <w:p w14:paraId="7C713196"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8:</w:t>
      </w:r>
    </w:p>
    <w:p w14:paraId="1D884228" w14:textId="77073457" w:rsidR="00D909F3" w:rsidRPr="00D6779F" w:rsidRDefault="00D909F3" w:rsidP="00D909F3">
      <w:pPr>
        <w:rPr>
          <w:rFonts w:cstheme="minorHAnsi"/>
          <w:sz w:val="20"/>
          <w:szCs w:val="20"/>
        </w:rPr>
      </w:pPr>
      <w:r w:rsidRPr="00D6779F">
        <w:rPr>
          <w:rFonts w:cstheme="minorHAnsi"/>
          <w:sz w:val="20"/>
          <w:szCs w:val="20"/>
        </w:rPr>
        <w:t>Part A and B of the Form of Tender are fixed an</w:t>
      </w:r>
      <w:r w:rsidR="00D929CE" w:rsidRPr="00D6779F">
        <w:rPr>
          <w:rFonts w:cstheme="minorHAnsi"/>
          <w:sz w:val="20"/>
          <w:szCs w:val="20"/>
        </w:rPr>
        <w:t>d</w:t>
      </w:r>
      <w:r w:rsidRPr="00D6779F">
        <w:rPr>
          <w:rFonts w:cstheme="minorHAnsi"/>
          <w:sz w:val="20"/>
          <w:szCs w:val="20"/>
        </w:rPr>
        <w:t xml:space="preserve"> cannot be amended. Any other resources can be included in table C. CV’s can be included </w:t>
      </w:r>
      <w:proofErr w:type="gramStart"/>
      <w:r w:rsidRPr="00D6779F">
        <w:rPr>
          <w:rFonts w:cstheme="minorHAnsi"/>
          <w:sz w:val="20"/>
          <w:szCs w:val="20"/>
        </w:rPr>
        <w:t>as long as</w:t>
      </w:r>
      <w:proofErr w:type="gramEnd"/>
      <w:r w:rsidRPr="00D6779F">
        <w:rPr>
          <w:rFonts w:cstheme="minorHAnsi"/>
          <w:sz w:val="20"/>
          <w:szCs w:val="20"/>
        </w:rPr>
        <w:t xml:space="preserve"> they are relevant.</w:t>
      </w:r>
    </w:p>
    <w:p w14:paraId="0F5EA9EA" w14:textId="15E0BC5F"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9: </w:t>
      </w:r>
    </w:p>
    <w:p w14:paraId="3DA91E05" w14:textId="77777777" w:rsidR="00D909F3" w:rsidRPr="00D6779F" w:rsidRDefault="00D909F3" w:rsidP="00D909F3">
      <w:pPr>
        <w:jc w:val="both"/>
        <w:rPr>
          <w:rFonts w:cstheme="minorHAnsi"/>
          <w:sz w:val="20"/>
          <w:szCs w:val="20"/>
          <w:lang w:val="en-IE"/>
        </w:rPr>
      </w:pPr>
      <w:r w:rsidRPr="00D6779F">
        <w:rPr>
          <w:rFonts w:cstheme="minorHAnsi"/>
          <w:sz w:val="20"/>
          <w:szCs w:val="20"/>
          <w:lang w:val="en-IE"/>
        </w:rPr>
        <w:t>We note that the scope describes the provision of technical accounting advice in relation to accounting treatment, presentation of transactions, application of accounting standards and financial reporting matters, with support being provided as and when required. Our understanding is that this service is intended to operate as an ad hoc, call-off advisory service rather than a defined project-based assignment. To assist us in proposing an appropriately skilled team and pricing structure, could HRI please provide further detail regarding:</w:t>
      </w:r>
    </w:p>
    <w:p w14:paraId="1BF17F82" w14:textId="77777777" w:rsidR="00D909F3" w:rsidRPr="00D6779F" w:rsidRDefault="00D909F3" w:rsidP="00D909F3">
      <w:pPr>
        <w:pStyle w:val="ListParagraph"/>
        <w:numPr>
          <w:ilvl w:val="1"/>
          <w:numId w:val="6"/>
        </w:numPr>
        <w:jc w:val="both"/>
        <w:rPr>
          <w:rFonts w:cstheme="minorHAnsi"/>
          <w:sz w:val="20"/>
          <w:szCs w:val="20"/>
          <w:lang w:val="en-IE"/>
        </w:rPr>
      </w:pPr>
      <w:r w:rsidRPr="00D6779F">
        <w:rPr>
          <w:rFonts w:cstheme="minorHAnsi"/>
          <w:sz w:val="20"/>
          <w:szCs w:val="20"/>
          <w:lang w:val="en-IE"/>
        </w:rPr>
        <w:t>the types of accounting matters and advisory services envisaged under this lot (for example, technical accounting opinions, financial reporting advice, implementation of new accounting standards, accounting treatment of complex transactions, support with Comptroller and Auditor General queries, accounting policy reviews, etc.);</w:t>
      </w:r>
    </w:p>
    <w:p w14:paraId="1AB561F7" w14:textId="77777777" w:rsidR="00D909F3" w:rsidRPr="00D6779F" w:rsidRDefault="00D909F3" w:rsidP="00D909F3">
      <w:pPr>
        <w:pStyle w:val="ListParagraph"/>
        <w:numPr>
          <w:ilvl w:val="1"/>
          <w:numId w:val="6"/>
        </w:numPr>
        <w:jc w:val="both"/>
        <w:rPr>
          <w:rFonts w:cstheme="minorHAnsi"/>
          <w:sz w:val="20"/>
          <w:szCs w:val="20"/>
          <w:lang w:val="en-IE"/>
        </w:rPr>
      </w:pPr>
      <w:r w:rsidRPr="00D6779F">
        <w:rPr>
          <w:rFonts w:cstheme="minorHAnsi"/>
          <w:sz w:val="20"/>
          <w:szCs w:val="20"/>
          <w:lang w:val="en-IE"/>
        </w:rPr>
        <w:t>whether support is expected to be provided primarily on a reactive/on-demand basis or through specific projects;</w:t>
      </w:r>
    </w:p>
    <w:p w14:paraId="3B7BFC00" w14:textId="77777777" w:rsidR="00D909F3" w:rsidRPr="00D6779F" w:rsidRDefault="00D909F3" w:rsidP="00D909F3">
      <w:pPr>
        <w:pStyle w:val="ListParagraph"/>
        <w:numPr>
          <w:ilvl w:val="1"/>
          <w:numId w:val="6"/>
        </w:numPr>
        <w:jc w:val="both"/>
        <w:rPr>
          <w:rFonts w:cstheme="minorHAnsi"/>
          <w:sz w:val="20"/>
          <w:szCs w:val="20"/>
          <w:lang w:val="en-IE"/>
        </w:rPr>
      </w:pPr>
      <w:r w:rsidRPr="00D6779F">
        <w:rPr>
          <w:rFonts w:cstheme="minorHAnsi"/>
          <w:sz w:val="20"/>
          <w:szCs w:val="20"/>
          <w:lang w:val="en-IE"/>
        </w:rPr>
        <w:t>the anticipated volume and frequency of requests; and</w:t>
      </w:r>
    </w:p>
    <w:p w14:paraId="1E7F597A" w14:textId="77777777" w:rsidR="00D909F3" w:rsidRPr="00D6779F" w:rsidRDefault="00D909F3" w:rsidP="00D909F3">
      <w:pPr>
        <w:pStyle w:val="ListParagraph"/>
        <w:numPr>
          <w:ilvl w:val="1"/>
          <w:numId w:val="6"/>
        </w:numPr>
        <w:jc w:val="both"/>
        <w:rPr>
          <w:rFonts w:cstheme="minorHAnsi"/>
          <w:sz w:val="20"/>
          <w:szCs w:val="20"/>
          <w:lang w:val="en-IE"/>
        </w:rPr>
      </w:pPr>
      <w:r w:rsidRPr="00D6779F">
        <w:rPr>
          <w:rFonts w:cstheme="minorHAnsi"/>
          <w:sz w:val="20"/>
          <w:szCs w:val="20"/>
          <w:lang w:val="en-IE"/>
        </w:rPr>
        <w:t>any recent examples of the types of accounting issues for which external support has been sought.</w:t>
      </w:r>
    </w:p>
    <w:p w14:paraId="1698701E"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9:</w:t>
      </w:r>
    </w:p>
    <w:p w14:paraId="08FF6C9D" w14:textId="20EF9E04" w:rsidR="00745347" w:rsidRPr="00D6779F" w:rsidRDefault="000D6A09" w:rsidP="00D909F3">
      <w:pPr>
        <w:rPr>
          <w:rFonts w:cstheme="minorHAnsi"/>
          <w:sz w:val="20"/>
          <w:szCs w:val="20"/>
        </w:rPr>
      </w:pPr>
      <w:r w:rsidRPr="00D6779F">
        <w:rPr>
          <w:rFonts w:cstheme="minorHAnsi"/>
          <w:sz w:val="20"/>
          <w:szCs w:val="20"/>
        </w:rPr>
        <w:t xml:space="preserve">The </w:t>
      </w:r>
      <w:r w:rsidR="0070436F" w:rsidRPr="00D6779F">
        <w:rPr>
          <w:rFonts w:cstheme="minorHAnsi"/>
          <w:sz w:val="20"/>
          <w:szCs w:val="20"/>
        </w:rPr>
        <w:t xml:space="preserve">provision of technical accounting advice may vary across </w:t>
      </w:r>
      <w:proofErr w:type="gramStart"/>
      <w:r w:rsidR="0070436F" w:rsidRPr="00D6779F">
        <w:rPr>
          <w:rFonts w:cstheme="minorHAnsi"/>
          <w:sz w:val="20"/>
          <w:szCs w:val="20"/>
        </w:rPr>
        <w:t>a number of</w:t>
      </w:r>
      <w:proofErr w:type="gramEnd"/>
      <w:r w:rsidR="0070436F" w:rsidRPr="00D6779F">
        <w:rPr>
          <w:rFonts w:cstheme="minorHAnsi"/>
          <w:sz w:val="20"/>
          <w:szCs w:val="20"/>
        </w:rPr>
        <w:t xml:space="preserve"> areas</w:t>
      </w:r>
      <w:r w:rsidR="006D7335" w:rsidRPr="00D6779F">
        <w:rPr>
          <w:rFonts w:cstheme="minorHAnsi"/>
          <w:sz w:val="20"/>
          <w:szCs w:val="20"/>
        </w:rPr>
        <w:t>, including but not limited to technical accounting opinions</w:t>
      </w:r>
      <w:r w:rsidR="00576C59" w:rsidRPr="00D6779F">
        <w:rPr>
          <w:rFonts w:cstheme="minorHAnsi"/>
          <w:sz w:val="20"/>
          <w:szCs w:val="20"/>
        </w:rPr>
        <w:t xml:space="preserve"> and financial reporting.  This support would be on an ad hoc basis</w:t>
      </w:r>
      <w:r w:rsidR="00D91960" w:rsidRPr="00D6779F">
        <w:rPr>
          <w:rFonts w:cstheme="minorHAnsi"/>
          <w:sz w:val="20"/>
          <w:szCs w:val="20"/>
        </w:rPr>
        <w:t xml:space="preserve">.  </w:t>
      </w:r>
    </w:p>
    <w:p w14:paraId="5A3F7F57" w14:textId="30DB744E"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10: </w:t>
      </w:r>
    </w:p>
    <w:p w14:paraId="5105246A" w14:textId="77777777" w:rsidR="00D909F3" w:rsidRPr="00D6779F" w:rsidRDefault="00D909F3" w:rsidP="00D909F3">
      <w:pPr>
        <w:jc w:val="both"/>
        <w:rPr>
          <w:rFonts w:cstheme="minorHAnsi"/>
          <w:sz w:val="20"/>
          <w:szCs w:val="20"/>
          <w:lang w:val="en-IE"/>
        </w:rPr>
      </w:pPr>
      <w:r w:rsidRPr="00D6779F">
        <w:rPr>
          <w:rFonts w:cstheme="minorHAnsi"/>
          <w:sz w:val="20"/>
          <w:szCs w:val="20"/>
          <w:lang w:val="en-IE"/>
        </w:rPr>
        <w:t>Section 2.1 (iv) of the ITT describes the “Process and System Review” services as “There may be a requirement to undertake independent process and system reviews across specific areas of the business.</w:t>
      </w:r>
    </w:p>
    <w:p w14:paraId="4D52E15B" w14:textId="238DB2EE" w:rsidR="00D909F3" w:rsidRPr="00D6779F" w:rsidRDefault="00D909F3" w:rsidP="00D909F3">
      <w:pPr>
        <w:jc w:val="both"/>
        <w:rPr>
          <w:rFonts w:cstheme="minorHAnsi"/>
          <w:sz w:val="20"/>
          <w:szCs w:val="20"/>
          <w:lang w:val="en-IE"/>
        </w:rPr>
      </w:pPr>
      <w:r w:rsidRPr="00D6779F">
        <w:rPr>
          <w:rFonts w:cstheme="minorHAnsi"/>
          <w:sz w:val="20"/>
          <w:szCs w:val="20"/>
          <w:lang w:val="en-IE"/>
        </w:rPr>
        <w:t xml:space="preserve">Could the Contracting Authority please provide further detail on the anticipated scope, objectives and typical activities associated with these Process and System Review services? </w:t>
      </w:r>
      <w:proofErr w:type="gramStart"/>
      <w:r w:rsidRPr="00D6779F">
        <w:rPr>
          <w:rFonts w:cstheme="minorHAnsi"/>
          <w:sz w:val="20"/>
          <w:szCs w:val="20"/>
          <w:lang w:val="en-IE"/>
        </w:rPr>
        <w:t>In particular, it</w:t>
      </w:r>
      <w:proofErr w:type="gramEnd"/>
      <w:r w:rsidRPr="00D6779F">
        <w:rPr>
          <w:rFonts w:cstheme="minorHAnsi"/>
          <w:sz w:val="20"/>
          <w:szCs w:val="20"/>
          <w:lang w:val="en-IE"/>
        </w:rPr>
        <w:t xml:space="preserve"> would be helpful to understand whether this includes the review of financial systems.”</w:t>
      </w:r>
    </w:p>
    <w:p w14:paraId="0934EA36" w14:textId="2439F9AE" w:rsidR="001F36FE" w:rsidRPr="00087F99" w:rsidRDefault="00D909F3" w:rsidP="00102336">
      <w:pPr>
        <w:jc w:val="both"/>
        <w:rPr>
          <w:rFonts w:cstheme="minorHAnsi"/>
          <w:b/>
          <w:color w:val="C00000"/>
          <w:sz w:val="20"/>
          <w:szCs w:val="20"/>
          <w:u w:val="single"/>
        </w:rPr>
      </w:pPr>
      <w:r w:rsidRPr="00D6779F">
        <w:rPr>
          <w:rFonts w:cstheme="minorHAnsi"/>
          <w:b/>
          <w:color w:val="C00000"/>
          <w:sz w:val="20"/>
          <w:szCs w:val="20"/>
          <w:u w:val="single"/>
        </w:rPr>
        <w:t>Response 10:</w:t>
      </w:r>
    </w:p>
    <w:p w14:paraId="4E09DA5B" w14:textId="37F8448E" w:rsidR="001F36FE" w:rsidRPr="002779B8" w:rsidRDefault="001F36FE" w:rsidP="00102336">
      <w:pPr>
        <w:pStyle w:val="ListParagraph"/>
        <w:numPr>
          <w:ilvl w:val="0"/>
          <w:numId w:val="13"/>
        </w:numPr>
        <w:jc w:val="both"/>
        <w:rPr>
          <w:rFonts w:cstheme="minorHAnsi"/>
          <w:sz w:val="20"/>
          <w:szCs w:val="20"/>
          <w:lang w:val="en-IE"/>
        </w:rPr>
      </w:pPr>
      <w:r w:rsidRPr="002779B8">
        <w:rPr>
          <w:rFonts w:cstheme="minorHAnsi"/>
          <w:sz w:val="20"/>
          <w:szCs w:val="20"/>
          <w:lang w:val="en-IE"/>
        </w:rPr>
        <w:lastRenderedPageBreak/>
        <w:t xml:space="preserve">The business areas/ functions which may be in scope include Finance </w:t>
      </w:r>
      <w:r w:rsidR="00E43F97" w:rsidRPr="002779B8">
        <w:rPr>
          <w:rFonts w:cstheme="minorHAnsi"/>
          <w:sz w:val="20"/>
          <w:szCs w:val="20"/>
          <w:lang w:val="en-IE"/>
        </w:rPr>
        <w:t>Operations,</w:t>
      </w:r>
      <w:r w:rsidRPr="002779B8">
        <w:rPr>
          <w:rFonts w:cstheme="minorHAnsi"/>
          <w:sz w:val="20"/>
          <w:szCs w:val="20"/>
          <w:lang w:val="en-IE"/>
        </w:rPr>
        <w:t xml:space="preserve"> Human Resources, Racing Administration and Third Party ‘Client’ Accounts.</w:t>
      </w:r>
    </w:p>
    <w:p w14:paraId="6B0AAC7F" w14:textId="7841F1E4" w:rsidR="001F36FE" w:rsidRDefault="00E43F97" w:rsidP="00102336">
      <w:pPr>
        <w:pStyle w:val="ListParagraph"/>
        <w:numPr>
          <w:ilvl w:val="0"/>
          <w:numId w:val="13"/>
        </w:numPr>
        <w:jc w:val="both"/>
        <w:rPr>
          <w:rFonts w:cstheme="minorHAnsi"/>
          <w:sz w:val="20"/>
          <w:szCs w:val="20"/>
          <w:lang w:val="en-IE"/>
        </w:rPr>
      </w:pPr>
      <w:r w:rsidRPr="002779B8">
        <w:rPr>
          <w:rFonts w:cstheme="minorHAnsi"/>
          <w:sz w:val="20"/>
          <w:szCs w:val="20"/>
          <w:lang w:val="en-IE"/>
        </w:rPr>
        <w:t>reference</w:t>
      </w:r>
      <w:r w:rsidR="001F36FE" w:rsidRPr="002779B8">
        <w:rPr>
          <w:rFonts w:cstheme="minorHAnsi"/>
          <w:sz w:val="20"/>
          <w:szCs w:val="20"/>
          <w:lang w:val="en-IE"/>
        </w:rPr>
        <w:t xml:space="preserve"> to “system” in this context means end-to-end process plus enabling technology.</w:t>
      </w:r>
    </w:p>
    <w:p w14:paraId="1388835E" w14:textId="77777777" w:rsidR="001F36FE" w:rsidRDefault="001F36FE" w:rsidP="00102336">
      <w:pPr>
        <w:pStyle w:val="ListParagraph"/>
        <w:numPr>
          <w:ilvl w:val="0"/>
          <w:numId w:val="13"/>
        </w:numPr>
        <w:jc w:val="both"/>
        <w:rPr>
          <w:rFonts w:cstheme="minorHAnsi"/>
          <w:sz w:val="20"/>
          <w:szCs w:val="20"/>
          <w:lang w:val="en-IE"/>
        </w:rPr>
      </w:pPr>
      <w:r>
        <w:rPr>
          <w:rFonts w:cstheme="minorHAnsi"/>
          <w:sz w:val="20"/>
          <w:szCs w:val="20"/>
          <w:lang w:val="en-IE"/>
        </w:rPr>
        <w:t>T</w:t>
      </w:r>
      <w:r w:rsidRPr="00264CB5">
        <w:rPr>
          <w:rFonts w:cstheme="minorHAnsi"/>
          <w:sz w:val="20"/>
          <w:szCs w:val="20"/>
          <w:lang w:val="en-IE"/>
        </w:rPr>
        <w:t>ypical objectives and expected deliverables</w:t>
      </w:r>
      <w:r>
        <w:rPr>
          <w:rFonts w:cstheme="minorHAnsi"/>
          <w:sz w:val="20"/>
          <w:szCs w:val="20"/>
          <w:lang w:val="en-IE"/>
        </w:rPr>
        <w:t xml:space="preserve"> would include as is and to be process maps, a control assessment, recommendations and a roadmap. </w:t>
      </w:r>
    </w:p>
    <w:p w14:paraId="7724711B" w14:textId="77777777" w:rsidR="001F36FE" w:rsidRDefault="001F36FE" w:rsidP="00102336">
      <w:pPr>
        <w:pStyle w:val="ListParagraph"/>
        <w:numPr>
          <w:ilvl w:val="0"/>
          <w:numId w:val="13"/>
        </w:numPr>
        <w:jc w:val="both"/>
        <w:rPr>
          <w:rFonts w:cstheme="minorHAnsi"/>
          <w:sz w:val="20"/>
          <w:szCs w:val="20"/>
          <w:lang w:val="en-IE"/>
        </w:rPr>
      </w:pPr>
      <w:r>
        <w:rPr>
          <w:rFonts w:cstheme="minorHAnsi"/>
          <w:sz w:val="20"/>
          <w:szCs w:val="20"/>
          <w:lang w:val="en-IE"/>
        </w:rPr>
        <w:t xml:space="preserve">The output expected would be an </w:t>
      </w:r>
      <w:r w:rsidRPr="00264CB5">
        <w:rPr>
          <w:rFonts w:cstheme="minorHAnsi"/>
          <w:sz w:val="20"/>
          <w:szCs w:val="20"/>
          <w:lang w:val="en-IE"/>
        </w:rPr>
        <w:t xml:space="preserve">independent </w:t>
      </w:r>
      <w:r>
        <w:rPr>
          <w:rFonts w:cstheme="minorHAnsi"/>
          <w:sz w:val="20"/>
          <w:szCs w:val="20"/>
          <w:lang w:val="en-IE"/>
        </w:rPr>
        <w:t xml:space="preserve">review and </w:t>
      </w:r>
      <w:r w:rsidRPr="00264CB5">
        <w:rPr>
          <w:rFonts w:cstheme="minorHAnsi"/>
          <w:sz w:val="20"/>
          <w:szCs w:val="20"/>
          <w:lang w:val="en-IE"/>
        </w:rPr>
        <w:t>recommendations</w:t>
      </w:r>
      <w:r>
        <w:rPr>
          <w:rFonts w:cstheme="minorHAnsi"/>
          <w:sz w:val="20"/>
          <w:szCs w:val="20"/>
          <w:lang w:val="en-IE"/>
        </w:rPr>
        <w:t xml:space="preserve">, followed up by design and implementation support. </w:t>
      </w:r>
    </w:p>
    <w:p w14:paraId="5D96F35D" w14:textId="77777777"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11: </w:t>
      </w:r>
    </w:p>
    <w:p w14:paraId="03032F20" w14:textId="77777777" w:rsidR="00D909F3" w:rsidRPr="00D6779F" w:rsidRDefault="00D909F3" w:rsidP="00D909F3">
      <w:pPr>
        <w:jc w:val="both"/>
        <w:rPr>
          <w:rFonts w:cstheme="minorHAnsi"/>
          <w:sz w:val="20"/>
          <w:szCs w:val="20"/>
        </w:rPr>
      </w:pPr>
      <w:r w:rsidRPr="00D6779F">
        <w:rPr>
          <w:rFonts w:cstheme="minorHAnsi"/>
          <w:sz w:val="20"/>
          <w:szCs w:val="20"/>
        </w:rPr>
        <w:t>Section 1.3(a) of the ITT refers to a requirement for the provision of “tax and accountancy consultancy services”. However, tax services do not appear to be referenced within Section 2, </w:t>
      </w:r>
      <w:r w:rsidRPr="00D6779F">
        <w:rPr>
          <w:rFonts w:cstheme="minorHAnsi"/>
          <w:i/>
          <w:iCs/>
          <w:sz w:val="20"/>
          <w:szCs w:val="20"/>
        </w:rPr>
        <w:t>Specification of Requirements</w:t>
      </w:r>
      <w:r w:rsidRPr="00D6779F">
        <w:rPr>
          <w:rFonts w:cstheme="minorHAnsi"/>
          <w:sz w:val="20"/>
          <w:szCs w:val="20"/>
        </w:rPr>
        <w:t>. Could the Contracting Authority please clarify whether tax services are intended to form part of the scope of this Framework Agreement and, if so, provide details of the anticipated tax-related services required?</w:t>
      </w:r>
    </w:p>
    <w:p w14:paraId="2C33872A"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11:</w:t>
      </w:r>
    </w:p>
    <w:p w14:paraId="7B4E2C5D" w14:textId="77777777" w:rsidR="006F42E4" w:rsidRPr="00D6779F" w:rsidRDefault="006F42E4" w:rsidP="006F42E4">
      <w:pPr>
        <w:spacing w:after="0" w:line="240" w:lineRule="auto"/>
        <w:rPr>
          <w:rFonts w:cstheme="minorHAnsi"/>
          <w:sz w:val="20"/>
          <w:szCs w:val="20"/>
          <w:lang w:val="en-IE"/>
        </w:rPr>
      </w:pPr>
      <w:r w:rsidRPr="00D6779F">
        <w:rPr>
          <w:rFonts w:cstheme="minorHAnsi"/>
          <w:sz w:val="20"/>
          <w:szCs w:val="20"/>
          <w:lang w:val="en-IE"/>
        </w:rPr>
        <w:t>No, HRI are not only inviting tenders who only provide tax/accountancy consultancy services.  This is an error in the ITT, it should state “Provision of Management Consultancy Services”.  This ITT covers the following services as a minimum:</w:t>
      </w:r>
    </w:p>
    <w:p w14:paraId="0108EAF1" w14:textId="77777777" w:rsidR="006F42E4" w:rsidRPr="00D6779F" w:rsidRDefault="006F42E4" w:rsidP="006F42E4">
      <w:pPr>
        <w:spacing w:after="0" w:line="240" w:lineRule="auto"/>
        <w:rPr>
          <w:rFonts w:cstheme="minorHAnsi"/>
          <w:sz w:val="20"/>
          <w:szCs w:val="20"/>
          <w:lang w:val="en-IE"/>
        </w:rPr>
      </w:pPr>
    </w:p>
    <w:p w14:paraId="4E29DC78" w14:textId="77777777" w:rsidR="006F42E4" w:rsidRPr="00D6779F" w:rsidRDefault="006F42E4" w:rsidP="006F42E4">
      <w:pPr>
        <w:pStyle w:val="ListParagraph"/>
        <w:numPr>
          <w:ilvl w:val="0"/>
          <w:numId w:val="7"/>
        </w:numPr>
        <w:spacing w:after="0" w:line="240" w:lineRule="auto"/>
        <w:rPr>
          <w:rFonts w:cs="Verdana"/>
          <w:bCs/>
          <w:color w:val="000000" w:themeColor="text1"/>
          <w:sz w:val="20"/>
          <w:szCs w:val="20"/>
        </w:rPr>
      </w:pPr>
      <w:r w:rsidRPr="00D6779F">
        <w:rPr>
          <w:bCs/>
          <w:color w:val="000000" w:themeColor="text1"/>
          <w:sz w:val="20"/>
          <w:lang w:val="en-IE"/>
        </w:rPr>
        <w:t>Strategic/ Operational Review</w:t>
      </w:r>
    </w:p>
    <w:p w14:paraId="36FBB4EC" w14:textId="77777777" w:rsidR="006F42E4" w:rsidRPr="00D6779F" w:rsidRDefault="006F42E4" w:rsidP="006F42E4">
      <w:pPr>
        <w:pStyle w:val="ListParagraph"/>
        <w:numPr>
          <w:ilvl w:val="0"/>
          <w:numId w:val="7"/>
        </w:numPr>
        <w:spacing w:after="0" w:line="240" w:lineRule="auto"/>
        <w:rPr>
          <w:rFonts w:cs="Verdana"/>
          <w:bCs/>
          <w:color w:val="000000" w:themeColor="text1"/>
          <w:sz w:val="20"/>
          <w:szCs w:val="20"/>
        </w:rPr>
      </w:pPr>
      <w:r w:rsidRPr="00D6779F">
        <w:rPr>
          <w:bCs/>
          <w:color w:val="000000" w:themeColor="text1"/>
          <w:sz w:val="20"/>
          <w:lang w:val="en-IE"/>
        </w:rPr>
        <w:t>Corporate Finance Strategic Evaluation &amp; Advice</w:t>
      </w:r>
      <w:r w:rsidRPr="00D6779F" w:rsidDel="00635A16">
        <w:rPr>
          <w:rFonts w:cs="Verdana"/>
          <w:bCs/>
          <w:color w:val="000000" w:themeColor="text1"/>
          <w:sz w:val="20"/>
          <w:szCs w:val="20"/>
        </w:rPr>
        <w:t xml:space="preserve"> </w:t>
      </w:r>
    </w:p>
    <w:p w14:paraId="7158920E" w14:textId="77777777" w:rsidR="006F42E4" w:rsidRPr="00D6779F" w:rsidRDefault="006F42E4" w:rsidP="006F42E4">
      <w:pPr>
        <w:pStyle w:val="ListParagraph"/>
        <w:numPr>
          <w:ilvl w:val="0"/>
          <w:numId w:val="7"/>
        </w:numPr>
        <w:spacing w:after="0" w:line="240" w:lineRule="auto"/>
        <w:rPr>
          <w:rFonts w:cs="Verdana"/>
          <w:bCs/>
          <w:color w:val="000000" w:themeColor="text1"/>
          <w:sz w:val="20"/>
          <w:szCs w:val="20"/>
        </w:rPr>
      </w:pPr>
      <w:r w:rsidRPr="00D6779F">
        <w:rPr>
          <w:rFonts w:cs="Verdana"/>
          <w:bCs/>
          <w:color w:val="000000" w:themeColor="text1"/>
          <w:sz w:val="20"/>
          <w:szCs w:val="20"/>
        </w:rPr>
        <w:t>Industry Social and Economic Impact Review</w:t>
      </w:r>
    </w:p>
    <w:p w14:paraId="6DE8187F" w14:textId="77777777" w:rsidR="006F42E4" w:rsidRPr="00D6779F" w:rsidRDefault="006F42E4" w:rsidP="006F42E4">
      <w:pPr>
        <w:pStyle w:val="ListParagraph"/>
        <w:numPr>
          <w:ilvl w:val="0"/>
          <w:numId w:val="7"/>
        </w:numPr>
        <w:spacing w:after="0" w:line="240" w:lineRule="auto"/>
        <w:rPr>
          <w:rFonts w:cs="Verdana"/>
          <w:bCs/>
          <w:color w:val="000000" w:themeColor="text1"/>
          <w:sz w:val="20"/>
          <w:szCs w:val="20"/>
        </w:rPr>
      </w:pPr>
      <w:r w:rsidRPr="00D6779F">
        <w:rPr>
          <w:bCs/>
          <w:color w:val="000000" w:themeColor="text1"/>
          <w:sz w:val="20"/>
          <w:lang w:val="en-IE"/>
        </w:rPr>
        <w:t>Process and System Review</w:t>
      </w:r>
    </w:p>
    <w:p w14:paraId="7C00B240" w14:textId="77777777" w:rsidR="006F42E4" w:rsidRPr="00D6779F" w:rsidRDefault="006F42E4" w:rsidP="006F42E4">
      <w:pPr>
        <w:pStyle w:val="ListParagraph"/>
        <w:numPr>
          <w:ilvl w:val="0"/>
          <w:numId w:val="7"/>
        </w:numPr>
        <w:spacing w:after="0" w:line="240" w:lineRule="auto"/>
        <w:rPr>
          <w:rFonts w:cs="Verdana"/>
          <w:bCs/>
          <w:color w:val="000000" w:themeColor="text1"/>
          <w:sz w:val="20"/>
          <w:szCs w:val="20"/>
        </w:rPr>
      </w:pPr>
      <w:r w:rsidRPr="00D6779F">
        <w:rPr>
          <w:rFonts w:cs="Verdana"/>
          <w:bCs/>
          <w:color w:val="000000" w:themeColor="text1"/>
          <w:sz w:val="20"/>
          <w:szCs w:val="20"/>
        </w:rPr>
        <w:t>ESG Review</w:t>
      </w:r>
    </w:p>
    <w:p w14:paraId="41C333AA" w14:textId="77777777" w:rsidR="006F42E4" w:rsidRPr="00D6779F" w:rsidRDefault="006F42E4" w:rsidP="006F42E4">
      <w:pPr>
        <w:pStyle w:val="ListParagraph"/>
        <w:numPr>
          <w:ilvl w:val="0"/>
          <w:numId w:val="7"/>
        </w:numPr>
        <w:spacing w:after="0" w:line="240" w:lineRule="auto"/>
        <w:rPr>
          <w:rFonts w:cs="Verdana"/>
          <w:bCs/>
          <w:color w:val="000000" w:themeColor="text1"/>
          <w:sz w:val="20"/>
          <w:szCs w:val="20"/>
        </w:rPr>
      </w:pPr>
      <w:r w:rsidRPr="00D6779F">
        <w:rPr>
          <w:rFonts w:cs="Verdana"/>
          <w:bCs/>
          <w:color w:val="000000" w:themeColor="text1"/>
          <w:sz w:val="20"/>
          <w:szCs w:val="20"/>
        </w:rPr>
        <w:t>Accountancy Services</w:t>
      </w:r>
    </w:p>
    <w:p w14:paraId="78A1E8AE" w14:textId="77777777" w:rsidR="006F42E4" w:rsidRPr="00D6779F" w:rsidRDefault="006F42E4" w:rsidP="006F42E4">
      <w:pPr>
        <w:pStyle w:val="ListParagraph"/>
        <w:numPr>
          <w:ilvl w:val="0"/>
          <w:numId w:val="7"/>
        </w:numPr>
        <w:spacing w:after="0" w:line="240" w:lineRule="auto"/>
        <w:rPr>
          <w:rFonts w:cs="Verdana"/>
          <w:bCs/>
          <w:color w:val="000000" w:themeColor="text1"/>
          <w:sz w:val="20"/>
          <w:szCs w:val="20"/>
        </w:rPr>
      </w:pPr>
      <w:r w:rsidRPr="00D6779F">
        <w:rPr>
          <w:bCs/>
          <w:color w:val="000000" w:themeColor="text1"/>
          <w:sz w:val="20"/>
          <w:lang w:val="en-IE"/>
        </w:rPr>
        <w:t>Risk and Audit Effectiveness Reviews</w:t>
      </w:r>
    </w:p>
    <w:p w14:paraId="766858F0" w14:textId="77777777" w:rsidR="006F42E4" w:rsidRPr="00D6779F" w:rsidRDefault="006F42E4" w:rsidP="006F42E4">
      <w:pPr>
        <w:pStyle w:val="ListParagraph"/>
        <w:numPr>
          <w:ilvl w:val="0"/>
          <w:numId w:val="7"/>
        </w:numPr>
        <w:spacing w:after="0" w:line="240" w:lineRule="auto"/>
        <w:rPr>
          <w:rFonts w:cs="Verdana"/>
          <w:sz w:val="20"/>
          <w:szCs w:val="20"/>
        </w:rPr>
      </w:pPr>
      <w:r w:rsidRPr="00D6779F">
        <w:rPr>
          <w:rFonts w:cs="Verdana"/>
          <w:sz w:val="20"/>
          <w:szCs w:val="20"/>
        </w:rPr>
        <w:t>Other Management Services (This does not include Internal Audit Services)</w:t>
      </w:r>
    </w:p>
    <w:p w14:paraId="1D78BBEB" w14:textId="77777777" w:rsidR="00D84169" w:rsidRDefault="00D84169" w:rsidP="00D909F3">
      <w:pPr>
        <w:rPr>
          <w:rFonts w:cstheme="minorHAnsi"/>
          <w:b/>
          <w:color w:val="C00000"/>
          <w:sz w:val="20"/>
          <w:szCs w:val="20"/>
          <w:u w:val="single"/>
        </w:rPr>
      </w:pPr>
    </w:p>
    <w:p w14:paraId="3C6D2841" w14:textId="5A3AD135"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12: </w:t>
      </w:r>
    </w:p>
    <w:p w14:paraId="42AE20CD" w14:textId="77777777" w:rsidR="00D909F3" w:rsidRPr="00D6779F" w:rsidRDefault="00D909F3" w:rsidP="00D909F3">
      <w:pPr>
        <w:rPr>
          <w:rFonts w:cstheme="minorHAnsi"/>
          <w:sz w:val="20"/>
          <w:szCs w:val="20"/>
        </w:rPr>
      </w:pPr>
      <w:r w:rsidRPr="00D6779F">
        <w:rPr>
          <w:rFonts w:cstheme="minorHAnsi"/>
          <w:sz w:val="20"/>
          <w:szCs w:val="20"/>
        </w:rPr>
        <w:t>Who are the key stakeholders who may read/rely on the ESG reporting?</w:t>
      </w:r>
    </w:p>
    <w:p w14:paraId="2D2D347C"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12:</w:t>
      </w:r>
    </w:p>
    <w:p w14:paraId="3A4354FC" w14:textId="0C68936C" w:rsidR="00D909F3" w:rsidRPr="00D6779F" w:rsidRDefault="000548E5" w:rsidP="00D909F3">
      <w:pPr>
        <w:rPr>
          <w:rFonts w:cstheme="minorHAnsi"/>
          <w:sz w:val="20"/>
          <w:szCs w:val="20"/>
        </w:rPr>
      </w:pPr>
      <w:r w:rsidRPr="00D6779F">
        <w:rPr>
          <w:rFonts w:cstheme="minorHAnsi"/>
          <w:sz w:val="20"/>
          <w:szCs w:val="20"/>
        </w:rPr>
        <w:t>The key stakeholders will be the Board of Directors, Department of Agriculture, F</w:t>
      </w:r>
      <w:r w:rsidR="001F36FE">
        <w:rPr>
          <w:rFonts w:cstheme="minorHAnsi"/>
          <w:sz w:val="20"/>
          <w:szCs w:val="20"/>
        </w:rPr>
        <w:t>ood</w:t>
      </w:r>
      <w:r w:rsidRPr="00D6779F">
        <w:rPr>
          <w:rFonts w:cstheme="minorHAnsi"/>
          <w:sz w:val="20"/>
          <w:szCs w:val="20"/>
        </w:rPr>
        <w:t xml:space="preserve"> and </w:t>
      </w:r>
      <w:r w:rsidR="001F36FE">
        <w:rPr>
          <w:rFonts w:cstheme="minorHAnsi"/>
          <w:sz w:val="20"/>
          <w:szCs w:val="20"/>
        </w:rPr>
        <w:t xml:space="preserve">the </w:t>
      </w:r>
      <w:r w:rsidRPr="00D6779F">
        <w:rPr>
          <w:rFonts w:cstheme="minorHAnsi"/>
          <w:sz w:val="20"/>
          <w:szCs w:val="20"/>
        </w:rPr>
        <w:t>Marine</w:t>
      </w:r>
      <w:r w:rsidR="00DF173F" w:rsidRPr="00D6779F">
        <w:rPr>
          <w:rFonts w:cstheme="minorHAnsi"/>
          <w:sz w:val="20"/>
          <w:szCs w:val="20"/>
        </w:rPr>
        <w:t xml:space="preserve">, </w:t>
      </w:r>
      <w:r w:rsidR="001F36FE">
        <w:rPr>
          <w:rFonts w:cstheme="minorHAnsi"/>
          <w:sz w:val="20"/>
          <w:szCs w:val="20"/>
        </w:rPr>
        <w:t xml:space="preserve">Department of Public Expenditure Infrastructure Public Service Reform and Digitalisation, </w:t>
      </w:r>
      <w:r w:rsidRPr="00D6779F">
        <w:rPr>
          <w:rFonts w:cstheme="minorHAnsi"/>
          <w:sz w:val="20"/>
          <w:szCs w:val="20"/>
        </w:rPr>
        <w:t>Department of Finance</w:t>
      </w:r>
      <w:r w:rsidR="00DF173F" w:rsidRPr="00D6779F">
        <w:rPr>
          <w:rFonts w:cstheme="minorHAnsi"/>
          <w:sz w:val="20"/>
          <w:szCs w:val="20"/>
        </w:rPr>
        <w:t xml:space="preserve">, </w:t>
      </w:r>
      <w:r w:rsidR="001F36FE" w:rsidRPr="00D6779F">
        <w:rPr>
          <w:rFonts w:cstheme="minorHAnsi"/>
          <w:sz w:val="20"/>
          <w:szCs w:val="20"/>
        </w:rPr>
        <w:t>New ERA</w:t>
      </w:r>
      <w:r w:rsidR="00DF173F" w:rsidRPr="00D6779F">
        <w:rPr>
          <w:rFonts w:cstheme="minorHAnsi"/>
          <w:sz w:val="20"/>
          <w:szCs w:val="20"/>
        </w:rPr>
        <w:t xml:space="preserve"> </w:t>
      </w:r>
      <w:r w:rsidR="001F36FE">
        <w:rPr>
          <w:rFonts w:cstheme="minorHAnsi"/>
          <w:sz w:val="20"/>
          <w:szCs w:val="20"/>
        </w:rPr>
        <w:t>and</w:t>
      </w:r>
      <w:r w:rsidR="00DF173F" w:rsidRPr="00D6779F">
        <w:rPr>
          <w:rFonts w:cstheme="minorHAnsi"/>
          <w:sz w:val="20"/>
          <w:szCs w:val="20"/>
        </w:rPr>
        <w:t xml:space="preserve"> SEAI.</w:t>
      </w:r>
    </w:p>
    <w:p w14:paraId="44201C84" w14:textId="310964CC"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13: </w:t>
      </w:r>
    </w:p>
    <w:p w14:paraId="1EF2CD0C" w14:textId="22EC5FBE" w:rsidR="00D909F3" w:rsidRPr="00D6779F" w:rsidRDefault="00D909F3" w:rsidP="00D909F3">
      <w:pPr>
        <w:rPr>
          <w:rFonts w:cstheme="minorHAnsi"/>
          <w:sz w:val="20"/>
          <w:szCs w:val="20"/>
        </w:rPr>
      </w:pPr>
      <w:r w:rsidRPr="00D6779F">
        <w:rPr>
          <w:rFonts w:cstheme="minorHAnsi"/>
          <w:sz w:val="20"/>
          <w:szCs w:val="20"/>
        </w:rPr>
        <w:t>The brief refers to current regulations and local sustainability goals. Which regulations and goals</w:t>
      </w:r>
      <w:proofErr w:type="gramStart"/>
      <w:r w:rsidRPr="00D6779F">
        <w:rPr>
          <w:rFonts w:cstheme="minorHAnsi"/>
          <w:sz w:val="20"/>
          <w:szCs w:val="20"/>
        </w:rPr>
        <w:t xml:space="preserve">, in particular, </w:t>
      </w:r>
      <w:r w:rsidR="00E43F97" w:rsidRPr="00D6779F">
        <w:rPr>
          <w:rFonts w:cstheme="minorHAnsi"/>
          <w:sz w:val="20"/>
          <w:szCs w:val="20"/>
        </w:rPr>
        <w:t>is</w:t>
      </w:r>
      <w:proofErr w:type="gramEnd"/>
      <w:r w:rsidRPr="00D6779F">
        <w:rPr>
          <w:rFonts w:cstheme="minorHAnsi"/>
          <w:sz w:val="20"/>
          <w:szCs w:val="20"/>
        </w:rPr>
        <w:t xml:space="preserve"> HRI focused on?</w:t>
      </w:r>
    </w:p>
    <w:p w14:paraId="63B0F7B6"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13:</w:t>
      </w:r>
    </w:p>
    <w:p w14:paraId="171BDD5B" w14:textId="7E6A467F" w:rsidR="00D909F3" w:rsidRPr="00D6779F" w:rsidRDefault="00FB2713" w:rsidP="00D909F3">
      <w:pPr>
        <w:rPr>
          <w:rFonts w:cstheme="minorHAnsi"/>
          <w:sz w:val="20"/>
          <w:szCs w:val="20"/>
        </w:rPr>
      </w:pPr>
      <w:r w:rsidRPr="00D6779F">
        <w:rPr>
          <w:rFonts w:cstheme="minorHAnsi"/>
          <w:sz w:val="20"/>
          <w:szCs w:val="20"/>
        </w:rPr>
        <w:t>HRI</w:t>
      </w:r>
      <w:r w:rsidR="00C32E83" w:rsidRPr="00D6779F">
        <w:rPr>
          <w:rFonts w:cstheme="minorHAnsi"/>
          <w:sz w:val="20"/>
          <w:szCs w:val="20"/>
        </w:rPr>
        <w:t>’s</w:t>
      </w:r>
      <w:r w:rsidRPr="00D6779F">
        <w:rPr>
          <w:rFonts w:cstheme="minorHAnsi"/>
          <w:sz w:val="20"/>
          <w:szCs w:val="20"/>
        </w:rPr>
        <w:t xml:space="preserve"> main focu</w:t>
      </w:r>
      <w:r w:rsidR="00C32E83" w:rsidRPr="00D6779F">
        <w:rPr>
          <w:rFonts w:cstheme="minorHAnsi"/>
          <w:sz w:val="20"/>
          <w:szCs w:val="20"/>
        </w:rPr>
        <w:t>se</w:t>
      </w:r>
      <w:r w:rsidRPr="00D6779F">
        <w:rPr>
          <w:rFonts w:cstheme="minorHAnsi"/>
          <w:sz w:val="20"/>
          <w:szCs w:val="20"/>
        </w:rPr>
        <w:t>s would be on</w:t>
      </w:r>
      <w:r w:rsidR="003A37B5" w:rsidRPr="00D6779F">
        <w:t xml:space="preserve"> </w:t>
      </w:r>
      <w:r w:rsidR="003A37B5" w:rsidRPr="00D6779F">
        <w:rPr>
          <w:rFonts w:cstheme="minorHAnsi"/>
          <w:sz w:val="20"/>
          <w:szCs w:val="20"/>
        </w:rPr>
        <w:t>Climate Action and Low Carbon Development Acts 2015 to 2021 (In addition to obligations under the New Era Action 55 framework</w:t>
      </w:r>
      <w:r w:rsidR="00FD24F6" w:rsidRPr="00D6779F">
        <w:rPr>
          <w:rFonts w:cstheme="minorHAnsi"/>
          <w:sz w:val="20"/>
          <w:szCs w:val="20"/>
        </w:rPr>
        <w:t>).  A</w:t>
      </w:r>
      <w:r w:rsidR="00C32E83" w:rsidRPr="00D6779F">
        <w:rPr>
          <w:rFonts w:cstheme="minorHAnsi"/>
          <w:sz w:val="20"/>
          <w:szCs w:val="20"/>
        </w:rPr>
        <w:t xml:space="preserve">dherence to the European Sustainability Reporting Standards (ESRS) </w:t>
      </w:r>
      <w:r w:rsidR="00E85E78" w:rsidRPr="00D6779F">
        <w:rPr>
          <w:rFonts w:cstheme="minorHAnsi"/>
          <w:sz w:val="20"/>
          <w:szCs w:val="20"/>
        </w:rPr>
        <w:t>under the VSME framework</w:t>
      </w:r>
      <w:r w:rsidR="00FD24F6" w:rsidRPr="00D6779F">
        <w:rPr>
          <w:rFonts w:cstheme="minorHAnsi"/>
          <w:sz w:val="20"/>
          <w:szCs w:val="20"/>
        </w:rPr>
        <w:t xml:space="preserve"> and Public Sector Emissions targets.</w:t>
      </w:r>
      <w:r w:rsidR="00C32E83" w:rsidRPr="00D6779F">
        <w:rPr>
          <w:rFonts w:cstheme="minorHAnsi"/>
          <w:sz w:val="20"/>
          <w:szCs w:val="20"/>
        </w:rPr>
        <w:t xml:space="preserve">  </w:t>
      </w:r>
    </w:p>
    <w:p w14:paraId="2307B68A" w14:textId="4CECD8B3"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14: </w:t>
      </w:r>
    </w:p>
    <w:p w14:paraId="79F294BC" w14:textId="77777777" w:rsidR="00D909F3" w:rsidRPr="00D6779F" w:rsidRDefault="00D909F3" w:rsidP="00D909F3">
      <w:pPr>
        <w:jc w:val="both"/>
        <w:rPr>
          <w:rFonts w:cstheme="minorHAnsi"/>
          <w:sz w:val="20"/>
          <w:szCs w:val="20"/>
        </w:rPr>
      </w:pPr>
      <w:r w:rsidRPr="00D6779F">
        <w:rPr>
          <w:rFonts w:cstheme="minorHAnsi"/>
          <w:sz w:val="20"/>
          <w:szCs w:val="20"/>
        </w:rPr>
        <w:t>Section 2.1 (viii) Other Management Services - What income tax compliance support is expected under this framework?</w:t>
      </w:r>
    </w:p>
    <w:p w14:paraId="6A40F0DF"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14:</w:t>
      </w:r>
    </w:p>
    <w:p w14:paraId="01CC458E" w14:textId="1FCE6116" w:rsidR="0095680B" w:rsidRPr="00D6779F" w:rsidRDefault="004B3EBC" w:rsidP="0095680B">
      <w:pPr>
        <w:rPr>
          <w:rFonts w:cstheme="minorHAnsi"/>
          <w:sz w:val="20"/>
          <w:szCs w:val="20"/>
          <w:lang w:val="en-IE"/>
        </w:rPr>
      </w:pPr>
      <w:r w:rsidRPr="00D6779F">
        <w:rPr>
          <w:rFonts w:cstheme="minorHAnsi"/>
          <w:sz w:val="20"/>
          <w:szCs w:val="20"/>
          <w:lang w:val="en-IE"/>
        </w:rPr>
        <w:lastRenderedPageBreak/>
        <w:t>HRI has</w:t>
      </w:r>
      <w:r w:rsidR="00AC60A3" w:rsidRPr="00D6779F">
        <w:rPr>
          <w:rFonts w:cstheme="minorHAnsi"/>
          <w:sz w:val="20"/>
          <w:szCs w:val="20"/>
          <w:lang w:val="en-IE"/>
        </w:rPr>
        <w:t xml:space="preserve"> published </w:t>
      </w:r>
      <w:r w:rsidR="0095680B" w:rsidRPr="00D6779F">
        <w:rPr>
          <w:rFonts w:cstheme="minorHAnsi"/>
          <w:sz w:val="20"/>
          <w:szCs w:val="20"/>
          <w:lang w:val="en-IE"/>
        </w:rPr>
        <w:t>two separate tenders</w:t>
      </w:r>
      <w:r w:rsidR="00AC60A3" w:rsidRPr="00D6779F">
        <w:rPr>
          <w:rFonts w:cstheme="minorHAnsi"/>
          <w:sz w:val="20"/>
          <w:szCs w:val="20"/>
          <w:lang w:val="en-IE"/>
        </w:rPr>
        <w:t xml:space="preserve">. It is expected that </w:t>
      </w:r>
      <w:r w:rsidR="00EE15DB" w:rsidRPr="00D6779F">
        <w:rPr>
          <w:rFonts w:cstheme="minorHAnsi"/>
          <w:sz w:val="20"/>
          <w:szCs w:val="20"/>
          <w:lang w:val="en-IE"/>
        </w:rPr>
        <w:t xml:space="preserve">Income tax compliance support would fall under the remit of the </w:t>
      </w:r>
      <w:r w:rsidR="00E67C90" w:rsidRPr="00D6779F">
        <w:rPr>
          <w:rFonts w:cstheme="minorHAnsi"/>
          <w:sz w:val="20"/>
          <w:szCs w:val="20"/>
          <w:lang w:val="en-IE"/>
        </w:rPr>
        <w:t>Provision of Taxation and Consultancy Services</w:t>
      </w:r>
      <w:r w:rsidR="00243E6C" w:rsidRPr="00D6779F">
        <w:rPr>
          <w:rFonts w:cstheme="minorHAnsi"/>
          <w:sz w:val="20"/>
          <w:szCs w:val="20"/>
          <w:lang w:val="en-IE"/>
        </w:rPr>
        <w:t xml:space="preserve"> (</w:t>
      </w:r>
      <w:r w:rsidR="00690D68" w:rsidRPr="00D6779F">
        <w:rPr>
          <w:rFonts w:cstheme="minorHAnsi"/>
          <w:sz w:val="20"/>
          <w:szCs w:val="20"/>
          <w:lang w:val="en-IE"/>
        </w:rPr>
        <w:t xml:space="preserve">OJEU ref </w:t>
      </w:r>
      <w:r w:rsidR="00690D68" w:rsidRPr="00D6779F">
        <w:rPr>
          <w:rFonts w:cstheme="minorHAnsi"/>
          <w:sz w:val="20"/>
          <w:szCs w:val="20"/>
        </w:rPr>
        <w:t>468306-2026)</w:t>
      </w:r>
      <w:r w:rsidR="00D80323" w:rsidRPr="00D6779F">
        <w:rPr>
          <w:rFonts w:cstheme="minorHAnsi"/>
          <w:sz w:val="20"/>
          <w:szCs w:val="20"/>
        </w:rPr>
        <w:t xml:space="preserve"> tender</w:t>
      </w:r>
      <w:r w:rsidR="00690D68" w:rsidRPr="00D6779F">
        <w:rPr>
          <w:rFonts w:cstheme="minorHAnsi"/>
          <w:sz w:val="20"/>
          <w:szCs w:val="20"/>
        </w:rPr>
        <w:t>.</w:t>
      </w:r>
      <w:r w:rsidR="0095680B" w:rsidRPr="00D6779F">
        <w:rPr>
          <w:rFonts w:cstheme="minorHAnsi"/>
          <w:sz w:val="20"/>
          <w:szCs w:val="20"/>
          <w:lang w:val="en-IE"/>
        </w:rPr>
        <w:t xml:space="preserve"> </w:t>
      </w:r>
    </w:p>
    <w:p w14:paraId="4B3FF2D4" w14:textId="759D78C8"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15: </w:t>
      </w:r>
    </w:p>
    <w:p w14:paraId="6F537F1D" w14:textId="77777777" w:rsidR="00D909F3" w:rsidRPr="00D6779F" w:rsidRDefault="00D909F3" w:rsidP="00D909F3">
      <w:pPr>
        <w:jc w:val="both"/>
        <w:rPr>
          <w:rFonts w:cstheme="minorHAnsi"/>
          <w:sz w:val="20"/>
          <w:szCs w:val="20"/>
        </w:rPr>
      </w:pPr>
      <w:r w:rsidRPr="00D6779F">
        <w:rPr>
          <w:rFonts w:cstheme="minorHAnsi"/>
          <w:sz w:val="20"/>
          <w:szCs w:val="20"/>
        </w:rPr>
        <w:t xml:space="preserve">Section 2.1 (viii) Other Management Services - Is the preparation of the corporation tax computation and return and </w:t>
      </w:r>
      <w:proofErr w:type="spellStart"/>
      <w:r w:rsidRPr="00D6779F">
        <w:rPr>
          <w:rFonts w:cstheme="minorHAnsi"/>
          <w:sz w:val="20"/>
          <w:szCs w:val="20"/>
        </w:rPr>
        <w:t>iXBRL</w:t>
      </w:r>
      <w:proofErr w:type="spellEnd"/>
      <w:r w:rsidRPr="00D6779F">
        <w:rPr>
          <w:rFonts w:cstheme="minorHAnsi"/>
          <w:sz w:val="20"/>
          <w:szCs w:val="20"/>
        </w:rPr>
        <w:t xml:space="preserve"> (if relevant) for Cork Racecourse and Curragh Racecourse to be included in our response or in what capacity are these two holding interests expected to avail of this framework?</w:t>
      </w:r>
    </w:p>
    <w:p w14:paraId="71405C0A"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15:</w:t>
      </w:r>
    </w:p>
    <w:p w14:paraId="73D958E8" w14:textId="683A04B4" w:rsidR="00B156CA" w:rsidRPr="00D6779F" w:rsidRDefault="00B156CA" w:rsidP="00B156CA">
      <w:pPr>
        <w:rPr>
          <w:rFonts w:cstheme="minorHAnsi"/>
          <w:sz w:val="20"/>
          <w:szCs w:val="20"/>
          <w:lang w:val="en-IE"/>
        </w:rPr>
      </w:pPr>
      <w:r w:rsidRPr="00D6779F">
        <w:rPr>
          <w:rFonts w:cstheme="minorHAnsi"/>
          <w:sz w:val="20"/>
          <w:szCs w:val="20"/>
          <w:lang w:val="en-IE"/>
        </w:rPr>
        <w:t xml:space="preserve">HRI has published two separate tenders. It is expected that </w:t>
      </w:r>
      <w:r w:rsidRPr="00D6779F">
        <w:rPr>
          <w:rFonts w:cstheme="minorHAnsi"/>
          <w:sz w:val="20"/>
          <w:szCs w:val="20"/>
        </w:rPr>
        <w:t xml:space="preserve">preparation of the corporation tax computation and return and </w:t>
      </w:r>
      <w:proofErr w:type="spellStart"/>
      <w:r w:rsidRPr="00D6779F">
        <w:rPr>
          <w:rFonts w:cstheme="minorHAnsi"/>
          <w:sz w:val="20"/>
          <w:szCs w:val="20"/>
        </w:rPr>
        <w:t>iXBRL</w:t>
      </w:r>
      <w:proofErr w:type="spellEnd"/>
      <w:r w:rsidRPr="00D6779F">
        <w:rPr>
          <w:rFonts w:cstheme="minorHAnsi"/>
          <w:sz w:val="20"/>
          <w:szCs w:val="20"/>
        </w:rPr>
        <w:t xml:space="preserve"> (if relevant) </w:t>
      </w:r>
      <w:r w:rsidR="00F95E66">
        <w:rPr>
          <w:rFonts w:cstheme="minorHAnsi"/>
          <w:sz w:val="20"/>
          <w:szCs w:val="20"/>
        </w:rPr>
        <w:t xml:space="preserve">for HRI and its subsidiaries </w:t>
      </w:r>
      <w:r w:rsidRPr="00D6779F">
        <w:rPr>
          <w:rFonts w:cstheme="minorHAnsi"/>
          <w:sz w:val="20"/>
          <w:szCs w:val="20"/>
          <w:lang w:val="en-IE"/>
        </w:rPr>
        <w:t xml:space="preserve">would fall under the remit of the Provision of Taxation and Consultancy Services (OJEU ref </w:t>
      </w:r>
      <w:r w:rsidRPr="00D6779F">
        <w:rPr>
          <w:rFonts w:cstheme="minorHAnsi"/>
          <w:sz w:val="20"/>
          <w:szCs w:val="20"/>
        </w:rPr>
        <w:t>468306-2026)</w:t>
      </w:r>
      <w:r w:rsidR="00D80323" w:rsidRPr="00D6779F">
        <w:rPr>
          <w:rFonts w:cstheme="minorHAnsi"/>
          <w:sz w:val="20"/>
          <w:szCs w:val="20"/>
        </w:rPr>
        <w:t xml:space="preserve"> tender</w:t>
      </w:r>
      <w:r w:rsidRPr="00D6779F">
        <w:rPr>
          <w:rFonts w:cstheme="minorHAnsi"/>
          <w:sz w:val="20"/>
          <w:szCs w:val="20"/>
        </w:rPr>
        <w:t>.</w:t>
      </w:r>
      <w:r w:rsidRPr="00D6779F">
        <w:rPr>
          <w:rFonts w:cstheme="minorHAnsi"/>
          <w:sz w:val="20"/>
          <w:szCs w:val="20"/>
          <w:lang w:val="en-IE"/>
        </w:rPr>
        <w:t xml:space="preserve"> </w:t>
      </w:r>
    </w:p>
    <w:p w14:paraId="297A4598" w14:textId="1A03D206"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16: </w:t>
      </w:r>
    </w:p>
    <w:p w14:paraId="52CCA864" w14:textId="77777777" w:rsidR="00D909F3" w:rsidRPr="00D6779F" w:rsidRDefault="00D909F3" w:rsidP="00D909F3">
      <w:pPr>
        <w:jc w:val="both"/>
        <w:rPr>
          <w:rFonts w:cstheme="minorHAnsi"/>
          <w:sz w:val="20"/>
          <w:szCs w:val="20"/>
        </w:rPr>
      </w:pPr>
      <w:r w:rsidRPr="00D6779F">
        <w:rPr>
          <w:rFonts w:cstheme="minorHAnsi"/>
          <w:sz w:val="20"/>
          <w:szCs w:val="20"/>
        </w:rPr>
        <w:t>Section 2.1 (viii) Other Management Services - How many entities are under scope</w:t>
      </w:r>
    </w:p>
    <w:p w14:paraId="1064EBCF"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16:</w:t>
      </w:r>
    </w:p>
    <w:p w14:paraId="0AB711C2" w14:textId="2095A522" w:rsidR="00D909F3" w:rsidRPr="00D6779F" w:rsidRDefault="0067750F" w:rsidP="00D909F3">
      <w:pPr>
        <w:rPr>
          <w:rFonts w:cstheme="minorHAnsi"/>
          <w:sz w:val="20"/>
          <w:szCs w:val="20"/>
        </w:rPr>
      </w:pPr>
      <w:r w:rsidRPr="00D6779F">
        <w:rPr>
          <w:rFonts w:cstheme="minorHAnsi"/>
          <w:sz w:val="20"/>
          <w:szCs w:val="20"/>
        </w:rPr>
        <w:t>The following companies are under scope of this tender:</w:t>
      </w:r>
    </w:p>
    <w:p w14:paraId="07D1C8D2" w14:textId="14D35518" w:rsidR="0067750F" w:rsidRPr="00D6779F" w:rsidRDefault="0067750F" w:rsidP="0067750F">
      <w:pPr>
        <w:pStyle w:val="ListParagraph"/>
        <w:numPr>
          <w:ilvl w:val="0"/>
          <w:numId w:val="8"/>
        </w:numPr>
        <w:jc w:val="both"/>
        <w:rPr>
          <w:rFonts w:cstheme="minorHAnsi"/>
          <w:sz w:val="20"/>
          <w:szCs w:val="20"/>
        </w:rPr>
      </w:pPr>
      <w:r w:rsidRPr="00D6779F">
        <w:rPr>
          <w:rFonts w:cstheme="minorHAnsi"/>
          <w:sz w:val="20"/>
          <w:szCs w:val="20"/>
        </w:rPr>
        <w:t xml:space="preserve">HRI </w:t>
      </w:r>
    </w:p>
    <w:p w14:paraId="1611DA5D" w14:textId="77777777" w:rsidR="0067750F" w:rsidRPr="00D6779F" w:rsidRDefault="0067750F" w:rsidP="0067750F">
      <w:pPr>
        <w:pStyle w:val="ListParagraph"/>
        <w:numPr>
          <w:ilvl w:val="0"/>
          <w:numId w:val="8"/>
        </w:numPr>
        <w:jc w:val="both"/>
        <w:rPr>
          <w:rFonts w:cstheme="minorHAnsi"/>
          <w:sz w:val="20"/>
          <w:szCs w:val="20"/>
        </w:rPr>
      </w:pPr>
      <w:r w:rsidRPr="00D6779F">
        <w:rPr>
          <w:rFonts w:cstheme="minorHAnsi"/>
          <w:sz w:val="20"/>
          <w:szCs w:val="20"/>
        </w:rPr>
        <w:t xml:space="preserve">The Leopardstown Club Ltd </w:t>
      </w:r>
    </w:p>
    <w:p w14:paraId="45F2CC7F" w14:textId="77777777" w:rsidR="0067750F" w:rsidRPr="00D6779F" w:rsidRDefault="0067750F" w:rsidP="0067750F">
      <w:pPr>
        <w:pStyle w:val="ListParagraph"/>
        <w:numPr>
          <w:ilvl w:val="0"/>
          <w:numId w:val="8"/>
        </w:numPr>
        <w:jc w:val="both"/>
        <w:rPr>
          <w:rFonts w:cstheme="minorHAnsi"/>
          <w:sz w:val="20"/>
          <w:szCs w:val="20"/>
        </w:rPr>
      </w:pPr>
      <w:r w:rsidRPr="00D6779F">
        <w:rPr>
          <w:rFonts w:cstheme="minorHAnsi"/>
          <w:sz w:val="20"/>
          <w:szCs w:val="20"/>
        </w:rPr>
        <w:t>Fairyhouse Club Ltd</w:t>
      </w:r>
    </w:p>
    <w:p w14:paraId="0E9BEC25" w14:textId="77777777" w:rsidR="0067750F" w:rsidRPr="00D6779F" w:rsidRDefault="0067750F" w:rsidP="0067750F">
      <w:pPr>
        <w:pStyle w:val="ListParagraph"/>
        <w:numPr>
          <w:ilvl w:val="0"/>
          <w:numId w:val="8"/>
        </w:numPr>
        <w:jc w:val="both"/>
        <w:rPr>
          <w:rFonts w:cstheme="minorHAnsi"/>
          <w:sz w:val="20"/>
          <w:szCs w:val="20"/>
        </w:rPr>
      </w:pPr>
      <w:r w:rsidRPr="00D6779F">
        <w:rPr>
          <w:rFonts w:cstheme="minorHAnsi"/>
          <w:sz w:val="20"/>
          <w:szCs w:val="20"/>
        </w:rPr>
        <w:t>The Tipperary Race Company PLC</w:t>
      </w:r>
    </w:p>
    <w:p w14:paraId="0EBF1046" w14:textId="77777777" w:rsidR="0067750F" w:rsidRPr="00D6779F" w:rsidRDefault="0067750F" w:rsidP="0067750F">
      <w:pPr>
        <w:pStyle w:val="ListParagraph"/>
        <w:numPr>
          <w:ilvl w:val="0"/>
          <w:numId w:val="8"/>
        </w:numPr>
        <w:jc w:val="both"/>
        <w:rPr>
          <w:rFonts w:cstheme="minorHAnsi"/>
          <w:sz w:val="20"/>
          <w:szCs w:val="20"/>
        </w:rPr>
      </w:pPr>
      <w:r w:rsidRPr="00D6779F">
        <w:rPr>
          <w:rFonts w:cstheme="minorHAnsi"/>
          <w:sz w:val="20"/>
          <w:szCs w:val="20"/>
        </w:rPr>
        <w:t>Navan Races Ltd</w:t>
      </w:r>
    </w:p>
    <w:p w14:paraId="52E0162F" w14:textId="77777777" w:rsidR="0067750F" w:rsidRPr="00D6779F" w:rsidRDefault="0067750F" w:rsidP="0067750F">
      <w:pPr>
        <w:pStyle w:val="ListParagraph"/>
        <w:numPr>
          <w:ilvl w:val="0"/>
          <w:numId w:val="8"/>
        </w:numPr>
        <w:jc w:val="both"/>
        <w:rPr>
          <w:rFonts w:cstheme="minorHAnsi"/>
          <w:sz w:val="20"/>
          <w:szCs w:val="20"/>
        </w:rPr>
      </w:pPr>
      <w:r w:rsidRPr="00D6779F">
        <w:rPr>
          <w:rFonts w:cstheme="minorHAnsi"/>
          <w:sz w:val="20"/>
          <w:szCs w:val="20"/>
        </w:rPr>
        <w:t>Cork Racecourse Ltd</w:t>
      </w:r>
    </w:p>
    <w:p w14:paraId="79BFF139" w14:textId="77777777" w:rsidR="0067750F" w:rsidRPr="00D6779F" w:rsidRDefault="0067750F" w:rsidP="0067750F">
      <w:pPr>
        <w:pStyle w:val="ListParagraph"/>
        <w:numPr>
          <w:ilvl w:val="0"/>
          <w:numId w:val="8"/>
        </w:numPr>
        <w:jc w:val="both"/>
        <w:rPr>
          <w:rFonts w:cstheme="minorHAnsi"/>
          <w:sz w:val="20"/>
          <w:szCs w:val="20"/>
        </w:rPr>
      </w:pPr>
      <w:r w:rsidRPr="00D6779F">
        <w:rPr>
          <w:rFonts w:cstheme="minorHAnsi"/>
          <w:sz w:val="20"/>
          <w:szCs w:val="20"/>
        </w:rPr>
        <w:t>HRI Racecourses Ltd</w:t>
      </w:r>
    </w:p>
    <w:p w14:paraId="539603FA" w14:textId="77777777" w:rsidR="0067750F" w:rsidRPr="00D6779F" w:rsidRDefault="0067750F" w:rsidP="0067750F">
      <w:pPr>
        <w:pStyle w:val="ListParagraph"/>
        <w:numPr>
          <w:ilvl w:val="0"/>
          <w:numId w:val="8"/>
        </w:numPr>
        <w:jc w:val="both"/>
        <w:rPr>
          <w:rFonts w:cstheme="minorHAnsi"/>
          <w:b/>
          <w:sz w:val="20"/>
          <w:szCs w:val="20"/>
          <w:u w:val="single"/>
        </w:rPr>
      </w:pPr>
      <w:r w:rsidRPr="00D6779F">
        <w:rPr>
          <w:rFonts w:cstheme="minorHAnsi"/>
          <w:sz w:val="20"/>
          <w:szCs w:val="20"/>
        </w:rPr>
        <w:t>Tote Arena Ltd</w:t>
      </w:r>
    </w:p>
    <w:p w14:paraId="3D2379CB" w14:textId="77777777" w:rsidR="0067750F" w:rsidRPr="00D6779F" w:rsidRDefault="0067750F" w:rsidP="0067750F">
      <w:pPr>
        <w:pStyle w:val="ListParagraph"/>
        <w:numPr>
          <w:ilvl w:val="0"/>
          <w:numId w:val="8"/>
        </w:numPr>
        <w:jc w:val="both"/>
        <w:rPr>
          <w:rFonts w:cstheme="minorHAnsi"/>
          <w:b/>
          <w:sz w:val="20"/>
          <w:szCs w:val="20"/>
          <w:u w:val="single"/>
        </w:rPr>
      </w:pPr>
      <w:r w:rsidRPr="00D6779F">
        <w:rPr>
          <w:rFonts w:cstheme="minorHAnsi"/>
          <w:sz w:val="20"/>
          <w:szCs w:val="20"/>
        </w:rPr>
        <w:t>Irish Thoroughbred Marketing Ltd</w:t>
      </w:r>
    </w:p>
    <w:p w14:paraId="150430C6" w14:textId="77777777" w:rsidR="0067750F" w:rsidRPr="00D6779F" w:rsidRDefault="0067750F" w:rsidP="0067750F">
      <w:pPr>
        <w:pStyle w:val="ListParagraph"/>
        <w:numPr>
          <w:ilvl w:val="0"/>
          <w:numId w:val="8"/>
        </w:numPr>
        <w:jc w:val="both"/>
        <w:rPr>
          <w:rFonts w:cstheme="minorHAnsi"/>
          <w:b/>
          <w:sz w:val="20"/>
          <w:szCs w:val="20"/>
          <w:u w:val="single"/>
        </w:rPr>
      </w:pPr>
      <w:r w:rsidRPr="00D6779F">
        <w:rPr>
          <w:rFonts w:cstheme="minorHAnsi"/>
          <w:sz w:val="20"/>
          <w:szCs w:val="20"/>
        </w:rPr>
        <w:t>The Curragh Racecourse Ltd</w:t>
      </w:r>
    </w:p>
    <w:p w14:paraId="5CCFCF1B" w14:textId="77777777" w:rsidR="0067750F" w:rsidRPr="00D6779F" w:rsidRDefault="0067750F" w:rsidP="0067750F">
      <w:pPr>
        <w:pStyle w:val="ListParagraph"/>
        <w:numPr>
          <w:ilvl w:val="0"/>
          <w:numId w:val="8"/>
        </w:numPr>
        <w:jc w:val="both"/>
        <w:rPr>
          <w:rFonts w:cstheme="minorHAnsi"/>
          <w:b/>
          <w:sz w:val="20"/>
          <w:szCs w:val="20"/>
          <w:u w:val="single"/>
        </w:rPr>
      </w:pPr>
      <w:r w:rsidRPr="00D6779F">
        <w:rPr>
          <w:rFonts w:cstheme="minorHAnsi"/>
          <w:sz w:val="20"/>
          <w:szCs w:val="20"/>
        </w:rPr>
        <w:t>Irish Horseracing Regulatory Board</w:t>
      </w:r>
    </w:p>
    <w:p w14:paraId="2C3103BD" w14:textId="1AA4D560"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17: </w:t>
      </w:r>
    </w:p>
    <w:p w14:paraId="6F692F57" w14:textId="77777777" w:rsidR="00D909F3" w:rsidRPr="00D6779F" w:rsidRDefault="00D909F3" w:rsidP="00D909F3">
      <w:pPr>
        <w:jc w:val="both"/>
        <w:rPr>
          <w:rFonts w:cstheme="minorHAnsi"/>
          <w:sz w:val="20"/>
          <w:szCs w:val="20"/>
        </w:rPr>
      </w:pPr>
      <w:r w:rsidRPr="00D6779F">
        <w:rPr>
          <w:rFonts w:cstheme="minorHAnsi"/>
          <w:sz w:val="20"/>
          <w:szCs w:val="20"/>
        </w:rPr>
        <w:t>Section 2.1(ii) CORPORATE FINANCE STRATEGIC EVALUATION &amp; ADVICE - Section 2.1(ii) references 'development of financial plans' and 'funding models' for strategic business proposals. Please clarify:</w:t>
      </w:r>
    </w:p>
    <w:p w14:paraId="314A19F6" w14:textId="77777777" w:rsidR="00D909F3" w:rsidRPr="00D6779F" w:rsidRDefault="00D909F3" w:rsidP="00D909F3">
      <w:pPr>
        <w:jc w:val="both"/>
        <w:rPr>
          <w:rFonts w:cstheme="minorHAnsi"/>
          <w:sz w:val="20"/>
          <w:szCs w:val="20"/>
        </w:rPr>
      </w:pPr>
      <w:r w:rsidRPr="00D6779F">
        <w:rPr>
          <w:rFonts w:cstheme="minorHAnsi"/>
          <w:sz w:val="20"/>
          <w:szCs w:val="20"/>
        </w:rPr>
        <w:t>•</w:t>
      </w:r>
      <w:r w:rsidRPr="00D6779F">
        <w:rPr>
          <w:rFonts w:cstheme="minorHAnsi"/>
          <w:sz w:val="20"/>
          <w:szCs w:val="20"/>
        </w:rPr>
        <w:tab/>
        <w:t>What is the typical duration and complexity of financial models required (e.g., 3-year, 5-year, 10-year projections)?</w:t>
      </w:r>
    </w:p>
    <w:p w14:paraId="296F553C" w14:textId="3106F7C5" w:rsidR="00E43F97" w:rsidRDefault="00D909F3" w:rsidP="007A53C7">
      <w:pPr>
        <w:jc w:val="both"/>
        <w:rPr>
          <w:rFonts w:cstheme="minorHAnsi"/>
          <w:b/>
          <w:color w:val="C00000"/>
          <w:sz w:val="20"/>
          <w:szCs w:val="20"/>
          <w:u w:val="single"/>
        </w:rPr>
      </w:pPr>
      <w:r w:rsidRPr="00D6779F">
        <w:rPr>
          <w:rFonts w:cstheme="minorHAnsi"/>
          <w:sz w:val="20"/>
          <w:szCs w:val="20"/>
        </w:rPr>
        <w:t>•</w:t>
      </w:r>
      <w:r w:rsidRPr="00D6779F">
        <w:rPr>
          <w:rFonts w:cstheme="minorHAnsi"/>
          <w:sz w:val="20"/>
          <w:szCs w:val="20"/>
        </w:rPr>
        <w:tab/>
        <w:t>Are we expected to develop base case, sensitivity, and scenario analyses, or primarily base case modelling?</w:t>
      </w:r>
    </w:p>
    <w:p w14:paraId="16B105D5" w14:textId="4AA4A589" w:rsidR="00D909F3" w:rsidRPr="00D6779F" w:rsidRDefault="00D909F3" w:rsidP="007A53C7">
      <w:pPr>
        <w:jc w:val="both"/>
        <w:rPr>
          <w:rFonts w:cstheme="minorHAnsi"/>
          <w:b/>
          <w:color w:val="C00000"/>
          <w:sz w:val="20"/>
          <w:szCs w:val="20"/>
          <w:u w:val="single"/>
        </w:rPr>
      </w:pPr>
      <w:r w:rsidRPr="00D6779F">
        <w:rPr>
          <w:rFonts w:cstheme="minorHAnsi"/>
          <w:b/>
          <w:color w:val="C00000"/>
          <w:sz w:val="20"/>
          <w:szCs w:val="20"/>
          <w:u w:val="single"/>
        </w:rPr>
        <w:t>Response 17:</w:t>
      </w:r>
    </w:p>
    <w:p w14:paraId="61EDE90D" w14:textId="5C8D804A" w:rsidR="00E43F97" w:rsidRDefault="008F6668" w:rsidP="00E43F97">
      <w:pPr>
        <w:pStyle w:val="ListParagraph"/>
        <w:ind w:left="0"/>
        <w:rPr>
          <w:rFonts w:cstheme="minorHAnsi"/>
          <w:sz w:val="20"/>
          <w:szCs w:val="20"/>
        </w:rPr>
      </w:pPr>
      <w:r w:rsidRPr="00102336">
        <w:rPr>
          <w:rFonts w:cstheme="minorHAnsi"/>
          <w:sz w:val="20"/>
          <w:szCs w:val="20"/>
        </w:rPr>
        <w:t>Review of business cases</w:t>
      </w:r>
      <w:r w:rsidR="00551DBD" w:rsidRPr="00102336">
        <w:rPr>
          <w:rFonts w:cstheme="minorHAnsi"/>
          <w:sz w:val="20"/>
          <w:szCs w:val="20"/>
        </w:rPr>
        <w:t xml:space="preserve"> would be in line with the Code of Practice for the governance of State Bodies. </w:t>
      </w:r>
      <w:r w:rsidR="001F36FE" w:rsidRPr="00102336">
        <w:rPr>
          <w:rFonts w:cstheme="minorHAnsi"/>
          <w:sz w:val="20"/>
          <w:szCs w:val="20"/>
        </w:rPr>
        <w:t xml:space="preserve">The typical duration and complexity of financial models required are </w:t>
      </w:r>
      <w:r w:rsidR="00E43F97" w:rsidRPr="00102336">
        <w:rPr>
          <w:rFonts w:cstheme="minorHAnsi"/>
          <w:sz w:val="20"/>
          <w:szCs w:val="20"/>
        </w:rPr>
        <w:t xml:space="preserve">20 years, for the purposes of infrastructure guidelines and approvals. </w:t>
      </w:r>
    </w:p>
    <w:p w14:paraId="4F222B30" w14:textId="77777777" w:rsidR="00E43F97" w:rsidRDefault="00E43F97" w:rsidP="00E43F97">
      <w:pPr>
        <w:pStyle w:val="ListParagraph"/>
        <w:ind w:left="0"/>
        <w:rPr>
          <w:rFonts w:cstheme="minorHAnsi"/>
          <w:sz w:val="20"/>
          <w:szCs w:val="20"/>
        </w:rPr>
      </w:pPr>
    </w:p>
    <w:p w14:paraId="6550D060" w14:textId="4DBB07F8" w:rsidR="00E43F97" w:rsidRDefault="00E43F97" w:rsidP="00E43F97">
      <w:pPr>
        <w:pStyle w:val="ListParagraph"/>
        <w:ind w:left="0"/>
        <w:rPr>
          <w:rFonts w:cstheme="minorHAnsi"/>
          <w:sz w:val="20"/>
          <w:szCs w:val="20"/>
        </w:rPr>
      </w:pPr>
      <w:r>
        <w:rPr>
          <w:rFonts w:cstheme="minorHAnsi"/>
          <w:sz w:val="20"/>
          <w:szCs w:val="20"/>
        </w:rPr>
        <w:t xml:space="preserve">Base Case, </w:t>
      </w:r>
      <w:r w:rsidRPr="00D6779F">
        <w:rPr>
          <w:rFonts w:cstheme="minorHAnsi"/>
          <w:sz w:val="20"/>
          <w:szCs w:val="20"/>
        </w:rPr>
        <w:t>sensitivity, and scenario analyses</w:t>
      </w:r>
      <w:r>
        <w:rPr>
          <w:rFonts w:cstheme="minorHAnsi"/>
          <w:sz w:val="20"/>
          <w:szCs w:val="20"/>
        </w:rPr>
        <w:t xml:space="preserve"> would be required. </w:t>
      </w:r>
    </w:p>
    <w:p w14:paraId="20398BE1" w14:textId="77777777"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18: </w:t>
      </w:r>
    </w:p>
    <w:p w14:paraId="5AB805DC" w14:textId="77777777" w:rsidR="00D909F3" w:rsidRPr="00D6779F" w:rsidRDefault="00D909F3" w:rsidP="00D909F3">
      <w:pPr>
        <w:jc w:val="both"/>
        <w:rPr>
          <w:rFonts w:cstheme="minorHAnsi"/>
          <w:sz w:val="20"/>
          <w:szCs w:val="20"/>
        </w:rPr>
      </w:pPr>
      <w:r w:rsidRPr="00D6779F">
        <w:rPr>
          <w:rFonts w:cstheme="minorHAnsi"/>
          <w:sz w:val="20"/>
          <w:szCs w:val="20"/>
        </w:rPr>
        <w:t>Section 2.1(iv) PROCESS &amp; SYSTEMS REVIEW - Section 2.1(iv) references 'independent process and system reviews across specific areas of the business.' Could you clarify:</w:t>
      </w:r>
    </w:p>
    <w:p w14:paraId="60C5C1EE" w14:textId="11AC293B" w:rsidR="00D909F3" w:rsidRPr="00D6779F" w:rsidRDefault="00D909F3" w:rsidP="00D909F3">
      <w:pPr>
        <w:jc w:val="both"/>
        <w:rPr>
          <w:rFonts w:cstheme="minorHAnsi"/>
          <w:sz w:val="20"/>
          <w:szCs w:val="20"/>
        </w:rPr>
      </w:pPr>
      <w:r w:rsidRPr="00D6779F">
        <w:rPr>
          <w:rFonts w:cstheme="minorHAnsi"/>
          <w:sz w:val="20"/>
          <w:szCs w:val="20"/>
        </w:rPr>
        <w:lastRenderedPageBreak/>
        <w:t>•</w:t>
      </w:r>
      <w:r w:rsidRPr="00D6779F">
        <w:rPr>
          <w:rFonts w:cstheme="minorHAnsi"/>
          <w:sz w:val="20"/>
          <w:szCs w:val="20"/>
        </w:rPr>
        <w:tab/>
      </w:r>
      <w:r w:rsidR="00E43F97" w:rsidRPr="00D6779F">
        <w:rPr>
          <w:rFonts w:cstheme="minorHAnsi"/>
          <w:sz w:val="20"/>
          <w:szCs w:val="20"/>
        </w:rPr>
        <w:t>Do</w:t>
      </w:r>
      <w:r w:rsidRPr="00D6779F">
        <w:rPr>
          <w:rFonts w:cstheme="minorHAnsi"/>
          <w:sz w:val="20"/>
          <w:szCs w:val="20"/>
        </w:rPr>
        <w:t xml:space="preserve"> 'systems' refer to IT systems (e.g., ERP, finance systems, ticketing platforms), business process systems, or both?</w:t>
      </w:r>
    </w:p>
    <w:p w14:paraId="1DADAEB7" w14:textId="77777777" w:rsidR="00D909F3" w:rsidRPr="00D6779F" w:rsidRDefault="00D909F3" w:rsidP="00D909F3">
      <w:pPr>
        <w:jc w:val="both"/>
        <w:rPr>
          <w:rFonts w:cstheme="minorHAnsi"/>
          <w:sz w:val="20"/>
          <w:szCs w:val="20"/>
        </w:rPr>
      </w:pPr>
      <w:r w:rsidRPr="00D6779F">
        <w:rPr>
          <w:rFonts w:cstheme="minorHAnsi"/>
          <w:sz w:val="20"/>
          <w:szCs w:val="20"/>
        </w:rPr>
        <w:t>•</w:t>
      </w:r>
      <w:r w:rsidRPr="00D6779F">
        <w:rPr>
          <w:rFonts w:cstheme="minorHAnsi"/>
          <w:sz w:val="20"/>
          <w:szCs w:val="20"/>
        </w:rPr>
        <w:tab/>
        <w:t>Are we expected to conduct technical IT assessments, or focus on process optimisation and workflow design?</w:t>
      </w:r>
    </w:p>
    <w:p w14:paraId="2B14617F" w14:textId="77777777" w:rsidR="00D909F3" w:rsidRPr="00D6779F" w:rsidRDefault="00D909F3" w:rsidP="00D909F3">
      <w:pPr>
        <w:jc w:val="both"/>
        <w:rPr>
          <w:rFonts w:cstheme="minorHAnsi"/>
          <w:sz w:val="20"/>
          <w:szCs w:val="20"/>
        </w:rPr>
      </w:pPr>
      <w:r w:rsidRPr="00D6779F">
        <w:rPr>
          <w:rFonts w:cstheme="minorHAnsi"/>
          <w:sz w:val="20"/>
          <w:szCs w:val="20"/>
        </w:rPr>
        <w:t>•</w:t>
      </w:r>
      <w:r w:rsidRPr="00D6779F">
        <w:rPr>
          <w:rFonts w:cstheme="minorHAnsi"/>
          <w:sz w:val="20"/>
          <w:szCs w:val="20"/>
        </w:rPr>
        <w:tab/>
        <w:t>What is the typical scope? (e.g., single department, cross-functional end-to-end processes, enterprise-wide reviews)?</w:t>
      </w:r>
    </w:p>
    <w:p w14:paraId="47ED15C2"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18:</w:t>
      </w:r>
    </w:p>
    <w:p w14:paraId="6D689E66" w14:textId="3AE5A52B" w:rsidR="00D909F3" w:rsidRPr="00D6779F" w:rsidRDefault="002159FC" w:rsidP="00D909F3">
      <w:pPr>
        <w:rPr>
          <w:rFonts w:cstheme="minorHAnsi"/>
          <w:sz w:val="20"/>
          <w:szCs w:val="20"/>
        </w:rPr>
      </w:pPr>
      <w:r w:rsidRPr="00D6779F">
        <w:rPr>
          <w:rFonts w:cstheme="minorHAnsi"/>
          <w:sz w:val="20"/>
          <w:szCs w:val="20"/>
        </w:rPr>
        <w:t xml:space="preserve">Refer to response 10. </w:t>
      </w:r>
    </w:p>
    <w:p w14:paraId="6191909C" w14:textId="2B05C6E0"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19: </w:t>
      </w:r>
    </w:p>
    <w:p w14:paraId="28659DB2" w14:textId="77777777" w:rsidR="00D909F3" w:rsidRPr="00D6779F" w:rsidRDefault="00D909F3" w:rsidP="00D909F3">
      <w:pPr>
        <w:jc w:val="both"/>
        <w:rPr>
          <w:rFonts w:cstheme="minorHAnsi"/>
          <w:sz w:val="20"/>
          <w:szCs w:val="20"/>
        </w:rPr>
      </w:pPr>
      <w:r w:rsidRPr="00D6779F">
        <w:rPr>
          <w:rFonts w:cstheme="minorHAnsi"/>
          <w:sz w:val="20"/>
          <w:szCs w:val="20"/>
        </w:rPr>
        <w:t>Section 2.1(vii) RISK &amp; AUDIT EFFECTIVENESS REVIEWS – Section 2.1(vii) references 'internal audit activity effectiveness reviews.' Could you provide:</w:t>
      </w:r>
    </w:p>
    <w:p w14:paraId="5D5F7427" w14:textId="77777777" w:rsidR="00D909F3" w:rsidRPr="00D6779F" w:rsidRDefault="00D909F3" w:rsidP="00D909F3">
      <w:pPr>
        <w:jc w:val="both"/>
        <w:rPr>
          <w:rFonts w:cstheme="minorHAnsi"/>
          <w:sz w:val="20"/>
          <w:szCs w:val="20"/>
        </w:rPr>
      </w:pPr>
      <w:r w:rsidRPr="00D6779F">
        <w:rPr>
          <w:rFonts w:cstheme="minorHAnsi"/>
          <w:sz w:val="20"/>
          <w:szCs w:val="20"/>
        </w:rPr>
        <w:t>•</w:t>
      </w:r>
      <w:r w:rsidRPr="00D6779F">
        <w:rPr>
          <w:rFonts w:cstheme="minorHAnsi"/>
          <w:sz w:val="20"/>
          <w:szCs w:val="20"/>
        </w:rPr>
        <w:tab/>
        <w:t>Does HRI have an in-house Internal Audit function, or is it outsourced?</w:t>
      </w:r>
    </w:p>
    <w:p w14:paraId="31F7E8BE" w14:textId="77777777" w:rsidR="00D909F3" w:rsidRPr="00D6779F" w:rsidRDefault="00D909F3" w:rsidP="00D909F3">
      <w:pPr>
        <w:jc w:val="both"/>
        <w:rPr>
          <w:rFonts w:cstheme="minorHAnsi"/>
          <w:sz w:val="20"/>
          <w:szCs w:val="20"/>
        </w:rPr>
      </w:pPr>
      <w:r w:rsidRPr="00D6779F">
        <w:rPr>
          <w:rFonts w:cstheme="minorHAnsi"/>
          <w:sz w:val="20"/>
          <w:szCs w:val="20"/>
        </w:rPr>
        <w:t>•</w:t>
      </w:r>
      <w:r w:rsidRPr="00D6779F">
        <w:rPr>
          <w:rFonts w:cstheme="minorHAnsi"/>
          <w:sz w:val="20"/>
          <w:szCs w:val="20"/>
        </w:rPr>
        <w:tab/>
        <w:t>What is the scope of Internal Audit's mandate? (e.g., financial controls, operational efficiency, compliance, IT security)?</w:t>
      </w:r>
    </w:p>
    <w:p w14:paraId="0EA87C12"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19:</w:t>
      </w:r>
    </w:p>
    <w:p w14:paraId="70AC771B" w14:textId="752331D6" w:rsidR="00D909F3" w:rsidRPr="00D6779F" w:rsidRDefault="00B43674" w:rsidP="00D909F3">
      <w:pPr>
        <w:rPr>
          <w:rFonts w:cstheme="minorHAnsi"/>
          <w:sz w:val="20"/>
          <w:szCs w:val="20"/>
        </w:rPr>
      </w:pPr>
      <w:r w:rsidRPr="00D6779F">
        <w:rPr>
          <w:rFonts w:cstheme="minorHAnsi"/>
          <w:sz w:val="20"/>
          <w:szCs w:val="20"/>
        </w:rPr>
        <w:t xml:space="preserve">The internal audit function is outsourced.  The mandate of Internal Audit is set </w:t>
      </w:r>
      <w:r w:rsidR="000F4CAA" w:rsidRPr="00D6779F">
        <w:rPr>
          <w:rFonts w:cstheme="minorHAnsi"/>
          <w:sz w:val="20"/>
          <w:szCs w:val="20"/>
        </w:rPr>
        <w:t>on an annual basis by the A</w:t>
      </w:r>
      <w:r w:rsidR="00E43F97">
        <w:rPr>
          <w:rFonts w:cstheme="minorHAnsi"/>
          <w:sz w:val="20"/>
          <w:szCs w:val="20"/>
        </w:rPr>
        <w:t>udit &amp; Risk Committee.</w:t>
      </w:r>
      <w:r w:rsidR="000F4CAA" w:rsidRPr="00D6779F">
        <w:rPr>
          <w:rFonts w:cstheme="minorHAnsi"/>
          <w:sz w:val="20"/>
          <w:szCs w:val="20"/>
        </w:rPr>
        <w:t xml:space="preserve">  The scope includes</w:t>
      </w:r>
      <w:r w:rsidR="00AA6246" w:rsidRPr="00D6779F">
        <w:rPr>
          <w:rFonts w:cstheme="minorHAnsi"/>
          <w:sz w:val="20"/>
          <w:szCs w:val="20"/>
        </w:rPr>
        <w:t xml:space="preserve"> the following but not limited to:</w:t>
      </w:r>
    </w:p>
    <w:p w14:paraId="3EE9C18D" w14:textId="623BDD4B" w:rsidR="00AA6246" w:rsidRPr="00D6779F" w:rsidRDefault="00AA6246" w:rsidP="00AA6246">
      <w:pPr>
        <w:pStyle w:val="ListParagraph"/>
        <w:numPr>
          <w:ilvl w:val="0"/>
          <w:numId w:val="9"/>
        </w:numPr>
        <w:jc w:val="both"/>
        <w:rPr>
          <w:rFonts w:cstheme="minorHAnsi"/>
          <w:sz w:val="20"/>
          <w:szCs w:val="20"/>
        </w:rPr>
      </w:pPr>
      <w:r w:rsidRPr="00D6779F">
        <w:rPr>
          <w:rFonts w:cstheme="minorHAnsi"/>
          <w:sz w:val="20"/>
          <w:szCs w:val="20"/>
        </w:rPr>
        <w:t>Conducting risk-based assurance engagements across the company</w:t>
      </w:r>
    </w:p>
    <w:p w14:paraId="28B312D2" w14:textId="2DA57E82" w:rsidR="00AA6246" w:rsidRPr="00D6779F" w:rsidRDefault="00AA6246" w:rsidP="00AA6246">
      <w:pPr>
        <w:pStyle w:val="ListParagraph"/>
        <w:numPr>
          <w:ilvl w:val="0"/>
          <w:numId w:val="9"/>
        </w:numPr>
        <w:jc w:val="both"/>
        <w:rPr>
          <w:rFonts w:cstheme="minorHAnsi"/>
          <w:sz w:val="20"/>
          <w:szCs w:val="20"/>
        </w:rPr>
      </w:pPr>
      <w:r w:rsidRPr="00D6779F">
        <w:rPr>
          <w:rFonts w:cstheme="minorHAnsi"/>
          <w:sz w:val="20"/>
          <w:szCs w:val="20"/>
        </w:rPr>
        <w:t>Providing advisory and consulting services to improve operations</w:t>
      </w:r>
    </w:p>
    <w:p w14:paraId="78E5B889" w14:textId="40F30928" w:rsidR="00AA6246" w:rsidRPr="00D6779F" w:rsidRDefault="00AA6246" w:rsidP="00AA6246">
      <w:pPr>
        <w:pStyle w:val="ListParagraph"/>
        <w:numPr>
          <w:ilvl w:val="0"/>
          <w:numId w:val="9"/>
        </w:numPr>
        <w:jc w:val="both"/>
        <w:rPr>
          <w:rFonts w:cstheme="minorHAnsi"/>
          <w:sz w:val="20"/>
          <w:szCs w:val="20"/>
        </w:rPr>
      </w:pPr>
      <w:r w:rsidRPr="00D6779F">
        <w:rPr>
          <w:rFonts w:cstheme="minorHAnsi"/>
          <w:sz w:val="20"/>
          <w:szCs w:val="20"/>
        </w:rPr>
        <w:t>Evaluating the effectiveness of internal controls, compliance, and governance processes</w:t>
      </w:r>
    </w:p>
    <w:p w14:paraId="1FE54D18" w14:textId="4A6D6FC5" w:rsidR="00AA6246" w:rsidRPr="00D6779F" w:rsidRDefault="00AA6246" w:rsidP="00AA6246">
      <w:pPr>
        <w:pStyle w:val="ListParagraph"/>
        <w:numPr>
          <w:ilvl w:val="0"/>
          <w:numId w:val="9"/>
        </w:numPr>
        <w:jc w:val="both"/>
        <w:rPr>
          <w:rFonts w:cstheme="minorHAnsi"/>
          <w:sz w:val="20"/>
          <w:szCs w:val="20"/>
        </w:rPr>
      </w:pPr>
      <w:r w:rsidRPr="00D6779F">
        <w:rPr>
          <w:rFonts w:cstheme="minorHAnsi"/>
          <w:sz w:val="20"/>
          <w:szCs w:val="20"/>
        </w:rPr>
        <w:t>Reporting findings and recommendations to senior management</w:t>
      </w:r>
      <w:r w:rsidR="00E43F97">
        <w:rPr>
          <w:rFonts w:cstheme="minorHAnsi"/>
          <w:sz w:val="20"/>
          <w:szCs w:val="20"/>
        </w:rPr>
        <w:t>, the Audit &amp; Risk Committee</w:t>
      </w:r>
      <w:r w:rsidRPr="00D6779F">
        <w:rPr>
          <w:rFonts w:cstheme="minorHAnsi"/>
          <w:sz w:val="20"/>
          <w:szCs w:val="20"/>
        </w:rPr>
        <w:t xml:space="preserve"> and the board</w:t>
      </w:r>
    </w:p>
    <w:p w14:paraId="23624C55" w14:textId="77777777"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 xml:space="preserve">Query 20: </w:t>
      </w:r>
    </w:p>
    <w:p w14:paraId="0D1726BC" w14:textId="77777777" w:rsidR="00D909F3" w:rsidRPr="00D6779F" w:rsidRDefault="00D909F3" w:rsidP="00D909F3">
      <w:pPr>
        <w:jc w:val="both"/>
        <w:rPr>
          <w:rFonts w:cstheme="minorHAnsi"/>
          <w:sz w:val="20"/>
          <w:szCs w:val="20"/>
        </w:rPr>
      </w:pPr>
      <w:r w:rsidRPr="00D6779F">
        <w:rPr>
          <w:rFonts w:cstheme="minorHAnsi"/>
          <w:sz w:val="20"/>
          <w:szCs w:val="20"/>
        </w:rPr>
        <w:t>Section 2.1(viii) HUMAN CAPITAL ADVISORY – Section 2.1(viii) lists 'human capital advisory services' as an example of 'Other Management Services.' Could you clarify what specific human capital areas HRI is looking to address? For example:</w:t>
      </w:r>
    </w:p>
    <w:p w14:paraId="4C35A335" w14:textId="77777777" w:rsidR="00D909F3" w:rsidRPr="00D6779F" w:rsidRDefault="00D909F3" w:rsidP="00D909F3">
      <w:pPr>
        <w:jc w:val="both"/>
        <w:rPr>
          <w:rFonts w:cstheme="minorHAnsi"/>
          <w:sz w:val="20"/>
          <w:szCs w:val="20"/>
        </w:rPr>
      </w:pPr>
      <w:r w:rsidRPr="00D6779F">
        <w:rPr>
          <w:rFonts w:cstheme="minorHAnsi"/>
          <w:sz w:val="20"/>
          <w:szCs w:val="20"/>
        </w:rPr>
        <w:t>•</w:t>
      </w:r>
      <w:r w:rsidRPr="00D6779F">
        <w:rPr>
          <w:rFonts w:cstheme="minorHAnsi"/>
          <w:sz w:val="20"/>
          <w:szCs w:val="20"/>
        </w:rPr>
        <w:tab/>
        <w:t>Organisational design and restructuring / Talent acquisition, retention, or succession planning / Compensation and benefits benchmarking or strategy? / Learning and development or capability building? / Change management or employee engagement?</w:t>
      </w:r>
    </w:p>
    <w:p w14:paraId="40C308D6"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20:</w:t>
      </w:r>
    </w:p>
    <w:p w14:paraId="1536D8C1" w14:textId="46B32BC2" w:rsidR="00D909F3" w:rsidRPr="00D6779F" w:rsidRDefault="00B66224" w:rsidP="00D909F3">
      <w:pPr>
        <w:rPr>
          <w:rFonts w:cstheme="minorHAnsi"/>
          <w:sz w:val="20"/>
          <w:szCs w:val="20"/>
        </w:rPr>
      </w:pPr>
      <w:r w:rsidRPr="00D6779F">
        <w:rPr>
          <w:rFonts w:cstheme="minorHAnsi"/>
          <w:sz w:val="20"/>
          <w:szCs w:val="20"/>
        </w:rPr>
        <w:t xml:space="preserve">The Human Capital Advisory </w:t>
      </w:r>
      <w:r w:rsidR="00E43F97">
        <w:rPr>
          <w:rFonts w:cstheme="minorHAnsi"/>
          <w:sz w:val="20"/>
          <w:szCs w:val="20"/>
        </w:rPr>
        <w:t>may</w:t>
      </w:r>
      <w:r w:rsidRPr="00D6779F">
        <w:rPr>
          <w:rFonts w:cstheme="minorHAnsi"/>
          <w:sz w:val="20"/>
          <w:szCs w:val="20"/>
        </w:rPr>
        <w:t xml:space="preserve"> focus on </w:t>
      </w:r>
      <w:r w:rsidR="001967A7" w:rsidRPr="00D6779F">
        <w:rPr>
          <w:rFonts w:cstheme="minorHAnsi"/>
          <w:sz w:val="20"/>
          <w:szCs w:val="20"/>
        </w:rPr>
        <w:t>but not limited to:</w:t>
      </w:r>
    </w:p>
    <w:p w14:paraId="71F260D4" w14:textId="1C7C723F" w:rsidR="00E43F97" w:rsidRDefault="00E43F97" w:rsidP="000F6635">
      <w:pPr>
        <w:pStyle w:val="ListParagraph"/>
        <w:numPr>
          <w:ilvl w:val="0"/>
          <w:numId w:val="9"/>
        </w:numPr>
        <w:jc w:val="both"/>
        <w:rPr>
          <w:rFonts w:cstheme="minorHAnsi"/>
          <w:sz w:val="20"/>
          <w:szCs w:val="20"/>
        </w:rPr>
      </w:pPr>
      <w:r w:rsidRPr="00D6779F">
        <w:rPr>
          <w:rFonts w:cstheme="minorHAnsi"/>
          <w:sz w:val="20"/>
          <w:szCs w:val="20"/>
        </w:rPr>
        <w:t>Organisational design and restructuring</w:t>
      </w:r>
    </w:p>
    <w:p w14:paraId="014D753F" w14:textId="133BA33F" w:rsidR="000F6635" w:rsidRPr="00D6779F" w:rsidRDefault="000F6635" w:rsidP="000F6635">
      <w:pPr>
        <w:pStyle w:val="ListParagraph"/>
        <w:numPr>
          <w:ilvl w:val="0"/>
          <w:numId w:val="9"/>
        </w:numPr>
        <w:jc w:val="both"/>
        <w:rPr>
          <w:rFonts w:cstheme="minorHAnsi"/>
          <w:sz w:val="20"/>
          <w:szCs w:val="20"/>
        </w:rPr>
      </w:pPr>
      <w:r w:rsidRPr="00D6779F">
        <w:rPr>
          <w:rFonts w:cstheme="minorHAnsi"/>
          <w:sz w:val="20"/>
          <w:szCs w:val="20"/>
        </w:rPr>
        <w:t>Talent strategy </w:t>
      </w:r>
    </w:p>
    <w:p w14:paraId="13979C39" w14:textId="3EFD3D46" w:rsidR="000F6635" w:rsidRPr="00D6779F" w:rsidRDefault="000F6635" w:rsidP="000F6635">
      <w:pPr>
        <w:pStyle w:val="ListParagraph"/>
        <w:numPr>
          <w:ilvl w:val="0"/>
          <w:numId w:val="9"/>
        </w:numPr>
        <w:jc w:val="both"/>
        <w:rPr>
          <w:rFonts w:cstheme="minorHAnsi"/>
          <w:sz w:val="20"/>
          <w:szCs w:val="20"/>
        </w:rPr>
      </w:pPr>
      <w:r w:rsidRPr="00D6779F">
        <w:rPr>
          <w:rFonts w:cstheme="minorHAnsi"/>
          <w:sz w:val="20"/>
          <w:szCs w:val="20"/>
        </w:rPr>
        <w:t xml:space="preserve">Workforce planning  </w:t>
      </w:r>
    </w:p>
    <w:p w14:paraId="50CFA0BC" w14:textId="65A65805" w:rsidR="000F6635" w:rsidRPr="00D6779F" w:rsidRDefault="000F6635" w:rsidP="000F6635">
      <w:pPr>
        <w:pStyle w:val="ListParagraph"/>
        <w:numPr>
          <w:ilvl w:val="0"/>
          <w:numId w:val="9"/>
        </w:numPr>
        <w:jc w:val="both"/>
        <w:rPr>
          <w:rFonts w:cstheme="minorHAnsi"/>
          <w:sz w:val="20"/>
          <w:szCs w:val="20"/>
        </w:rPr>
      </w:pPr>
      <w:r w:rsidRPr="00D6779F">
        <w:rPr>
          <w:rFonts w:cstheme="minorHAnsi"/>
          <w:sz w:val="20"/>
          <w:szCs w:val="20"/>
        </w:rPr>
        <w:t>Leadership and skills development </w:t>
      </w:r>
    </w:p>
    <w:p w14:paraId="485621DD" w14:textId="675C52A9" w:rsidR="000F6635" w:rsidRPr="00D6779F" w:rsidRDefault="000F6635" w:rsidP="000F6635">
      <w:pPr>
        <w:pStyle w:val="ListParagraph"/>
        <w:numPr>
          <w:ilvl w:val="0"/>
          <w:numId w:val="9"/>
        </w:numPr>
        <w:jc w:val="both"/>
        <w:rPr>
          <w:rFonts w:cstheme="minorHAnsi"/>
          <w:sz w:val="20"/>
          <w:szCs w:val="20"/>
        </w:rPr>
      </w:pPr>
      <w:r w:rsidRPr="00D6779F">
        <w:rPr>
          <w:rFonts w:cstheme="minorHAnsi"/>
          <w:sz w:val="20"/>
          <w:szCs w:val="20"/>
        </w:rPr>
        <w:t xml:space="preserve">Organisational change management  </w:t>
      </w:r>
    </w:p>
    <w:p w14:paraId="742623E0" w14:textId="1EF39870"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Query 2</w:t>
      </w:r>
      <w:r w:rsidR="00E43F97">
        <w:rPr>
          <w:rFonts w:cstheme="minorHAnsi"/>
          <w:b/>
          <w:color w:val="C00000"/>
          <w:sz w:val="20"/>
          <w:szCs w:val="20"/>
          <w:u w:val="single"/>
        </w:rPr>
        <w:t>1</w:t>
      </w:r>
      <w:r w:rsidRPr="00D6779F">
        <w:rPr>
          <w:rFonts w:cstheme="minorHAnsi"/>
          <w:b/>
          <w:color w:val="C00000"/>
          <w:sz w:val="20"/>
          <w:szCs w:val="20"/>
          <w:u w:val="single"/>
        </w:rPr>
        <w:t xml:space="preserve">: </w:t>
      </w:r>
    </w:p>
    <w:p w14:paraId="763B3851" w14:textId="77777777" w:rsidR="00D909F3" w:rsidRPr="00D6779F" w:rsidRDefault="00D909F3" w:rsidP="00D909F3">
      <w:pPr>
        <w:jc w:val="both"/>
        <w:rPr>
          <w:rFonts w:cstheme="minorHAnsi"/>
          <w:sz w:val="20"/>
          <w:szCs w:val="20"/>
        </w:rPr>
      </w:pPr>
      <w:r w:rsidRPr="00D6779F">
        <w:rPr>
          <w:rFonts w:cstheme="minorHAnsi"/>
          <w:sz w:val="20"/>
          <w:szCs w:val="20"/>
        </w:rPr>
        <w:t>Section 2.1 (v) ESG – The tender mentions advice and guidance potentially being required in the implementation of a sustainability reporting framework. Is an updated version of HRI's Sustainability Strategy of 2024 also anticipated in the period of the framework agreement?</w:t>
      </w:r>
    </w:p>
    <w:p w14:paraId="58EC63A6" w14:textId="7777777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lastRenderedPageBreak/>
        <w:t>Response 21:</w:t>
      </w:r>
    </w:p>
    <w:p w14:paraId="7FB7CA9E" w14:textId="06773A53" w:rsidR="00D909F3" w:rsidRPr="00D6779F" w:rsidRDefault="007A0FE7" w:rsidP="00D909F3">
      <w:pPr>
        <w:rPr>
          <w:rFonts w:cstheme="minorHAnsi"/>
          <w:sz w:val="20"/>
          <w:szCs w:val="20"/>
        </w:rPr>
      </w:pPr>
      <w:r w:rsidRPr="00D6779F">
        <w:rPr>
          <w:rFonts w:cstheme="minorHAnsi"/>
          <w:sz w:val="20"/>
          <w:szCs w:val="20"/>
        </w:rPr>
        <w:t xml:space="preserve">Yes, it is expected that an updated version of the Sustainability Strategy will fall within scope of this framework agreement.  </w:t>
      </w:r>
    </w:p>
    <w:p w14:paraId="296D5556" w14:textId="77777777" w:rsidR="00E43F97" w:rsidRDefault="00E43F97" w:rsidP="00D909F3">
      <w:pPr>
        <w:rPr>
          <w:rFonts w:cstheme="minorHAnsi"/>
          <w:b/>
          <w:color w:val="C00000"/>
          <w:sz w:val="20"/>
          <w:szCs w:val="20"/>
          <w:u w:val="single"/>
        </w:rPr>
      </w:pPr>
    </w:p>
    <w:p w14:paraId="48E4FE24" w14:textId="022BBE5C"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Query 2</w:t>
      </w:r>
      <w:r w:rsidR="00E43F97">
        <w:rPr>
          <w:rFonts w:cstheme="minorHAnsi"/>
          <w:b/>
          <w:color w:val="C00000"/>
          <w:sz w:val="20"/>
          <w:szCs w:val="20"/>
          <w:u w:val="single"/>
        </w:rPr>
        <w:t>2</w:t>
      </w:r>
      <w:r w:rsidRPr="00D6779F">
        <w:rPr>
          <w:rFonts w:cstheme="minorHAnsi"/>
          <w:b/>
          <w:color w:val="C00000"/>
          <w:sz w:val="20"/>
          <w:szCs w:val="20"/>
          <w:u w:val="single"/>
        </w:rPr>
        <w:t xml:space="preserve">: </w:t>
      </w:r>
    </w:p>
    <w:p w14:paraId="13F696E7" w14:textId="77777777" w:rsidR="00D909F3" w:rsidRPr="00D6779F" w:rsidRDefault="00D909F3" w:rsidP="00D909F3">
      <w:pPr>
        <w:jc w:val="both"/>
        <w:rPr>
          <w:rFonts w:cstheme="minorHAnsi"/>
          <w:sz w:val="20"/>
          <w:szCs w:val="20"/>
        </w:rPr>
      </w:pPr>
      <w:r w:rsidRPr="00D6779F">
        <w:rPr>
          <w:rFonts w:cstheme="minorHAnsi"/>
          <w:sz w:val="20"/>
          <w:szCs w:val="20"/>
        </w:rPr>
        <w:t>Section 2.1 (iii) INDUSTRY SOCIAL AND ECONOMIC IMPACT REVIEW – Social and Economic Impact Review: -As for previous editions is it anticipated that the all-Ireland Review will subsequently be split so that the impact in specific regions can be reported?</w:t>
      </w:r>
    </w:p>
    <w:p w14:paraId="7607DE00" w14:textId="63326F57" w:rsidR="00D909F3" w:rsidRPr="00D6779F" w:rsidRDefault="00D909F3" w:rsidP="00D909F3">
      <w:pPr>
        <w:jc w:val="both"/>
        <w:rPr>
          <w:rFonts w:cstheme="minorHAnsi"/>
          <w:b/>
          <w:color w:val="C00000"/>
          <w:sz w:val="20"/>
          <w:szCs w:val="20"/>
          <w:u w:val="single"/>
        </w:rPr>
      </w:pPr>
      <w:r w:rsidRPr="00D6779F">
        <w:rPr>
          <w:rFonts w:cstheme="minorHAnsi"/>
          <w:b/>
          <w:color w:val="C00000"/>
          <w:sz w:val="20"/>
          <w:szCs w:val="20"/>
          <w:u w:val="single"/>
        </w:rPr>
        <w:t>Response 2</w:t>
      </w:r>
      <w:r w:rsidR="00E43F97">
        <w:rPr>
          <w:rFonts w:cstheme="minorHAnsi"/>
          <w:b/>
          <w:color w:val="C00000"/>
          <w:sz w:val="20"/>
          <w:szCs w:val="20"/>
          <w:u w:val="single"/>
        </w:rPr>
        <w:t>2</w:t>
      </w:r>
      <w:r w:rsidRPr="00D6779F">
        <w:rPr>
          <w:rFonts w:cstheme="minorHAnsi"/>
          <w:b/>
          <w:color w:val="C00000"/>
          <w:sz w:val="20"/>
          <w:szCs w:val="20"/>
          <w:u w:val="single"/>
        </w:rPr>
        <w:t>:</w:t>
      </w:r>
    </w:p>
    <w:p w14:paraId="26DCAE26" w14:textId="719E26D1" w:rsidR="00D909F3" w:rsidRPr="00D6779F" w:rsidRDefault="007971FB" w:rsidP="00D909F3">
      <w:pPr>
        <w:rPr>
          <w:rFonts w:cstheme="minorHAnsi"/>
          <w:sz w:val="20"/>
          <w:szCs w:val="20"/>
        </w:rPr>
      </w:pPr>
      <w:r w:rsidRPr="00D6779F">
        <w:rPr>
          <w:rFonts w:cstheme="minorHAnsi"/>
          <w:sz w:val="20"/>
          <w:szCs w:val="20"/>
        </w:rPr>
        <w:t xml:space="preserve">Yes, that is the expectation. </w:t>
      </w:r>
    </w:p>
    <w:p w14:paraId="7B119CED" w14:textId="20E644FC" w:rsidR="00D909F3" w:rsidRPr="00D6779F" w:rsidRDefault="00D909F3" w:rsidP="00D909F3">
      <w:pPr>
        <w:rPr>
          <w:rFonts w:cstheme="minorHAnsi"/>
          <w:b/>
          <w:color w:val="C00000"/>
          <w:sz w:val="20"/>
          <w:szCs w:val="20"/>
          <w:u w:val="single"/>
        </w:rPr>
      </w:pPr>
      <w:r w:rsidRPr="00D6779F">
        <w:rPr>
          <w:rFonts w:cstheme="minorHAnsi"/>
          <w:b/>
          <w:color w:val="C00000"/>
          <w:sz w:val="20"/>
          <w:szCs w:val="20"/>
          <w:u w:val="single"/>
        </w:rPr>
        <w:t>Query 2</w:t>
      </w:r>
      <w:r w:rsidR="00E43F97">
        <w:rPr>
          <w:rFonts w:cstheme="minorHAnsi"/>
          <w:b/>
          <w:color w:val="C00000"/>
          <w:sz w:val="20"/>
          <w:szCs w:val="20"/>
          <w:u w:val="single"/>
        </w:rPr>
        <w:t>3</w:t>
      </w:r>
      <w:r w:rsidRPr="00D6779F">
        <w:rPr>
          <w:rFonts w:cstheme="minorHAnsi"/>
          <w:b/>
          <w:color w:val="C00000"/>
          <w:sz w:val="20"/>
          <w:szCs w:val="20"/>
          <w:u w:val="single"/>
        </w:rPr>
        <w:t xml:space="preserve">: </w:t>
      </w:r>
    </w:p>
    <w:p w14:paraId="6DBE27FB" w14:textId="77777777" w:rsidR="00D909F3" w:rsidRPr="00D6779F" w:rsidRDefault="00D909F3" w:rsidP="00D909F3">
      <w:pPr>
        <w:jc w:val="both"/>
        <w:rPr>
          <w:rFonts w:cstheme="minorHAnsi"/>
          <w:sz w:val="20"/>
          <w:szCs w:val="20"/>
        </w:rPr>
      </w:pPr>
      <w:r w:rsidRPr="00D6779F">
        <w:rPr>
          <w:rFonts w:cstheme="minorHAnsi"/>
          <w:sz w:val="20"/>
          <w:szCs w:val="20"/>
        </w:rPr>
        <w:t xml:space="preserve">Section 2.1 (viii) Other Management Services – </w:t>
      </w:r>
    </w:p>
    <w:p w14:paraId="23BC688B" w14:textId="77777777" w:rsidR="00D909F3" w:rsidRPr="00D6779F" w:rsidRDefault="00D909F3" w:rsidP="00D909F3">
      <w:pPr>
        <w:rPr>
          <w:rFonts w:cstheme="minorHAnsi"/>
          <w:sz w:val="20"/>
          <w:szCs w:val="20"/>
        </w:rPr>
      </w:pPr>
      <w:r w:rsidRPr="00D6779F">
        <w:rPr>
          <w:rFonts w:cstheme="minorHAnsi"/>
          <w:sz w:val="20"/>
          <w:szCs w:val="20"/>
        </w:rPr>
        <w:t>•</w:t>
      </w:r>
      <w:r w:rsidRPr="00D6779F">
        <w:rPr>
          <w:rFonts w:cstheme="minorHAnsi"/>
          <w:sz w:val="20"/>
          <w:szCs w:val="20"/>
        </w:rPr>
        <w:tab/>
        <w:t>We note share schemes are mentioned in section 2.1(iv) of the tender document. Can further detail be provided on the type of share schemes that HRI may have an interest in?</w:t>
      </w:r>
    </w:p>
    <w:p w14:paraId="0E036E79" w14:textId="77777777" w:rsidR="00D909F3" w:rsidRPr="00D6779F" w:rsidRDefault="00D909F3" w:rsidP="00D909F3">
      <w:pPr>
        <w:rPr>
          <w:rFonts w:cstheme="minorHAnsi"/>
          <w:sz w:val="20"/>
          <w:szCs w:val="20"/>
        </w:rPr>
      </w:pPr>
      <w:r w:rsidRPr="00D6779F">
        <w:rPr>
          <w:rFonts w:cstheme="minorHAnsi"/>
          <w:sz w:val="20"/>
          <w:szCs w:val="20"/>
        </w:rPr>
        <w:t>•</w:t>
      </w:r>
      <w:r w:rsidRPr="00D6779F">
        <w:rPr>
          <w:rFonts w:cstheme="minorHAnsi"/>
          <w:sz w:val="20"/>
          <w:szCs w:val="20"/>
        </w:rPr>
        <w:tab/>
        <w:t>Have HRI had any recent Revenue interventions or any live matters they are dealing with Revenue on currently in relation to Employment Tax/PAYE?</w:t>
      </w:r>
    </w:p>
    <w:p w14:paraId="4BF3A0F6" w14:textId="3CF14300" w:rsidR="00F125D3" w:rsidRPr="00D6779F" w:rsidRDefault="00F125D3" w:rsidP="00F125D3">
      <w:pPr>
        <w:jc w:val="both"/>
        <w:rPr>
          <w:rFonts w:cstheme="minorHAnsi"/>
          <w:b/>
          <w:color w:val="C00000"/>
          <w:sz w:val="20"/>
          <w:szCs w:val="20"/>
          <w:u w:val="single"/>
        </w:rPr>
      </w:pPr>
      <w:r w:rsidRPr="00D6779F">
        <w:rPr>
          <w:rFonts w:cstheme="minorHAnsi"/>
          <w:b/>
          <w:color w:val="C00000"/>
          <w:sz w:val="20"/>
          <w:szCs w:val="20"/>
          <w:u w:val="single"/>
        </w:rPr>
        <w:t>Response 2</w:t>
      </w:r>
      <w:r w:rsidR="00E43F97">
        <w:rPr>
          <w:rFonts w:cstheme="minorHAnsi"/>
          <w:b/>
          <w:color w:val="C00000"/>
          <w:sz w:val="20"/>
          <w:szCs w:val="20"/>
          <w:u w:val="single"/>
        </w:rPr>
        <w:t>3</w:t>
      </w:r>
      <w:r w:rsidRPr="00D6779F">
        <w:rPr>
          <w:rFonts w:cstheme="minorHAnsi"/>
          <w:b/>
          <w:color w:val="C00000"/>
          <w:sz w:val="20"/>
          <w:szCs w:val="20"/>
          <w:u w:val="single"/>
        </w:rPr>
        <w:t>:</w:t>
      </w:r>
    </w:p>
    <w:p w14:paraId="21C3758C" w14:textId="614692E6" w:rsidR="0031570E" w:rsidRPr="00D6779F" w:rsidRDefault="001B518B" w:rsidP="0031570E">
      <w:pPr>
        <w:rPr>
          <w:rFonts w:cstheme="minorHAnsi"/>
          <w:sz w:val="20"/>
          <w:szCs w:val="20"/>
          <w:lang w:val="en-IE"/>
        </w:rPr>
      </w:pPr>
      <w:r w:rsidRPr="00D6779F">
        <w:rPr>
          <w:rFonts w:cstheme="minorHAnsi"/>
          <w:sz w:val="20"/>
          <w:szCs w:val="20"/>
          <w:lang w:val="en-IE"/>
        </w:rPr>
        <w:t>Share schemes are n</w:t>
      </w:r>
      <w:r w:rsidR="0031570E" w:rsidRPr="00D6779F">
        <w:rPr>
          <w:rFonts w:cstheme="minorHAnsi"/>
          <w:sz w:val="20"/>
          <w:szCs w:val="20"/>
          <w:lang w:val="en-IE"/>
        </w:rPr>
        <w:t>ot applicable at the current time.</w:t>
      </w:r>
    </w:p>
    <w:p w14:paraId="5539AAB4" w14:textId="0EA42D78" w:rsidR="00540AFC" w:rsidRPr="00D6779F" w:rsidRDefault="00540AFC" w:rsidP="00540AFC">
      <w:pPr>
        <w:rPr>
          <w:rFonts w:cstheme="minorHAnsi"/>
          <w:sz w:val="20"/>
          <w:szCs w:val="20"/>
          <w:lang w:val="en-IE"/>
        </w:rPr>
      </w:pPr>
      <w:r w:rsidRPr="00D6779F">
        <w:rPr>
          <w:rFonts w:cstheme="minorHAnsi"/>
          <w:sz w:val="20"/>
          <w:szCs w:val="20"/>
          <w:lang w:val="en-IE"/>
        </w:rPr>
        <w:t xml:space="preserve">There </w:t>
      </w:r>
      <w:r w:rsidR="00E43F97" w:rsidRPr="00D6779F">
        <w:rPr>
          <w:rFonts w:cstheme="minorHAnsi"/>
          <w:sz w:val="20"/>
          <w:szCs w:val="20"/>
          <w:lang w:val="en-IE"/>
        </w:rPr>
        <w:t>are</w:t>
      </w:r>
      <w:r w:rsidRPr="00D6779F">
        <w:rPr>
          <w:rFonts w:cstheme="minorHAnsi"/>
          <w:sz w:val="20"/>
          <w:szCs w:val="20"/>
          <w:lang w:val="en-IE"/>
        </w:rPr>
        <w:t xml:space="preserve"> no active or ongoing Revenue audits at present</w:t>
      </w:r>
      <w:r w:rsidR="00B01F2A" w:rsidRPr="00D6779F">
        <w:rPr>
          <w:rFonts w:cstheme="minorHAnsi"/>
          <w:sz w:val="20"/>
          <w:szCs w:val="20"/>
          <w:lang w:val="en-IE"/>
        </w:rPr>
        <w:t xml:space="preserve"> </w:t>
      </w:r>
      <w:r w:rsidR="00B01F2A" w:rsidRPr="00D6779F">
        <w:rPr>
          <w:rFonts w:cstheme="minorHAnsi"/>
          <w:sz w:val="20"/>
          <w:szCs w:val="20"/>
        </w:rPr>
        <w:t>in relation to Employment Tax/PAYE</w:t>
      </w:r>
      <w:r w:rsidRPr="00D6779F">
        <w:rPr>
          <w:rFonts w:cstheme="minorHAnsi"/>
          <w:sz w:val="20"/>
          <w:szCs w:val="20"/>
          <w:lang w:val="en-IE"/>
        </w:rPr>
        <w:t xml:space="preserve">. </w:t>
      </w:r>
    </w:p>
    <w:p w14:paraId="25B8C493" w14:textId="77777777" w:rsidR="005175BD" w:rsidRPr="00D6779F" w:rsidRDefault="005175BD" w:rsidP="00516A53">
      <w:pPr>
        <w:rPr>
          <w:rFonts w:cstheme="minorHAnsi"/>
          <w:b/>
          <w:bCs/>
          <w:sz w:val="24"/>
          <w:szCs w:val="24"/>
        </w:rPr>
      </w:pPr>
    </w:p>
    <w:p w14:paraId="278C5F27" w14:textId="79D15AA9" w:rsidR="00BF2704" w:rsidRPr="001015AD" w:rsidRDefault="00BF2704" w:rsidP="00516A53">
      <w:pPr>
        <w:rPr>
          <w:rFonts w:cstheme="minorHAnsi"/>
          <w:b/>
          <w:bCs/>
          <w:color w:val="00241A"/>
          <w:sz w:val="24"/>
          <w:szCs w:val="24"/>
          <w:shd w:val="clear" w:color="auto" w:fill="FFFFFF"/>
        </w:rPr>
      </w:pPr>
      <w:r w:rsidRPr="00D6779F">
        <w:rPr>
          <w:rFonts w:cstheme="minorHAnsi"/>
          <w:b/>
          <w:bCs/>
          <w:sz w:val="24"/>
          <w:szCs w:val="24"/>
        </w:rPr>
        <w:t>Please note that the deadline date</w:t>
      </w:r>
      <w:r w:rsidR="001015AD" w:rsidRPr="00D6779F">
        <w:rPr>
          <w:rFonts w:cstheme="minorHAnsi"/>
          <w:b/>
          <w:bCs/>
          <w:sz w:val="24"/>
          <w:szCs w:val="24"/>
        </w:rPr>
        <w:t xml:space="preserve"> and time</w:t>
      </w:r>
      <w:r w:rsidRPr="00D6779F">
        <w:rPr>
          <w:rFonts w:cstheme="minorHAnsi"/>
          <w:b/>
          <w:bCs/>
          <w:sz w:val="24"/>
          <w:szCs w:val="24"/>
        </w:rPr>
        <w:t xml:space="preserve"> for receipt of tenders </w:t>
      </w:r>
      <w:r w:rsidR="00F15113">
        <w:rPr>
          <w:rFonts w:cstheme="minorHAnsi"/>
          <w:b/>
          <w:bCs/>
          <w:sz w:val="24"/>
          <w:szCs w:val="24"/>
        </w:rPr>
        <w:t xml:space="preserve">has been extended to </w:t>
      </w:r>
      <w:r w:rsidR="008C5FF9" w:rsidRPr="00F15113">
        <w:rPr>
          <w:rFonts w:cstheme="minorHAnsi"/>
          <w:b/>
          <w:bCs/>
          <w:sz w:val="24"/>
          <w:szCs w:val="24"/>
          <w:highlight w:val="yellow"/>
        </w:rPr>
        <w:t>TUESDAY</w:t>
      </w:r>
      <w:r w:rsidR="00561C39" w:rsidRPr="00F15113">
        <w:rPr>
          <w:rFonts w:cstheme="minorHAnsi"/>
          <w:b/>
          <w:bCs/>
          <w:sz w:val="24"/>
          <w:szCs w:val="24"/>
          <w:highlight w:val="yellow"/>
        </w:rPr>
        <w:t xml:space="preserve"> 1</w:t>
      </w:r>
      <w:r w:rsidR="00F15113" w:rsidRPr="00F15113">
        <w:rPr>
          <w:rFonts w:cstheme="minorHAnsi"/>
          <w:b/>
          <w:bCs/>
          <w:sz w:val="24"/>
          <w:szCs w:val="24"/>
          <w:highlight w:val="yellow"/>
        </w:rPr>
        <w:t>8</w:t>
      </w:r>
      <w:r w:rsidR="00561C39" w:rsidRPr="00F15113">
        <w:rPr>
          <w:rFonts w:cstheme="minorHAnsi"/>
          <w:b/>
          <w:bCs/>
          <w:sz w:val="24"/>
          <w:szCs w:val="24"/>
          <w:highlight w:val="yellow"/>
          <w:vertAlign w:val="superscript"/>
        </w:rPr>
        <w:t>th</w:t>
      </w:r>
      <w:r w:rsidR="00561C39" w:rsidRPr="00F15113">
        <w:rPr>
          <w:rFonts w:cstheme="minorHAnsi"/>
          <w:b/>
          <w:bCs/>
          <w:sz w:val="24"/>
          <w:szCs w:val="24"/>
          <w:highlight w:val="yellow"/>
        </w:rPr>
        <w:t xml:space="preserve"> AUGUST 2026</w:t>
      </w:r>
      <w:r w:rsidR="00A447F8" w:rsidRPr="00F15113">
        <w:rPr>
          <w:rFonts w:cstheme="minorHAnsi"/>
          <w:b/>
          <w:bCs/>
          <w:sz w:val="24"/>
          <w:szCs w:val="24"/>
          <w:highlight w:val="yellow"/>
        </w:rPr>
        <w:t xml:space="preserve"> at</w:t>
      </w:r>
      <w:r w:rsidR="001015AD" w:rsidRPr="00F15113">
        <w:rPr>
          <w:rFonts w:cstheme="minorHAnsi"/>
          <w:b/>
          <w:bCs/>
          <w:sz w:val="24"/>
          <w:szCs w:val="24"/>
          <w:highlight w:val="yellow"/>
        </w:rPr>
        <w:t xml:space="preserve"> </w:t>
      </w:r>
      <w:r w:rsidR="00A447F8" w:rsidRPr="00F15113">
        <w:rPr>
          <w:rFonts w:cstheme="minorHAnsi"/>
          <w:b/>
          <w:bCs/>
          <w:sz w:val="24"/>
          <w:szCs w:val="24"/>
          <w:highlight w:val="yellow"/>
        </w:rPr>
        <w:t>15.00</w:t>
      </w:r>
      <w:r w:rsidR="001015AD" w:rsidRPr="00F15113">
        <w:rPr>
          <w:rFonts w:cstheme="minorHAnsi"/>
          <w:b/>
          <w:bCs/>
          <w:sz w:val="24"/>
          <w:szCs w:val="24"/>
          <w:highlight w:val="yellow"/>
        </w:rPr>
        <w:t>.</w:t>
      </w:r>
    </w:p>
    <w:sectPr w:rsidR="00BF2704" w:rsidRPr="00101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B0E11"/>
    <w:multiLevelType w:val="hybridMultilevel"/>
    <w:tmpl w:val="B8D8BF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F2F02A8"/>
    <w:multiLevelType w:val="multilevel"/>
    <w:tmpl w:val="433CC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26618A"/>
    <w:multiLevelType w:val="multilevel"/>
    <w:tmpl w:val="D8ACE0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2B6B22"/>
    <w:multiLevelType w:val="hybridMultilevel"/>
    <w:tmpl w:val="72F81F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5845714"/>
    <w:multiLevelType w:val="multilevel"/>
    <w:tmpl w:val="705C05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8765145"/>
    <w:multiLevelType w:val="hybridMultilevel"/>
    <w:tmpl w:val="FEAA66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D6E754C"/>
    <w:multiLevelType w:val="multilevel"/>
    <w:tmpl w:val="8CC6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C50E3"/>
    <w:multiLevelType w:val="hybridMultilevel"/>
    <w:tmpl w:val="124648FE"/>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802F36"/>
    <w:multiLevelType w:val="hybridMultilevel"/>
    <w:tmpl w:val="D5ACD9D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41A92A22"/>
    <w:multiLevelType w:val="hybridMultilevel"/>
    <w:tmpl w:val="124648FE"/>
    <w:lvl w:ilvl="0" w:tplc="A1445F24">
      <w:start w:val="1"/>
      <w:numFmt w:val="lowerRoman"/>
      <w:lvlText w:val="(%1)"/>
      <w:lvlJc w:val="left"/>
      <w:pPr>
        <w:ind w:left="144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FF40155"/>
    <w:multiLevelType w:val="hybridMultilevel"/>
    <w:tmpl w:val="B42EC6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0C0166F"/>
    <w:multiLevelType w:val="multilevel"/>
    <w:tmpl w:val="9E82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66A0C"/>
    <w:multiLevelType w:val="hybridMultilevel"/>
    <w:tmpl w:val="440E5D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E2007C1"/>
    <w:multiLevelType w:val="multilevel"/>
    <w:tmpl w:val="705C05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7803693"/>
    <w:multiLevelType w:val="multilevel"/>
    <w:tmpl w:val="1B585DF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795341D9"/>
    <w:multiLevelType w:val="hybridMultilevel"/>
    <w:tmpl w:val="E91EB0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724904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7831820">
    <w:abstractNumId w:val="1"/>
    <w:lvlOverride w:ilvl="0">
      <w:lvl w:ilvl="0">
        <w:numFmt w:val="bullet"/>
        <w:lvlText w:val=""/>
        <w:lvlJc w:val="left"/>
        <w:pPr>
          <w:tabs>
            <w:tab w:val="num" w:pos="720"/>
          </w:tabs>
          <w:ind w:left="720" w:hanging="360"/>
        </w:pPr>
        <w:rPr>
          <w:rFonts w:ascii="Symbol" w:hAnsi="Symbol" w:hint="default"/>
          <w:sz w:val="20"/>
        </w:rPr>
      </w:lvl>
    </w:lvlOverride>
  </w:num>
  <w:num w:numId="3" w16cid:durableId="1037436712">
    <w:abstractNumId w:val="2"/>
  </w:num>
  <w:num w:numId="4" w16cid:durableId="1567649006">
    <w:abstractNumId w:val="5"/>
  </w:num>
  <w:num w:numId="5" w16cid:durableId="397050">
    <w:abstractNumId w:val="9"/>
  </w:num>
  <w:num w:numId="6" w16cid:durableId="855122759">
    <w:abstractNumId w:val="0"/>
  </w:num>
  <w:num w:numId="7" w16cid:durableId="1570382295">
    <w:abstractNumId w:val="7"/>
  </w:num>
  <w:num w:numId="8" w16cid:durableId="1687713068">
    <w:abstractNumId w:val="12"/>
  </w:num>
  <w:num w:numId="9" w16cid:durableId="185220222">
    <w:abstractNumId w:val="15"/>
  </w:num>
  <w:num w:numId="10" w16cid:durableId="1535729765">
    <w:abstractNumId w:val="11"/>
  </w:num>
  <w:num w:numId="11" w16cid:durableId="45495602">
    <w:abstractNumId w:val="6"/>
  </w:num>
  <w:num w:numId="12" w16cid:durableId="1502964041">
    <w:abstractNumId w:val="4"/>
  </w:num>
  <w:num w:numId="13" w16cid:durableId="1980916822">
    <w:abstractNumId w:val="14"/>
  </w:num>
  <w:num w:numId="14" w16cid:durableId="1575234931">
    <w:abstractNumId w:val="10"/>
  </w:num>
  <w:num w:numId="15" w16cid:durableId="1439639999">
    <w:abstractNumId w:val="8"/>
  </w:num>
  <w:num w:numId="16" w16cid:durableId="134670619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CF"/>
    <w:rsid w:val="00002A26"/>
    <w:rsid w:val="00002EF0"/>
    <w:rsid w:val="000056FF"/>
    <w:rsid w:val="000122A4"/>
    <w:rsid w:val="000548E5"/>
    <w:rsid w:val="000745E3"/>
    <w:rsid w:val="00087F99"/>
    <w:rsid w:val="0009477C"/>
    <w:rsid w:val="000950CF"/>
    <w:rsid w:val="000A75B3"/>
    <w:rsid w:val="000D6A09"/>
    <w:rsid w:val="000F1C87"/>
    <w:rsid w:val="000F4CAA"/>
    <w:rsid w:val="000F6635"/>
    <w:rsid w:val="001015AD"/>
    <w:rsid w:val="00102336"/>
    <w:rsid w:val="0014625D"/>
    <w:rsid w:val="00193BAF"/>
    <w:rsid w:val="001967A7"/>
    <w:rsid w:val="001B518B"/>
    <w:rsid w:val="001C0B59"/>
    <w:rsid w:val="001C7703"/>
    <w:rsid w:val="001F36FE"/>
    <w:rsid w:val="00206BF9"/>
    <w:rsid w:val="002159FC"/>
    <w:rsid w:val="00243E6C"/>
    <w:rsid w:val="002637A2"/>
    <w:rsid w:val="00264CB5"/>
    <w:rsid w:val="00282986"/>
    <w:rsid w:val="0029243F"/>
    <w:rsid w:val="00297997"/>
    <w:rsid w:val="002E7A88"/>
    <w:rsid w:val="0031570E"/>
    <w:rsid w:val="00352540"/>
    <w:rsid w:val="00370877"/>
    <w:rsid w:val="00386B9B"/>
    <w:rsid w:val="00387E16"/>
    <w:rsid w:val="003A37B5"/>
    <w:rsid w:val="003B13F3"/>
    <w:rsid w:val="003E6427"/>
    <w:rsid w:val="0048501D"/>
    <w:rsid w:val="004B3EBC"/>
    <w:rsid w:val="004E5EC1"/>
    <w:rsid w:val="00516A53"/>
    <w:rsid w:val="005175BD"/>
    <w:rsid w:val="005333B4"/>
    <w:rsid w:val="00535BBA"/>
    <w:rsid w:val="00540AFC"/>
    <w:rsid w:val="00551DBD"/>
    <w:rsid w:val="00561C39"/>
    <w:rsid w:val="00576C59"/>
    <w:rsid w:val="00591CC5"/>
    <w:rsid w:val="005A4ACB"/>
    <w:rsid w:val="005B2D07"/>
    <w:rsid w:val="005C3492"/>
    <w:rsid w:val="0060408C"/>
    <w:rsid w:val="00606C47"/>
    <w:rsid w:val="00635FDA"/>
    <w:rsid w:val="00672040"/>
    <w:rsid w:val="0067750F"/>
    <w:rsid w:val="0068070E"/>
    <w:rsid w:val="00685F28"/>
    <w:rsid w:val="00690D68"/>
    <w:rsid w:val="00694CA2"/>
    <w:rsid w:val="006C620C"/>
    <w:rsid w:val="006D661C"/>
    <w:rsid w:val="006D7335"/>
    <w:rsid w:val="006E100B"/>
    <w:rsid w:val="006F42E4"/>
    <w:rsid w:val="0070436F"/>
    <w:rsid w:val="00745347"/>
    <w:rsid w:val="00762632"/>
    <w:rsid w:val="0077156E"/>
    <w:rsid w:val="007758E7"/>
    <w:rsid w:val="007971FB"/>
    <w:rsid w:val="007A0FE7"/>
    <w:rsid w:val="007A10C3"/>
    <w:rsid w:val="007A53C7"/>
    <w:rsid w:val="007B23B7"/>
    <w:rsid w:val="007E07A6"/>
    <w:rsid w:val="007E25D2"/>
    <w:rsid w:val="007E7306"/>
    <w:rsid w:val="0080060D"/>
    <w:rsid w:val="008118E6"/>
    <w:rsid w:val="008C5FF9"/>
    <w:rsid w:val="008E7F16"/>
    <w:rsid w:val="008F550F"/>
    <w:rsid w:val="008F6668"/>
    <w:rsid w:val="00925070"/>
    <w:rsid w:val="00934B1F"/>
    <w:rsid w:val="00940A9B"/>
    <w:rsid w:val="0095680B"/>
    <w:rsid w:val="00996592"/>
    <w:rsid w:val="009F6F9A"/>
    <w:rsid w:val="009F7E1A"/>
    <w:rsid w:val="00A02B66"/>
    <w:rsid w:val="00A301FB"/>
    <w:rsid w:val="00A352DE"/>
    <w:rsid w:val="00A447F8"/>
    <w:rsid w:val="00A61B8A"/>
    <w:rsid w:val="00A62BAF"/>
    <w:rsid w:val="00AA6246"/>
    <w:rsid w:val="00AC60A3"/>
    <w:rsid w:val="00AD177C"/>
    <w:rsid w:val="00B01D1B"/>
    <w:rsid w:val="00B01F2A"/>
    <w:rsid w:val="00B156CA"/>
    <w:rsid w:val="00B23A6B"/>
    <w:rsid w:val="00B3025E"/>
    <w:rsid w:val="00B43674"/>
    <w:rsid w:val="00B66224"/>
    <w:rsid w:val="00B754D9"/>
    <w:rsid w:val="00BD0358"/>
    <w:rsid w:val="00BF2704"/>
    <w:rsid w:val="00C115D4"/>
    <w:rsid w:val="00C32E83"/>
    <w:rsid w:val="00C639E8"/>
    <w:rsid w:val="00C92C46"/>
    <w:rsid w:val="00C93373"/>
    <w:rsid w:val="00CF3C7E"/>
    <w:rsid w:val="00D05034"/>
    <w:rsid w:val="00D5478E"/>
    <w:rsid w:val="00D54875"/>
    <w:rsid w:val="00D6779F"/>
    <w:rsid w:val="00D80323"/>
    <w:rsid w:val="00D84169"/>
    <w:rsid w:val="00D86095"/>
    <w:rsid w:val="00D909F3"/>
    <w:rsid w:val="00D91960"/>
    <w:rsid w:val="00D929CE"/>
    <w:rsid w:val="00DB0052"/>
    <w:rsid w:val="00DB4590"/>
    <w:rsid w:val="00DB7463"/>
    <w:rsid w:val="00DF173F"/>
    <w:rsid w:val="00E43F97"/>
    <w:rsid w:val="00E67C90"/>
    <w:rsid w:val="00E70EE5"/>
    <w:rsid w:val="00E70FA8"/>
    <w:rsid w:val="00E77D5C"/>
    <w:rsid w:val="00E85E78"/>
    <w:rsid w:val="00E92E2A"/>
    <w:rsid w:val="00EA0756"/>
    <w:rsid w:val="00EB469D"/>
    <w:rsid w:val="00EC73D2"/>
    <w:rsid w:val="00ED7405"/>
    <w:rsid w:val="00EE15DB"/>
    <w:rsid w:val="00EF107F"/>
    <w:rsid w:val="00F125D3"/>
    <w:rsid w:val="00F131AB"/>
    <w:rsid w:val="00F15113"/>
    <w:rsid w:val="00F30170"/>
    <w:rsid w:val="00F35F9A"/>
    <w:rsid w:val="00F95E66"/>
    <w:rsid w:val="00FB2713"/>
    <w:rsid w:val="00FD2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091E"/>
  <w15:chartTrackingRefBased/>
  <w15:docId w15:val="{AEC113FE-B6DA-40B3-9234-918FEC17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igunore,List_TIS,l"/>
    <w:basedOn w:val="Normal"/>
    <w:link w:val="ListParagraphChar"/>
    <w:uiPriority w:val="34"/>
    <w:qFormat/>
    <w:rsid w:val="0060408C"/>
    <w:pPr>
      <w:ind w:left="720"/>
      <w:contextualSpacing/>
    </w:pPr>
  </w:style>
  <w:style w:type="table" w:styleId="TableGrid">
    <w:name w:val="Table Grid"/>
    <w:basedOn w:val="TableNormal"/>
    <w:uiPriority w:val="59"/>
    <w:rsid w:val="00087F99"/>
    <w:pPr>
      <w:spacing w:after="0" w:line="240" w:lineRule="auto"/>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basedOn w:val="DefaultParagraphFont"/>
    <w:link w:val="ListParagraph"/>
    <w:uiPriority w:val="34"/>
    <w:qFormat/>
    <w:rsid w:val="00C93373"/>
  </w:style>
  <w:style w:type="paragraph" w:styleId="NormalWeb">
    <w:name w:val="Normal (Web)"/>
    <w:basedOn w:val="Normal"/>
    <w:uiPriority w:val="99"/>
    <w:semiHidden/>
    <w:unhideWhenUsed/>
    <w:rsid w:val="00264CB5"/>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character" w:styleId="Strong">
    <w:name w:val="Strong"/>
    <w:basedOn w:val="DefaultParagraphFont"/>
    <w:uiPriority w:val="22"/>
    <w:qFormat/>
    <w:rsid w:val="00264CB5"/>
    <w:rPr>
      <w:b/>
      <w:bCs/>
    </w:rPr>
  </w:style>
  <w:style w:type="character" w:styleId="CommentReference">
    <w:name w:val="annotation reference"/>
    <w:basedOn w:val="DefaultParagraphFont"/>
    <w:uiPriority w:val="99"/>
    <w:semiHidden/>
    <w:unhideWhenUsed/>
    <w:rsid w:val="0029243F"/>
    <w:rPr>
      <w:sz w:val="16"/>
      <w:szCs w:val="16"/>
    </w:rPr>
  </w:style>
  <w:style w:type="paragraph" w:styleId="CommentText">
    <w:name w:val="annotation text"/>
    <w:basedOn w:val="Normal"/>
    <w:link w:val="CommentTextChar"/>
    <w:uiPriority w:val="99"/>
    <w:unhideWhenUsed/>
    <w:rsid w:val="0029243F"/>
    <w:pPr>
      <w:spacing w:line="240" w:lineRule="auto"/>
    </w:pPr>
    <w:rPr>
      <w:sz w:val="20"/>
      <w:szCs w:val="20"/>
    </w:rPr>
  </w:style>
  <w:style w:type="character" w:customStyle="1" w:styleId="CommentTextChar">
    <w:name w:val="Comment Text Char"/>
    <w:basedOn w:val="DefaultParagraphFont"/>
    <w:link w:val="CommentText"/>
    <w:uiPriority w:val="99"/>
    <w:rsid w:val="0029243F"/>
    <w:rPr>
      <w:sz w:val="20"/>
      <w:szCs w:val="20"/>
    </w:rPr>
  </w:style>
  <w:style w:type="paragraph" w:styleId="CommentSubject">
    <w:name w:val="annotation subject"/>
    <w:basedOn w:val="CommentText"/>
    <w:next w:val="CommentText"/>
    <w:link w:val="CommentSubjectChar"/>
    <w:uiPriority w:val="99"/>
    <w:semiHidden/>
    <w:unhideWhenUsed/>
    <w:rsid w:val="0029243F"/>
    <w:rPr>
      <w:b/>
      <w:bCs/>
    </w:rPr>
  </w:style>
  <w:style w:type="character" w:customStyle="1" w:styleId="CommentSubjectChar">
    <w:name w:val="Comment Subject Char"/>
    <w:basedOn w:val="CommentTextChar"/>
    <w:link w:val="CommentSubject"/>
    <w:uiPriority w:val="99"/>
    <w:semiHidden/>
    <w:rsid w:val="0029243F"/>
    <w:rPr>
      <w:b/>
      <w:bCs/>
      <w:sz w:val="20"/>
      <w:szCs w:val="20"/>
    </w:rPr>
  </w:style>
  <w:style w:type="character" w:styleId="Hyperlink">
    <w:name w:val="Hyperlink"/>
    <w:basedOn w:val="DefaultParagraphFont"/>
    <w:uiPriority w:val="99"/>
    <w:unhideWhenUsed/>
    <w:rsid w:val="000F6635"/>
    <w:rPr>
      <w:color w:val="0563C1" w:themeColor="hyperlink"/>
      <w:u w:val="single"/>
    </w:rPr>
  </w:style>
  <w:style w:type="character" w:styleId="UnresolvedMention">
    <w:name w:val="Unresolved Mention"/>
    <w:basedOn w:val="DefaultParagraphFont"/>
    <w:uiPriority w:val="99"/>
    <w:semiHidden/>
    <w:unhideWhenUsed/>
    <w:rsid w:val="000F6635"/>
    <w:rPr>
      <w:color w:val="605E5C"/>
      <w:shd w:val="clear" w:color="auto" w:fill="E1DFDD"/>
    </w:rPr>
  </w:style>
  <w:style w:type="paragraph" w:styleId="Revision">
    <w:name w:val="Revision"/>
    <w:hidden/>
    <w:uiPriority w:val="99"/>
    <w:semiHidden/>
    <w:rsid w:val="000A7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96294">
      <w:bodyDiv w:val="1"/>
      <w:marLeft w:val="0"/>
      <w:marRight w:val="0"/>
      <w:marTop w:val="0"/>
      <w:marBottom w:val="0"/>
      <w:divBdr>
        <w:top w:val="none" w:sz="0" w:space="0" w:color="auto"/>
        <w:left w:val="none" w:sz="0" w:space="0" w:color="auto"/>
        <w:bottom w:val="none" w:sz="0" w:space="0" w:color="auto"/>
        <w:right w:val="none" w:sz="0" w:space="0" w:color="auto"/>
      </w:divBdr>
    </w:div>
    <w:div w:id="567306915">
      <w:bodyDiv w:val="1"/>
      <w:marLeft w:val="0"/>
      <w:marRight w:val="0"/>
      <w:marTop w:val="0"/>
      <w:marBottom w:val="0"/>
      <w:divBdr>
        <w:top w:val="none" w:sz="0" w:space="0" w:color="auto"/>
        <w:left w:val="none" w:sz="0" w:space="0" w:color="auto"/>
        <w:bottom w:val="none" w:sz="0" w:space="0" w:color="auto"/>
        <w:right w:val="none" w:sz="0" w:space="0" w:color="auto"/>
      </w:divBdr>
    </w:div>
    <w:div w:id="757949090">
      <w:bodyDiv w:val="1"/>
      <w:marLeft w:val="0"/>
      <w:marRight w:val="0"/>
      <w:marTop w:val="0"/>
      <w:marBottom w:val="0"/>
      <w:divBdr>
        <w:top w:val="none" w:sz="0" w:space="0" w:color="auto"/>
        <w:left w:val="none" w:sz="0" w:space="0" w:color="auto"/>
        <w:bottom w:val="none" w:sz="0" w:space="0" w:color="auto"/>
        <w:right w:val="none" w:sz="0" w:space="0" w:color="auto"/>
      </w:divBdr>
    </w:div>
    <w:div w:id="831990534">
      <w:bodyDiv w:val="1"/>
      <w:marLeft w:val="0"/>
      <w:marRight w:val="0"/>
      <w:marTop w:val="0"/>
      <w:marBottom w:val="0"/>
      <w:divBdr>
        <w:top w:val="none" w:sz="0" w:space="0" w:color="auto"/>
        <w:left w:val="none" w:sz="0" w:space="0" w:color="auto"/>
        <w:bottom w:val="none" w:sz="0" w:space="0" w:color="auto"/>
        <w:right w:val="none" w:sz="0" w:space="0" w:color="auto"/>
      </w:divBdr>
    </w:div>
    <w:div w:id="981270588">
      <w:bodyDiv w:val="1"/>
      <w:marLeft w:val="0"/>
      <w:marRight w:val="0"/>
      <w:marTop w:val="0"/>
      <w:marBottom w:val="0"/>
      <w:divBdr>
        <w:top w:val="none" w:sz="0" w:space="0" w:color="auto"/>
        <w:left w:val="none" w:sz="0" w:space="0" w:color="auto"/>
        <w:bottom w:val="none" w:sz="0" w:space="0" w:color="auto"/>
        <w:right w:val="none" w:sz="0" w:space="0" w:color="auto"/>
      </w:divBdr>
    </w:div>
    <w:div w:id="1401948658">
      <w:bodyDiv w:val="1"/>
      <w:marLeft w:val="0"/>
      <w:marRight w:val="0"/>
      <w:marTop w:val="0"/>
      <w:marBottom w:val="0"/>
      <w:divBdr>
        <w:top w:val="none" w:sz="0" w:space="0" w:color="auto"/>
        <w:left w:val="none" w:sz="0" w:space="0" w:color="auto"/>
        <w:bottom w:val="none" w:sz="0" w:space="0" w:color="auto"/>
        <w:right w:val="none" w:sz="0" w:space="0" w:color="auto"/>
      </w:divBdr>
    </w:div>
    <w:div w:id="1421874799">
      <w:bodyDiv w:val="1"/>
      <w:marLeft w:val="0"/>
      <w:marRight w:val="0"/>
      <w:marTop w:val="0"/>
      <w:marBottom w:val="0"/>
      <w:divBdr>
        <w:top w:val="none" w:sz="0" w:space="0" w:color="auto"/>
        <w:left w:val="none" w:sz="0" w:space="0" w:color="auto"/>
        <w:bottom w:val="none" w:sz="0" w:space="0" w:color="auto"/>
        <w:right w:val="none" w:sz="0" w:space="0" w:color="auto"/>
      </w:divBdr>
    </w:div>
    <w:div w:id="1481188195">
      <w:bodyDiv w:val="1"/>
      <w:marLeft w:val="0"/>
      <w:marRight w:val="0"/>
      <w:marTop w:val="0"/>
      <w:marBottom w:val="0"/>
      <w:divBdr>
        <w:top w:val="none" w:sz="0" w:space="0" w:color="auto"/>
        <w:left w:val="none" w:sz="0" w:space="0" w:color="auto"/>
        <w:bottom w:val="none" w:sz="0" w:space="0" w:color="auto"/>
        <w:right w:val="none" w:sz="0" w:space="0" w:color="auto"/>
      </w:divBdr>
    </w:div>
    <w:div w:id="1521773088">
      <w:bodyDiv w:val="1"/>
      <w:marLeft w:val="0"/>
      <w:marRight w:val="0"/>
      <w:marTop w:val="0"/>
      <w:marBottom w:val="0"/>
      <w:divBdr>
        <w:top w:val="none" w:sz="0" w:space="0" w:color="auto"/>
        <w:left w:val="none" w:sz="0" w:space="0" w:color="auto"/>
        <w:bottom w:val="none" w:sz="0" w:space="0" w:color="auto"/>
        <w:right w:val="none" w:sz="0" w:space="0" w:color="auto"/>
      </w:divBdr>
    </w:div>
    <w:div w:id="1699503392">
      <w:bodyDiv w:val="1"/>
      <w:marLeft w:val="0"/>
      <w:marRight w:val="0"/>
      <w:marTop w:val="0"/>
      <w:marBottom w:val="0"/>
      <w:divBdr>
        <w:top w:val="none" w:sz="0" w:space="0" w:color="auto"/>
        <w:left w:val="none" w:sz="0" w:space="0" w:color="auto"/>
        <w:bottom w:val="none" w:sz="0" w:space="0" w:color="auto"/>
        <w:right w:val="none" w:sz="0" w:space="0" w:color="auto"/>
      </w:divBdr>
    </w:div>
    <w:div w:id="1867793565">
      <w:bodyDiv w:val="1"/>
      <w:marLeft w:val="0"/>
      <w:marRight w:val="0"/>
      <w:marTop w:val="0"/>
      <w:marBottom w:val="0"/>
      <w:divBdr>
        <w:top w:val="none" w:sz="0" w:space="0" w:color="auto"/>
        <w:left w:val="none" w:sz="0" w:space="0" w:color="auto"/>
        <w:bottom w:val="none" w:sz="0" w:space="0" w:color="auto"/>
        <w:right w:val="none" w:sz="0" w:space="0" w:color="auto"/>
      </w:divBdr>
    </w:div>
    <w:div w:id="1931692347">
      <w:bodyDiv w:val="1"/>
      <w:marLeft w:val="0"/>
      <w:marRight w:val="0"/>
      <w:marTop w:val="0"/>
      <w:marBottom w:val="0"/>
      <w:divBdr>
        <w:top w:val="none" w:sz="0" w:space="0" w:color="auto"/>
        <w:left w:val="none" w:sz="0" w:space="0" w:color="auto"/>
        <w:bottom w:val="none" w:sz="0" w:space="0" w:color="auto"/>
        <w:right w:val="none" w:sz="0" w:space="0" w:color="auto"/>
      </w:divBdr>
    </w:div>
    <w:div w:id="208197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2250</Words>
  <Characters>12827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Healy</dc:creator>
  <cp:keywords/>
  <dc:description/>
  <cp:lastModifiedBy>Sarah Barthel</cp:lastModifiedBy>
  <cp:revision>3</cp:revision>
  <cp:lastPrinted>2023-11-20T15:00:00Z</cp:lastPrinted>
  <dcterms:created xsi:type="dcterms:W3CDTF">2026-08-10T09:32:00Z</dcterms:created>
  <dcterms:modified xsi:type="dcterms:W3CDTF">2026-08-10T09:34:00Z</dcterms:modified>
</cp:coreProperties>
</file>