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A60C6" w14:textId="6D331656" w:rsidR="00100DE9" w:rsidRDefault="4F628C65" w:rsidP="1D7B4B6F">
      <w:pPr>
        <w:spacing w:after="120" w:line="259" w:lineRule="auto"/>
      </w:pPr>
      <w:r w:rsidRPr="1D7B4B6F">
        <w:rPr>
          <w:b/>
          <w:bCs/>
          <w:color w:val="1F3864"/>
          <w:sz w:val="44"/>
          <w:szCs w:val="44"/>
        </w:rPr>
        <w:t>Call for Tender (</w:t>
      </w:r>
      <w:r w:rsidR="7336BC28" w:rsidRPr="1D7B4B6F">
        <w:rPr>
          <w:b/>
          <w:bCs/>
          <w:color w:val="1F3864"/>
          <w:sz w:val="44"/>
          <w:szCs w:val="44"/>
        </w:rPr>
        <w:t>C</w:t>
      </w:r>
      <w:r w:rsidRPr="1D7B4B6F">
        <w:rPr>
          <w:b/>
          <w:bCs/>
          <w:color w:val="1F3864"/>
          <w:sz w:val="44"/>
          <w:szCs w:val="44"/>
        </w:rPr>
        <w:t>FT)</w:t>
      </w:r>
    </w:p>
    <w:p w14:paraId="0A7F5C68" w14:textId="7DF43E3C" w:rsidR="00100DE9" w:rsidRDefault="00000000">
      <w:pPr>
        <w:spacing w:after="60"/>
      </w:pPr>
      <w:r>
        <w:rPr>
          <w:sz w:val="30"/>
          <w:szCs w:val="30"/>
        </w:rPr>
        <w:t xml:space="preserve">High-Throughput </w:t>
      </w:r>
      <w:r w:rsidR="0057052F">
        <w:rPr>
          <w:sz w:val="30"/>
          <w:szCs w:val="30"/>
        </w:rPr>
        <w:t xml:space="preserve">Transient </w:t>
      </w:r>
      <w:r>
        <w:rPr>
          <w:sz w:val="30"/>
          <w:szCs w:val="30"/>
        </w:rPr>
        <w:t>Antibody Production &amp; Characterisation Services</w:t>
      </w:r>
    </w:p>
    <w:p w14:paraId="5308B867" w14:textId="14F7748F" w:rsidR="00100DE9" w:rsidRDefault="00000000" w:rsidP="1D7B4B6F">
      <w:pPr>
        <w:spacing w:after="400" w:line="259" w:lineRule="auto"/>
      </w:pPr>
      <w:r w:rsidRPr="1D7B4B6F">
        <w:rPr>
          <w:i/>
          <w:iCs/>
          <w:color w:val="555555"/>
          <w:sz w:val="22"/>
          <w:szCs w:val="22"/>
        </w:rPr>
        <w:t xml:space="preserve">Instructions, scope of work, and evaluation criteria — to be read alongside the accompanying </w:t>
      </w:r>
      <w:r w:rsidR="19A2E3DD" w:rsidRPr="1D7B4B6F">
        <w:rPr>
          <w:i/>
          <w:iCs/>
          <w:color w:val="555555"/>
          <w:sz w:val="22"/>
          <w:szCs w:val="22"/>
        </w:rPr>
        <w:t xml:space="preserve">CFT </w:t>
      </w:r>
      <w:r w:rsidRPr="1D7B4B6F">
        <w:rPr>
          <w:i/>
          <w:iCs/>
          <w:color w:val="555555"/>
          <w:sz w:val="22"/>
          <w:szCs w:val="22"/>
        </w:rPr>
        <w:t>Evaluation Workbook</w:t>
      </w:r>
    </w:p>
    <w:p w14:paraId="10973138" w14:textId="42D52D63" w:rsidR="00100DE9" w:rsidRDefault="00000000" w:rsidP="1D7B4B6F">
      <w:pPr>
        <w:spacing w:after="160" w:line="259" w:lineRule="auto"/>
      </w:pPr>
      <w:r>
        <w:t xml:space="preserve">Issuing organisation: </w:t>
      </w:r>
      <w:r w:rsidR="4F2C937B">
        <w:t>National Institute for Bioprocessing Research and Training</w:t>
      </w:r>
    </w:p>
    <w:p w14:paraId="1347F71B" w14:textId="7F113AE7" w:rsidR="00100DE9" w:rsidRDefault="00000000" w:rsidP="1D7B4B6F">
      <w:pPr>
        <w:spacing w:after="160" w:line="259" w:lineRule="auto"/>
      </w:pPr>
      <w:r>
        <w:t xml:space="preserve">RFT reference / Project No.: </w:t>
      </w:r>
      <w:r w:rsidR="1430230D">
        <w:t>CfT-2026-002</w:t>
      </w:r>
    </w:p>
    <w:p w14:paraId="4ADF7E68" w14:textId="35C2A6B1" w:rsidR="00100DE9" w:rsidRDefault="00000000" w:rsidP="1D7B4B6F">
      <w:pPr>
        <w:spacing w:after="160" w:line="259" w:lineRule="auto"/>
      </w:pPr>
      <w:r>
        <w:t xml:space="preserve">Date issued: </w:t>
      </w:r>
      <w:r w:rsidR="219AF44F">
        <w:t>28</w:t>
      </w:r>
      <w:r w:rsidR="219AF44F" w:rsidRPr="1D7B4B6F">
        <w:rPr>
          <w:vertAlign w:val="superscript"/>
        </w:rPr>
        <w:t>th</w:t>
      </w:r>
      <w:r w:rsidR="219AF44F">
        <w:t xml:space="preserve"> July 2026</w:t>
      </w:r>
    </w:p>
    <w:p w14:paraId="7B012D13" w14:textId="68EEFE23" w:rsidR="00100DE9" w:rsidRDefault="00000000" w:rsidP="1D7B4B6F">
      <w:pPr>
        <w:spacing w:after="160" w:line="259" w:lineRule="auto"/>
      </w:pPr>
      <w:r>
        <w:t xml:space="preserve">Proposal due date: </w:t>
      </w:r>
      <w:r w:rsidR="67751DEE">
        <w:t>28</w:t>
      </w:r>
      <w:r w:rsidR="67751DEE" w:rsidRPr="1D7B4B6F">
        <w:rPr>
          <w:vertAlign w:val="superscript"/>
        </w:rPr>
        <w:t>th</w:t>
      </w:r>
      <w:r w:rsidR="67751DEE">
        <w:t xml:space="preserve"> August 2026</w:t>
      </w:r>
    </w:p>
    <w:p w14:paraId="772B352C" w14:textId="6A4857DE" w:rsidR="00100DE9" w:rsidRDefault="00000000">
      <w:pPr>
        <w:spacing w:after="160"/>
      </w:pPr>
      <w:r>
        <w:t>Point of contact:</w:t>
      </w:r>
      <w:r w:rsidR="0057052F">
        <w:t xml:space="preserve"> Clair Gallagher</w:t>
      </w:r>
      <w:r>
        <w:t xml:space="preserve"> </w:t>
      </w:r>
      <w:hyperlink r:id="rId10">
        <w:r w:rsidR="0057052F" w:rsidRPr="1D7B4B6F">
          <w:rPr>
            <w:rStyle w:val="Hyperlink"/>
          </w:rPr>
          <w:t>clair.galagher@nibrt.ie</w:t>
        </w:r>
      </w:hyperlink>
      <w:r w:rsidR="0057052F">
        <w:t xml:space="preserve">, Karl Kelly </w:t>
      </w:r>
      <w:hyperlink r:id="rId11">
        <w:r w:rsidR="0057052F" w:rsidRPr="1D7B4B6F">
          <w:rPr>
            <w:rStyle w:val="Hyperlink"/>
          </w:rPr>
          <w:t>karl.kelly@nibrt.ie</w:t>
        </w:r>
      </w:hyperlink>
    </w:p>
    <w:p w14:paraId="04DC682D" w14:textId="77777777" w:rsidR="0057052F" w:rsidRDefault="0057052F">
      <w:pPr>
        <w:spacing w:after="160"/>
      </w:pPr>
    </w:p>
    <w:p w14:paraId="4FA3E22D" w14:textId="77777777" w:rsidR="00100DE9" w:rsidRDefault="00000000">
      <w:r>
        <w:br w:type="page"/>
      </w:r>
    </w:p>
    <w:p w14:paraId="5D28C8AA" w14:textId="77777777" w:rsidR="00100DE9" w:rsidRDefault="00000000">
      <w:pPr>
        <w:pStyle w:val="Heading1"/>
        <w:spacing w:before="320" w:after="160"/>
      </w:pPr>
      <w:r>
        <w:lastRenderedPageBreak/>
        <w:t>1. Purpose and Background</w:t>
      </w:r>
    </w:p>
    <w:p w14:paraId="00A70651" w14:textId="77777777" w:rsidR="00100DE9" w:rsidRDefault="00000000">
      <w:pPr>
        <w:spacing w:after="160"/>
      </w:pPr>
      <w:r>
        <w:t>This Request for Tender (RFT) invites qualified contract research organisations (CROs) and antibody production vendors to submit a technical and commercial proposal for high-throughput antibody production and characterisation services in support of an active discovery programme. This is a research-use programme; GMP manufacture is not required, but the issuing organisation requires vendors to demonstrate data integrity practices aligned with 21 CFR Part 11 principles where reasonably achievable, in line with our internal data governance standards.</w:t>
      </w:r>
    </w:p>
    <w:p w14:paraId="22A9FBC3" w14:textId="77777777" w:rsidR="00100DE9" w:rsidRDefault="00000000">
      <w:pPr>
        <w:spacing w:after="160"/>
      </w:pPr>
      <w:r>
        <w:t>This document sets out the purpose, scope, submission instructions, evaluation criteria, and confidentiality/IP requirements for this RFT. The detailed, individually scored technical, flexibility, and commercial requirements are set out in the accompanying RFT Evaluation Workbook and are not duplicated in full here; this document and the workbook should be read together, and the workbook is the authoritative source for the exact wording of each scored requirement.</w:t>
      </w:r>
    </w:p>
    <w:p w14:paraId="6E2C335E" w14:textId="77777777" w:rsidR="00100DE9" w:rsidRDefault="00000000">
      <w:pPr>
        <w:pStyle w:val="Heading1"/>
        <w:spacing w:before="320" w:after="160"/>
      </w:pPr>
      <w:r>
        <w:t>2. Overall Scope of Work</w:t>
      </w:r>
    </w:p>
    <w:p w14:paraId="30BB8616" w14:textId="38D40197" w:rsidR="00100DE9" w:rsidRDefault="00000000">
      <w:pPr>
        <w:pStyle w:val="ListParagraph"/>
        <w:numPr>
          <w:ilvl w:val="0"/>
          <w:numId w:val="3"/>
        </w:numPr>
        <w:spacing w:after="80"/>
      </w:pPr>
      <w:r>
        <w:t xml:space="preserve">Total candidates: </w:t>
      </w:r>
      <w:r w:rsidR="004E0843">
        <w:t xml:space="preserve">Minimum of </w:t>
      </w:r>
      <w:r>
        <w:t>570 antibodies, delivered across two arms</w:t>
      </w:r>
    </w:p>
    <w:p w14:paraId="2513CFA3" w14:textId="1CFECDA5" w:rsidR="00100DE9" w:rsidRDefault="00000000">
      <w:pPr>
        <w:pStyle w:val="ListParagraph"/>
        <w:numPr>
          <w:ilvl w:val="0"/>
          <w:numId w:val="3"/>
        </w:numPr>
        <w:spacing w:after="80"/>
      </w:pPr>
      <w:r>
        <w:t>Total budget cap: €375,000 (all-inclusive, excluding taxes unless specified by vendor)</w:t>
      </w:r>
      <w:r w:rsidR="1919B2A8">
        <w:t>. Please note that NIBRT has a non-recoverable VAT rate of 40%. The total cost to NIBRT will be the Net plus 40% of the VAT.</w:t>
      </w:r>
    </w:p>
    <w:p w14:paraId="04116B4C" w14:textId="77777777" w:rsidR="00100DE9" w:rsidRDefault="00000000">
      <w:pPr>
        <w:pStyle w:val="ListParagraph"/>
        <w:numPr>
          <w:ilvl w:val="0"/>
          <w:numId w:val="3"/>
        </w:numPr>
        <w:spacing w:after="80"/>
      </w:pPr>
      <w:r>
        <w:t>Three-stage workflow: (1) in silico sequence optimisation, gene synthesis, and validation; (2) small-scale transient expression; (3) analytics — titre and binding/affinity via BLI and/or SPR</w:t>
      </w:r>
    </w:p>
    <w:p w14:paraId="2B4DF63D" w14:textId="77777777" w:rsidR="00100DE9" w:rsidRDefault="00000000">
      <w:pPr>
        <w:pStyle w:val="ListParagraph"/>
        <w:numPr>
          <w:ilvl w:val="0"/>
          <w:numId w:val="3"/>
        </w:numPr>
        <w:spacing w:after="80"/>
      </w:pPr>
      <w:r>
        <w:t>Platform: CHO transient expression. The issuing organisation will supply amino acid (AA) sequences only; the vendor is responsible for AA-to-nucleic-acid (NA) back-translation and codon optimisation in-house prior to synthesis</w:t>
      </w:r>
    </w:p>
    <w:p w14:paraId="68EC3B67" w14:textId="77777777" w:rsidR="00100DE9" w:rsidRDefault="00000000">
      <w:pPr>
        <w:spacing w:after="160"/>
      </w:pPr>
      <w:r>
        <w:t>Vendors must price and describe each arm separately in the Pricing tabs of the RFT Evaluation Workbook, which will total a consolidated figure against the €375,000 cap.</w:t>
      </w:r>
    </w:p>
    <w:p w14:paraId="49AFD5EE" w14:textId="770F1B03" w:rsidR="00100DE9" w:rsidRDefault="00000000">
      <w:pPr>
        <w:pStyle w:val="Heading2"/>
        <w:spacing w:before="240" w:after="120"/>
      </w:pPr>
      <w:r>
        <w:t xml:space="preserve">2.1 Arm 1 — </w:t>
      </w:r>
      <w:r w:rsidR="004E0843" w:rsidRPr="004E0843">
        <w:t xml:space="preserve">≥ </w:t>
      </w:r>
      <w:r>
        <w:t>210 Antibodies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650"/>
        <w:gridCol w:w="1600"/>
        <w:gridCol w:w="2500"/>
      </w:tblGrid>
      <w:tr w:rsidR="00100DE9" w14:paraId="0BABEAF3" w14:textId="77777777">
        <w:trPr>
          <w:tblHeader/>
        </w:trPr>
        <w:tc>
          <w:tcPr>
            <w:tcW w:w="2600" w:type="dxa"/>
            <w:shd w:val="clear" w:color="auto" w:fill="1F3864"/>
            <w:tcMar>
              <w:top w:w="80" w:type="dxa"/>
              <w:left w:w="100" w:type="dxa"/>
              <w:bottom w:w="80" w:type="dxa"/>
              <w:right w:w="100" w:type="dxa"/>
            </w:tcMar>
            <w:vAlign w:val="center"/>
          </w:tcPr>
          <w:p w14:paraId="79AEDA6F" w14:textId="77777777" w:rsidR="00100DE9" w:rsidRDefault="00000000">
            <w:r>
              <w:rPr>
                <w:b/>
                <w:bCs/>
                <w:color w:val="FFFFFF"/>
              </w:rPr>
              <w:t>Requirement</w:t>
            </w:r>
          </w:p>
        </w:tc>
        <w:tc>
          <w:tcPr>
            <w:tcW w:w="2650" w:type="dxa"/>
            <w:shd w:val="clear" w:color="auto" w:fill="1F3864"/>
            <w:tcMar>
              <w:top w:w="80" w:type="dxa"/>
              <w:left w:w="100" w:type="dxa"/>
              <w:bottom w:w="80" w:type="dxa"/>
              <w:right w:w="100" w:type="dxa"/>
            </w:tcMar>
            <w:vAlign w:val="center"/>
          </w:tcPr>
          <w:p w14:paraId="43FEBF66" w14:textId="77777777" w:rsidR="00100DE9" w:rsidRDefault="00000000">
            <w:r>
              <w:rPr>
                <w:b/>
                <w:bCs/>
                <w:color w:val="FFFFFF"/>
              </w:rPr>
              <w:t>Method</w:t>
            </w:r>
          </w:p>
        </w:tc>
        <w:tc>
          <w:tcPr>
            <w:tcW w:w="1600" w:type="dxa"/>
            <w:shd w:val="clear" w:color="auto" w:fill="1F3864"/>
            <w:tcMar>
              <w:top w:w="80" w:type="dxa"/>
              <w:left w:w="100" w:type="dxa"/>
              <w:bottom w:w="80" w:type="dxa"/>
              <w:right w:w="100" w:type="dxa"/>
            </w:tcMar>
            <w:vAlign w:val="center"/>
          </w:tcPr>
          <w:p w14:paraId="1F017543" w14:textId="4C99D8BF" w:rsidR="00100DE9" w:rsidRDefault="004E0843">
            <w:r>
              <w:rPr>
                <w:b/>
                <w:bCs/>
                <w:color w:val="FFFFFF"/>
              </w:rPr>
              <w:t>Minimum Number</w:t>
            </w:r>
          </w:p>
        </w:tc>
        <w:tc>
          <w:tcPr>
            <w:tcW w:w="2500" w:type="dxa"/>
            <w:shd w:val="clear" w:color="auto" w:fill="1F3864"/>
            <w:tcMar>
              <w:top w:w="80" w:type="dxa"/>
              <w:left w:w="100" w:type="dxa"/>
              <w:bottom w:w="80" w:type="dxa"/>
              <w:right w:w="100" w:type="dxa"/>
            </w:tcMar>
            <w:vAlign w:val="center"/>
          </w:tcPr>
          <w:p w14:paraId="15FC5094" w14:textId="77777777" w:rsidR="00100DE9" w:rsidRDefault="00000000">
            <w:r>
              <w:rPr>
                <w:b/>
                <w:bCs/>
                <w:color w:val="FFFFFF"/>
              </w:rPr>
              <w:t>Notes</w:t>
            </w:r>
          </w:p>
        </w:tc>
      </w:tr>
      <w:tr w:rsidR="00100DE9" w14:paraId="6549DF43" w14:textId="77777777">
        <w:tc>
          <w:tcPr>
            <w:tcW w:w="2600" w:type="dxa"/>
            <w:tcMar>
              <w:top w:w="80" w:type="dxa"/>
              <w:left w:w="100" w:type="dxa"/>
              <w:bottom w:w="80" w:type="dxa"/>
              <w:right w:w="100" w:type="dxa"/>
            </w:tcMar>
            <w:vAlign w:val="center"/>
          </w:tcPr>
          <w:p w14:paraId="5D61340F" w14:textId="77777777" w:rsidR="00100DE9" w:rsidRDefault="00000000">
            <w:r>
              <w:t>Gene synthesis &amp; validation</w:t>
            </w:r>
          </w:p>
        </w:tc>
        <w:tc>
          <w:tcPr>
            <w:tcW w:w="2650" w:type="dxa"/>
            <w:tcMar>
              <w:top w:w="80" w:type="dxa"/>
              <w:left w:w="100" w:type="dxa"/>
              <w:bottom w:w="80" w:type="dxa"/>
              <w:right w:w="100" w:type="dxa"/>
            </w:tcMar>
            <w:vAlign w:val="center"/>
          </w:tcPr>
          <w:p w14:paraId="7516FDBC" w14:textId="77777777" w:rsidR="00100DE9" w:rsidRDefault="00000000">
            <w:r w:rsidRPr="009766C2">
              <w:rPr>
                <w:lang w:val="nl-BE"/>
              </w:rPr>
              <w:t xml:space="preserve">De novo synthesis, HC + LC. </w:t>
            </w:r>
            <w:r>
              <w:t>Client supplies AA sequences; vendor performs AA-to-NA back-translation and codon optimisation.</w:t>
            </w:r>
          </w:p>
        </w:tc>
        <w:tc>
          <w:tcPr>
            <w:tcW w:w="1600" w:type="dxa"/>
            <w:tcMar>
              <w:top w:w="80" w:type="dxa"/>
              <w:left w:w="100" w:type="dxa"/>
              <w:bottom w:w="80" w:type="dxa"/>
              <w:right w:w="100" w:type="dxa"/>
            </w:tcMar>
            <w:vAlign w:val="center"/>
          </w:tcPr>
          <w:p w14:paraId="0E1110C8" w14:textId="3FE48E3B" w:rsidR="00100DE9" w:rsidRDefault="004E0843">
            <w:r w:rsidRPr="004E0843">
              <w:t xml:space="preserve">≥ </w:t>
            </w:r>
            <w:r>
              <w:t>420 sequences (210 Abs)</w:t>
            </w:r>
          </w:p>
        </w:tc>
        <w:tc>
          <w:tcPr>
            <w:tcW w:w="2500" w:type="dxa"/>
            <w:tcMar>
              <w:top w:w="80" w:type="dxa"/>
              <w:left w:w="100" w:type="dxa"/>
              <w:bottom w:w="80" w:type="dxa"/>
              <w:right w:w="100" w:type="dxa"/>
            </w:tcMar>
            <w:vAlign w:val="center"/>
          </w:tcPr>
          <w:p w14:paraId="3FBD8952" w14:textId="77777777" w:rsidR="00100DE9" w:rsidRDefault="00000000">
            <w:r>
              <w:t>Variable region &lt;300 aa: no additional cost</w:t>
            </w:r>
          </w:p>
        </w:tc>
      </w:tr>
      <w:tr w:rsidR="00100DE9" w14:paraId="0E1DE2C1" w14:textId="77777777">
        <w:tc>
          <w:tcPr>
            <w:tcW w:w="2600" w:type="dxa"/>
            <w:shd w:val="clear" w:color="auto" w:fill="F5F5F5"/>
            <w:tcMar>
              <w:top w:w="80" w:type="dxa"/>
              <w:left w:w="100" w:type="dxa"/>
              <w:bottom w:w="80" w:type="dxa"/>
              <w:right w:w="100" w:type="dxa"/>
            </w:tcMar>
            <w:vAlign w:val="center"/>
          </w:tcPr>
          <w:p w14:paraId="5E06EA53" w14:textId="77777777" w:rsidR="00100DE9" w:rsidRDefault="00000000">
            <w:r>
              <w:t>Small-scale transient expression</w:t>
            </w:r>
          </w:p>
        </w:tc>
        <w:tc>
          <w:tcPr>
            <w:tcW w:w="2650" w:type="dxa"/>
            <w:shd w:val="clear" w:color="auto" w:fill="F5F5F5"/>
            <w:tcMar>
              <w:top w:w="80" w:type="dxa"/>
              <w:left w:w="100" w:type="dxa"/>
              <w:bottom w:w="80" w:type="dxa"/>
              <w:right w:w="100" w:type="dxa"/>
            </w:tcMar>
            <w:vAlign w:val="center"/>
          </w:tcPr>
          <w:p w14:paraId="4A585BF3" w14:textId="77777777" w:rsidR="00100DE9" w:rsidRDefault="00000000">
            <w:r>
              <w:t>4 mL transient expression</w:t>
            </w:r>
          </w:p>
        </w:tc>
        <w:tc>
          <w:tcPr>
            <w:tcW w:w="1600" w:type="dxa"/>
            <w:shd w:val="clear" w:color="auto" w:fill="F5F5F5"/>
            <w:tcMar>
              <w:top w:w="80" w:type="dxa"/>
              <w:left w:w="100" w:type="dxa"/>
              <w:bottom w:w="80" w:type="dxa"/>
              <w:right w:w="100" w:type="dxa"/>
            </w:tcMar>
            <w:vAlign w:val="center"/>
          </w:tcPr>
          <w:p w14:paraId="3ACC6566" w14:textId="5AF7F07E" w:rsidR="00100DE9" w:rsidRDefault="004E0843">
            <w:r w:rsidRPr="004E0843">
              <w:t xml:space="preserve">≥ </w:t>
            </w:r>
            <w:r>
              <w:t>210 antibodies, 3 batches of 70</w:t>
            </w:r>
          </w:p>
        </w:tc>
        <w:tc>
          <w:tcPr>
            <w:tcW w:w="2500" w:type="dxa"/>
            <w:shd w:val="clear" w:color="auto" w:fill="F5F5F5"/>
            <w:tcMar>
              <w:top w:w="80" w:type="dxa"/>
              <w:left w:w="100" w:type="dxa"/>
              <w:bottom w:w="80" w:type="dxa"/>
              <w:right w:w="100" w:type="dxa"/>
            </w:tcMar>
            <w:vAlign w:val="center"/>
          </w:tcPr>
          <w:p w14:paraId="4E5AD804" w14:textId="77777777" w:rsidR="00100DE9" w:rsidRDefault="00100DE9"/>
        </w:tc>
      </w:tr>
      <w:tr w:rsidR="00100DE9" w14:paraId="224A122E" w14:textId="77777777">
        <w:tc>
          <w:tcPr>
            <w:tcW w:w="2600" w:type="dxa"/>
            <w:tcMar>
              <w:top w:w="80" w:type="dxa"/>
              <w:left w:w="100" w:type="dxa"/>
              <w:bottom w:w="80" w:type="dxa"/>
              <w:right w:w="100" w:type="dxa"/>
            </w:tcMar>
            <w:vAlign w:val="center"/>
          </w:tcPr>
          <w:p w14:paraId="2B90BCAA" w14:textId="77777777" w:rsidR="00100DE9" w:rsidRDefault="00000000">
            <w:r>
              <w:t>Titre analysis (BLI)</w:t>
            </w:r>
          </w:p>
        </w:tc>
        <w:tc>
          <w:tcPr>
            <w:tcW w:w="2650" w:type="dxa"/>
            <w:tcMar>
              <w:top w:w="80" w:type="dxa"/>
              <w:left w:w="100" w:type="dxa"/>
              <w:bottom w:w="80" w:type="dxa"/>
              <w:right w:w="100" w:type="dxa"/>
            </w:tcMar>
            <w:vAlign w:val="center"/>
          </w:tcPr>
          <w:p w14:paraId="6AA28239" w14:textId="77777777" w:rsidR="00100DE9" w:rsidRDefault="00000000">
            <w:r>
              <w:t>BLI, 2 biological duplicates — same instrument used for binding/affinity ranking below</w:t>
            </w:r>
          </w:p>
        </w:tc>
        <w:tc>
          <w:tcPr>
            <w:tcW w:w="1600" w:type="dxa"/>
            <w:tcMar>
              <w:top w:w="80" w:type="dxa"/>
              <w:left w:w="100" w:type="dxa"/>
              <w:bottom w:w="80" w:type="dxa"/>
              <w:right w:w="100" w:type="dxa"/>
            </w:tcMar>
            <w:vAlign w:val="center"/>
          </w:tcPr>
          <w:p w14:paraId="776AB4F2" w14:textId="23384B0E" w:rsidR="00100DE9" w:rsidRDefault="004E0843">
            <w:r w:rsidRPr="004E0843">
              <w:t xml:space="preserve">≥ </w:t>
            </w:r>
            <w:r>
              <w:t>210 antibodies, 3 batches of 70</w:t>
            </w:r>
          </w:p>
        </w:tc>
        <w:tc>
          <w:tcPr>
            <w:tcW w:w="2500" w:type="dxa"/>
            <w:tcMar>
              <w:top w:w="80" w:type="dxa"/>
              <w:left w:w="100" w:type="dxa"/>
              <w:bottom w:w="80" w:type="dxa"/>
              <w:right w:w="100" w:type="dxa"/>
            </w:tcMar>
            <w:vAlign w:val="center"/>
          </w:tcPr>
          <w:p w14:paraId="53ACABDD" w14:textId="77777777" w:rsidR="00100DE9" w:rsidRDefault="00000000">
            <w:r>
              <w:t>BLI is used for both titre and binding on this programme</w:t>
            </w:r>
          </w:p>
        </w:tc>
      </w:tr>
      <w:tr w:rsidR="00100DE9" w14:paraId="32519DCE" w14:textId="77777777">
        <w:tc>
          <w:tcPr>
            <w:tcW w:w="2600" w:type="dxa"/>
            <w:shd w:val="clear" w:color="auto" w:fill="F5F5F5"/>
            <w:tcMar>
              <w:top w:w="80" w:type="dxa"/>
              <w:left w:w="100" w:type="dxa"/>
              <w:bottom w:w="80" w:type="dxa"/>
              <w:right w:w="100" w:type="dxa"/>
            </w:tcMar>
            <w:vAlign w:val="center"/>
          </w:tcPr>
          <w:p w14:paraId="0EA840D6" w14:textId="77777777" w:rsidR="00100DE9" w:rsidRDefault="00000000">
            <w:r>
              <w:t>Scale-up transient expression</w:t>
            </w:r>
          </w:p>
        </w:tc>
        <w:tc>
          <w:tcPr>
            <w:tcW w:w="2650" w:type="dxa"/>
            <w:shd w:val="clear" w:color="auto" w:fill="F5F5F5"/>
            <w:tcMar>
              <w:top w:w="80" w:type="dxa"/>
              <w:left w:w="100" w:type="dxa"/>
              <w:bottom w:w="80" w:type="dxa"/>
              <w:right w:w="100" w:type="dxa"/>
            </w:tcMar>
            <w:vAlign w:val="center"/>
          </w:tcPr>
          <w:p w14:paraId="67CC0837" w14:textId="77777777" w:rsidR="00100DE9" w:rsidRDefault="00000000">
            <w:r>
              <w:t>250 mL, for purification + BLI/SPR</w:t>
            </w:r>
          </w:p>
        </w:tc>
        <w:tc>
          <w:tcPr>
            <w:tcW w:w="1600" w:type="dxa"/>
            <w:shd w:val="clear" w:color="auto" w:fill="F5F5F5"/>
            <w:tcMar>
              <w:top w:w="80" w:type="dxa"/>
              <w:left w:w="100" w:type="dxa"/>
              <w:bottom w:w="80" w:type="dxa"/>
              <w:right w:w="100" w:type="dxa"/>
            </w:tcMar>
            <w:vAlign w:val="center"/>
          </w:tcPr>
          <w:p w14:paraId="196401D8" w14:textId="1A14CEC7" w:rsidR="00100DE9" w:rsidRDefault="004E0843">
            <w:r w:rsidRPr="004E0843">
              <w:t xml:space="preserve">≥ </w:t>
            </w:r>
            <w:r>
              <w:t>21 antibodies, 3 batches of 7</w:t>
            </w:r>
          </w:p>
        </w:tc>
        <w:tc>
          <w:tcPr>
            <w:tcW w:w="2500" w:type="dxa"/>
            <w:shd w:val="clear" w:color="auto" w:fill="F5F5F5"/>
            <w:tcMar>
              <w:top w:w="80" w:type="dxa"/>
              <w:left w:w="100" w:type="dxa"/>
              <w:bottom w:w="80" w:type="dxa"/>
              <w:right w:w="100" w:type="dxa"/>
            </w:tcMar>
            <w:vAlign w:val="center"/>
          </w:tcPr>
          <w:p w14:paraId="2CA78978" w14:textId="77777777" w:rsidR="00100DE9" w:rsidRDefault="00100DE9"/>
        </w:tc>
      </w:tr>
      <w:tr w:rsidR="00100DE9" w14:paraId="42E51BBA" w14:textId="77777777">
        <w:tc>
          <w:tcPr>
            <w:tcW w:w="2600" w:type="dxa"/>
            <w:tcMar>
              <w:top w:w="80" w:type="dxa"/>
              <w:left w:w="100" w:type="dxa"/>
              <w:bottom w:w="80" w:type="dxa"/>
              <w:right w:w="100" w:type="dxa"/>
            </w:tcMar>
            <w:vAlign w:val="center"/>
          </w:tcPr>
          <w:p w14:paraId="001FC02E" w14:textId="77777777" w:rsidR="00100DE9" w:rsidRDefault="00000000">
            <w:r>
              <w:t>Protein purification</w:t>
            </w:r>
          </w:p>
        </w:tc>
        <w:tc>
          <w:tcPr>
            <w:tcW w:w="2650" w:type="dxa"/>
            <w:tcMar>
              <w:top w:w="80" w:type="dxa"/>
              <w:left w:w="100" w:type="dxa"/>
              <w:bottom w:w="80" w:type="dxa"/>
              <w:right w:w="100" w:type="dxa"/>
            </w:tcMar>
            <w:vAlign w:val="center"/>
          </w:tcPr>
          <w:p w14:paraId="5D1C5E1B" w14:textId="77777777" w:rsidR="00100DE9" w:rsidRDefault="00000000">
            <w:r>
              <w:t>One-step standard; optional second-step</w:t>
            </w:r>
          </w:p>
        </w:tc>
        <w:tc>
          <w:tcPr>
            <w:tcW w:w="1600" w:type="dxa"/>
            <w:tcMar>
              <w:top w:w="80" w:type="dxa"/>
              <w:left w:w="100" w:type="dxa"/>
              <w:bottom w:w="80" w:type="dxa"/>
              <w:right w:w="100" w:type="dxa"/>
            </w:tcMar>
            <w:vAlign w:val="center"/>
          </w:tcPr>
          <w:p w14:paraId="245310E5" w14:textId="545176E1" w:rsidR="00100DE9" w:rsidRDefault="004E0843">
            <w:r w:rsidRPr="004E0843">
              <w:t xml:space="preserve">≥ </w:t>
            </w:r>
            <w:r>
              <w:t>21 antibodies, 3 batches of 7</w:t>
            </w:r>
          </w:p>
        </w:tc>
        <w:tc>
          <w:tcPr>
            <w:tcW w:w="2500" w:type="dxa"/>
            <w:tcMar>
              <w:top w:w="80" w:type="dxa"/>
              <w:left w:w="100" w:type="dxa"/>
              <w:bottom w:w="80" w:type="dxa"/>
              <w:right w:w="100" w:type="dxa"/>
            </w:tcMar>
            <w:vAlign w:val="center"/>
          </w:tcPr>
          <w:p w14:paraId="21BBF650" w14:textId="77777777" w:rsidR="00100DE9" w:rsidRDefault="00000000">
            <w:r>
              <w:t>One-step: no additional cost</w:t>
            </w:r>
          </w:p>
        </w:tc>
      </w:tr>
      <w:tr w:rsidR="00100DE9" w14:paraId="3431C24C" w14:textId="77777777">
        <w:tc>
          <w:tcPr>
            <w:tcW w:w="2600" w:type="dxa"/>
            <w:shd w:val="clear" w:color="auto" w:fill="F5F5F5"/>
            <w:tcMar>
              <w:top w:w="80" w:type="dxa"/>
              <w:left w:w="100" w:type="dxa"/>
              <w:bottom w:w="80" w:type="dxa"/>
              <w:right w:w="100" w:type="dxa"/>
            </w:tcMar>
            <w:vAlign w:val="center"/>
          </w:tcPr>
          <w:p w14:paraId="6A657F0B" w14:textId="77777777" w:rsidR="00100DE9" w:rsidRDefault="00000000">
            <w:r>
              <w:t>BLI affinity ranking</w:t>
            </w:r>
          </w:p>
        </w:tc>
        <w:tc>
          <w:tcPr>
            <w:tcW w:w="2650" w:type="dxa"/>
            <w:shd w:val="clear" w:color="auto" w:fill="F5F5F5"/>
            <w:tcMar>
              <w:top w:w="80" w:type="dxa"/>
              <w:left w:w="100" w:type="dxa"/>
              <w:bottom w:w="80" w:type="dxa"/>
              <w:right w:w="100" w:type="dxa"/>
            </w:tcMar>
            <w:vAlign w:val="center"/>
          </w:tcPr>
          <w:p w14:paraId="52C7A5FB" w14:textId="77777777" w:rsidR="00100DE9" w:rsidRDefault="00000000">
            <w:r>
              <w:t>1 concentration (additional concentrations per Question 2 flexibility)</w:t>
            </w:r>
          </w:p>
        </w:tc>
        <w:tc>
          <w:tcPr>
            <w:tcW w:w="1600" w:type="dxa"/>
            <w:shd w:val="clear" w:color="auto" w:fill="F5F5F5"/>
            <w:tcMar>
              <w:top w:w="80" w:type="dxa"/>
              <w:left w:w="100" w:type="dxa"/>
              <w:bottom w:w="80" w:type="dxa"/>
              <w:right w:w="100" w:type="dxa"/>
            </w:tcMar>
            <w:vAlign w:val="center"/>
          </w:tcPr>
          <w:p w14:paraId="503777FB" w14:textId="6134D953" w:rsidR="00100DE9" w:rsidRDefault="004E0843">
            <w:r w:rsidRPr="004E0843">
              <w:t xml:space="preserve">≥ </w:t>
            </w:r>
            <w:r>
              <w:t>21 antibodies, 3 batches of 7</w:t>
            </w:r>
          </w:p>
        </w:tc>
        <w:tc>
          <w:tcPr>
            <w:tcW w:w="2500" w:type="dxa"/>
            <w:shd w:val="clear" w:color="auto" w:fill="F5F5F5"/>
            <w:tcMar>
              <w:top w:w="80" w:type="dxa"/>
              <w:left w:w="100" w:type="dxa"/>
              <w:bottom w:w="80" w:type="dxa"/>
              <w:right w:w="100" w:type="dxa"/>
            </w:tcMar>
            <w:vAlign w:val="center"/>
          </w:tcPr>
          <w:p w14:paraId="7B02C44D" w14:textId="77777777" w:rsidR="00100DE9" w:rsidRDefault="00000000">
            <w:r>
              <w:t>Report kon, koff and KD</w:t>
            </w:r>
          </w:p>
        </w:tc>
      </w:tr>
      <w:tr w:rsidR="00100DE9" w14:paraId="5E6F00DC" w14:textId="77777777">
        <w:tc>
          <w:tcPr>
            <w:tcW w:w="2600" w:type="dxa"/>
            <w:tcMar>
              <w:top w:w="80" w:type="dxa"/>
              <w:left w:w="100" w:type="dxa"/>
              <w:bottom w:w="80" w:type="dxa"/>
              <w:right w:w="100" w:type="dxa"/>
            </w:tcMar>
            <w:vAlign w:val="center"/>
          </w:tcPr>
          <w:p w14:paraId="73F7AF0E" w14:textId="77777777" w:rsidR="00100DE9" w:rsidRDefault="00000000">
            <w:r>
              <w:lastRenderedPageBreak/>
              <w:t>SPR affinity ranking</w:t>
            </w:r>
          </w:p>
        </w:tc>
        <w:tc>
          <w:tcPr>
            <w:tcW w:w="2650" w:type="dxa"/>
            <w:tcMar>
              <w:top w:w="80" w:type="dxa"/>
              <w:left w:w="100" w:type="dxa"/>
              <w:bottom w:w="80" w:type="dxa"/>
              <w:right w:w="100" w:type="dxa"/>
            </w:tcMar>
            <w:vAlign w:val="center"/>
          </w:tcPr>
          <w:p w14:paraId="000396F0" w14:textId="77777777" w:rsidR="00100DE9" w:rsidRDefault="00000000">
            <w:r>
              <w:t>1 concentration (additional concentrations per Question 2 flexibility)</w:t>
            </w:r>
          </w:p>
        </w:tc>
        <w:tc>
          <w:tcPr>
            <w:tcW w:w="1600" w:type="dxa"/>
            <w:tcMar>
              <w:top w:w="80" w:type="dxa"/>
              <w:left w:w="100" w:type="dxa"/>
              <w:bottom w:w="80" w:type="dxa"/>
              <w:right w:w="100" w:type="dxa"/>
            </w:tcMar>
            <w:vAlign w:val="center"/>
          </w:tcPr>
          <w:p w14:paraId="24C22990" w14:textId="7818188B" w:rsidR="00100DE9" w:rsidRDefault="004E0843">
            <w:r w:rsidRPr="004E0843">
              <w:t xml:space="preserve">≥ </w:t>
            </w:r>
            <w:r>
              <w:t>21 antibodies, 3 batches of 7</w:t>
            </w:r>
          </w:p>
        </w:tc>
        <w:tc>
          <w:tcPr>
            <w:tcW w:w="2500" w:type="dxa"/>
            <w:tcMar>
              <w:top w:w="80" w:type="dxa"/>
              <w:left w:w="100" w:type="dxa"/>
              <w:bottom w:w="80" w:type="dxa"/>
              <w:right w:w="100" w:type="dxa"/>
            </w:tcMar>
            <w:vAlign w:val="center"/>
          </w:tcPr>
          <w:p w14:paraId="47C151E1" w14:textId="77777777" w:rsidR="00100DE9" w:rsidRDefault="00000000">
            <w:r>
              <w:t>Report kon, koff and KD</w:t>
            </w:r>
          </w:p>
        </w:tc>
      </w:tr>
    </w:tbl>
    <w:p w14:paraId="6380F174" w14:textId="77777777" w:rsidR="00100DE9" w:rsidRDefault="00100DE9">
      <w:pPr>
        <w:spacing w:after="200"/>
      </w:pPr>
    </w:p>
    <w:p w14:paraId="64BBE0CE" w14:textId="6E262970" w:rsidR="00100DE9" w:rsidRDefault="00000000">
      <w:pPr>
        <w:pStyle w:val="Heading2"/>
        <w:spacing w:before="240" w:after="120"/>
      </w:pPr>
      <w:r>
        <w:t xml:space="preserve">2.2 Arm 2 — </w:t>
      </w:r>
      <w:r w:rsidR="004E0843" w:rsidRPr="004E0843">
        <w:t xml:space="preserve">≥ </w:t>
      </w:r>
      <w:r>
        <w:t>360 Antibodies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650"/>
        <w:gridCol w:w="1600"/>
        <w:gridCol w:w="2500"/>
      </w:tblGrid>
      <w:tr w:rsidR="00100DE9" w14:paraId="4B6E75A0" w14:textId="77777777">
        <w:trPr>
          <w:tblHeader/>
        </w:trPr>
        <w:tc>
          <w:tcPr>
            <w:tcW w:w="2600" w:type="dxa"/>
            <w:shd w:val="clear" w:color="auto" w:fill="1F3864"/>
            <w:tcMar>
              <w:top w:w="80" w:type="dxa"/>
              <w:left w:w="100" w:type="dxa"/>
              <w:bottom w:w="80" w:type="dxa"/>
              <w:right w:w="100" w:type="dxa"/>
            </w:tcMar>
            <w:vAlign w:val="center"/>
          </w:tcPr>
          <w:p w14:paraId="16AC2DBC" w14:textId="77777777" w:rsidR="00100DE9" w:rsidRDefault="00000000">
            <w:r>
              <w:rPr>
                <w:b/>
                <w:bCs/>
                <w:color w:val="FFFFFF"/>
              </w:rPr>
              <w:t>Requirement</w:t>
            </w:r>
          </w:p>
        </w:tc>
        <w:tc>
          <w:tcPr>
            <w:tcW w:w="2650" w:type="dxa"/>
            <w:shd w:val="clear" w:color="auto" w:fill="1F3864"/>
            <w:tcMar>
              <w:top w:w="80" w:type="dxa"/>
              <w:left w:w="100" w:type="dxa"/>
              <w:bottom w:w="80" w:type="dxa"/>
              <w:right w:w="100" w:type="dxa"/>
            </w:tcMar>
            <w:vAlign w:val="center"/>
          </w:tcPr>
          <w:p w14:paraId="6663322D" w14:textId="77777777" w:rsidR="00100DE9" w:rsidRDefault="00000000">
            <w:r>
              <w:rPr>
                <w:b/>
                <w:bCs/>
                <w:color w:val="FFFFFF"/>
              </w:rPr>
              <w:t>Method</w:t>
            </w:r>
          </w:p>
        </w:tc>
        <w:tc>
          <w:tcPr>
            <w:tcW w:w="1600" w:type="dxa"/>
            <w:shd w:val="clear" w:color="auto" w:fill="1F3864"/>
            <w:tcMar>
              <w:top w:w="80" w:type="dxa"/>
              <w:left w:w="100" w:type="dxa"/>
              <w:bottom w:w="80" w:type="dxa"/>
              <w:right w:w="100" w:type="dxa"/>
            </w:tcMar>
            <w:vAlign w:val="center"/>
          </w:tcPr>
          <w:p w14:paraId="0688E0FC" w14:textId="75125C2A" w:rsidR="00100DE9" w:rsidRDefault="004E0843">
            <w:r>
              <w:rPr>
                <w:b/>
                <w:bCs/>
                <w:color w:val="FFFFFF"/>
              </w:rPr>
              <w:t>Minimum Number</w:t>
            </w:r>
          </w:p>
        </w:tc>
        <w:tc>
          <w:tcPr>
            <w:tcW w:w="2500" w:type="dxa"/>
            <w:shd w:val="clear" w:color="auto" w:fill="1F3864"/>
            <w:tcMar>
              <w:top w:w="80" w:type="dxa"/>
              <w:left w:w="100" w:type="dxa"/>
              <w:bottom w:w="80" w:type="dxa"/>
              <w:right w:w="100" w:type="dxa"/>
            </w:tcMar>
            <w:vAlign w:val="center"/>
          </w:tcPr>
          <w:p w14:paraId="4C2BE7F5" w14:textId="77777777" w:rsidR="00100DE9" w:rsidRDefault="00000000">
            <w:r>
              <w:rPr>
                <w:b/>
                <w:bCs/>
                <w:color w:val="FFFFFF"/>
              </w:rPr>
              <w:t>Notes</w:t>
            </w:r>
          </w:p>
        </w:tc>
      </w:tr>
      <w:tr w:rsidR="00100DE9" w14:paraId="61426A9C" w14:textId="77777777">
        <w:tc>
          <w:tcPr>
            <w:tcW w:w="2600" w:type="dxa"/>
            <w:tcMar>
              <w:top w:w="80" w:type="dxa"/>
              <w:left w:w="100" w:type="dxa"/>
              <w:bottom w:w="80" w:type="dxa"/>
              <w:right w:w="100" w:type="dxa"/>
            </w:tcMar>
            <w:vAlign w:val="center"/>
          </w:tcPr>
          <w:p w14:paraId="67A349DF" w14:textId="77777777" w:rsidR="00100DE9" w:rsidRDefault="00000000">
            <w:r>
              <w:t>Gene synthesis &amp; validation</w:t>
            </w:r>
          </w:p>
        </w:tc>
        <w:tc>
          <w:tcPr>
            <w:tcW w:w="2650" w:type="dxa"/>
            <w:tcMar>
              <w:top w:w="80" w:type="dxa"/>
              <w:left w:w="100" w:type="dxa"/>
              <w:bottom w:w="80" w:type="dxa"/>
              <w:right w:w="100" w:type="dxa"/>
            </w:tcMar>
            <w:vAlign w:val="center"/>
          </w:tcPr>
          <w:p w14:paraId="7E55EC8A" w14:textId="77777777" w:rsidR="00100DE9" w:rsidRDefault="00000000">
            <w:r w:rsidRPr="009766C2">
              <w:rPr>
                <w:lang w:val="nl-BE"/>
              </w:rPr>
              <w:t xml:space="preserve">De novo synthesis, HC + LC. </w:t>
            </w:r>
            <w:r>
              <w:t>Client supplies AA sequences; vendor performs AA-to-NA back-translation and codon optimisation.</w:t>
            </w:r>
          </w:p>
        </w:tc>
        <w:tc>
          <w:tcPr>
            <w:tcW w:w="1600" w:type="dxa"/>
            <w:tcMar>
              <w:top w:w="80" w:type="dxa"/>
              <w:left w:w="100" w:type="dxa"/>
              <w:bottom w:w="80" w:type="dxa"/>
              <w:right w:w="100" w:type="dxa"/>
            </w:tcMar>
            <w:vAlign w:val="center"/>
          </w:tcPr>
          <w:p w14:paraId="416065FD" w14:textId="1BB66256" w:rsidR="00100DE9" w:rsidRDefault="004E0843">
            <w:r w:rsidRPr="004E0843">
              <w:t xml:space="preserve">≥ </w:t>
            </w:r>
            <w:r>
              <w:t>720 sequences (360 Abs)</w:t>
            </w:r>
          </w:p>
        </w:tc>
        <w:tc>
          <w:tcPr>
            <w:tcW w:w="2500" w:type="dxa"/>
            <w:tcMar>
              <w:top w:w="80" w:type="dxa"/>
              <w:left w:w="100" w:type="dxa"/>
              <w:bottom w:w="80" w:type="dxa"/>
              <w:right w:w="100" w:type="dxa"/>
            </w:tcMar>
            <w:vAlign w:val="center"/>
          </w:tcPr>
          <w:p w14:paraId="2A357E7E" w14:textId="77777777" w:rsidR="00100DE9" w:rsidRDefault="00000000">
            <w:r>
              <w:t>Variable region &lt;300 aa: no additional cost</w:t>
            </w:r>
          </w:p>
        </w:tc>
      </w:tr>
      <w:tr w:rsidR="00100DE9" w14:paraId="62310313" w14:textId="77777777">
        <w:tc>
          <w:tcPr>
            <w:tcW w:w="2600" w:type="dxa"/>
            <w:shd w:val="clear" w:color="auto" w:fill="F5F5F5"/>
            <w:tcMar>
              <w:top w:w="80" w:type="dxa"/>
              <w:left w:w="100" w:type="dxa"/>
              <w:bottom w:w="80" w:type="dxa"/>
              <w:right w:w="100" w:type="dxa"/>
            </w:tcMar>
            <w:vAlign w:val="center"/>
          </w:tcPr>
          <w:p w14:paraId="4C00BD69" w14:textId="77777777" w:rsidR="00100DE9" w:rsidRDefault="00000000">
            <w:r>
              <w:t>Small-scale transient expression</w:t>
            </w:r>
          </w:p>
        </w:tc>
        <w:tc>
          <w:tcPr>
            <w:tcW w:w="2650" w:type="dxa"/>
            <w:shd w:val="clear" w:color="auto" w:fill="F5F5F5"/>
            <w:tcMar>
              <w:top w:w="80" w:type="dxa"/>
              <w:left w:w="100" w:type="dxa"/>
              <w:bottom w:w="80" w:type="dxa"/>
              <w:right w:w="100" w:type="dxa"/>
            </w:tcMar>
            <w:vAlign w:val="center"/>
          </w:tcPr>
          <w:p w14:paraId="536F3DB5" w14:textId="77777777" w:rsidR="00100DE9" w:rsidRDefault="00000000">
            <w:r>
              <w:t>4 mL transient expression</w:t>
            </w:r>
          </w:p>
        </w:tc>
        <w:tc>
          <w:tcPr>
            <w:tcW w:w="1600" w:type="dxa"/>
            <w:shd w:val="clear" w:color="auto" w:fill="F5F5F5"/>
            <w:tcMar>
              <w:top w:w="80" w:type="dxa"/>
              <w:left w:w="100" w:type="dxa"/>
              <w:bottom w:w="80" w:type="dxa"/>
              <w:right w:w="100" w:type="dxa"/>
            </w:tcMar>
            <w:vAlign w:val="center"/>
          </w:tcPr>
          <w:p w14:paraId="6D9F3D6A" w14:textId="4C3FC62F" w:rsidR="00100DE9" w:rsidRDefault="004E0843">
            <w:r w:rsidRPr="004E0843">
              <w:t xml:space="preserve">≥ </w:t>
            </w:r>
            <w:r>
              <w:t>360 antibodies, 3 batches of 120</w:t>
            </w:r>
          </w:p>
        </w:tc>
        <w:tc>
          <w:tcPr>
            <w:tcW w:w="2500" w:type="dxa"/>
            <w:shd w:val="clear" w:color="auto" w:fill="F5F5F5"/>
            <w:tcMar>
              <w:top w:w="80" w:type="dxa"/>
              <w:left w:w="100" w:type="dxa"/>
              <w:bottom w:w="80" w:type="dxa"/>
              <w:right w:w="100" w:type="dxa"/>
            </w:tcMar>
            <w:vAlign w:val="center"/>
          </w:tcPr>
          <w:p w14:paraId="11040498" w14:textId="77777777" w:rsidR="00100DE9" w:rsidRDefault="00100DE9"/>
        </w:tc>
      </w:tr>
      <w:tr w:rsidR="00100DE9" w14:paraId="0F96BE59" w14:textId="77777777">
        <w:tc>
          <w:tcPr>
            <w:tcW w:w="2600" w:type="dxa"/>
            <w:tcMar>
              <w:top w:w="80" w:type="dxa"/>
              <w:left w:w="100" w:type="dxa"/>
              <w:bottom w:w="80" w:type="dxa"/>
              <w:right w:w="100" w:type="dxa"/>
            </w:tcMar>
            <w:vAlign w:val="center"/>
          </w:tcPr>
          <w:p w14:paraId="0D4FD12A" w14:textId="77777777" w:rsidR="00100DE9" w:rsidRDefault="00000000">
            <w:r>
              <w:t>Titre analysis (BLI)</w:t>
            </w:r>
          </w:p>
        </w:tc>
        <w:tc>
          <w:tcPr>
            <w:tcW w:w="2650" w:type="dxa"/>
            <w:tcMar>
              <w:top w:w="80" w:type="dxa"/>
              <w:left w:w="100" w:type="dxa"/>
              <w:bottom w:w="80" w:type="dxa"/>
              <w:right w:w="100" w:type="dxa"/>
            </w:tcMar>
            <w:vAlign w:val="center"/>
          </w:tcPr>
          <w:p w14:paraId="4A17E2E4" w14:textId="77777777" w:rsidR="00100DE9" w:rsidRDefault="00000000">
            <w:r>
              <w:t>BLI, 2 biological duplicates — same instrument used for binding/affinity ranking below</w:t>
            </w:r>
          </w:p>
        </w:tc>
        <w:tc>
          <w:tcPr>
            <w:tcW w:w="1600" w:type="dxa"/>
            <w:tcMar>
              <w:top w:w="80" w:type="dxa"/>
              <w:left w:w="100" w:type="dxa"/>
              <w:bottom w:w="80" w:type="dxa"/>
              <w:right w:w="100" w:type="dxa"/>
            </w:tcMar>
            <w:vAlign w:val="center"/>
          </w:tcPr>
          <w:p w14:paraId="11682C3B" w14:textId="07373D6F" w:rsidR="00100DE9" w:rsidRDefault="004E0843">
            <w:r w:rsidRPr="004E0843">
              <w:t xml:space="preserve">≥ </w:t>
            </w:r>
            <w:r>
              <w:t>360 antibodies, 3 batches of 120</w:t>
            </w:r>
          </w:p>
        </w:tc>
        <w:tc>
          <w:tcPr>
            <w:tcW w:w="2500" w:type="dxa"/>
            <w:tcMar>
              <w:top w:w="80" w:type="dxa"/>
              <w:left w:w="100" w:type="dxa"/>
              <w:bottom w:w="80" w:type="dxa"/>
              <w:right w:w="100" w:type="dxa"/>
            </w:tcMar>
            <w:vAlign w:val="center"/>
          </w:tcPr>
          <w:p w14:paraId="6475A062" w14:textId="77777777" w:rsidR="00100DE9" w:rsidRDefault="00000000">
            <w:r>
              <w:t>A decision may be taken to use SPR instead of BLI; vendor to price and describe both scenarios</w:t>
            </w:r>
          </w:p>
        </w:tc>
      </w:tr>
      <w:tr w:rsidR="00100DE9" w14:paraId="3386B984" w14:textId="77777777">
        <w:tc>
          <w:tcPr>
            <w:tcW w:w="2600" w:type="dxa"/>
            <w:shd w:val="clear" w:color="auto" w:fill="F5F5F5"/>
            <w:tcMar>
              <w:top w:w="80" w:type="dxa"/>
              <w:left w:w="100" w:type="dxa"/>
              <w:bottom w:w="80" w:type="dxa"/>
              <w:right w:w="100" w:type="dxa"/>
            </w:tcMar>
            <w:vAlign w:val="center"/>
          </w:tcPr>
          <w:p w14:paraId="251121A5" w14:textId="77777777" w:rsidR="00100DE9" w:rsidRDefault="00000000">
            <w:r>
              <w:t>Scale-up transient expression</w:t>
            </w:r>
          </w:p>
        </w:tc>
        <w:tc>
          <w:tcPr>
            <w:tcW w:w="2650" w:type="dxa"/>
            <w:shd w:val="clear" w:color="auto" w:fill="F5F5F5"/>
            <w:tcMar>
              <w:top w:w="80" w:type="dxa"/>
              <w:left w:w="100" w:type="dxa"/>
              <w:bottom w:w="80" w:type="dxa"/>
              <w:right w:w="100" w:type="dxa"/>
            </w:tcMar>
            <w:vAlign w:val="center"/>
          </w:tcPr>
          <w:p w14:paraId="1D446B18" w14:textId="77777777" w:rsidR="00100DE9" w:rsidRDefault="00000000">
            <w:r>
              <w:t>250 mL, for purification + BLI</w:t>
            </w:r>
          </w:p>
        </w:tc>
        <w:tc>
          <w:tcPr>
            <w:tcW w:w="1600" w:type="dxa"/>
            <w:shd w:val="clear" w:color="auto" w:fill="F5F5F5"/>
            <w:tcMar>
              <w:top w:w="80" w:type="dxa"/>
              <w:left w:w="100" w:type="dxa"/>
              <w:bottom w:w="80" w:type="dxa"/>
              <w:right w:w="100" w:type="dxa"/>
            </w:tcMar>
            <w:vAlign w:val="center"/>
          </w:tcPr>
          <w:p w14:paraId="64CD3B61" w14:textId="118C2610" w:rsidR="00100DE9" w:rsidRDefault="004E0843">
            <w:r w:rsidRPr="004E0843">
              <w:t xml:space="preserve">≥ </w:t>
            </w:r>
            <w:r>
              <w:t>36 antibodies, 3 batches of 12</w:t>
            </w:r>
          </w:p>
        </w:tc>
        <w:tc>
          <w:tcPr>
            <w:tcW w:w="2500" w:type="dxa"/>
            <w:shd w:val="clear" w:color="auto" w:fill="F5F5F5"/>
            <w:tcMar>
              <w:top w:w="80" w:type="dxa"/>
              <w:left w:w="100" w:type="dxa"/>
              <w:bottom w:w="80" w:type="dxa"/>
              <w:right w:w="100" w:type="dxa"/>
            </w:tcMar>
            <w:vAlign w:val="center"/>
          </w:tcPr>
          <w:p w14:paraId="306BD2E7" w14:textId="77777777" w:rsidR="00100DE9" w:rsidRDefault="00100DE9"/>
        </w:tc>
      </w:tr>
      <w:tr w:rsidR="00100DE9" w14:paraId="5F530DF9" w14:textId="77777777">
        <w:tc>
          <w:tcPr>
            <w:tcW w:w="2600" w:type="dxa"/>
            <w:tcMar>
              <w:top w:w="80" w:type="dxa"/>
              <w:left w:w="100" w:type="dxa"/>
              <w:bottom w:w="80" w:type="dxa"/>
              <w:right w:w="100" w:type="dxa"/>
            </w:tcMar>
            <w:vAlign w:val="center"/>
          </w:tcPr>
          <w:p w14:paraId="5287CF60" w14:textId="77777777" w:rsidR="00100DE9" w:rsidRDefault="00000000">
            <w:r>
              <w:t>Protein purification</w:t>
            </w:r>
          </w:p>
        </w:tc>
        <w:tc>
          <w:tcPr>
            <w:tcW w:w="2650" w:type="dxa"/>
            <w:tcMar>
              <w:top w:w="80" w:type="dxa"/>
              <w:left w:w="100" w:type="dxa"/>
              <w:bottom w:w="80" w:type="dxa"/>
              <w:right w:w="100" w:type="dxa"/>
            </w:tcMar>
            <w:vAlign w:val="center"/>
          </w:tcPr>
          <w:p w14:paraId="3F2B6839" w14:textId="77777777" w:rsidR="00100DE9" w:rsidRDefault="00000000">
            <w:r>
              <w:t>One-step standard; optional second-step</w:t>
            </w:r>
          </w:p>
        </w:tc>
        <w:tc>
          <w:tcPr>
            <w:tcW w:w="1600" w:type="dxa"/>
            <w:tcMar>
              <w:top w:w="80" w:type="dxa"/>
              <w:left w:w="100" w:type="dxa"/>
              <w:bottom w:w="80" w:type="dxa"/>
              <w:right w:w="100" w:type="dxa"/>
            </w:tcMar>
            <w:vAlign w:val="center"/>
          </w:tcPr>
          <w:p w14:paraId="7F4A1E15" w14:textId="290DEB72" w:rsidR="00100DE9" w:rsidRDefault="004E0843">
            <w:r w:rsidRPr="004E0843">
              <w:t xml:space="preserve">≥ </w:t>
            </w:r>
            <w:r>
              <w:t>36 antibodies, 3 batches of 12</w:t>
            </w:r>
          </w:p>
        </w:tc>
        <w:tc>
          <w:tcPr>
            <w:tcW w:w="2500" w:type="dxa"/>
            <w:tcMar>
              <w:top w:w="80" w:type="dxa"/>
              <w:left w:w="100" w:type="dxa"/>
              <w:bottom w:w="80" w:type="dxa"/>
              <w:right w:w="100" w:type="dxa"/>
            </w:tcMar>
            <w:vAlign w:val="center"/>
          </w:tcPr>
          <w:p w14:paraId="5971017D" w14:textId="77777777" w:rsidR="00100DE9" w:rsidRDefault="00000000">
            <w:r>
              <w:t>One-step: no additional cost</w:t>
            </w:r>
          </w:p>
        </w:tc>
      </w:tr>
      <w:tr w:rsidR="00100DE9" w14:paraId="1259EDB7" w14:textId="77777777">
        <w:tc>
          <w:tcPr>
            <w:tcW w:w="2600" w:type="dxa"/>
            <w:shd w:val="clear" w:color="auto" w:fill="F5F5F5"/>
            <w:tcMar>
              <w:top w:w="80" w:type="dxa"/>
              <w:left w:w="100" w:type="dxa"/>
              <w:bottom w:w="80" w:type="dxa"/>
              <w:right w:w="100" w:type="dxa"/>
            </w:tcMar>
            <w:vAlign w:val="center"/>
          </w:tcPr>
          <w:p w14:paraId="104BE313" w14:textId="77777777" w:rsidR="00100DE9" w:rsidRDefault="00000000">
            <w:r>
              <w:t>BLI affinity ranking</w:t>
            </w:r>
          </w:p>
        </w:tc>
        <w:tc>
          <w:tcPr>
            <w:tcW w:w="2650" w:type="dxa"/>
            <w:shd w:val="clear" w:color="auto" w:fill="F5F5F5"/>
            <w:tcMar>
              <w:top w:w="80" w:type="dxa"/>
              <w:left w:w="100" w:type="dxa"/>
              <w:bottom w:w="80" w:type="dxa"/>
              <w:right w:w="100" w:type="dxa"/>
            </w:tcMar>
            <w:vAlign w:val="center"/>
          </w:tcPr>
          <w:p w14:paraId="4A530CAB" w14:textId="77777777" w:rsidR="00100DE9" w:rsidRDefault="00000000">
            <w:r>
              <w:t>1 concentration (additional concentrations per Question 2 flexibility)</w:t>
            </w:r>
          </w:p>
        </w:tc>
        <w:tc>
          <w:tcPr>
            <w:tcW w:w="1600" w:type="dxa"/>
            <w:shd w:val="clear" w:color="auto" w:fill="F5F5F5"/>
            <w:tcMar>
              <w:top w:w="80" w:type="dxa"/>
              <w:left w:w="100" w:type="dxa"/>
              <w:bottom w:w="80" w:type="dxa"/>
              <w:right w:w="100" w:type="dxa"/>
            </w:tcMar>
            <w:vAlign w:val="center"/>
          </w:tcPr>
          <w:p w14:paraId="6F19E1DF" w14:textId="34954D84" w:rsidR="00100DE9" w:rsidRDefault="004E0843">
            <w:r w:rsidRPr="004E0843">
              <w:t xml:space="preserve">≥ </w:t>
            </w:r>
            <w:r>
              <w:t>36 antibodies, 3 batches of 12</w:t>
            </w:r>
          </w:p>
        </w:tc>
        <w:tc>
          <w:tcPr>
            <w:tcW w:w="2500" w:type="dxa"/>
            <w:shd w:val="clear" w:color="auto" w:fill="F5F5F5"/>
            <w:tcMar>
              <w:top w:w="80" w:type="dxa"/>
              <w:left w:w="100" w:type="dxa"/>
              <w:bottom w:w="80" w:type="dxa"/>
              <w:right w:w="100" w:type="dxa"/>
            </w:tcMar>
            <w:vAlign w:val="center"/>
          </w:tcPr>
          <w:p w14:paraId="4EFB1B7A" w14:textId="77777777" w:rsidR="00100DE9" w:rsidRDefault="00000000">
            <w:r>
              <w:t>Report kon, koff and KD</w:t>
            </w:r>
          </w:p>
        </w:tc>
      </w:tr>
    </w:tbl>
    <w:p w14:paraId="1F014985" w14:textId="77777777" w:rsidR="00100DE9" w:rsidRDefault="00000000">
      <w:r>
        <w:br w:type="page"/>
      </w:r>
    </w:p>
    <w:p w14:paraId="0F6E2419" w14:textId="77777777" w:rsidR="00100DE9" w:rsidRDefault="00000000">
      <w:pPr>
        <w:pStyle w:val="Heading1"/>
        <w:spacing w:before="320" w:after="160"/>
      </w:pPr>
      <w:r>
        <w:lastRenderedPageBreak/>
        <w:t>3. How to Respond to This Request</w:t>
      </w:r>
    </w:p>
    <w:p w14:paraId="0F6B9014" w14:textId="77777777" w:rsidR="00100DE9" w:rsidRDefault="00000000">
      <w:pPr>
        <w:spacing w:after="160"/>
      </w:pPr>
      <w:r>
        <w:t>Vendors must submit a completed response using the accompanying RFT Evaluation Workbook together with any supporting attachments referenced from it. Please do not submit a separate free-text technical proposal in place of the workbook; a narrative technical proposal may be attached in addition, but the workbook is the primary evaluated document.</w:t>
      </w:r>
    </w:p>
    <w:p w14:paraId="2C82FD33" w14:textId="77777777" w:rsidR="00100DE9" w:rsidRDefault="00000000">
      <w:pPr>
        <w:pStyle w:val="Heading2"/>
        <w:spacing w:before="240" w:after="120"/>
      </w:pPr>
      <w:r>
        <w:t>3.1 Requirements tab</w:t>
      </w:r>
    </w:p>
    <w:p w14:paraId="38384E44" w14:textId="77777777" w:rsidR="00100DE9" w:rsidRDefault="00000000">
      <w:pPr>
        <w:pStyle w:val="ListParagraph"/>
        <w:numPr>
          <w:ilvl w:val="0"/>
          <w:numId w:val="3"/>
        </w:numPr>
        <w:spacing w:after="80"/>
      </w:pPr>
      <w:r>
        <w:t>Each row is an individually scored requirement, grouped under four categories: Technical Capability &amp; Platform Qualification; Flexibility &amp; Change Management; Cost &amp; Value; and Track Record, Case Studies &amp; References.</w:t>
      </w:r>
    </w:p>
    <w:p w14:paraId="631F5E25" w14:textId="77777777" w:rsidR="00100DE9" w:rsidRDefault="00000000">
      <w:pPr>
        <w:pStyle w:val="ListParagraph"/>
        <w:numPr>
          <w:ilvl w:val="0"/>
          <w:numId w:val="3"/>
        </w:numPr>
        <w:spacing w:after="80"/>
      </w:pPr>
      <w:r>
        <w:t>For each row, tick the “Per Vendor” column to confirm you are responding to that requirement, and provide your full narrative response in the “Notes from Vendor” column (or reference a numbered attachment where a full answer will not fit, e.g. case study documents, CVs, or accreditation certificates).</w:t>
      </w:r>
    </w:p>
    <w:p w14:paraId="456B8A4E" w14:textId="77777777" w:rsidR="00100DE9" w:rsidRDefault="00000000">
      <w:pPr>
        <w:pStyle w:val="ListParagraph"/>
        <w:numPr>
          <w:ilvl w:val="0"/>
          <w:numId w:val="3"/>
        </w:numPr>
        <w:spacing w:after="80"/>
      </w:pPr>
      <w:r>
        <w:t>Do not edit the “Max Marks” column, the requirement wording, or any cell not shaded orange — these are fixed and used for scoring.</w:t>
      </w:r>
    </w:p>
    <w:p w14:paraId="49A5BC82" w14:textId="77777777" w:rsidR="00100DE9" w:rsidRDefault="00000000">
      <w:pPr>
        <w:pStyle w:val="ListParagraph"/>
        <w:numPr>
          <w:ilvl w:val="0"/>
          <w:numId w:val="3"/>
        </w:numPr>
        <w:spacing w:after="80"/>
      </w:pPr>
      <w:r>
        <w:t>Several rows explicitly request anonymised historical data from at least three comparable prior programmes (ideally batches of &gt;100 antibodies/constructs where possible). This historical performance data is a significant component of the technical evaluation and should be as complete and specific as possible; generic assurances without supporting data will score poorly.</w:t>
      </w:r>
    </w:p>
    <w:p w14:paraId="763DAFD3" w14:textId="77777777" w:rsidR="00100DE9" w:rsidRDefault="00000000">
      <w:pPr>
        <w:pStyle w:val="Heading2"/>
        <w:spacing w:before="240" w:after="120"/>
      </w:pPr>
      <w:r>
        <w:t>3.2 Pricing tabs</w:t>
      </w:r>
    </w:p>
    <w:p w14:paraId="378F215F" w14:textId="77777777" w:rsidR="00100DE9" w:rsidRDefault="00000000">
      <w:pPr>
        <w:pStyle w:val="ListParagraph"/>
        <w:numPr>
          <w:ilvl w:val="0"/>
          <w:numId w:val="3"/>
        </w:numPr>
        <w:spacing w:after="80"/>
      </w:pPr>
      <w:r>
        <w:t>Complete the orange “Unit Price (€)” cells in the Pricing – Arm 1 and Pricing – Arm 2 tabs. Batch costs, total costs, and the grand total versus the €375,000 cap will calculate automatically in the Pricing Summary tab.</w:t>
      </w:r>
    </w:p>
    <w:p w14:paraId="09000CC3" w14:textId="77777777" w:rsidR="00100DE9" w:rsidRDefault="00000000">
      <w:pPr>
        <w:pStyle w:val="ListParagraph"/>
        <w:numPr>
          <w:ilvl w:val="0"/>
          <w:numId w:val="3"/>
        </w:numPr>
        <w:spacing w:after="80"/>
      </w:pPr>
      <w:r>
        <w:t>Do not edit quantities, batch numbers, or formulas. If your organisation requires different batch sizes to remain cost-effective, state this in your response to the batch-size flexibility requirement rather than editing the quantities directly.</w:t>
      </w:r>
    </w:p>
    <w:p w14:paraId="61F640BF" w14:textId="77777777" w:rsidR="00100DE9" w:rsidRDefault="00000000">
      <w:pPr>
        <w:pStyle w:val="ListParagraph"/>
        <w:numPr>
          <w:ilvl w:val="0"/>
          <w:numId w:val="3"/>
        </w:numPr>
        <w:spacing w:after="80"/>
      </w:pPr>
      <w:r>
        <w:t>The Pricing Summary tab also requests separate scenario pricing for BLI-only and SPR-only delivery of Arm 1, per the BLI vs SPR flexibility requirement.</w:t>
      </w:r>
    </w:p>
    <w:p w14:paraId="3F1ECA29" w14:textId="77777777" w:rsidR="00100DE9" w:rsidRDefault="00000000">
      <w:pPr>
        <w:pStyle w:val="Heading2"/>
        <w:spacing w:before="240" w:after="120"/>
      </w:pPr>
      <w:r>
        <w:t>3.3 Attachments</w:t>
      </w:r>
    </w:p>
    <w:p w14:paraId="1B3E5A84" w14:textId="77777777" w:rsidR="00100DE9" w:rsidRDefault="00000000">
      <w:pPr>
        <w:pStyle w:val="ListParagraph"/>
        <w:numPr>
          <w:ilvl w:val="0"/>
          <w:numId w:val="3"/>
        </w:numPr>
        <w:spacing w:after="80"/>
      </w:pPr>
      <w:r>
        <w:t>Case studies and references (anonymised where necessary)</w:t>
      </w:r>
    </w:p>
    <w:p w14:paraId="422348B4" w14:textId="7EA1DB74" w:rsidR="00100DE9" w:rsidRDefault="0057052F">
      <w:pPr>
        <w:pStyle w:val="ListParagraph"/>
        <w:numPr>
          <w:ilvl w:val="0"/>
          <w:numId w:val="3"/>
        </w:numPr>
        <w:spacing w:after="80"/>
      </w:pPr>
      <w:r>
        <w:t>Qualifications or role summaries for key analysts/scientists proposed for this programme</w:t>
      </w:r>
    </w:p>
    <w:p w14:paraId="5EA8F78E" w14:textId="77777777" w:rsidR="00100DE9" w:rsidRDefault="00000000">
      <w:pPr>
        <w:pStyle w:val="ListParagraph"/>
        <w:numPr>
          <w:ilvl w:val="0"/>
          <w:numId w:val="3"/>
        </w:numPr>
        <w:spacing w:after="80"/>
      </w:pPr>
      <w:r>
        <w:t>Relevant accreditations/certifications</w:t>
      </w:r>
    </w:p>
    <w:p w14:paraId="132DFE72" w14:textId="77777777" w:rsidR="00100DE9" w:rsidRDefault="00000000">
      <w:pPr>
        <w:pStyle w:val="ListParagraph"/>
        <w:numPr>
          <w:ilvl w:val="0"/>
          <w:numId w:val="3"/>
        </w:numPr>
        <w:spacing w:after="80"/>
      </w:pPr>
      <w:r>
        <w:t>Any narrative technical proposal or company overview the vendor wishes to include in addition to the workbook</w:t>
      </w:r>
    </w:p>
    <w:p w14:paraId="6687188E" w14:textId="77777777" w:rsidR="00100DE9" w:rsidRDefault="00000000">
      <w:pPr>
        <w:pStyle w:val="Heading1"/>
        <w:spacing w:before="320" w:after="160"/>
      </w:pPr>
      <w:r>
        <w:t>4. Evaluation Criteria and Weightings</w:t>
      </w:r>
    </w:p>
    <w:p w14:paraId="67C5E1D1" w14:textId="77777777" w:rsidR="00100DE9" w:rsidRDefault="00000000">
      <w:pPr>
        <w:spacing w:after="160"/>
      </w:pPr>
      <w:r>
        <w:t>Proposals will be evaluated against the four categories below, each scored out of the points shown, for a maximum total of 1000. The full set of individually scored requirements underlying each category is set out in the Requirements tab of the RFT Evaluation Workbook.</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00"/>
        <w:gridCol w:w="2000"/>
        <w:gridCol w:w="1850"/>
      </w:tblGrid>
      <w:tr w:rsidR="00100DE9" w14:paraId="75D3E503" w14:textId="77777777">
        <w:trPr>
          <w:tblHeader/>
        </w:trPr>
        <w:tc>
          <w:tcPr>
            <w:tcW w:w="5500" w:type="dxa"/>
            <w:shd w:val="clear" w:color="auto" w:fill="1F3864"/>
            <w:tcMar>
              <w:top w:w="80" w:type="dxa"/>
              <w:left w:w="100" w:type="dxa"/>
              <w:bottom w:w="80" w:type="dxa"/>
              <w:right w:w="100" w:type="dxa"/>
            </w:tcMar>
            <w:vAlign w:val="center"/>
          </w:tcPr>
          <w:p w14:paraId="2D74EDC9" w14:textId="77777777" w:rsidR="00100DE9" w:rsidRDefault="00000000">
            <w:r>
              <w:rPr>
                <w:b/>
                <w:bCs/>
                <w:color w:val="FFFFFF"/>
              </w:rPr>
              <w:t>Award Criterion</w:t>
            </w:r>
          </w:p>
        </w:tc>
        <w:tc>
          <w:tcPr>
            <w:tcW w:w="2000" w:type="dxa"/>
            <w:shd w:val="clear" w:color="auto" w:fill="1F3864"/>
            <w:tcMar>
              <w:top w:w="80" w:type="dxa"/>
              <w:left w:w="100" w:type="dxa"/>
              <w:bottom w:w="80" w:type="dxa"/>
              <w:right w:w="100" w:type="dxa"/>
            </w:tcMar>
            <w:vAlign w:val="center"/>
          </w:tcPr>
          <w:p w14:paraId="79D31035" w14:textId="77777777" w:rsidR="00100DE9" w:rsidRDefault="00000000">
            <w:r>
              <w:rPr>
                <w:b/>
                <w:bCs/>
                <w:color w:val="FFFFFF"/>
              </w:rPr>
              <w:t>Weighting</w:t>
            </w:r>
          </w:p>
        </w:tc>
        <w:tc>
          <w:tcPr>
            <w:tcW w:w="1850" w:type="dxa"/>
            <w:shd w:val="clear" w:color="auto" w:fill="1F3864"/>
            <w:tcMar>
              <w:top w:w="80" w:type="dxa"/>
              <w:left w:w="100" w:type="dxa"/>
              <w:bottom w:w="80" w:type="dxa"/>
              <w:right w:w="100" w:type="dxa"/>
            </w:tcMar>
            <w:vAlign w:val="center"/>
          </w:tcPr>
          <w:p w14:paraId="3121B971" w14:textId="77777777" w:rsidR="00100DE9" w:rsidRDefault="00000000">
            <w:r>
              <w:rPr>
                <w:b/>
                <w:bCs/>
                <w:color w:val="FFFFFF"/>
              </w:rPr>
              <w:t>Max Score</w:t>
            </w:r>
          </w:p>
        </w:tc>
      </w:tr>
      <w:tr w:rsidR="00100DE9" w14:paraId="7002D71C" w14:textId="77777777">
        <w:tc>
          <w:tcPr>
            <w:tcW w:w="5500" w:type="dxa"/>
            <w:tcMar>
              <w:top w:w="80" w:type="dxa"/>
              <w:left w:w="100" w:type="dxa"/>
              <w:bottom w:w="80" w:type="dxa"/>
              <w:right w:w="100" w:type="dxa"/>
            </w:tcMar>
            <w:vAlign w:val="center"/>
          </w:tcPr>
          <w:p w14:paraId="5D05906F" w14:textId="77777777" w:rsidR="00100DE9" w:rsidRDefault="00000000">
            <w:r>
              <w:t>Technical Capability &amp; Platform Qualification</w:t>
            </w:r>
          </w:p>
        </w:tc>
        <w:tc>
          <w:tcPr>
            <w:tcW w:w="2000" w:type="dxa"/>
            <w:tcMar>
              <w:top w:w="80" w:type="dxa"/>
              <w:left w:w="100" w:type="dxa"/>
              <w:bottom w:w="80" w:type="dxa"/>
              <w:right w:w="100" w:type="dxa"/>
            </w:tcMar>
            <w:vAlign w:val="center"/>
          </w:tcPr>
          <w:p w14:paraId="3982E557" w14:textId="77777777" w:rsidR="00100DE9" w:rsidRDefault="00000000">
            <w:r>
              <w:t>35%</w:t>
            </w:r>
          </w:p>
        </w:tc>
        <w:tc>
          <w:tcPr>
            <w:tcW w:w="1850" w:type="dxa"/>
            <w:tcMar>
              <w:top w:w="80" w:type="dxa"/>
              <w:left w:w="100" w:type="dxa"/>
              <w:bottom w:w="80" w:type="dxa"/>
              <w:right w:w="100" w:type="dxa"/>
            </w:tcMar>
            <w:vAlign w:val="center"/>
          </w:tcPr>
          <w:p w14:paraId="6DA50D79" w14:textId="77777777" w:rsidR="00100DE9" w:rsidRDefault="00000000">
            <w:r>
              <w:t>350</w:t>
            </w:r>
          </w:p>
        </w:tc>
      </w:tr>
      <w:tr w:rsidR="00100DE9" w14:paraId="161C0657" w14:textId="77777777">
        <w:tc>
          <w:tcPr>
            <w:tcW w:w="5500" w:type="dxa"/>
            <w:shd w:val="clear" w:color="auto" w:fill="F5F5F5"/>
            <w:tcMar>
              <w:top w:w="80" w:type="dxa"/>
              <w:left w:w="100" w:type="dxa"/>
              <w:bottom w:w="80" w:type="dxa"/>
              <w:right w:w="100" w:type="dxa"/>
            </w:tcMar>
            <w:vAlign w:val="center"/>
          </w:tcPr>
          <w:p w14:paraId="38034CA0" w14:textId="77777777" w:rsidR="00100DE9" w:rsidRDefault="00000000">
            <w:r>
              <w:t>Flexibility &amp; Change Management</w:t>
            </w:r>
          </w:p>
        </w:tc>
        <w:tc>
          <w:tcPr>
            <w:tcW w:w="2000" w:type="dxa"/>
            <w:shd w:val="clear" w:color="auto" w:fill="F5F5F5"/>
            <w:tcMar>
              <w:top w:w="80" w:type="dxa"/>
              <w:left w:w="100" w:type="dxa"/>
              <w:bottom w:w="80" w:type="dxa"/>
              <w:right w:w="100" w:type="dxa"/>
            </w:tcMar>
            <w:vAlign w:val="center"/>
          </w:tcPr>
          <w:p w14:paraId="719F6EEA" w14:textId="77777777" w:rsidR="00100DE9" w:rsidRDefault="00000000">
            <w:r>
              <w:t>30%</w:t>
            </w:r>
          </w:p>
        </w:tc>
        <w:tc>
          <w:tcPr>
            <w:tcW w:w="1850" w:type="dxa"/>
            <w:shd w:val="clear" w:color="auto" w:fill="F5F5F5"/>
            <w:tcMar>
              <w:top w:w="80" w:type="dxa"/>
              <w:left w:w="100" w:type="dxa"/>
              <w:bottom w:w="80" w:type="dxa"/>
              <w:right w:w="100" w:type="dxa"/>
            </w:tcMar>
            <w:vAlign w:val="center"/>
          </w:tcPr>
          <w:p w14:paraId="0C6EEA37" w14:textId="77777777" w:rsidR="00100DE9" w:rsidRDefault="00000000">
            <w:r>
              <w:t>300</w:t>
            </w:r>
          </w:p>
        </w:tc>
      </w:tr>
      <w:tr w:rsidR="00100DE9" w14:paraId="138E2535" w14:textId="77777777">
        <w:tc>
          <w:tcPr>
            <w:tcW w:w="5500" w:type="dxa"/>
            <w:tcMar>
              <w:top w:w="80" w:type="dxa"/>
              <w:left w:w="100" w:type="dxa"/>
              <w:bottom w:w="80" w:type="dxa"/>
              <w:right w:w="100" w:type="dxa"/>
            </w:tcMar>
            <w:vAlign w:val="center"/>
          </w:tcPr>
          <w:p w14:paraId="4C2C0096" w14:textId="77777777" w:rsidR="00100DE9" w:rsidRDefault="00000000">
            <w:r>
              <w:t>Cost &amp; Value</w:t>
            </w:r>
          </w:p>
        </w:tc>
        <w:tc>
          <w:tcPr>
            <w:tcW w:w="2000" w:type="dxa"/>
            <w:tcMar>
              <w:top w:w="80" w:type="dxa"/>
              <w:left w:w="100" w:type="dxa"/>
              <w:bottom w:w="80" w:type="dxa"/>
              <w:right w:w="100" w:type="dxa"/>
            </w:tcMar>
            <w:vAlign w:val="center"/>
          </w:tcPr>
          <w:p w14:paraId="4F1F512F" w14:textId="77777777" w:rsidR="00100DE9" w:rsidRDefault="00000000">
            <w:r>
              <w:t>25%</w:t>
            </w:r>
          </w:p>
        </w:tc>
        <w:tc>
          <w:tcPr>
            <w:tcW w:w="1850" w:type="dxa"/>
            <w:tcMar>
              <w:top w:w="80" w:type="dxa"/>
              <w:left w:w="100" w:type="dxa"/>
              <w:bottom w:w="80" w:type="dxa"/>
              <w:right w:w="100" w:type="dxa"/>
            </w:tcMar>
            <w:vAlign w:val="center"/>
          </w:tcPr>
          <w:p w14:paraId="7F7A57FB" w14:textId="77777777" w:rsidR="00100DE9" w:rsidRDefault="00000000">
            <w:r>
              <w:t>250</w:t>
            </w:r>
          </w:p>
        </w:tc>
      </w:tr>
      <w:tr w:rsidR="00100DE9" w14:paraId="38751E43" w14:textId="77777777">
        <w:tc>
          <w:tcPr>
            <w:tcW w:w="5500" w:type="dxa"/>
            <w:shd w:val="clear" w:color="auto" w:fill="F5F5F5"/>
            <w:tcMar>
              <w:top w:w="80" w:type="dxa"/>
              <w:left w:w="100" w:type="dxa"/>
              <w:bottom w:w="80" w:type="dxa"/>
              <w:right w:w="100" w:type="dxa"/>
            </w:tcMar>
            <w:vAlign w:val="center"/>
          </w:tcPr>
          <w:p w14:paraId="4F3620D2" w14:textId="77777777" w:rsidR="00100DE9" w:rsidRDefault="00000000">
            <w:r>
              <w:t>Track Record, Case Studies &amp; References</w:t>
            </w:r>
          </w:p>
        </w:tc>
        <w:tc>
          <w:tcPr>
            <w:tcW w:w="2000" w:type="dxa"/>
            <w:shd w:val="clear" w:color="auto" w:fill="F5F5F5"/>
            <w:tcMar>
              <w:top w:w="80" w:type="dxa"/>
              <w:left w:w="100" w:type="dxa"/>
              <w:bottom w:w="80" w:type="dxa"/>
              <w:right w:w="100" w:type="dxa"/>
            </w:tcMar>
            <w:vAlign w:val="center"/>
          </w:tcPr>
          <w:p w14:paraId="6A95E577" w14:textId="77777777" w:rsidR="00100DE9" w:rsidRDefault="00000000">
            <w:r>
              <w:t>10%</w:t>
            </w:r>
          </w:p>
        </w:tc>
        <w:tc>
          <w:tcPr>
            <w:tcW w:w="1850" w:type="dxa"/>
            <w:shd w:val="clear" w:color="auto" w:fill="F5F5F5"/>
            <w:tcMar>
              <w:top w:w="80" w:type="dxa"/>
              <w:left w:w="100" w:type="dxa"/>
              <w:bottom w:w="80" w:type="dxa"/>
              <w:right w:w="100" w:type="dxa"/>
            </w:tcMar>
            <w:vAlign w:val="center"/>
          </w:tcPr>
          <w:p w14:paraId="1390E385" w14:textId="77777777" w:rsidR="00100DE9" w:rsidRDefault="00000000">
            <w:r>
              <w:t>100</w:t>
            </w:r>
          </w:p>
        </w:tc>
      </w:tr>
      <w:tr w:rsidR="00100DE9" w14:paraId="3FA4B105" w14:textId="77777777">
        <w:tc>
          <w:tcPr>
            <w:tcW w:w="5500" w:type="dxa"/>
            <w:tcMar>
              <w:top w:w="80" w:type="dxa"/>
              <w:left w:w="100" w:type="dxa"/>
              <w:bottom w:w="80" w:type="dxa"/>
              <w:right w:w="100" w:type="dxa"/>
            </w:tcMar>
            <w:vAlign w:val="center"/>
          </w:tcPr>
          <w:p w14:paraId="0016CBFB" w14:textId="77777777" w:rsidR="00100DE9" w:rsidRDefault="00000000">
            <w:r>
              <w:t>Total</w:t>
            </w:r>
          </w:p>
        </w:tc>
        <w:tc>
          <w:tcPr>
            <w:tcW w:w="2000" w:type="dxa"/>
            <w:tcMar>
              <w:top w:w="80" w:type="dxa"/>
              <w:left w:w="100" w:type="dxa"/>
              <w:bottom w:w="80" w:type="dxa"/>
              <w:right w:w="100" w:type="dxa"/>
            </w:tcMar>
            <w:vAlign w:val="center"/>
          </w:tcPr>
          <w:p w14:paraId="059C1548" w14:textId="77777777" w:rsidR="00100DE9" w:rsidRDefault="00000000">
            <w:r>
              <w:t>100%</w:t>
            </w:r>
          </w:p>
        </w:tc>
        <w:tc>
          <w:tcPr>
            <w:tcW w:w="1850" w:type="dxa"/>
            <w:tcMar>
              <w:top w:w="80" w:type="dxa"/>
              <w:left w:w="100" w:type="dxa"/>
              <w:bottom w:w="80" w:type="dxa"/>
              <w:right w:w="100" w:type="dxa"/>
            </w:tcMar>
            <w:vAlign w:val="center"/>
          </w:tcPr>
          <w:p w14:paraId="4FE92E5E" w14:textId="77777777" w:rsidR="00100DE9" w:rsidRDefault="00000000">
            <w:r>
              <w:t>1000</w:t>
            </w:r>
          </w:p>
        </w:tc>
      </w:tr>
    </w:tbl>
    <w:p w14:paraId="2C27F186" w14:textId="77777777" w:rsidR="00100DE9" w:rsidRDefault="00100DE9">
      <w:pPr>
        <w:spacing w:after="200"/>
      </w:pPr>
    </w:p>
    <w:p w14:paraId="136959F4" w14:textId="77777777" w:rsidR="00100DE9" w:rsidRDefault="00000000">
      <w:pPr>
        <w:spacing w:after="160"/>
      </w:pPr>
      <w:r>
        <w:t>Within the Technical Capability category, particular weight is placed on in silico sequence optimisation/codon optimisation and on the historical performance data requested for gene synthesis, expression, BLI, and SPR. Within the Flexibility category, particular weight is placed on the six worked examples of prior flexibility, as genuine historical evidence of how the vendor has accommodated change on comparable programmes.</w:t>
      </w:r>
    </w:p>
    <w:p w14:paraId="4BACA8ED" w14:textId="77777777" w:rsidR="00100DE9" w:rsidRDefault="00000000">
      <w:pPr>
        <w:pStyle w:val="Heading1"/>
        <w:spacing w:before="320" w:after="160"/>
      </w:pPr>
      <w:r>
        <w:t>5. Confidentiality, Intellectual Property, and Data Protection</w:t>
      </w:r>
    </w:p>
    <w:p w14:paraId="39D96A49" w14:textId="77777777" w:rsidR="00100DE9" w:rsidRDefault="00000000">
      <w:pPr>
        <w:spacing w:after="160"/>
      </w:pPr>
      <w:r>
        <w:t>The antibody sequences, constructs, and data associated with this programme are proprietary and commercially sensitive to the issuing organisation. Vendors must treat this RFT, the accompanying workbook, and all information exchanged during this process as strictly confidential, and must not disclose them to any third party without prior written consent.</w:t>
      </w:r>
    </w:p>
    <w:p w14:paraId="64CF325B" w14:textId="77777777" w:rsidR="00100DE9" w:rsidRDefault="00000000">
      <w:pPr>
        <w:pStyle w:val="ListParagraph"/>
        <w:numPr>
          <w:ilvl w:val="0"/>
          <w:numId w:val="3"/>
        </w:numPr>
        <w:spacing w:after="80"/>
      </w:pPr>
      <w:r>
        <w:t>All antibody sequences, constructs, and data generated under this programme (including intermediate NA sequences, expression data, and BLI/SPR results) shall remain the sole intellectual property of the issuing organisation.</w:t>
      </w:r>
    </w:p>
    <w:p w14:paraId="7BCBC3F7" w14:textId="77777777" w:rsidR="00100DE9" w:rsidRDefault="00000000">
      <w:pPr>
        <w:pStyle w:val="ListParagraph"/>
        <w:numPr>
          <w:ilvl w:val="0"/>
          <w:numId w:val="3"/>
        </w:numPr>
        <w:spacing w:after="80"/>
      </w:pPr>
      <w:r>
        <w:t>Vendors must confirm their data protection and information security practices for sequence and data handling (storage, transmission, and access control), in their response to the corresponding Requirements tab row.</w:t>
      </w:r>
    </w:p>
    <w:p w14:paraId="5329E50C" w14:textId="77777777" w:rsidR="00100DE9" w:rsidRDefault="00000000">
      <w:pPr>
        <w:pStyle w:val="ListParagraph"/>
        <w:numPr>
          <w:ilvl w:val="0"/>
          <w:numId w:val="3"/>
        </w:numPr>
        <w:spacing w:after="80"/>
      </w:pPr>
      <w:r>
        <w:t>Vendors must disclose whether any part of the proposed workflow would be subcontracted to a third party, and if so, confirm that equivalent confidentiality and IP obligations would be imposed on that subcontractor.</w:t>
      </w:r>
    </w:p>
    <w:p w14:paraId="0944E331" w14:textId="77777777" w:rsidR="00100DE9" w:rsidRDefault="00000000">
      <w:pPr>
        <w:pStyle w:val="ListParagraph"/>
        <w:numPr>
          <w:ilvl w:val="0"/>
          <w:numId w:val="3"/>
        </w:numPr>
        <w:spacing w:after="80"/>
      </w:pPr>
      <w:r>
        <w:t>A mutual non-disclosure agreement may be required prior to any exchange of actual antibody sequences or detailed technical discussion beyond this RFT.</w:t>
      </w:r>
    </w:p>
    <w:p w14:paraId="32CC7C82" w14:textId="0CB8185D" w:rsidR="00100DE9" w:rsidRDefault="00000000">
      <w:pPr>
        <w:pStyle w:val="ListParagraph"/>
        <w:numPr>
          <w:ilvl w:val="0"/>
          <w:numId w:val="3"/>
        </w:numPr>
        <w:spacing w:after="80"/>
      </w:pPr>
      <w:r>
        <w:t xml:space="preserve">At study close-out or contract termination, the vendor must securely return or destroy all sequence and data holdings related to this </w:t>
      </w:r>
      <w:r w:rsidR="000528D3">
        <w:t>programme and</w:t>
      </w:r>
      <w:r>
        <w:t xml:space="preserve"> confirm this in writing.</w:t>
      </w:r>
    </w:p>
    <w:p w14:paraId="69D1596C" w14:textId="77777777" w:rsidR="00100DE9" w:rsidRDefault="00000000">
      <w:pPr>
        <w:spacing w:after="160"/>
      </w:pPr>
      <w:r>
        <w:t>Vendors should provide their detailed response to these points against the “IP, Confidentiality, and Data Protection” row of the Requirements tab.</w:t>
      </w:r>
    </w:p>
    <w:p w14:paraId="1F60680B" w14:textId="77777777" w:rsidR="00100DE9" w:rsidRDefault="00000000">
      <w:pPr>
        <w:pStyle w:val="Heading1"/>
        <w:spacing w:before="320" w:after="160"/>
      </w:pPr>
      <w:r>
        <w:t>6. Submission Requirements and Logistics</w:t>
      </w:r>
    </w:p>
    <w:p w14:paraId="287FA45D" w14:textId="5BA674B2" w:rsidR="00100DE9" w:rsidRDefault="6855841A">
      <w:pPr>
        <w:spacing w:after="200"/>
      </w:pPr>
      <w:r>
        <w:t>Tender Submissions must include at a minimum:</w:t>
      </w:r>
    </w:p>
    <w:p w14:paraId="33EE8888" w14:textId="215840A4" w:rsidR="6855841A" w:rsidRDefault="6855841A" w:rsidP="1D7B4B6F">
      <w:pPr>
        <w:pStyle w:val="ListParagraph"/>
        <w:numPr>
          <w:ilvl w:val="0"/>
          <w:numId w:val="1"/>
        </w:numPr>
      </w:pPr>
      <w:r>
        <w:t>The required documentation to demonstrate the Tenderer’s economic and financial standing (Selection Criteria 3.2.A of CfT Document).</w:t>
      </w:r>
    </w:p>
    <w:p w14:paraId="3DE45BB1" w14:textId="2655C64C" w:rsidR="6855841A" w:rsidRDefault="6855841A" w:rsidP="1D7B4B6F">
      <w:pPr>
        <w:pStyle w:val="ListParagraph"/>
        <w:numPr>
          <w:ilvl w:val="0"/>
          <w:numId w:val="1"/>
        </w:numPr>
      </w:pPr>
      <w:r>
        <w:t>The required documentation to demonstrate the Tenderer’s technical competence (Selection Criteria 3.2.B of CfT Document).</w:t>
      </w:r>
    </w:p>
    <w:p w14:paraId="0C238D98" w14:textId="72A7CFBE" w:rsidR="7729C361" w:rsidRDefault="7729C361" w:rsidP="1D7B4B6F">
      <w:pPr>
        <w:pStyle w:val="ListParagraph"/>
        <w:numPr>
          <w:ilvl w:val="0"/>
          <w:numId w:val="1"/>
        </w:numPr>
      </w:pPr>
      <w:r>
        <w:t xml:space="preserve">The required documentation to demonstrate the Tenderer’s </w:t>
      </w:r>
      <w:r w:rsidR="0149D7B1">
        <w:t>Insurance Capacity (2.21 of the CfT Document).</w:t>
      </w:r>
    </w:p>
    <w:p w14:paraId="7265A0A8" w14:textId="16AA07A6" w:rsidR="0149D7B1" w:rsidRDefault="0149D7B1" w:rsidP="1D7B4B6F">
      <w:pPr>
        <w:pStyle w:val="ListParagraph"/>
        <w:numPr>
          <w:ilvl w:val="0"/>
          <w:numId w:val="1"/>
        </w:numPr>
      </w:pPr>
      <w:r>
        <w:t xml:space="preserve">Completed </w:t>
      </w:r>
      <w:r w:rsidR="22041AA6">
        <w:t>“</w:t>
      </w:r>
      <w:r w:rsidR="009766C2">
        <w:t xml:space="preserve">Appendix 2 - </w:t>
      </w:r>
      <w:r w:rsidR="22041AA6">
        <w:t>NIBRT CfT Transient Antibody Production Technical Requirements and Pricing Document”.</w:t>
      </w:r>
    </w:p>
    <w:p w14:paraId="7F89A448" w14:textId="6D8F2972" w:rsidR="22041AA6" w:rsidRDefault="22041AA6" w:rsidP="1D7B4B6F">
      <w:pPr>
        <w:pStyle w:val="ListParagraph"/>
        <w:numPr>
          <w:ilvl w:val="0"/>
          <w:numId w:val="1"/>
        </w:numPr>
      </w:pPr>
      <w:r>
        <w:t>Completed Tenderer’s Statement in Appendix 3 of the CfT Document.</w:t>
      </w:r>
    </w:p>
    <w:p w14:paraId="5A24A6FE" w14:textId="591D94D9" w:rsidR="22041AA6" w:rsidRDefault="22041AA6" w:rsidP="1D7B4B6F">
      <w:pPr>
        <w:pStyle w:val="ListParagraph"/>
        <w:numPr>
          <w:ilvl w:val="0"/>
          <w:numId w:val="1"/>
        </w:numPr>
      </w:pPr>
      <w:r>
        <w:t>Completed Declaration as to Personal Circumstances of Tender in Appendix 4 of the CfT Document.</w:t>
      </w:r>
    </w:p>
    <w:p w14:paraId="57F21865" w14:textId="1F7651F6" w:rsidR="00DD6CB1" w:rsidRDefault="00DD6CB1" w:rsidP="1D7B4B6F">
      <w:pPr>
        <w:pStyle w:val="ListParagraph"/>
        <w:numPr>
          <w:ilvl w:val="0"/>
          <w:numId w:val="1"/>
        </w:numPr>
      </w:pPr>
      <w:r>
        <w:t>Completed NIBRT ESPD document.</w:t>
      </w:r>
    </w:p>
    <w:p w14:paraId="13A355CF" w14:textId="77777777" w:rsidR="009766C2" w:rsidRDefault="009766C2" w:rsidP="009766C2"/>
    <w:p w14:paraId="43D15070" w14:textId="77777777" w:rsidR="00100DE9" w:rsidRDefault="00000000">
      <w:pPr>
        <w:spacing w:after="160"/>
      </w:pPr>
      <w:r>
        <w:rPr>
          <w:i/>
          <w:iCs/>
          <w:color w:val="555555"/>
        </w:rPr>
        <w:t>Please direct all questions regarding this RFT to the point of contact listed on the cover page. Vendors should not contact other staff of the issuing organisation regarding this tender.</w:t>
      </w:r>
    </w:p>
    <w:sectPr w:rsidR="00100DE9">
      <w:footerReference w:type="even" r:id="rId12"/>
      <w:footerReference w:type="default" r:id="rId13"/>
      <w:footerReference w:type="first" r:id="rId14"/>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B172F" w14:textId="77777777" w:rsidR="00A26D3C" w:rsidRDefault="00A26D3C" w:rsidP="0057052F">
      <w:r>
        <w:separator/>
      </w:r>
    </w:p>
  </w:endnote>
  <w:endnote w:type="continuationSeparator" w:id="0">
    <w:p w14:paraId="5C562B3D" w14:textId="77777777" w:rsidR="00A26D3C" w:rsidRDefault="00A26D3C" w:rsidP="00570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68897" w14:textId="782DC2FB" w:rsidR="0057052F" w:rsidRDefault="0057052F">
    <w:pPr>
      <w:pStyle w:val="Footer"/>
    </w:pPr>
    <w:r>
      <w:rPr>
        <w:noProof/>
      </w:rPr>
      <mc:AlternateContent>
        <mc:Choice Requires="wps">
          <w:drawing>
            <wp:anchor distT="0" distB="0" distL="0" distR="0" simplePos="0" relativeHeight="251659264" behindDoc="0" locked="0" layoutInCell="1" allowOverlap="1" wp14:anchorId="0E9E1A76" wp14:editId="5AAF1CB1">
              <wp:simplePos x="635" y="635"/>
              <wp:positionH relativeFrom="page">
                <wp:align>left</wp:align>
              </wp:positionH>
              <wp:positionV relativeFrom="page">
                <wp:align>bottom</wp:align>
              </wp:positionV>
              <wp:extent cx="969010" cy="283210"/>
              <wp:effectExtent l="0" t="0" r="2540" b="0"/>
              <wp:wrapNone/>
              <wp:docPr id="1922054838" name="Text Box 2" descr="NIBRT Protected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9010" cy="283210"/>
                      </a:xfrm>
                      <a:prstGeom prst="rect">
                        <a:avLst/>
                      </a:prstGeom>
                      <a:noFill/>
                      <a:ln>
                        <a:noFill/>
                      </a:ln>
                    </wps:spPr>
                    <wps:txbx>
                      <w:txbxContent>
                        <w:p w14:paraId="135AE0DA" w14:textId="2070B9A7" w:rsidR="0057052F" w:rsidRPr="0057052F" w:rsidRDefault="0057052F" w:rsidP="0057052F">
                          <w:pPr>
                            <w:rPr>
                              <w:rFonts w:ascii="Aptos" w:eastAsia="Aptos" w:hAnsi="Aptos" w:cs="Aptos"/>
                              <w:noProof/>
                              <w:color w:val="0000FF"/>
                              <w:sz w:val="12"/>
                              <w:szCs w:val="12"/>
                            </w:rPr>
                          </w:pPr>
                          <w:r w:rsidRPr="0057052F">
                            <w:rPr>
                              <w:rFonts w:ascii="Aptos" w:eastAsia="Aptos" w:hAnsi="Aptos" w:cs="Aptos"/>
                              <w:noProof/>
                              <w:color w:val="0000FF"/>
                              <w:sz w:val="12"/>
                              <w:szCs w:val="12"/>
                            </w:rPr>
                            <w:t>NIBRT Protected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6F508DCE">
            <v:shapetype id="_x0000_t202" coordsize="21600,21600" o:spt="202" path="m,l,21600r21600,l21600,xe" w14:anchorId="0E9E1A76">
              <v:stroke joinstyle="miter"/>
              <v:path gradientshapeok="t" o:connecttype="rect"/>
            </v:shapetype>
            <v:shape id="Text Box 2" style="position:absolute;margin-left:0;margin-top:0;width:76.3pt;height:22.3pt;z-index:251659264;visibility:visible;mso-wrap-style:none;mso-wrap-distance-left:0;mso-wrap-distance-top:0;mso-wrap-distance-right:0;mso-wrap-distance-bottom:0;mso-position-horizontal:left;mso-position-horizontal-relative:page;mso-position-vertical:bottom;mso-position-vertical-relative:page;v-text-anchor:bottom" alt="NIBRT Protected Data"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">
              <v:fill o:detectmouseclick="t"/>
              <v:textbox style="mso-fit-shape-to-text:t" inset="20pt,0,0,15pt">
                <w:txbxContent>
                  <w:p w:rsidRPr="0057052F" w:rsidR="0057052F" w:rsidP="0057052F" w:rsidRDefault="0057052F" w14:paraId="32F03BD3" w14:textId="2070B9A7">
                    <w:pPr>
                      <w:rPr>
                        <w:rFonts w:ascii="Aptos" w:hAnsi="Aptos" w:eastAsia="Aptos" w:cs="Aptos"/>
                        <w:noProof/>
                        <w:color w:val="0000FF"/>
                        <w:sz w:val="12"/>
                        <w:szCs w:val="12"/>
                      </w:rPr>
                    </w:pPr>
                    <w:r w:rsidRPr="0057052F">
                      <w:rPr>
                        <w:rFonts w:ascii="Aptos" w:hAnsi="Aptos" w:eastAsia="Aptos" w:cs="Aptos"/>
                        <w:noProof/>
                        <w:color w:val="0000FF"/>
                        <w:sz w:val="12"/>
                        <w:szCs w:val="12"/>
                      </w:rPr>
                      <w:t>NIBRT Protected Data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AE1E8" w14:textId="334FAA25" w:rsidR="0057052F" w:rsidRDefault="0057052F">
    <w:pPr>
      <w:pStyle w:val="Footer"/>
    </w:pPr>
    <w:r>
      <w:rPr>
        <w:noProof/>
      </w:rPr>
      <mc:AlternateContent>
        <mc:Choice Requires="wps">
          <w:drawing>
            <wp:anchor distT="0" distB="0" distL="0" distR="0" simplePos="0" relativeHeight="251660288" behindDoc="0" locked="0" layoutInCell="1" allowOverlap="1" wp14:anchorId="123F0AD0" wp14:editId="655BA108">
              <wp:simplePos x="914400" y="10096500"/>
              <wp:positionH relativeFrom="page">
                <wp:align>left</wp:align>
              </wp:positionH>
              <wp:positionV relativeFrom="page">
                <wp:align>bottom</wp:align>
              </wp:positionV>
              <wp:extent cx="969010" cy="283210"/>
              <wp:effectExtent l="0" t="0" r="2540" b="0"/>
              <wp:wrapNone/>
              <wp:docPr id="900975615" name="Text Box 3" descr="NIBRT Protected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9010" cy="283210"/>
                      </a:xfrm>
                      <a:prstGeom prst="rect">
                        <a:avLst/>
                      </a:prstGeom>
                      <a:noFill/>
                      <a:ln>
                        <a:noFill/>
                      </a:ln>
                    </wps:spPr>
                    <wps:txbx>
                      <w:txbxContent>
                        <w:p w14:paraId="632A32F4" w14:textId="64F1A842" w:rsidR="0057052F" w:rsidRPr="0057052F" w:rsidRDefault="0057052F" w:rsidP="0057052F">
                          <w:pPr>
                            <w:rPr>
                              <w:rFonts w:ascii="Aptos" w:eastAsia="Aptos" w:hAnsi="Aptos" w:cs="Aptos"/>
                              <w:noProof/>
                              <w:color w:val="0000FF"/>
                              <w:sz w:val="12"/>
                              <w:szCs w:val="12"/>
                            </w:rPr>
                          </w:pPr>
                          <w:r w:rsidRPr="0057052F">
                            <w:rPr>
                              <w:rFonts w:ascii="Aptos" w:eastAsia="Aptos" w:hAnsi="Aptos" w:cs="Aptos"/>
                              <w:noProof/>
                              <w:color w:val="0000FF"/>
                              <w:sz w:val="12"/>
                              <w:szCs w:val="12"/>
                            </w:rPr>
                            <w:t>NIBRT Protected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737B8695">
            <v:shapetype id="_x0000_t202" coordsize="21600,21600" o:spt="202" path="m,l,21600r21600,l21600,xe" w14:anchorId="123F0AD0">
              <v:stroke joinstyle="miter"/>
              <v:path gradientshapeok="t" o:connecttype="rect"/>
            </v:shapetype>
            <v:shape id="Text Box 3" style="position:absolute;margin-left:0;margin-top:0;width:76.3pt;height:22.3pt;z-index:251660288;visibility:visible;mso-wrap-style:none;mso-wrap-distance-left:0;mso-wrap-distance-top:0;mso-wrap-distance-right:0;mso-wrap-distance-bottom:0;mso-position-horizontal:left;mso-position-horizontal-relative:page;mso-position-vertical:bottom;mso-position-vertical-relative:page;v-text-anchor:bottom" alt="NIBRT Protected Data"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">
              <v:fill o:detectmouseclick="t"/>
              <v:textbox style="mso-fit-shape-to-text:t" inset="20pt,0,0,15pt">
                <w:txbxContent>
                  <w:p w:rsidRPr="0057052F" w:rsidR="0057052F" w:rsidP="0057052F" w:rsidRDefault="0057052F" w14:paraId="47702C6E" w14:textId="64F1A842">
                    <w:pPr>
                      <w:rPr>
                        <w:rFonts w:ascii="Aptos" w:hAnsi="Aptos" w:eastAsia="Aptos" w:cs="Aptos"/>
                        <w:noProof/>
                        <w:color w:val="0000FF"/>
                        <w:sz w:val="12"/>
                        <w:szCs w:val="12"/>
                      </w:rPr>
                    </w:pPr>
                    <w:r w:rsidRPr="0057052F">
                      <w:rPr>
                        <w:rFonts w:ascii="Aptos" w:hAnsi="Aptos" w:eastAsia="Aptos" w:cs="Aptos"/>
                        <w:noProof/>
                        <w:color w:val="0000FF"/>
                        <w:sz w:val="12"/>
                        <w:szCs w:val="12"/>
                      </w:rPr>
                      <w:t>NIBRT Protected Data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26FE8" w14:textId="00D6BEB7" w:rsidR="0057052F" w:rsidRDefault="0057052F">
    <w:pPr>
      <w:pStyle w:val="Footer"/>
    </w:pPr>
    <w:r>
      <w:rPr>
        <w:noProof/>
      </w:rPr>
      <mc:AlternateContent>
        <mc:Choice Requires="wps">
          <w:drawing>
            <wp:anchor distT="0" distB="0" distL="0" distR="0" simplePos="0" relativeHeight="251658240" behindDoc="0" locked="0" layoutInCell="1" allowOverlap="1" wp14:anchorId="495F34B8" wp14:editId="691CB1C2">
              <wp:simplePos x="635" y="635"/>
              <wp:positionH relativeFrom="page">
                <wp:align>left</wp:align>
              </wp:positionH>
              <wp:positionV relativeFrom="page">
                <wp:align>bottom</wp:align>
              </wp:positionV>
              <wp:extent cx="969010" cy="283210"/>
              <wp:effectExtent l="0" t="0" r="2540" b="0"/>
              <wp:wrapNone/>
              <wp:docPr id="1031896567" name="Text Box 1" descr="NIBRT Protected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69010" cy="283210"/>
                      </a:xfrm>
                      <a:prstGeom prst="rect">
                        <a:avLst/>
                      </a:prstGeom>
                      <a:noFill/>
                      <a:ln>
                        <a:noFill/>
                      </a:ln>
                    </wps:spPr>
                    <wps:txbx>
                      <w:txbxContent>
                        <w:p w14:paraId="6B10E58B" w14:textId="0242E3AF" w:rsidR="0057052F" w:rsidRPr="0057052F" w:rsidRDefault="0057052F" w:rsidP="0057052F">
                          <w:pPr>
                            <w:rPr>
                              <w:rFonts w:ascii="Aptos" w:eastAsia="Aptos" w:hAnsi="Aptos" w:cs="Aptos"/>
                              <w:noProof/>
                              <w:color w:val="0000FF"/>
                              <w:sz w:val="12"/>
                              <w:szCs w:val="12"/>
                            </w:rPr>
                          </w:pPr>
                          <w:r w:rsidRPr="0057052F">
                            <w:rPr>
                              <w:rFonts w:ascii="Aptos" w:eastAsia="Aptos" w:hAnsi="Aptos" w:cs="Aptos"/>
                              <w:noProof/>
                              <w:color w:val="0000FF"/>
                              <w:sz w:val="12"/>
                              <w:szCs w:val="12"/>
                            </w:rPr>
                            <w:t>NIBRT Protected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16BC205F">
            <v:shapetype id="_x0000_t202" coordsize="21600,21600" o:spt="202" path="m,l,21600r21600,l21600,xe" w14:anchorId="495F34B8">
              <v:stroke joinstyle="miter"/>
              <v:path gradientshapeok="t" o:connecttype="rect"/>
            </v:shapetype>
            <v:shape id="Text Box 1" style="position:absolute;margin-left:0;margin-top:0;width:76.3pt;height:22.3pt;z-index:251658240;visibility:visible;mso-wrap-style:none;mso-wrap-distance-left:0;mso-wrap-distance-top:0;mso-wrap-distance-right:0;mso-wrap-distance-bottom:0;mso-position-horizontal:left;mso-position-horizontal-relative:page;mso-position-vertical:bottom;mso-position-vertical-relative:page;v-text-anchor:bottom" alt="NIBRT Protected Data"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">
              <v:fill o:detectmouseclick="t"/>
              <v:textbox style="mso-fit-shape-to-text:t" inset="20pt,0,0,15pt">
                <w:txbxContent>
                  <w:p w:rsidRPr="0057052F" w:rsidR="0057052F" w:rsidP="0057052F" w:rsidRDefault="0057052F" w14:paraId="071C2B9B" w14:textId="0242E3AF">
                    <w:pPr>
                      <w:rPr>
                        <w:rFonts w:ascii="Aptos" w:hAnsi="Aptos" w:eastAsia="Aptos" w:cs="Aptos"/>
                        <w:noProof/>
                        <w:color w:val="0000FF"/>
                        <w:sz w:val="12"/>
                        <w:szCs w:val="12"/>
                      </w:rPr>
                    </w:pPr>
                    <w:r w:rsidRPr="0057052F">
                      <w:rPr>
                        <w:rFonts w:ascii="Aptos" w:hAnsi="Aptos" w:eastAsia="Aptos" w:cs="Aptos"/>
                        <w:noProof/>
                        <w:color w:val="0000FF"/>
                        <w:sz w:val="12"/>
                        <w:szCs w:val="12"/>
                      </w:rPr>
                      <w:t>NIBRT Protected Data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5DFF1" w14:textId="77777777" w:rsidR="00A26D3C" w:rsidRDefault="00A26D3C" w:rsidP="0057052F">
      <w:r>
        <w:separator/>
      </w:r>
    </w:p>
  </w:footnote>
  <w:footnote w:type="continuationSeparator" w:id="0">
    <w:p w14:paraId="67AB183D" w14:textId="77777777" w:rsidR="00A26D3C" w:rsidRDefault="00A26D3C" w:rsidP="005705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3C2B"/>
    <w:multiLevelType w:val="hybridMultilevel"/>
    <w:tmpl w:val="0CB85E50"/>
    <w:lvl w:ilvl="0" w:tplc="BF467324">
      <w:start w:val="1"/>
      <w:numFmt w:val="decimal"/>
      <w:lvlText w:val="%1."/>
      <w:lvlJc w:val="left"/>
      <w:pPr>
        <w:ind w:left="420" w:hanging="260"/>
      </w:pPr>
    </w:lvl>
    <w:lvl w:ilvl="1" w:tplc="9D4E3908">
      <w:numFmt w:val="decimal"/>
      <w:lvlText w:val=""/>
      <w:lvlJc w:val="left"/>
    </w:lvl>
    <w:lvl w:ilvl="2" w:tplc="3AC27E44">
      <w:numFmt w:val="decimal"/>
      <w:lvlText w:val=""/>
      <w:lvlJc w:val="left"/>
    </w:lvl>
    <w:lvl w:ilvl="3" w:tplc="5E742000">
      <w:numFmt w:val="decimal"/>
      <w:lvlText w:val=""/>
      <w:lvlJc w:val="left"/>
    </w:lvl>
    <w:lvl w:ilvl="4" w:tplc="200491BE">
      <w:numFmt w:val="decimal"/>
      <w:lvlText w:val=""/>
      <w:lvlJc w:val="left"/>
    </w:lvl>
    <w:lvl w:ilvl="5" w:tplc="B8564E04">
      <w:numFmt w:val="decimal"/>
      <w:lvlText w:val=""/>
      <w:lvlJc w:val="left"/>
    </w:lvl>
    <w:lvl w:ilvl="6" w:tplc="40D21DCE">
      <w:numFmt w:val="decimal"/>
      <w:lvlText w:val=""/>
      <w:lvlJc w:val="left"/>
    </w:lvl>
    <w:lvl w:ilvl="7" w:tplc="B6AEBCE4">
      <w:numFmt w:val="decimal"/>
      <w:lvlText w:val=""/>
      <w:lvlJc w:val="left"/>
    </w:lvl>
    <w:lvl w:ilvl="8" w:tplc="3026A356">
      <w:numFmt w:val="decimal"/>
      <w:lvlText w:val=""/>
      <w:lvlJc w:val="left"/>
    </w:lvl>
  </w:abstractNum>
  <w:abstractNum w:abstractNumId="1" w15:restartNumberingAfterBreak="0">
    <w:nsid w:val="232A1A27"/>
    <w:multiLevelType w:val="hybridMultilevel"/>
    <w:tmpl w:val="56BAA27A"/>
    <w:lvl w:ilvl="0" w:tplc="93CA3214">
      <w:start w:val="1"/>
      <w:numFmt w:val="decimal"/>
      <w:lvlText w:val="%1."/>
      <w:lvlJc w:val="left"/>
      <w:pPr>
        <w:ind w:left="720" w:hanging="360"/>
      </w:pPr>
    </w:lvl>
    <w:lvl w:ilvl="1" w:tplc="AAD8AAEC">
      <w:start w:val="1"/>
      <w:numFmt w:val="lowerLetter"/>
      <w:lvlText w:val="%2."/>
      <w:lvlJc w:val="left"/>
      <w:pPr>
        <w:ind w:left="1440" w:hanging="360"/>
      </w:pPr>
    </w:lvl>
    <w:lvl w:ilvl="2" w:tplc="D2745DFC">
      <w:start w:val="1"/>
      <w:numFmt w:val="lowerRoman"/>
      <w:lvlText w:val="%3."/>
      <w:lvlJc w:val="right"/>
      <w:pPr>
        <w:ind w:left="2160" w:hanging="180"/>
      </w:pPr>
    </w:lvl>
    <w:lvl w:ilvl="3" w:tplc="0DAAB660">
      <w:start w:val="1"/>
      <w:numFmt w:val="decimal"/>
      <w:lvlText w:val="%4."/>
      <w:lvlJc w:val="left"/>
      <w:pPr>
        <w:ind w:left="2880" w:hanging="360"/>
      </w:pPr>
    </w:lvl>
    <w:lvl w:ilvl="4" w:tplc="0C4ABBA2">
      <w:start w:val="1"/>
      <w:numFmt w:val="lowerLetter"/>
      <w:lvlText w:val="%5."/>
      <w:lvlJc w:val="left"/>
      <w:pPr>
        <w:ind w:left="3600" w:hanging="360"/>
      </w:pPr>
    </w:lvl>
    <w:lvl w:ilvl="5" w:tplc="D18EB782">
      <w:start w:val="1"/>
      <w:numFmt w:val="lowerRoman"/>
      <w:lvlText w:val="%6."/>
      <w:lvlJc w:val="right"/>
      <w:pPr>
        <w:ind w:left="4320" w:hanging="180"/>
      </w:pPr>
    </w:lvl>
    <w:lvl w:ilvl="6" w:tplc="7E121CE2">
      <w:start w:val="1"/>
      <w:numFmt w:val="decimal"/>
      <w:lvlText w:val="%7."/>
      <w:lvlJc w:val="left"/>
      <w:pPr>
        <w:ind w:left="5040" w:hanging="360"/>
      </w:pPr>
    </w:lvl>
    <w:lvl w:ilvl="7" w:tplc="69EC1AFC">
      <w:start w:val="1"/>
      <w:numFmt w:val="lowerLetter"/>
      <w:lvlText w:val="%8."/>
      <w:lvlJc w:val="left"/>
      <w:pPr>
        <w:ind w:left="5760" w:hanging="360"/>
      </w:pPr>
    </w:lvl>
    <w:lvl w:ilvl="8" w:tplc="AC1419A4">
      <w:start w:val="1"/>
      <w:numFmt w:val="lowerRoman"/>
      <w:lvlText w:val="%9."/>
      <w:lvlJc w:val="right"/>
      <w:pPr>
        <w:ind w:left="6480" w:hanging="180"/>
      </w:pPr>
    </w:lvl>
  </w:abstractNum>
  <w:abstractNum w:abstractNumId="2" w15:restartNumberingAfterBreak="0">
    <w:nsid w:val="72270361"/>
    <w:multiLevelType w:val="hybridMultilevel"/>
    <w:tmpl w:val="8AE4D230"/>
    <w:lvl w:ilvl="0" w:tplc="10D2C146">
      <w:start w:val="1"/>
      <w:numFmt w:val="bullet"/>
      <w:lvlText w:val="•"/>
      <w:lvlJc w:val="left"/>
      <w:pPr>
        <w:ind w:left="420" w:hanging="260"/>
      </w:pPr>
    </w:lvl>
    <w:lvl w:ilvl="1" w:tplc="4CC22D42">
      <w:numFmt w:val="decimal"/>
      <w:lvlText w:val=""/>
      <w:lvlJc w:val="left"/>
    </w:lvl>
    <w:lvl w:ilvl="2" w:tplc="93C8E7AA">
      <w:numFmt w:val="decimal"/>
      <w:lvlText w:val=""/>
      <w:lvlJc w:val="left"/>
    </w:lvl>
    <w:lvl w:ilvl="3" w:tplc="E7DED2BA">
      <w:numFmt w:val="decimal"/>
      <w:lvlText w:val=""/>
      <w:lvlJc w:val="left"/>
    </w:lvl>
    <w:lvl w:ilvl="4" w:tplc="AE5CA38E">
      <w:numFmt w:val="decimal"/>
      <w:lvlText w:val=""/>
      <w:lvlJc w:val="left"/>
    </w:lvl>
    <w:lvl w:ilvl="5" w:tplc="FAB48756">
      <w:numFmt w:val="decimal"/>
      <w:lvlText w:val=""/>
      <w:lvlJc w:val="left"/>
    </w:lvl>
    <w:lvl w:ilvl="6" w:tplc="6FAC7920">
      <w:numFmt w:val="decimal"/>
      <w:lvlText w:val=""/>
      <w:lvlJc w:val="left"/>
    </w:lvl>
    <w:lvl w:ilvl="7" w:tplc="4D88C3C0">
      <w:numFmt w:val="decimal"/>
      <w:lvlText w:val=""/>
      <w:lvlJc w:val="left"/>
    </w:lvl>
    <w:lvl w:ilvl="8" w:tplc="2D14C09A">
      <w:numFmt w:val="decimal"/>
      <w:lvlText w:val=""/>
      <w:lvlJc w:val="left"/>
    </w:lvl>
  </w:abstractNum>
  <w:abstractNum w:abstractNumId="3" w15:restartNumberingAfterBreak="0">
    <w:nsid w:val="76295556"/>
    <w:multiLevelType w:val="hybridMultilevel"/>
    <w:tmpl w:val="F2A65CB2"/>
    <w:lvl w:ilvl="0" w:tplc="9BC8BCE8">
      <w:start w:val="1"/>
      <w:numFmt w:val="bullet"/>
      <w:lvlText w:val="●"/>
      <w:lvlJc w:val="left"/>
      <w:pPr>
        <w:ind w:left="720" w:hanging="360"/>
      </w:pPr>
    </w:lvl>
    <w:lvl w:ilvl="1" w:tplc="AC72FEE0">
      <w:start w:val="1"/>
      <w:numFmt w:val="bullet"/>
      <w:lvlText w:val="○"/>
      <w:lvlJc w:val="left"/>
      <w:pPr>
        <w:ind w:left="1440" w:hanging="360"/>
      </w:pPr>
    </w:lvl>
    <w:lvl w:ilvl="2" w:tplc="9104AC92">
      <w:start w:val="1"/>
      <w:numFmt w:val="bullet"/>
      <w:lvlText w:val="■"/>
      <w:lvlJc w:val="left"/>
      <w:pPr>
        <w:ind w:left="2160" w:hanging="360"/>
      </w:pPr>
    </w:lvl>
    <w:lvl w:ilvl="3" w:tplc="025E1142">
      <w:start w:val="1"/>
      <w:numFmt w:val="bullet"/>
      <w:lvlText w:val="●"/>
      <w:lvlJc w:val="left"/>
      <w:pPr>
        <w:ind w:left="2880" w:hanging="360"/>
      </w:pPr>
    </w:lvl>
    <w:lvl w:ilvl="4" w:tplc="93661D48">
      <w:start w:val="1"/>
      <w:numFmt w:val="bullet"/>
      <w:lvlText w:val="○"/>
      <w:lvlJc w:val="left"/>
      <w:pPr>
        <w:ind w:left="3600" w:hanging="360"/>
      </w:pPr>
    </w:lvl>
    <w:lvl w:ilvl="5" w:tplc="B306657C">
      <w:start w:val="1"/>
      <w:numFmt w:val="bullet"/>
      <w:lvlText w:val="■"/>
      <w:lvlJc w:val="left"/>
      <w:pPr>
        <w:ind w:left="4320" w:hanging="360"/>
      </w:pPr>
    </w:lvl>
    <w:lvl w:ilvl="6" w:tplc="A8740294">
      <w:start w:val="1"/>
      <w:numFmt w:val="bullet"/>
      <w:lvlText w:val="●"/>
      <w:lvlJc w:val="left"/>
      <w:pPr>
        <w:ind w:left="5040" w:hanging="360"/>
      </w:pPr>
    </w:lvl>
    <w:lvl w:ilvl="7" w:tplc="5036A104">
      <w:start w:val="1"/>
      <w:numFmt w:val="bullet"/>
      <w:lvlText w:val="●"/>
      <w:lvlJc w:val="left"/>
      <w:pPr>
        <w:ind w:left="5760" w:hanging="360"/>
      </w:pPr>
    </w:lvl>
    <w:lvl w:ilvl="8" w:tplc="9260D208">
      <w:start w:val="1"/>
      <w:numFmt w:val="bullet"/>
      <w:lvlText w:val="●"/>
      <w:lvlJc w:val="left"/>
      <w:pPr>
        <w:ind w:left="6480" w:hanging="360"/>
      </w:pPr>
    </w:lvl>
  </w:abstractNum>
  <w:num w:numId="1" w16cid:durableId="1663123675">
    <w:abstractNumId w:val="1"/>
  </w:num>
  <w:num w:numId="2" w16cid:durableId="1600873065">
    <w:abstractNumId w:val="3"/>
    <w:lvlOverride w:ilvl="0">
      <w:startOverride w:val="1"/>
    </w:lvlOverride>
  </w:num>
  <w:num w:numId="3" w16cid:durableId="195408807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DE9"/>
    <w:rsid w:val="000528D3"/>
    <w:rsid w:val="00100DE9"/>
    <w:rsid w:val="0038365B"/>
    <w:rsid w:val="00474F5E"/>
    <w:rsid w:val="004E0843"/>
    <w:rsid w:val="0057052F"/>
    <w:rsid w:val="008522B5"/>
    <w:rsid w:val="009766C2"/>
    <w:rsid w:val="00A26D3C"/>
    <w:rsid w:val="00DD6CB1"/>
    <w:rsid w:val="00EF4637"/>
    <w:rsid w:val="0149D7B1"/>
    <w:rsid w:val="02AE251D"/>
    <w:rsid w:val="07530A5E"/>
    <w:rsid w:val="11988E98"/>
    <w:rsid w:val="1430230D"/>
    <w:rsid w:val="1919B2A8"/>
    <w:rsid w:val="1971FD27"/>
    <w:rsid w:val="19A2E3DD"/>
    <w:rsid w:val="1BAB8A1E"/>
    <w:rsid w:val="1D7B4B6F"/>
    <w:rsid w:val="219AF44F"/>
    <w:rsid w:val="22041AA6"/>
    <w:rsid w:val="29EF4812"/>
    <w:rsid w:val="2E6009E3"/>
    <w:rsid w:val="40A4FDD5"/>
    <w:rsid w:val="4E5B261F"/>
    <w:rsid w:val="4F2C937B"/>
    <w:rsid w:val="4F628C65"/>
    <w:rsid w:val="58799BC2"/>
    <w:rsid w:val="67118EB3"/>
    <w:rsid w:val="67751DEE"/>
    <w:rsid w:val="6855841A"/>
    <w:rsid w:val="69B1C291"/>
    <w:rsid w:val="6F5589FB"/>
    <w:rsid w:val="7336BC28"/>
    <w:rsid w:val="746C2E12"/>
    <w:rsid w:val="7729C361"/>
    <w:rsid w:val="7AFCD864"/>
    <w:rsid w:val="7B605F36"/>
    <w:rsid w:val="7E4FC26F"/>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90D62"/>
  <w15:docId w15:val="{B9D9AECB-FE4E-4EE4-ADA3-E071C6D5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57052F"/>
    <w:rPr>
      <w:color w:val="605E5C"/>
      <w:shd w:val="clear" w:color="auto" w:fill="E1DFDD"/>
    </w:rPr>
  </w:style>
  <w:style w:type="paragraph" w:styleId="Footer">
    <w:name w:val="footer"/>
    <w:basedOn w:val="Normal"/>
    <w:link w:val="FooterChar"/>
    <w:uiPriority w:val="99"/>
    <w:unhideWhenUsed/>
    <w:rsid w:val="0057052F"/>
    <w:pPr>
      <w:tabs>
        <w:tab w:val="center" w:pos="4513"/>
        <w:tab w:val="right" w:pos="9026"/>
      </w:tabs>
    </w:pPr>
  </w:style>
  <w:style w:type="character" w:customStyle="1" w:styleId="FooterChar">
    <w:name w:val="Footer Char"/>
    <w:basedOn w:val="DefaultParagraphFont"/>
    <w:link w:val="Footer"/>
    <w:uiPriority w:val="99"/>
    <w:rsid w:val="005705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rl.kelly@nibrt.i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lair.galagher@nibrt.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508C8EE762AF489668510433518F01" ma:contentTypeVersion="3" ma:contentTypeDescription="Create a new document." ma:contentTypeScope="" ma:versionID="faf6d1fa6e5967f57f481d8c347bdbb9">
  <xsd:schema xmlns:xsd="http://www.w3.org/2001/XMLSchema" xmlns:xs="http://www.w3.org/2001/XMLSchema" xmlns:p="http://schemas.microsoft.com/office/2006/metadata/properties" xmlns:ns2="537b0b68-82ed-4ad5-bdb4-12018a451ae5" targetNamespace="http://schemas.microsoft.com/office/2006/metadata/properties" ma:root="true" ma:fieldsID="4121bf99c3c120ff4fa282bf7d0b6463" ns2:_="">
    <xsd:import namespace="537b0b68-82ed-4ad5-bdb4-12018a451ae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b0b68-82ed-4ad5-bdb4-12018a451a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8A458E-E5EA-44D7-BABC-F22C7F75B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b0b68-82ed-4ad5-bdb4-12018a451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86D43D-0B7D-4753-918D-4C1914E41090}">
  <ds:schemaRefs>
    <ds:schemaRef ds:uri="http://schemas.microsoft.com/sharepoint/v3/contenttype/forms"/>
  </ds:schemaRefs>
</ds:datastoreItem>
</file>

<file path=customXml/itemProps3.xml><?xml version="1.0" encoding="utf-8"?>
<ds:datastoreItem xmlns:ds="http://schemas.openxmlformats.org/officeDocument/2006/customXml" ds:itemID="{0DF84492-D43B-438B-A461-2F97C95544C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90785b5a-cc09-47c0-87e2-e8f1f82e2777}" enabled="1" method="Standard" siteId="{33b144eb-0c61-467e-aff4-20bc754b085b}"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1560</Words>
  <Characters>8893</Characters>
  <Application>Microsoft Office Word</Application>
  <DocSecurity>0</DocSecurity>
  <Lines>74</Lines>
  <Paragraphs>20</Paragraphs>
  <ScaleCrop>false</ScaleCrop>
  <Company/>
  <LinksUpToDate>false</LinksUpToDate>
  <CharactersWithSpaces>10433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Karl Kelly</cp:lastModifiedBy>
  <cp:revision>6</cp:revision>
  <dcterms:created xsi:type="dcterms:W3CDTF">2026-07-24T13:39:00Z</dcterms:created>
  <dcterms:modified xsi:type="dcterms:W3CDTF">2026-07-28T10:14:00Z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3d817df7,72903ab6,35b3cbff</vt:lpwstr>
  </property>
  <property fmtid="{D5CDD505-2E9C-101B-9397-08002B2CF9AE}" pid="3" name="ClassificationContentMarkingFooterFontProps">
    <vt:lpwstr>#0000ff,6,Aptos</vt:lpwstr>
  </property>
  <property fmtid="{D5CDD505-2E9C-101B-9397-08002B2CF9AE}" pid="4" name="ClassificationContentMarkingFooterText">
    <vt:lpwstr>NIBRT Protected Data</vt:lpwstr>
  </property>
  <property fmtid="{D5CDD505-2E9C-101B-9397-08002B2CF9AE}" pid="5" name="ContentTypeId">
    <vt:lpwstr>0x0101001A508C8EE762AF489668510433518F01</vt:lpwstr>
  </property>
</Properties>
</file>