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peopleDocument.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commentsExtensibleDocument.xml" ContentType="application/vnd.openxmlformats-officedocument.wordprocessingml.commentsExtensible+xml"/>
  <Override PartName="/word/glossary/settings.xml" ContentType="application/vnd.openxmlformats-officedocument.wordprocessingml.settings+xml"/>
  <Override PartName="/customXml/itemProps3.xml" ContentType="application/vnd.openxmlformats-officedocument.customXmlProperties+xml"/>
  <Override PartName="/word/commentsExtensible.xml" ContentType="application/vnd.openxmlformats-officedocument.wordprocessingml.commentsExtensible+xml"/>
  <Override PartName="/word/theme/theme1.xml" ContentType="application/vnd.openxmlformats-officedocument.theme+xml"/>
  <Override PartName="/customXml/itemProps1.xml" ContentType="application/vnd.openxmlformats-officedocument.customXmlProperties+xml"/>
  <Override PartName="/word/glossary/styles.xml" ContentType="application/vnd.openxmlformats-officedocument.wordprocessingml.styles+xml"/>
  <Override PartName="/customXml/itemProps2.xml" ContentType="application/vnd.openxmlformats-officedocument.customXmlProperties+xml"/>
  <Override PartName="/word/glossary/document.xml" ContentType="application/vnd.openxmlformats-officedocument.wordprocessingml.document.glossary+xml"/>
  <Override PartName="/word/commentsIdsDocument.xml" ContentType="application/vnd.openxmlformats-officedocument.wordprocessingml.commentsIds+xml"/>
  <Override PartName="/word/glossary/fontTable.xml" ContentType="application/vnd.openxmlformats-officedocument.wordprocessingml.fontTable+xml"/>
  <Override PartName="/customXml/itemProps4.xml" ContentType="application/vnd.openxmlformats-officedocument.customXmlProperties+xml"/>
  <Override PartName="/word/footnotes.xml" ContentType="application/vnd.openxmlformats-officedocument.wordprocessingml.footnotes+xml"/>
  <Override PartName="/word/footer1.xml" ContentType="application/vnd.openxmlformats-officedocument.wordprocessingml.footer+xml"/>
  <Override PartName="/word/glossary/footnotes.xml" ContentType="application/vnd.openxmlformats-officedocument.wordprocessingml.footnotes+xml"/>
  <Override PartName="/word/document.xml" ContentType="application/vnd.openxmlformats-officedocument.wordprocessingml.document.main+xml"/>
  <Override PartName="/word/commentsExtendedDocument.xml" ContentType="application/vnd.openxmlformats-officedocument.wordprocessingml.commentsExtended+xml"/>
  <Override PartName="/word/header1.xml" ContentType="application/vnd.openxmlformats-officedocument.wordprocessingml.header+xml"/>
  <Override PartName="/word/glossary/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webSettings.xml" ContentType="application/vnd.openxmlformats-officedocument.wordprocessingml.webSettings+xml"/>
  <Override PartName="/word/commentsDocument.xml" ContentType="application/vnd.openxmlformats-officedocument.wordprocessingml.comments+xml"/>
  <Override PartName="/word/glossary/webSettings.xml" ContentType="application/vnd.openxmlformats-officedocument.wordprocessingml.webSettings+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spacing w:after="60"/>
        <w:rPr>
          <w:b/>
          <w:color w:val="1F3864"/>
          <w:sz w:val="26"/>
          <w:szCs w:val="26"/>
        </w:rPr>
      </w:pPr>
      <w:r>
        <w:rPr>
          <w:b/>
          <w:color w:val="1F3864"/>
          <w:sz w:val="26"/>
          <w:szCs w:val="26"/>
        </w:rPr>
        <w:t xml:space="preserve">SERVICES CONTRACT (APPENDIX 5) — FORM OF AGREEMENT</w:t>
      </w:r>
    </w:p>
    <w:p>
      <w:pPr>
        <w:spacing w:after="160"/>
        <w:rPr>
          <w:b/>
          <w:color w:val="1F3864"/>
          <w:sz w:val="22"/>
          <w:szCs w:val="22"/>
        </w:rPr>
      </w:pPr>
      <w:r>
        <w:rPr>
          <w:b/>
          <w:color w:val="1F3864"/>
          <w:sz w:val="22"/>
          <w:szCs w:val="22"/>
        </w:rPr>
        <w:t xml:space="preserve">Continued Support and Development of the Skillnet MMC Accelerate Online Platform</w:t>
      </w:r>
    </w:p>
    <w:p>
      <w:pPr>
        <w:spacing w:after="120"/>
        <w:rPr>
          <w:b/>
        </w:rPr>
      </w:pPr>
      <w:r>
        <w:rPr>
          <w:b/>
        </w:rPr>
        <w:t xml:space="preserve">Note on status and use</w:t>
      </w:r>
    </w:p>
    <w:p>
      <w:pPr>
        <w:spacing w:after="120"/>
      </w:pPr>
      <w:r>
        <w:t xml:space="preserve">This document is the form of Services Contract which CitA (Construction IT Alliance) intends to conclude with the successful Tenderer arising from the above competition. It is provided so that Tenderers may review the terms and indicate, in the body of their tender, any objections. Tenderers are not required to submit a signed copy. Placeholders shown as [●] and [the Contractor] are completed on award.</w:t>
      </w:r>
    </w:p>
    <w:p>
      <w:pPr>
        <w:spacing w:after="120"/>
        <w:rPr>
          <w:b/>
        </w:rPr>
      </w:pPr>
      <w:r>
        <w:rPr>
          <w:b/>
        </w:rPr>
        <w:t xml:space="preserve">Amendments made to align this form with the RFT</w:t>
      </w:r>
    </w:p>
    <w:p>
      <w:pPr>
        <w:spacing w:after="120"/>
      </w:pPr>
      <w:r>
        <w:t xml:space="preserve">(i) references to the incumbent supplier have been genericised; (ii) the subject has been updated to the continued support and development of the live Platform; (iii) intellectual property in the Site now vests in CitA, with a transferable licence for any pre-existing or third-party components (clause 10.1); (iv) the exit provisions now require a full handover of source code, configuration, credentials, content and data to CitA or a replacement supplier at no additional cost, aligned with RFT Appendix 1, Section 4.6 (clause 13.5); and (v) the Charges are fixed by reference to the successful Tender and may be varied only by agreement (clause 22.2 and Schedule 2).</w:t>
      </w:r>
    </w:p>
    <w:p>
      <w:pPr>
        <w:spacing w:after="120"/>
        <w:rPr>
          <w:b/>
        </w:rPr>
      </w:pPr>
      <w:r>
        <w:rPr>
          <w:b/>
        </w:rPr>
        <w:t xml:space="preserve">For confirmation on legal review before issue</w:t>
      </w:r>
    </w:p>
    <w:p>
      <w:pPr>
        <w:spacing w:after="0"/>
      </w:pPr>
      <w:r>
        <w:t xml:space="preserve">The following should be confirmed by CitA's legal / panel-counsel review and reconciled with the RFT before contract: the limitation of liability (clause 9.5, currently 10% of annual Charges); the prohibition on assignment / sub-contracting and any step-in or novation rights on transition (clause 19); the minimum committed support hours and the right to cease services at the Service Level cap (clauses 7.4–7.5 and Schedule 1); clause 13.4 (termination of licences) read subject to the transition licence at clause 10.1; and incorporation of the RFT and the successful Tender as contract schedules with an order of precedence.</w:t>
      </w:r>
    </w:p>
    <w:p>
      <w:r>
        <w:br w:type="page"/>
      </w:r>
    </w:p>
    <w:p w14:paraId="1B9DA19D" w14:textId="77777777">
      <w:pPr>
        <w:pStyle w:val="1203"/>
        <w:pBdr/>
        <w:spacing/>
        <w:ind/>
        <w:rPr>
          <w:b/>
          <w:szCs w:val="22"/>
        </w:rPr>
      </w:pPr>
      <w:r/>
      <w:bookmarkStart w:id="0" w:name="_Hlk103618297"/>
      <w:r>
        <w:rPr>
          <w:b/>
          <w:szCs w:val="22"/>
        </w:rPr>
        <w:t xml:space="preserve">DATED</w:t>
      </w:r>
    </w:p>
    <w:p w14:paraId="094DB2F2" w14:textId="77777777">
      <w:pPr>
        <w:pStyle w:val="1203"/>
        <w:pBdr/>
        <w:spacing/>
        <w:ind/>
        <w:rPr>
          <w:b/>
          <w:szCs w:val="22"/>
        </w:rPr>
      </w:pPr>
      <w:r/>
      <w:commentRangeStart w:id="0"/>
      <w:r>
        <w:rPr>
          <w:szCs w:val="22"/>
        </w:rPr>
        <w:t xml:space="preserve">[●]</w:t>
      </w:r>
      <w:commentRangeEnd w:id="0"/>
      <w:r>
        <w:commentReference w:id="0"/>
      </w:r>
      <w:r>
        <w:rPr>
          <w:b/>
          <w:szCs w:val="22"/>
        </w:rPr>
      </w:r>
    </w:p>
    <w:p w14:paraId="04D69628" w14:textId="45E8CEAC">
      <w:pPr>
        <w:pStyle w:val="1050"/>
        <w:pBdr/>
        <w:spacing/>
        <w:ind/>
        <w:rPr>
          <w:sz w:val="22"/>
          <w:szCs w:val="22"/>
        </w:rPr>
      </w:pPr>
      <w:r>
        <w:rPr>
          <w:sz w:val="22"/>
          <w:szCs w:val="22"/>
        </w:rPr>
        <w:t xml:space="preserve">Services Contract — Website Support, Maintenance and Ongoing Development of the Skillnet MMC Accelerate Online Platform</w:t>
      </w:r>
    </w:p>
    <w:p w14:paraId="374B1E66" w14:textId="77777777">
      <w:pPr>
        <w:pStyle w:val="1203"/>
        <w:pBdr/>
        <w:spacing/>
        <w:ind/>
        <w:rPr>
          <w:szCs w:val="22"/>
        </w:rPr>
      </w:pPr>
      <w:r>
        <w:rPr>
          <w:szCs w:val="22"/>
        </w:rPr>
        <w:t xml:space="preserve">between/among</w:t>
      </w:r>
    </w:p>
    <w:p w14:paraId="57DA0CCA" w14:textId="77777777">
      <w:pPr>
        <w:pStyle w:val="1204"/>
        <w:pBdr/>
        <w:spacing/>
        <w:ind/>
        <w:rPr>
          <w:szCs w:val="22"/>
        </w:rPr>
      </w:pPr>
      <w:r>
        <w:rPr>
          <w:szCs w:val="22"/>
        </w:rPr>
        <w:t xml:space="preserve">[THE CONTRACTOR]</w:t>
      </w:r>
    </w:p>
    <w:p w14:paraId="63298423" w14:textId="77777777">
      <w:pPr>
        <w:pStyle w:val="1203"/>
        <w:pBdr/>
        <w:spacing/>
        <w:ind/>
        <w:rPr>
          <w:szCs w:val="22"/>
        </w:rPr>
      </w:pPr>
      <w:r>
        <w:rPr>
          <w:szCs w:val="22"/>
        </w:rPr>
        <w:t xml:space="preserve">and</w:t>
      </w:r>
    </w:p>
    <w:p w14:paraId="1E70B55F" w14:textId="77777777">
      <w:pPr>
        <w:pStyle w:val="1204"/>
        <w:pBdr/>
        <w:spacing/>
        <w:ind/>
        <w:rPr>
          <w:szCs w:val="22"/>
        </w:rPr>
      </w:pPr>
      <w:r/>
      <w:commentRangeStart w:id="1"/>
      <w:r>
        <w:rPr>
          <w:szCs w:val="22"/>
        </w:rPr>
        <w:t xml:space="preserve">CONSTRUCTION IT ALLIANCE</w:t>
      </w:r>
      <w:commentRangeEnd w:id="1"/>
      <w:r>
        <w:commentReference w:id="1"/>
      </w:r>
      <w:r>
        <w:rPr>
          <w:szCs w:val="22"/>
        </w:rPr>
      </w:r>
    </w:p>
    <w:p w14:paraId="20A19A9E" w14:textId="77777777">
      <w:pPr>
        <w:pStyle w:val="1204"/>
        <w:pBdr/>
        <w:spacing/>
        <w:ind/>
        <w:rPr>
          <w:szCs w:val="22"/>
        </w:rPr>
      </w:pPr>
      <w:r>
        <w:rPr>
          <w:szCs w:val="22"/>
        </w:rPr>
      </w:r>
    </w:p>
    <w:p w14:paraId="72B573D7" w14:textId="77777777">
      <w:pPr>
        <w:pStyle w:val="1204"/>
        <w:pBdr/>
        <w:spacing/>
        <w:ind/>
        <w:jc w:val="left"/>
        <w:rPr>
          <w:szCs w:val="22"/>
        </w:rPr>
      </w:pPr>
      <w:r>
        <w:rPr>
          <w:szCs w:val="22"/>
        </w:rPr>
      </w:r>
    </w:p>
    <w:p w14:paraId="3629F425" w14:textId="77777777">
      <w:pPr>
        <w:pStyle w:val="1204"/>
        <w:pBdr/>
        <w:spacing/>
        <w:ind/>
        <w:rPr>
          <w:szCs w:val="22"/>
        </w:rPr>
      </w:pPr>
      <w:r>
        <w:rPr>
          <w:szCs w:val="22"/>
        </w:rPr>
      </w:r>
    </w:p>
    <w:p w14:paraId="0287FECB" w14:textId="77777777">
      <w:pPr>
        <w:pStyle w:val="1204"/>
        <w:pBdr/>
        <w:spacing/>
        <w:ind/>
        <w:rPr>
          <w:szCs w:val="22"/>
        </w:rPr>
      </w:pPr>
      <w:r>
        <w:rPr>
          <w:szCs w:val="22"/>
        </w:rPr>
      </w:r>
    </w:p>
    <w:p w14:paraId="62B1E49F" w14:textId="77777777">
      <w:pPr>
        <w:pStyle w:val="1204"/>
        <w:pBdr/>
        <w:spacing/>
        <w:ind/>
        <w:rPr>
          <w:szCs w:val="22"/>
        </w:rPr>
      </w:pPr>
      <w:r>
        <w:rPr>
          <w:szCs w:val="22"/>
        </w:rPr>
      </w:r>
    </w:p>
    <w:p w14:paraId="1C45DD5D" w14:textId="77777777">
      <w:pPr>
        <w:pBdr/>
        <w:spacing/>
        <w:ind/>
        <w:rPr/>
        <w:sectPr>
          <w:headerReference w:type="default" r:id="rId10"/>
          <w:footnotePr/>
          <w:endnotePr/>
          <w:type w:val="nextPage"/>
          <w:pgSz w:h="16820" w:orient="portrait" w:w="11900"/>
          <w:pgMar w:top="1440" w:right="1440" w:bottom="1440" w:left="1440" w:header="720" w:footer="720" w:gutter="0"/>
          <w:cols w:num="1" w:sep="0" w:space="720" w:equalWidth="1"/>
        </w:sectPr>
      </w:pPr>
      <w:r/>
    </w:p>
    <w:p w14:paraId="3F49EB4A" w14:textId="77777777">
      <w:pPr>
        <w:pStyle w:val="1130"/>
        <w:pBdr/>
        <w:spacing/>
        <w:ind/>
        <w:rPr>
          <w:sz w:val="22"/>
          <w:szCs w:val="22"/>
        </w:rPr>
      </w:pPr>
      <w:r>
        <w:rPr>
          <w:sz w:val="22"/>
          <w:szCs w:val="22"/>
        </w:rPr>
        <w:t xml:space="preserve">CONTENTS</w:t>
      </w:r>
    </w:p>
    <w:p w14:paraId="11D439B2" w14:textId="77777777">
      <w:pPr>
        <w:pStyle w:val="1130"/>
        <w:pBdr/>
        <w:spacing/>
        <w:ind/>
        <w:rPr>
          <w:sz w:val="22"/>
          <w:szCs w:val="22"/>
        </w:rPr>
      </w:pPr>
      <w:r>
        <w:rPr>
          <w:sz w:val="22"/>
          <w:szCs w:val="22"/>
        </w:rPr>
        <w:t xml:space="preserve">____________________________________________________________</w:t>
      </w:r>
    </w:p>
    <w:p w14:paraId="15B623E7" w14:textId="77777777">
      <w:pPr>
        <w:pStyle w:val="1130"/>
        <w:pBdr/>
        <w:spacing/>
        <w:ind/>
        <w:rPr>
          <w:sz w:val="22"/>
          <w:szCs w:val="22"/>
        </w:rPr>
      </w:pPr>
      <w:r>
        <w:rPr>
          <w:sz w:val="22"/>
          <w:szCs w:val="22"/>
        </w:rPr>
        <w:t xml:space="preserve">CLAUSE</w:t>
      </w:r>
    </w:p>
    <w:p w14:paraId="38FD5FC6" w14:textId="4A036A3D">
      <w:pPr>
        <w:pStyle w:val="1254"/>
        <w:pBdr/>
        <w:spacing/>
        <w:ind/>
        <w:rPr>
          <w:rFonts w:asciiTheme="minorHAnsi" w:hAnsiTheme="minorHAnsi" w:eastAsiaTheme="minorEastAsia"/>
        </w:rPr>
      </w:pPr>
      <w:r>
        <w:rPr>
          <w:rFonts w:eastAsia="Arial"/>
          <w:sz w:val="24"/>
          <w:lang w:eastAsia="en-IE"/>
        </w:rPr>
        <w:fldChar w:fldCharType="begin"/>
      </w:r>
      <w:r>
        <w:instrText xml:space="preserve">TOC \t "Title Clause, 1" \h</w:instrText>
      </w:r>
      <w:r>
        <w:rPr>
          <w:rFonts w:eastAsia="Arial"/>
          <w:sz w:val="24"/>
          <w:lang w:eastAsia="en-IE"/>
        </w:rPr>
        <w:fldChar w:fldCharType="separate"/>
      </w:r>
      <w:hyperlink w:tooltip="#_Toc106276012" w:anchor="_Toc106276012" w:history="1">
        <w:r>
          <w:rPr>
            <w:rStyle w:val="1123"/>
          </w:rPr>
          <w:t xml:space="preserve">1.</w:t>
        </w:r>
        <w:r>
          <w:rPr>
            <w:rFonts w:asciiTheme="minorHAnsi" w:hAnsiTheme="minorHAnsi" w:eastAsiaTheme="minorEastAsia"/>
          </w:rPr>
          <w:tab/>
        </w:r>
        <w:r>
          <w:rPr>
            <w:rStyle w:val="1123"/>
          </w:rPr>
          <w:t xml:space="preserve">Interpretation</w:t>
        </w:r>
        <w:r>
          <w:tab/>
          <w:fldChar w:fldCharType="begin"/>
          <w:instrText xml:space="preserve"> PAGEREF _Toc106276012 \h </w:instrText>
          <w:fldChar w:fldCharType="separate"/>
          <w:t xml:space="preserve">3</w:t>
          <w:fldChar w:fldCharType="end"/>
        </w:r>
      </w:hyperlink>
      <w:r>
        <w:rPr>
          <w:rFonts w:asciiTheme="minorHAnsi" w:hAnsiTheme="minorHAnsi" w:eastAsiaTheme="minorEastAsia"/>
        </w:rPr>
      </w:r>
    </w:p>
    <w:p w14:paraId="6B4FF06A" w14:textId="6D9FF251">
      <w:pPr>
        <w:pStyle w:val="1254"/>
        <w:pBdr/>
        <w:spacing/>
        <w:ind/>
        <w:rPr>
          <w:rFonts w:asciiTheme="minorHAnsi" w:hAnsiTheme="minorHAnsi" w:eastAsiaTheme="minorEastAsia"/>
        </w:rPr>
      </w:pPr>
      <w:r/>
      <w:hyperlink w:tooltip="#_Toc106276013" w:anchor="_Toc106276013" w:history="1">
        <w:r>
          <w:rPr>
            <w:rStyle w:val="1123"/>
          </w:rPr>
          <w:t xml:space="preserve">2.</w:t>
        </w:r>
        <w:r>
          <w:rPr>
            <w:rFonts w:asciiTheme="minorHAnsi" w:hAnsiTheme="minorHAnsi" w:eastAsiaTheme="minorEastAsia"/>
          </w:rPr>
          <w:tab/>
        </w:r>
        <w:r>
          <w:rPr>
            <w:rStyle w:val="1123"/>
          </w:rPr>
          <w:t xml:space="preserve">Scope of the Project</w:t>
        </w:r>
        <w:r>
          <w:tab/>
          <w:fldChar w:fldCharType="begin"/>
          <w:instrText xml:space="preserve"> PAGEREF _Toc106276013 \h </w:instrText>
          <w:fldChar w:fldCharType="separate"/>
          <w:t xml:space="preserve">6</w:t>
          <w:fldChar w:fldCharType="end"/>
        </w:r>
      </w:hyperlink>
      <w:r>
        <w:rPr>
          <w:rFonts w:asciiTheme="minorHAnsi" w:hAnsiTheme="minorHAnsi" w:eastAsiaTheme="minorEastAsia"/>
        </w:rPr>
      </w:r>
    </w:p>
    <w:p w14:paraId="74C70944" w14:textId="61FD385F">
      <w:pPr>
        <w:pStyle w:val="1254"/>
        <w:pBdr/>
        <w:spacing/>
        <w:ind/>
        <w:rPr>
          <w:rFonts w:asciiTheme="minorHAnsi" w:hAnsiTheme="minorHAnsi" w:eastAsiaTheme="minorEastAsia"/>
        </w:rPr>
      </w:pPr>
      <w:r/>
      <w:hyperlink w:tooltip="#_Toc106276014" w:anchor="_Toc106276014" w:history="1">
        <w:r>
          <w:rPr>
            <w:rStyle w:val="1123"/>
          </w:rPr>
          <w:t xml:space="preserve">3.</w:t>
        </w:r>
        <w:r>
          <w:rPr>
            <w:rFonts w:asciiTheme="minorHAnsi" w:hAnsiTheme="minorHAnsi" w:eastAsiaTheme="minorEastAsia"/>
          </w:rPr>
          <w:tab/>
        </w:r>
        <w:r>
          <w:rPr>
            <w:rStyle w:val="1123"/>
          </w:rPr>
          <w:t xml:space="preserve">Customer responsibilities</w:t>
        </w:r>
        <w:r>
          <w:tab/>
          <w:fldChar w:fldCharType="begin"/>
          <w:instrText xml:space="preserve"> PAGEREF _Toc106276014 \h </w:instrText>
          <w:fldChar w:fldCharType="separate"/>
          <w:t xml:space="preserve">6</w:t>
          <w:fldChar w:fldCharType="end"/>
        </w:r>
      </w:hyperlink>
      <w:r>
        <w:rPr>
          <w:rFonts w:asciiTheme="minorHAnsi" w:hAnsiTheme="minorHAnsi" w:eastAsiaTheme="minorEastAsia"/>
        </w:rPr>
      </w:r>
    </w:p>
    <w:p w14:paraId="12BB722A" w14:textId="2652425B">
      <w:pPr>
        <w:pStyle w:val="1254"/>
        <w:pBdr/>
        <w:spacing/>
        <w:ind/>
        <w:rPr>
          <w:rFonts w:asciiTheme="minorHAnsi" w:hAnsiTheme="minorHAnsi" w:eastAsiaTheme="minorEastAsia"/>
        </w:rPr>
      </w:pPr>
      <w:r/>
      <w:hyperlink w:tooltip="#_Toc106276015" w:anchor="_Toc106276015" w:history="1">
        <w:r>
          <w:rPr>
            <w:rStyle w:val="1123"/>
          </w:rPr>
          <w:t xml:space="preserve">4.</w:t>
        </w:r>
        <w:r>
          <w:rPr>
            <w:rFonts w:asciiTheme="minorHAnsi" w:hAnsiTheme="minorHAnsi" w:eastAsiaTheme="minorEastAsia"/>
          </w:rPr>
          <w:tab/>
        </w:r>
        <w:r>
          <w:rPr>
            <w:rStyle w:val="1123"/>
          </w:rPr>
          <w:t xml:space="preserve">Development and acceptance of the Changes</w:t>
        </w:r>
        <w:r>
          <w:tab/>
          <w:fldChar w:fldCharType="begin"/>
          <w:instrText xml:space="preserve"> PAGEREF _Toc106276015 \h </w:instrText>
          <w:fldChar w:fldCharType="separate"/>
          <w:t xml:space="preserve">7</w:t>
          <w:fldChar w:fldCharType="end"/>
        </w:r>
      </w:hyperlink>
      <w:r>
        <w:rPr>
          <w:rFonts w:asciiTheme="minorHAnsi" w:hAnsiTheme="minorHAnsi" w:eastAsiaTheme="minorEastAsia"/>
        </w:rPr>
      </w:r>
    </w:p>
    <w:p w14:paraId="3C175D7F" w14:textId="700218AF">
      <w:pPr>
        <w:pStyle w:val="1254"/>
        <w:pBdr/>
        <w:spacing/>
        <w:ind/>
        <w:rPr>
          <w:rFonts w:asciiTheme="minorHAnsi" w:hAnsiTheme="minorHAnsi" w:eastAsiaTheme="minorEastAsia"/>
        </w:rPr>
      </w:pPr>
      <w:r/>
      <w:hyperlink w:tooltip="#_Toc106276016" w:anchor="_Toc106276016" w:history="1">
        <w:r>
          <w:rPr>
            <w:rStyle w:val="1123"/>
          </w:rPr>
          <w:t xml:space="preserve">5.</w:t>
        </w:r>
        <w:r>
          <w:rPr>
            <w:rFonts w:asciiTheme="minorHAnsi" w:hAnsiTheme="minorHAnsi" w:eastAsiaTheme="minorEastAsia"/>
          </w:rPr>
          <w:tab/>
        </w:r>
        <w:r>
          <w:rPr>
            <w:rStyle w:val="1123"/>
          </w:rPr>
          <w:t xml:space="preserve">Third party products</w:t>
        </w:r>
        <w:r>
          <w:tab/>
          <w:fldChar w:fldCharType="begin"/>
          <w:instrText xml:space="preserve"> PAGEREF _Toc106276016 \h </w:instrText>
          <w:fldChar w:fldCharType="separate"/>
          <w:t xml:space="preserve">8</w:t>
          <w:fldChar w:fldCharType="end"/>
        </w:r>
      </w:hyperlink>
      <w:r>
        <w:rPr>
          <w:rFonts w:asciiTheme="minorHAnsi" w:hAnsiTheme="minorHAnsi" w:eastAsiaTheme="minorEastAsia"/>
        </w:rPr>
      </w:r>
    </w:p>
    <w:p w14:paraId="676A995E" w14:textId="2D4EF2DF">
      <w:pPr>
        <w:pStyle w:val="1254"/>
        <w:pBdr/>
        <w:spacing/>
        <w:ind/>
        <w:rPr>
          <w:rFonts w:asciiTheme="minorHAnsi" w:hAnsiTheme="minorHAnsi" w:eastAsiaTheme="minorEastAsia"/>
        </w:rPr>
      </w:pPr>
      <w:r/>
      <w:hyperlink w:tooltip="#_Toc106276017" w:anchor="_Toc106276017" w:history="1">
        <w:r>
          <w:rPr>
            <w:rStyle w:val="1123"/>
          </w:rPr>
          <w:t xml:space="preserve">6.</w:t>
        </w:r>
        <w:r>
          <w:rPr>
            <w:rFonts w:asciiTheme="minorHAnsi" w:hAnsiTheme="minorHAnsi" w:eastAsiaTheme="minorEastAsia"/>
          </w:rPr>
          <w:tab/>
        </w:r>
        <w:r>
          <w:rPr>
            <w:rStyle w:val="1123"/>
          </w:rPr>
          <w:t xml:space="preserve">Project management</w:t>
        </w:r>
        <w:r>
          <w:tab/>
          <w:fldChar w:fldCharType="begin"/>
          <w:instrText xml:space="preserve"> PAGEREF _Toc106276017 \h </w:instrText>
          <w:fldChar w:fldCharType="separate"/>
          <w:t xml:space="preserve">8</w:t>
          <w:fldChar w:fldCharType="end"/>
        </w:r>
      </w:hyperlink>
      <w:r>
        <w:rPr>
          <w:rFonts w:asciiTheme="minorHAnsi" w:hAnsiTheme="minorHAnsi" w:eastAsiaTheme="minorEastAsia"/>
        </w:rPr>
      </w:r>
    </w:p>
    <w:p w14:paraId="7F8A88E1" w14:textId="3F367B59">
      <w:pPr>
        <w:pStyle w:val="1254"/>
        <w:pBdr/>
        <w:spacing/>
        <w:ind/>
        <w:rPr>
          <w:rFonts w:asciiTheme="minorHAnsi" w:hAnsiTheme="minorHAnsi" w:eastAsiaTheme="minorEastAsia"/>
        </w:rPr>
      </w:pPr>
      <w:r/>
      <w:hyperlink w:tooltip="#_Toc106276018" w:anchor="_Toc106276018" w:history="1">
        <w:r>
          <w:rPr>
            <w:rStyle w:val="1123"/>
          </w:rPr>
          <w:t xml:space="preserve">7.</w:t>
        </w:r>
        <w:r>
          <w:rPr>
            <w:rFonts w:asciiTheme="minorHAnsi" w:hAnsiTheme="minorHAnsi" w:eastAsiaTheme="minorEastAsia"/>
          </w:rPr>
          <w:tab/>
        </w:r>
        <w:r>
          <w:rPr>
            <w:rStyle w:val="1123"/>
          </w:rPr>
          <w:t xml:space="preserve">Charges and payment</w:t>
        </w:r>
        <w:r>
          <w:tab/>
          <w:fldChar w:fldCharType="begin"/>
          <w:instrText xml:space="preserve"> PAGEREF _Toc106276018 \h </w:instrText>
          <w:fldChar w:fldCharType="separate"/>
          <w:t xml:space="preserve">8</w:t>
          <w:fldChar w:fldCharType="end"/>
        </w:r>
      </w:hyperlink>
      <w:r>
        <w:rPr>
          <w:rFonts w:asciiTheme="minorHAnsi" w:hAnsiTheme="minorHAnsi" w:eastAsiaTheme="minorEastAsia"/>
        </w:rPr>
      </w:r>
    </w:p>
    <w:p w14:paraId="00B228DC" w14:textId="74106664">
      <w:pPr>
        <w:pStyle w:val="1254"/>
        <w:pBdr/>
        <w:spacing/>
        <w:ind/>
        <w:rPr>
          <w:rFonts w:asciiTheme="minorHAnsi" w:hAnsiTheme="minorHAnsi" w:eastAsiaTheme="minorEastAsia"/>
        </w:rPr>
      </w:pPr>
      <w:r/>
      <w:hyperlink w:tooltip="#_Toc106276019" w:anchor="_Toc106276019" w:history="1">
        <w:r>
          <w:rPr>
            <w:rStyle w:val="1123"/>
          </w:rPr>
          <w:t xml:space="preserve">8.</w:t>
        </w:r>
        <w:r>
          <w:rPr>
            <w:rFonts w:asciiTheme="minorHAnsi" w:hAnsiTheme="minorHAnsi" w:eastAsiaTheme="minorEastAsia"/>
          </w:rPr>
          <w:tab/>
        </w:r>
        <w:r>
          <w:rPr>
            <w:rStyle w:val="1123"/>
          </w:rPr>
          <w:t xml:space="preserve">Warranties</w:t>
        </w:r>
        <w:r>
          <w:tab/>
          <w:fldChar w:fldCharType="begin"/>
          <w:instrText xml:space="preserve"> PAGEREF _Toc106276019 \h </w:instrText>
          <w:fldChar w:fldCharType="separate"/>
          <w:t xml:space="preserve">9</w:t>
          <w:fldChar w:fldCharType="end"/>
        </w:r>
      </w:hyperlink>
      <w:r>
        <w:rPr>
          <w:rFonts w:asciiTheme="minorHAnsi" w:hAnsiTheme="minorHAnsi" w:eastAsiaTheme="minorEastAsia"/>
        </w:rPr>
      </w:r>
    </w:p>
    <w:p w14:paraId="4DD642FB" w14:textId="6E3B9F42">
      <w:pPr>
        <w:pStyle w:val="1254"/>
        <w:pBdr/>
        <w:spacing/>
        <w:ind/>
        <w:rPr>
          <w:rFonts w:asciiTheme="minorHAnsi" w:hAnsiTheme="minorHAnsi" w:eastAsiaTheme="minorEastAsia"/>
        </w:rPr>
      </w:pPr>
      <w:r/>
      <w:hyperlink w:tooltip="#_Toc106276020" w:anchor="_Toc106276020" w:history="1">
        <w:r>
          <w:rPr>
            <w:rStyle w:val="1123"/>
          </w:rPr>
          <w:t xml:space="preserve">9.</w:t>
        </w:r>
        <w:r>
          <w:rPr>
            <w:rFonts w:asciiTheme="minorHAnsi" w:hAnsiTheme="minorHAnsi" w:eastAsiaTheme="minorEastAsia"/>
          </w:rPr>
          <w:tab/>
        </w:r>
        <w:r>
          <w:rPr>
            <w:rStyle w:val="1123"/>
          </w:rPr>
          <w:t xml:space="preserve">Limitation of remedies and liability</w:t>
        </w:r>
        <w:r>
          <w:tab/>
          <w:fldChar w:fldCharType="begin"/>
          <w:instrText xml:space="preserve"> PAGEREF _Toc106276020 \h </w:instrText>
          <w:fldChar w:fldCharType="separate"/>
          <w:t xml:space="preserve">10</w:t>
          <w:fldChar w:fldCharType="end"/>
        </w:r>
      </w:hyperlink>
      <w:r>
        <w:rPr>
          <w:rFonts w:asciiTheme="minorHAnsi" w:hAnsiTheme="minorHAnsi" w:eastAsiaTheme="minorEastAsia"/>
        </w:rPr>
      </w:r>
    </w:p>
    <w:p w14:paraId="2FD486D4" w14:textId="0633B24B">
      <w:pPr>
        <w:pStyle w:val="1254"/>
        <w:pBdr/>
        <w:spacing/>
        <w:ind/>
        <w:rPr>
          <w:rFonts w:asciiTheme="minorHAnsi" w:hAnsiTheme="minorHAnsi" w:eastAsiaTheme="minorEastAsia"/>
        </w:rPr>
      </w:pPr>
      <w:r/>
      <w:hyperlink w:tooltip="#_Toc106276021" w:anchor="_Toc106276021" w:history="1">
        <w:r>
          <w:rPr>
            <w:rStyle w:val="1123"/>
          </w:rPr>
          <w:t xml:space="preserve">10.</w:t>
        </w:r>
        <w:r>
          <w:rPr>
            <w:rFonts w:asciiTheme="minorHAnsi" w:hAnsiTheme="minorHAnsi" w:eastAsiaTheme="minorEastAsia"/>
          </w:rPr>
          <w:tab/>
        </w:r>
        <w:r>
          <w:rPr>
            <w:rStyle w:val="1123"/>
          </w:rPr>
          <w:t xml:space="preserve">Intellectual property rights</w:t>
        </w:r>
        <w:r>
          <w:tab/>
          <w:fldChar w:fldCharType="begin"/>
          <w:instrText xml:space="preserve"> PAGEREF _Toc106276021 \h </w:instrText>
          <w:fldChar w:fldCharType="separate"/>
          <w:t xml:space="preserve">11</w:t>
          <w:fldChar w:fldCharType="end"/>
        </w:r>
      </w:hyperlink>
      <w:r>
        <w:rPr>
          <w:rFonts w:asciiTheme="minorHAnsi" w:hAnsiTheme="minorHAnsi" w:eastAsiaTheme="minorEastAsia"/>
        </w:rPr>
      </w:r>
    </w:p>
    <w:p w14:paraId="07454AAF" w14:textId="569E3535">
      <w:pPr>
        <w:pStyle w:val="1254"/>
        <w:pBdr/>
        <w:spacing/>
        <w:ind/>
        <w:rPr>
          <w:rFonts w:asciiTheme="minorHAnsi" w:hAnsiTheme="minorHAnsi" w:eastAsiaTheme="minorEastAsia"/>
        </w:rPr>
      </w:pPr>
      <w:r/>
      <w:hyperlink w:tooltip="#_Toc106276022" w:anchor="_Toc106276022" w:history="1">
        <w:r>
          <w:rPr>
            <w:rStyle w:val="1123"/>
          </w:rPr>
          <w:t xml:space="preserve">11.</w:t>
        </w:r>
        <w:r>
          <w:rPr>
            <w:rFonts w:asciiTheme="minorHAnsi" w:hAnsiTheme="minorHAnsi" w:eastAsiaTheme="minorEastAsia"/>
          </w:rPr>
          <w:tab/>
        </w:r>
        <w:r>
          <w:rPr>
            <w:rStyle w:val="1123"/>
          </w:rPr>
          <w:t xml:space="preserve">Site content</w:t>
        </w:r>
        <w:r>
          <w:tab/>
          <w:fldChar w:fldCharType="begin"/>
          <w:instrText xml:space="preserve"> PAGEREF _Toc106276022 \h </w:instrText>
          <w:fldChar w:fldCharType="separate"/>
          <w:t xml:space="preserve">12</w:t>
          <w:fldChar w:fldCharType="end"/>
        </w:r>
      </w:hyperlink>
      <w:r>
        <w:rPr>
          <w:rFonts w:asciiTheme="minorHAnsi" w:hAnsiTheme="minorHAnsi" w:eastAsiaTheme="minorEastAsia"/>
        </w:rPr>
      </w:r>
    </w:p>
    <w:p w14:paraId="084EE2FC" w14:textId="6530B2CC">
      <w:pPr>
        <w:pStyle w:val="1254"/>
        <w:pBdr/>
        <w:spacing/>
        <w:ind/>
        <w:rPr>
          <w:rFonts w:asciiTheme="minorHAnsi" w:hAnsiTheme="minorHAnsi" w:eastAsiaTheme="minorEastAsia"/>
        </w:rPr>
      </w:pPr>
      <w:r/>
      <w:hyperlink w:tooltip="#_Toc106276023" w:anchor="_Toc106276023" w:history="1">
        <w:r>
          <w:rPr>
            <w:rStyle w:val="1123"/>
          </w:rPr>
          <w:t xml:space="preserve">12.</w:t>
        </w:r>
        <w:r>
          <w:rPr>
            <w:rFonts w:asciiTheme="minorHAnsi" w:hAnsiTheme="minorHAnsi" w:eastAsiaTheme="minorEastAsia"/>
          </w:rPr>
          <w:tab/>
        </w:r>
        <w:r>
          <w:rPr>
            <w:rStyle w:val="1123"/>
          </w:rPr>
          <w:t xml:space="preserve">Data protection</w:t>
        </w:r>
        <w:r>
          <w:tab/>
          <w:fldChar w:fldCharType="begin"/>
          <w:instrText xml:space="preserve"> PAGEREF _Toc106276023 \h </w:instrText>
          <w:fldChar w:fldCharType="separate"/>
          <w:t xml:space="preserve">12</w:t>
          <w:fldChar w:fldCharType="end"/>
        </w:r>
      </w:hyperlink>
      <w:r>
        <w:rPr>
          <w:rFonts w:asciiTheme="minorHAnsi" w:hAnsiTheme="minorHAnsi" w:eastAsiaTheme="minorEastAsia"/>
        </w:rPr>
      </w:r>
    </w:p>
    <w:p w14:paraId="556694FE" w14:textId="2347BCE1">
      <w:pPr>
        <w:pStyle w:val="1254"/>
        <w:pBdr/>
        <w:spacing/>
        <w:ind/>
        <w:rPr>
          <w:rFonts w:asciiTheme="minorHAnsi" w:hAnsiTheme="minorHAnsi" w:eastAsiaTheme="minorEastAsia"/>
        </w:rPr>
      </w:pPr>
      <w:r/>
      <w:hyperlink w:tooltip="#_Toc106276024" w:anchor="_Toc106276024" w:history="1">
        <w:r>
          <w:rPr>
            <w:rStyle w:val="1123"/>
          </w:rPr>
          <w:t xml:space="preserve">13.</w:t>
        </w:r>
        <w:r>
          <w:rPr>
            <w:rFonts w:asciiTheme="minorHAnsi" w:hAnsiTheme="minorHAnsi" w:eastAsiaTheme="minorEastAsia"/>
          </w:rPr>
          <w:tab/>
        </w:r>
        <w:r>
          <w:rPr>
            <w:rStyle w:val="1123"/>
          </w:rPr>
          <w:t xml:space="preserve">Term and termination</w:t>
        </w:r>
        <w:r>
          <w:tab/>
          <w:fldChar w:fldCharType="begin"/>
          <w:instrText xml:space="preserve"> PAGEREF _Toc106276024 \h </w:instrText>
          <w:fldChar w:fldCharType="separate"/>
          <w:t xml:space="preserve">14</w:t>
          <w:fldChar w:fldCharType="end"/>
        </w:r>
      </w:hyperlink>
      <w:r>
        <w:rPr>
          <w:rFonts w:asciiTheme="minorHAnsi" w:hAnsiTheme="minorHAnsi" w:eastAsiaTheme="minorEastAsia"/>
        </w:rPr>
      </w:r>
    </w:p>
    <w:p w14:paraId="5B6EBDFF" w14:textId="4DF233A2">
      <w:pPr>
        <w:pStyle w:val="1254"/>
        <w:pBdr/>
        <w:spacing/>
        <w:ind/>
        <w:rPr>
          <w:rFonts w:asciiTheme="minorHAnsi" w:hAnsiTheme="minorHAnsi" w:eastAsiaTheme="minorEastAsia"/>
        </w:rPr>
      </w:pPr>
      <w:r/>
      <w:hyperlink w:tooltip="#_Toc106276025" w:anchor="_Toc106276025" w:history="1">
        <w:r>
          <w:rPr>
            <w:rStyle w:val="1123"/>
          </w:rPr>
          <w:t xml:space="preserve">14.</w:t>
        </w:r>
        <w:r>
          <w:rPr>
            <w:rFonts w:asciiTheme="minorHAnsi" w:hAnsiTheme="minorHAnsi" w:eastAsiaTheme="minorEastAsia"/>
          </w:rPr>
          <w:tab/>
        </w:r>
        <w:r>
          <w:rPr>
            <w:rStyle w:val="1123"/>
          </w:rPr>
          <w:t xml:space="preserve">Force majeure</w:t>
        </w:r>
        <w:r>
          <w:tab/>
          <w:fldChar w:fldCharType="begin"/>
          <w:instrText xml:space="preserve"> PAGEREF _Toc106276025 \h </w:instrText>
          <w:fldChar w:fldCharType="separate"/>
          <w:t xml:space="preserve">16</w:t>
          <w:fldChar w:fldCharType="end"/>
        </w:r>
      </w:hyperlink>
      <w:r>
        <w:rPr>
          <w:rFonts w:asciiTheme="minorHAnsi" w:hAnsiTheme="minorHAnsi" w:eastAsiaTheme="minorEastAsia"/>
        </w:rPr>
      </w:r>
    </w:p>
    <w:p w14:paraId="427BC4CA" w14:textId="09718BC5">
      <w:pPr>
        <w:pStyle w:val="1254"/>
        <w:pBdr/>
        <w:spacing/>
        <w:ind/>
        <w:rPr>
          <w:rFonts w:asciiTheme="minorHAnsi" w:hAnsiTheme="minorHAnsi" w:eastAsiaTheme="minorEastAsia"/>
        </w:rPr>
      </w:pPr>
      <w:r/>
      <w:hyperlink w:tooltip="#_Toc106276026" w:anchor="_Toc106276026" w:history="1">
        <w:r>
          <w:rPr>
            <w:rStyle w:val="1123"/>
          </w:rPr>
          <w:t xml:space="preserve">15.</w:t>
        </w:r>
        <w:r>
          <w:rPr>
            <w:rFonts w:asciiTheme="minorHAnsi" w:hAnsiTheme="minorHAnsi" w:eastAsiaTheme="minorEastAsia"/>
          </w:rPr>
          <w:tab/>
        </w:r>
        <w:r>
          <w:rPr>
            <w:rStyle w:val="1123"/>
          </w:rPr>
          <w:t xml:space="preserve">Confidentiality</w:t>
        </w:r>
        <w:r>
          <w:tab/>
          <w:fldChar w:fldCharType="begin"/>
          <w:instrText xml:space="preserve"> PAGEREF _Toc106276026 \h </w:instrText>
          <w:fldChar w:fldCharType="separate"/>
          <w:t xml:space="preserve">16</w:t>
          <w:fldChar w:fldCharType="end"/>
        </w:r>
      </w:hyperlink>
      <w:r>
        <w:rPr>
          <w:rFonts w:asciiTheme="minorHAnsi" w:hAnsiTheme="minorHAnsi" w:eastAsiaTheme="minorEastAsia"/>
        </w:rPr>
      </w:r>
    </w:p>
    <w:p w14:paraId="21395B77" w14:textId="324F7C45">
      <w:pPr>
        <w:pStyle w:val="1254"/>
        <w:pBdr/>
        <w:spacing/>
        <w:ind/>
        <w:rPr>
          <w:rFonts w:asciiTheme="minorHAnsi" w:hAnsiTheme="minorHAnsi" w:eastAsiaTheme="minorEastAsia"/>
        </w:rPr>
      </w:pPr>
      <w:r/>
      <w:hyperlink w:tooltip="#_Toc106276027" w:anchor="_Toc106276027" w:history="1">
        <w:r>
          <w:rPr>
            <w:rStyle w:val="1123"/>
          </w:rPr>
          <w:t xml:space="preserve">16.</w:t>
        </w:r>
        <w:r>
          <w:rPr>
            <w:rFonts w:asciiTheme="minorHAnsi" w:hAnsiTheme="minorHAnsi" w:eastAsiaTheme="minorEastAsia"/>
          </w:rPr>
          <w:tab/>
        </w:r>
        <w:r>
          <w:rPr>
            <w:rStyle w:val="1123"/>
          </w:rPr>
          <w:t xml:space="preserve">Notices</w:t>
        </w:r>
        <w:r>
          <w:tab/>
          <w:fldChar w:fldCharType="begin"/>
          <w:instrText xml:space="preserve"> PAGEREF _Toc106276027 \h </w:instrText>
          <w:fldChar w:fldCharType="separate"/>
          <w:t xml:space="preserve">17</w:t>
          <w:fldChar w:fldCharType="end"/>
        </w:r>
      </w:hyperlink>
      <w:r>
        <w:rPr>
          <w:rFonts w:asciiTheme="minorHAnsi" w:hAnsiTheme="minorHAnsi" w:eastAsiaTheme="minorEastAsia"/>
        </w:rPr>
      </w:r>
    </w:p>
    <w:p w14:paraId="3076B528" w14:textId="15F86A3C">
      <w:pPr>
        <w:pStyle w:val="1254"/>
        <w:pBdr/>
        <w:spacing/>
        <w:ind/>
        <w:rPr>
          <w:rFonts w:asciiTheme="minorHAnsi" w:hAnsiTheme="minorHAnsi" w:eastAsiaTheme="minorEastAsia"/>
        </w:rPr>
      </w:pPr>
      <w:r/>
      <w:hyperlink w:tooltip="#_Toc106276028" w:anchor="_Toc106276028" w:history="1">
        <w:r>
          <w:rPr>
            <w:rStyle w:val="1123"/>
          </w:rPr>
          <w:t xml:space="preserve">17.</w:t>
        </w:r>
        <w:r>
          <w:rPr>
            <w:rFonts w:asciiTheme="minorHAnsi" w:hAnsiTheme="minorHAnsi" w:eastAsiaTheme="minorEastAsia"/>
          </w:rPr>
          <w:tab/>
        </w:r>
        <w:r>
          <w:rPr>
            <w:rStyle w:val="1123"/>
          </w:rPr>
          <w:t xml:space="preserve">Publicity</w:t>
        </w:r>
        <w:r>
          <w:tab/>
          <w:fldChar w:fldCharType="begin"/>
          <w:instrText xml:space="preserve"> PAGEREF _Toc106276028 \h </w:instrText>
          <w:fldChar w:fldCharType="separate"/>
          <w:t xml:space="preserve">17</w:t>
          <w:fldChar w:fldCharType="end"/>
        </w:r>
      </w:hyperlink>
      <w:r>
        <w:rPr>
          <w:rFonts w:asciiTheme="minorHAnsi" w:hAnsiTheme="minorHAnsi" w:eastAsiaTheme="minorEastAsia"/>
        </w:rPr>
      </w:r>
    </w:p>
    <w:p w14:paraId="5510799A" w14:textId="65C29F27">
      <w:pPr>
        <w:pStyle w:val="1254"/>
        <w:pBdr/>
        <w:spacing/>
        <w:ind/>
        <w:rPr>
          <w:rFonts w:asciiTheme="minorHAnsi" w:hAnsiTheme="minorHAnsi" w:eastAsiaTheme="minorEastAsia"/>
        </w:rPr>
      </w:pPr>
      <w:r/>
      <w:hyperlink w:tooltip="#_Toc106276029" w:anchor="_Toc106276029" w:history="1">
        <w:r>
          <w:rPr>
            <w:rStyle w:val="1123"/>
          </w:rPr>
          <w:t xml:space="preserve">18.</w:t>
        </w:r>
        <w:r>
          <w:rPr>
            <w:rFonts w:asciiTheme="minorHAnsi" w:hAnsiTheme="minorHAnsi" w:eastAsiaTheme="minorEastAsia"/>
          </w:rPr>
          <w:tab/>
        </w:r>
        <w:r>
          <w:rPr>
            <w:rStyle w:val="1123"/>
          </w:rPr>
          <w:t xml:space="preserve">Assignment</w:t>
        </w:r>
        <w:r>
          <w:tab/>
          <w:fldChar w:fldCharType="begin"/>
          <w:instrText xml:space="preserve"> PAGEREF _Toc106276029 \h </w:instrText>
          <w:fldChar w:fldCharType="separate"/>
          <w:t xml:space="preserve">18</w:t>
          <w:fldChar w:fldCharType="end"/>
        </w:r>
      </w:hyperlink>
      <w:r>
        <w:rPr>
          <w:rFonts w:asciiTheme="minorHAnsi" w:hAnsiTheme="minorHAnsi" w:eastAsiaTheme="minorEastAsia"/>
        </w:rPr>
      </w:r>
    </w:p>
    <w:p w14:paraId="7415DA04" w14:textId="7060FDC5">
      <w:pPr>
        <w:pStyle w:val="1254"/>
        <w:pBdr/>
        <w:spacing/>
        <w:ind/>
        <w:rPr>
          <w:rFonts w:asciiTheme="minorHAnsi" w:hAnsiTheme="minorHAnsi" w:eastAsiaTheme="minorEastAsia"/>
        </w:rPr>
      </w:pPr>
      <w:r/>
      <w:hyperlink w:tooltip="#_Toc106276030" w:anchor="_Toc106276030" w:history="1">
        <w:r>
          <w:rPr>
            <w:rStyle w:val="1123"/>
          </w:rPr>
          <w:t xml:space="preserve">19.</w:t>
        </w:r>
        <w:r>
          <w:rPr>
            <w:rFonts w:asciiTheme="minorHAnsi" w:hAnsiTheme="minorHAnsi" w:eastAsiaTheme="minorEastAsia"/>
          </w:rPr>
          <w:tab/>
        </w:r>
        <w:r>
          <w:rPr>
            <w:rStyle w:val="1123"/>
          </w:rPr>
          <w:t xml:space="preserve">Entire agreement</w:t>
        </w:r>
        <w:r>
          <w:tab/>
          <w:fldChar w:fldCharType="begin"/>
          <w:instrText xml:space="preserve"> PAGEREF _Toc106276030 \h </w:instrText>
          <w:fldChar w:fldCharType="separate"/>
          <w:t xml:space="preserve">18</w:t>
          <w:fldChar w:fldCharType="end"/>
        </w:r>
      </w:hyperlink>
      <w:r>
        <w:rPr>
          <w:rFonts w:asciiTheme="minorHAnsi" w:hAnsiTheme="minorHAnsi" w:eastAsiaTheme="minorEastAsia"/>
        </w:rPr>
      </w:r>
    </w:p>
    <w:p w14:paraId="0559B9D4" w14:textId="63A6492C">
      <w:pPr>
        <w:pStyle w:val="1254"/>
        <w:pBdr/>
        <w:spacing/>
        <w:ind/>
        <w:rPr>
          <w:rFonts w:asciiTheme="minorHAnsi" w:hAnsiTheme="minorHAnsi" w:eastAsiaTheme="minorEastAsia"/>
        </w:rPr>
      </w:pPr>
      <w:r/>
      <w:hyperlink w:tooltip="#_Toc106276031" w:anchor="_Toc106276031" w:history="1">
        <w:r>
          <w:rPr>
            <w:rStyle w:val="1123"/>
          </w:rPr>
          <w:t xml:space="preserve">20.</w:t>
        </w:r>
        <w:r>
          <w:rPr>
            <w:rFonts w:asciiTheme="minorHAnsi" w:hAnsiTheme="minorHAnsi" w:eastAsiaTheme="minorEastAsia"/>
          </w:rPr>
          <w:tab/>
        </w:r>
        <w:r>
          <w:rPr>
            <w:rStyle w:val="1123"/>
          </w:rPr>
          <w:t xml:space="preserve">Parties</w:t>
        </w:r>
        <w:r>
          <w:tab/>
          <w:fldChar w:fldCharType="begin"/>
          <w:instrText xml:space="preserve"> PAGEREF _Toc106276031 \h </w:instrText>
          <w:fldChar w:fldCharType="separate"/>
          <w:t xml:space="preserve">18</w:t>
          <w:fldChar w:fldCharType="end"/>
        </w:r>
      </w:hyperlink>
      <w:r>
        <w:rPr>
          <w:rFonts w:asciiTheme="minorHAnsi" w:hAnsiTheme="minorHAnsi" w:eastAsiaTheme="minorEastAsia"/>
        </w:rPr>
      </w:r>
    </w:p>
    <w:p w14:paraId="5E3A9C8E" w14:textId="50ACBDD4">
      <w:pPr>
        <w:pStyle w:val="1254"/>
        <w:pBdr/>
        <w:spacing/>
        <w:ind/>
        <w:rPr>
          <w:rFonts w:asciiTheme="minorHAnsi" w:hAnsiTheme="minorHAnsi" w:eastAsiaTheme="minorEastAsia"/>
        </w:rPr>
      </w:pPr>
      <w:r/>
      <w:hyperlink w:tooltip="#_Toc106276032" w:anchor="_Toc106276032" w:history="1">
        <w:r>
          <w:rPr>
            <w:rStyle w:val="1123"/>
          </w:rPr>
          <w:t xml:space="preserve">21.</w:t>
        </w:r>
        <w:r>
          <w:rPr>
            <w:rFonts w:asciiTheme="minorHAnsi" w:hAnsiTheme="minorHAnsi" w:eastAsiaTheme="minorEastAsia"/>
          </w:rPr>
          <w:tab/>
        </w:r>
        <w:r>
          <w:rPr>
            <w:rStyle w:val="1123"/>
          </w:rPr>
          <w:t xml:space="preserve">Variation and Counterparts</w:t>
        </w:r>
        <w:r>
          <w:tab/>
          <w:fldChar w:fldCharType="begin"/>
          <w:instrText xml:space="preserve"> PAGEREF _Toc106276032 \h </w:instrText>
          <w:fldChar w:fldCharType="separate"/>
          <w:t xml:space="preserve">18</w:t>
          <w:fldChar w:fldCharType="end"/>
        </w:r>
      </w:hyperlink>
      <w:r>
        <w:rPr>
          <w:rFonts w:asciiTheme="minorHAnsi" w:hAnsiTheme="minorHAnsi" w:eastAsiaTheme="minorEastAsia"/>
        </w:rPr>
      </w:r>
    </w:p>
    <w:p w14:paraId="0994E9AD" w14:textId="7A5141A0">
      <w:pPr>
        <w:pStyle w:val="1254"/>
        <w:pBdr/>
        <w:spacing/>
        <w:ind/>
        <w:rPr>
          <w:rFonts w:asciiTheme="minorHAnsi" w:hAnsiTheme="minorHAnsi" w:eastAsiaTheme="minorEastAsia"/>
        </w:rPr>
      </w:pPr>
      <w:r/>
      <w:hyperlink w:tooltip="#_Toc106276033" w:anchor="_Toc106276033" w:history="1">
        <w:r>
          <w:rPr>
            <w:rStyle w:val="1123"/>
          </w:rPr>
          <w:t xml:space="preserve">22.</w:t>
        </w:r>
        <w:r>
          <w:rPr>
            <w:rFonts w:asciiTheme="minorHAnsi" w:hAnsiTheme="minorHAnsi" w:eastAsiaTheme="minorEastAsia"/>
          </w:rPr>
          <w:tab/>
        </w:r>
        <w:r>
          <w:rPr>
            <w:rStyle w:val="1123"/>
          </w:rPr>
          <w:t xml:space="preserve">Costs</w:t>
        </w:r>
        <w:r>
          <w:tab/>
          <w:fldChar w:fldCharType="begin"/>
          <w:instrText xml:space="preserve"> PAGEREF _Toc106276033 \h </w:instrText>
          <w:fldChar w:fldCharType="separate"/>
          <w:t xml:space="preserve">18</w:t>
          <w:fldChar w:fldCharType="end"/>
        </w:r>
      </w:hyperlink>
      <w:r>
        <w:rPr>
          <w:rFonts w:asciiTheme="minorHAnsi" w:hAnsiTheme="minorHAnsi" w:eastAsiaTheme="minorEastAsia"/>
        </w:rPr>
      </w:r>
    </w:p>
    <w:p w14:paraId="30D54F84" w14:textId="7B02BC89">
      <w:pPr>
        <w:pStyle w:val="1254"/>
        <w:pBdr/>
        <w:spacing/>
        <w:ind/>
        <w:rPr>
          <w:rFonts w:asciiTheme="minorHAnsi" w:hAnsiTheme="minorHAnsi" w:eastAsiaTheme="minorEastAsia"/>
        </w:rPr>
      </w:pPr>
      <w:r/>
      <w:hyperlink w:tooltip="#_Toc106276034" w:anchor="_Toc106276034" w:history="1">
        <w:r>
          <w:rPr>
            <w:rStyle w:val="1123"/>
          </w:rPr>
          <w:t xml:space="preserve">23.</w:t>
        </w:r>
        <w:r>
          <w:rPr>
            <w:rFonts w:asciiTheme="minorHAnsi" w:hAnsiTheme="minorHAnsi" w:eastAsiaTheme="minorEastAsia"/>
          </w:rPr>
          <w:tab/>
        </w:r>
        <w:r>
          <w:rPr>
            <w:rStyle w:val="1123"/>
          </w:rPr>
          <w:t xml:space="preserve">Waiver</w:t>
        </w:r>
        <w:r>
          <w:tab/>
          <w:fldChar w:fldCharType="begin"/>
          <w:instrText xml:space="preserve"> PAGEREF _Toc106276034 \h </w:instrText>
          <w:fldChar w:fldCharType="separate"/>
          <w:t xml:space="preserve">19</w:t>
          <w:fldChar w:fldCharType="end"/>
        </w:r>
      </w:hyperlink>
      <w:r>
        <w:rPr>
          <w:rFonts w:asciiTheme="minorHAnsi" w:hAnsiTheme="minorHAnsi" w:eastAsiaTheme="minorEastAsia"/>
        </w:rPr>
      </w:r>
    </w:p>
    <w:p w14:paraId="0258413D" w14:textId="4BF784D3">
      <w:pPr>
        <w:pStyle w:val="1254"/>
        <w:pBdr/>
        <w:spacing/>
        <w:ind/>
        <w:rPr>
          <w:rFonts w:asciiTheme="minorHAnsi" w:hAnsiTheme="minorHAnsi" w:eastAsiaTheme="minorEastAsia"/>
        </w:rPr>
      </w:pPr>
      <w:r/>
      <w:hyperlink w:tooltip="#_Toc106276035" w:anchor="_Toc106276035" w:history="1">
        <w:r>
          <w:rPr>
            <w:rStyle w:val="1123"/>
          </w:rPr>
          <w:t xml:space="preserve">24.</w:t>
        </w:r>
        <w:r>
          <w:rPr>
            <w:rFonts w:asciiTheme="minorHAnsi" w:hAnsiTheme="minorHAnsi" w:eastAsiaTheme="minorEastAsia"/>
          </w:rPr>
          <w:tab/>
        </w:r>
        <w:r>
          <w:rPr>
            <w:rStyle w:val="1123"/>
          </w:rPr>
          <w:t xml:space="preserve">Rights and remedies</w:t>
        </w:r>
        <w:r>
          <w:tab/>
          <w:fldChar w:fldCharType="begin"/>
          <w:instrText xml:space="preserve"> PAGEREF _Toc106276035 \h </w:instrText>
          <w:fldChar w:fldCharType="separate"/>
          <w:t xml:space="preserve">19</w:t>
          <w:fldChar w:fldCharType="end"/>
        </w:r>
      </w:hyperlink>
      <w:r>
        <w:rPr>
          <w:rFonts w:asciiTheme="minorHAnsi" w:hAnsiTheme="minorHAnsi" w:eastAsiaTheme="minorEastAsia"/>
        </w:rPr>
      </w:r>
    </w:p>
    <w:p w14:paraId="0ECB832D" w14:textId="7338000D">
      <w:pPr>
        <w:pStyle w:val="1254"/>
        <w:pBdr/>
        <w:spacing/>
        <w:ind/>
        <w:rPr>
          <w:rFonts w:asciiTheme="minorHAnsi" w:hAnsiTheme="minorHAnsi" w:eastAsiaTheme="minorEastAsia"/>
        </w:rPr>
      </w:pPr>
      <w:r/>
      <w:hyperlink w:tooltip="#_Toc106276036" w:anchor="_Toc106276036" w:history="1">
        <w:r>
          <w:rPr>
            <w:rStyle w:val="1123"/>
          </w:rPr>
          <w:t xml:space="preserve">25.</w:t>
        </w:r>
        <w:r>
          <w:rPr>
            <w:rFonts w:asciiTheme="minorHAnsi" w:hAnsiTheme="minorHAnsi" w:eastAsiaTheme="minorEastAsia"/>
          </w:rPr>
          <w:tab/>
        </w:r>
        <w:r>
          <w:rPr>
            <w:rStyle w:val="1123"/>
          </w:rPr>
          <w:t xml:space="preserve">Severance</w:t>
        </w:r>
        <w:r>
          <w:tab/>
          <w:fldChar w:fldCharType="begin"/>
          <w:instrText xml:space="preserve"> PAGEREF _Toc106276036 \h </w:instrText>
          <w:fldChar w:fldCharType="separate"/>
          <w:t xml:space="preserve">19</w:t>
          <w:fldChar w:fldCharType="end"/>
        </w:r>
      </w:hyperlink>
      <w:r>
        <w:rPr>
          <w:rFonts w:asciiTheme="minorHAnsi" w:hAnsiTheme="minorHAnsi" w:eastAsiaTheme="minorEastAsia"/>
        </w:rPr>
      </w:r>
    </w:p>
    <w:p w14:paraId="307409CD" w14:textId="77B2F222">
      <w:pPr>
        <w:pStyle w:val="1254"/>
        <w:pBdr/>
        <w:spacing/>
        <w:ind/>
        <w:rPr>
          <w:rFonts w:asciiTheme="minorHAnsi" w:hAnsiTheme="minorHAnsi" w:eastAsiaTheme="minorEastAsia"/>
        </w:rPr>
      </w:pPr>
      <w:r/>
      <w:hyperlink w:tooltip="#_Toc106276037" w:anchor="_Toc106276037" w:history="1">
        <w:r>
          <w:rPr>
            <w:rStyle w:val="1123"/>
          </w:rPr>
          <w:t xml:space="preserve">26.</w:t>
        </w:r>
        <w:r>
          <w:rPr>
            <w:rFonts w:asciiTheme="minorHAnsi" w:hAnsiTheme="minorHAnsi" w:eastAsiaTheme="minorEastAsia"/>
          </w:rPr>
          <w:tab/>
        </w:r>
        <w:r>
          <w:rPr>
            <w:rStyle w:val="1123"/>
          </w:rPr>
          <w:t xml:space="preserve">Further Assurance</w:t>
        </w:r>
        <w:r>
          <w:tab/>
          <w:fldChar w:fldCharType="begin"/>
          <w:instrText xml:space="preserve"> PAGEREF _Toc106276037 \h </w:instrText>
          <w:fldChar w:fldCharType="separate"/>
          <w:t xml:space="preserve">19</w:t>
          <w:fldChar w:fldCharType="end"/>
        </w:r>
      </w:hyperlink>
      <w:r>
        <w:rPr>
          <w:rFonts w:asciiTheme="minorHAnsi" w:hAnsiTheme="minorHAnsi" w:eastAsiaTheme="minorEastAsia"/>
        </w:rPr>
      </w:r>
    </w:p>
    <w:p w14:paraId="6EA8CDA5" w14:textId="452FC19D">
      <w:pPr>
        <w:pStyle w:val="1254"/>
        <w:pBdr/>
        <w:spacing/>
        <w:ind/>
        <w:rPr>
          <w:rFonts w:asciiTheme="minorHAnsi" w:hAnsiTheme="minorHAnsi" w:eastAsiaTheme="minorEastAsia"/>
        </w:rPr>
      </w:pPr>
      <w:r/>
      <w:hyperlink w:tooltip="#_Toc106276038" w:anchor="_Toc106276038" w:history="1">
        <w:r>
          <w:rPr>
            <w:rStyle w:val="1123"/>
          </w:rPr>
          <w:t xml:space="preserve">27.</w:t>
        </w:r>
        <w:r>
          <w:rPr>
            <w:rFonts w:asciiTheme="minorHAnsi" w:hAnsiTheme="minorHAnsi" w:eastAsiaTheme="minorEastAsia"/>
          </w:rPr>
          <w:tab/>
        </w:r>
        <w:r>
          <w:rPr>
            <w:rStyle w:val="1123"/>
          </w:rPr>
          <w:t xml:space="preserve">Governing law</w:t>
        </w:r>
        <w:r>
          <w:tab/>
          <w:fldChar w:fldCharType="begin"/>
          <w:instrText xml:space="preserve"> PAGEREF _Toc106276038 \h </w:instrText>
          <w:fldChar w:fldCharType="separate"/>
          <w:t xml:space="preserve">19</w:t>
          <w:fldChar w:fldCharType="end"/>
        </w:r>
      </w:hyperlink>
      <w:r>
        <w:rPr>
          <w:rFonts w:asciiTheme="minorHAnsi" w:hAnsiTheme="minorHAnsi" w:eastAsiaTheme="minorEastAsia"/>
        </w:rPr>
      </w:r>
    </w:p>
    <w:p w14:paraId="5CE61A6A" w14:textId="701F71DD">
      <w:pPr>
        <w:pStyle w:val="1254"/>
        <w:pBdr/>
        <w:spacing/>
        <w:ind/>
        <w:rPr>
          <w:rFonts w:asciiTheme="minorHAnsi" w:hAnsiTheme="minorHAnsi" w:eastAsiaTheme="minorEastAsia"/>
        </w:rPr>
      </w:pPr>
      <w:r/>
      <w:hyperlink w:tooltip="#_Toc106276039" w:anchor="_Toc106276039" w:history="1">
        <w:r>
          <w:rPr>
            <w:rStyle w:val="1123"/>
          </w:rPr>
          <w:t xml:space="preserve">28.</w:t>
        </w:r>
        <w:r>
          <w:rPr>
            <w:rFonts w:asciiTheme="minorHAnsi" w:hAnsiTheme="minorHAnsi" w:eastAsiaTheme="minorEastAsia"/>
          </w:rPr>
          <w:tab/>
        </w:r>
        <w:r>
          <w:rPr>
            <w:rStyle w:val="1123"/>
          </w:rPr>
          <w:t xml:space="preserve">Jurisdiction</w:t>
        </w:r>
        <w:r>
          <w:tab/>
          <w:fldChar w:fldCharType="begin"/>
          <w:instrText xml:space="preserve"> PAGEREF _Toc106276039 \h </w:instrText>
          <w:fldChar w:fldCharType="separate"/>
          <w:t xml:space="preserve">20</w:t>
          <w:fldChar w:fldCharType="end"/>
        </w:r>
      </w:hyperlink>
      <w:r>
        <w:rPr>
          <w:rFonts w:asciiTheme="minorHAnsi" w:hAnsiTheme="minorHAnsi" w:eastAsiaTheme="minorEastAsia"/>
        </w:rPr>
      </w:r>
    </w:p>
    <w:p w14:paraId="4B6B6CC4" w14:textId="02904EDF">
      <w:pPr>
        <w:pStyle w:val="1130"/>
        <w:pBdr/>
        <w:spacing/>
        <w:ind/>
        <w:rPr>
          <w:sz w:val="22"/>
          <w:szCs w:val="22"/>
        </w:rPr>
      </w:pPr>
      <w:r>
        <w:rPr>
          <w:sz w:val="22"/>
          <w:szCs w:val="22"/>
        </w:rPr>
        <w:fldChar w:fldCharType="end"/>
      </w:r>
    </w:p>
    <w:p w14:paraId="69A17BB0" w14:textId="77777777">
      <w:pPr>
        <w:pBdr/>
        <w:spacing w:after="0" w:line="240" w:lineRule="auto"/>
        <w:ind/>
        <w:rPr>
          <w:rFonts w:eastAsia="Arial Unicode MS"/>
          <w:b/>
          <w:szCs w:val="22"/>
        </w:rPr>
      </w:pPr>
      <w:r>
        <w:rPr>
          <w:szCs w:val="22"/>
        </w:rPr>
        <w:br w:type="page" w:clear="all"/>
      </w:r>
      <w:r>
        <w:rPr>
          <w:rFonts w:eastAsia="Arial Unicode MS"/>
          <w:b/>
          <w:szCs w:val="22"/>
        </w:rPr>
      </w:r>
    </w:p>
    <w:p w14:paraId="73387809" w14:textId="6A4163E0">
      <w:pPr>
        <w:pStyle w:val="1130"/>
        <w:pBdr/>
        <w:spacing/>
        <w:ind/>
        <w:rPr>
          <w:sz w:val="22"/>
          <w:szCs w:val="22"/>
        </w:rPr>
      </w:pPr>
      <w:r>
        <w:rPr>
          <w:sz w:val="22"/>
          <w:szCs w:val="22"/>
        </w:rPr>
        <w:t xml:space="preserve">SCHEDULE</w:t>
      </w:r>
    </w:p>
    <w:p w14:paraId="49540157" w14:textId="4FE3D29B">
      <w:pPr>
        <w:pStyle w:val="1254"/>
        <w:pBdr/>
        <w:tabs>
          <w:tab w:val="left" w:leader="none" w:pos="1680"/>
        </w:tabs>
        <w:spacing/>
        <w:ind/>
        <w:rPr>
          <w:rFonts w:asciiTheme="minorHAnsi" w:hAnsiTheme="minorHAnsi" w:eastAsiaTheme="minorEastAsia"/>
        </w:rPr>
      </w:pPr>
      <w:r>
        <w:rPr>
          <w:rFonts w:eastAsia="Arial"/>
          <w:sz w:val="24"/>
          <w:lang w:eastAsia="en-IE"/>
        </w:rPr>
        <w:fldChar w:fldCharType="begin"/>
      </w:r>
      <w:r>
        <w:instrText xml:space="preserve">TOC \t "Schedule Title Clause, 1, Schedule, 1, Part, 1, Part Title, 1" \h</w:instrText>
      </w:r>
      <w:r>
        <w:rPr>
          <w:rFonts w:eastAsia="Arial"/>
          <w:sz w:val="24"/>
          <w:lang w:eastAsia="en-IE"/>
        </w:rPr>
        <w:fldChar w:fldCharType="separate"/>
      </w:r>
      <w:hyperlink w:tooltip="#_Toc106280510" w:anchor="_Toc106280510" w:history="1">
        <w:r>
          <w:rPr>
            <w:rStyle w:val="1123"/>
          </w:rPr>
          <w:t xml:space="preserve">Schedule 1</w:t>
        </w:r>
        <w:r>
          <w:rPr>
            <w:rFonts w:asciiTheme="minorHAnsi" w:hAnsiTheme="minorHAnsi" w:eastAsiaTheme="minorEastAsia"/>
          </w:rPr>
          <w:tab/>
        </w:r>
        <w:r>
          <w:rPr>
            <w:rStyle w:val="1123"/>
          </w:rPr>
          <w:t xml:space="preserve">Service Level</w:t>
        </w:r>
        <w:r>
          <w:tab/>
          <w:fldChar w:fldCharType="begin"/>
          <w:instrText xml:space="preserve"> PAGEREF _Toc106280510 \h </w:instrText>
          <w:fldChar w:fldCharType="separate"/>
          <w:t xml:space="preserve">19</w:t>
          <w:fldChar w:fldCharType="end"/>
        </w:r>
      </w:hyperlink>
      <w:r>
        <w:rPr>
          <w:rFonts w:asciiTheme="minorHAnsi" w:hAnsiTheme="minorHAnsi" w:eastAsiaTheme="minorEastAsia"/>
        </w:rPr>
      </w:r>
    </w:p>
    <w:p w14:paraId="36C4526E" w14:textId="2651AC10">
      <w:pPr>
        <w:pStyle w:val="1254"/>
        <w:pBdr/>
        <w:tabs>
          <w:tab w:val="left" w:leader="none" w:pos="1680"/>
        </w:tabs>
        <w:spacing/>
        <w:ind/>
        <w:rPr>
          <w:rFonts w:asciiTheme="minorHAnsi" w:hAnsiTheme="minorHAnsi" w:eastAsiaTheme="minorEastAsia"/>
        </w:rPr>
      </w:pPr>
      <w:r/>
      <w:hyperlink w:tooltip="#_Toc106280511" w:anchor="_Toc106280511" w:history="1">
        <w:r>
          <w:rPr>
            <w:rStyle w:val="1123"/>
          </w:rPr>
          <w:t xml:space="preserve">Schedule 2</w:t>
        </w:r>
        <w:r>
          <w:rPr>
            <w:rFonts w:asciiTheme="minorHAnsi" w:hAnsiTheme="minorHAnsi" w:eastAsiaTheme="minorEastAsia"/>
          </w:rPr>
          <w:tab/>
        </w:r>
        <w:r>
          <w:rPr>
            <w:rStyle w:val="1123"/>
          </w:rPr>
          <w:t xml:space="preserve">Charges</w:t>
        </w:r>
        <w:r>
          <w:tab/>
          <w:fldChar w:fldCharType="begin"/>
          <w:instrText xml:space="preserve"> PAGEREF _Toc106280511 \h </w:instrText>
          <w:fldChar w:fldCharType="separate"/>
          <w:t xml:space="preserve">20</w:t>
          <w:fldChar w:fldCharType="end"/>
        </w:r>
      </w:hyperlink>
      <w:r>
        <w:rPr>
          <w:rFonts w:asciiTheme="minorHAnsi" w:hAnsiTheme="minorHAnsi" w:eastAsiaTheme="minorEastAsia"/>
        </w:rPr>
      </w:r>
    </w:p>
    <w:p w14:paraId="249B080D" w14:textId="1AE947DF">
      <w:pPr>
        <w:pStyle w:val="1254"/>
        <w:pBdr/>
        <w:tabs>
          <w:tab w:val="left" w:leader="none" w:pos="1680"/>
        </w:tabs>
        <w:spacing/>
        <w:ind/>
        <w:rPr>
          <w:rFonts w:asciiTheme="minorHAnsi" w:hAnsiTheme="minorHAnsi" w:eastAsiaTheme="minorEastAsia"/>
        </w:rPr>
      </w:pPr>
      <w:r/>
      <w:hyperlink w:tooltip="#_Toc106280512" w:anchor="_Toc106280512" w:history="1">
        <w:r>
          <w:rPr>
            <w:rStyle w:val="1123"/>
          </w:rPr>
          <w:t xml:space="preserve">Schedule 3</w:t>
        </w:r>
        <w:r>
          <w:rPr>
            <w:rFonts w:asciiTheme="minorHAnsi" w:hAnsiTheme="minorHAnsi" w:eastAsiaTheme="minorEastAsia"/>
          </w:rPr>
          <w:tab/>
        </w:r>
        <w:r>
          <w:rPr>
            <w:rStyle w:val="1123"/>
          </w:rPr>
          <w:t xml:space="preserve">Personal data, processing and data subjects</w:t>
        </w:r>
        <w:r>
          <w:tab/>
          <w:fldChar w:fldCharType="begin"/>
          <w:instrText xml:space="preserve"> PAGEREF _Toc106280512 \h </w:instrText>
          <w:fldChar w:fldCharType="separate"/>
          <w:t xml:space="preserve">21</w:t>
          <w:fldChar w:fldCharType="end"/>
        </w:r>
      </w:hyperlink>
      <w:r>
        <w:rPr>
          <w:rFonts w:asciiTheme="minorHAnsi" w:hAnsiTheme="minorHAnsi" w:eastAsiaTheme="minorEastAsia"/>
        </w:rPr>
      </w:r>
    </w:p>
    <w:p w14:paraId="5DFF2C95" w14:textId="6A909623">
      <w:pPr>
        <w:pStyle w:val="1130"/>
        <w:pBdr/>
        <w:spacing w:line="240" w:lineRule="auto"/>
        <w:ind/>
        <w:rPr>
          <w:sz w:val="22"/>
          <w:szCs w:val="22"/>
        </w:rPr>
      </w:pPr>
      <w:r>
        <w:rPr>
          <w:sz w:val="22"/>
          <w:szCs w:val="22"/>
        </w:rPr>
        <w:fldChar w:fldCharType="end"/>
      </w:r>
    </w:p>
    <w:p w14:paraId="215E2A6B" w14:textId="77777777">
      <w:pPr>
        <w:pStyle w:val="1130"/>
        <w:pBdr/>
        <w:spacing/>
        <w:ind/>
        <w:rPr>
          <w:sz w:val="22"/>
          <w:szCs w:val="22"/>
        </w:rPr>
        <w:sectPr>
          <w:footerReference w:type="default" r:id="rId11"/>
          <w:footnotePr/>
          <w:endnotePr/>
          <w:type w:val="nextPage"/>
          <w:pgSz w:h="16820" w:orient="portrait" w:w="11900"/>
          <w:pgMar w:top="1440" w:right="1440" w:bottom="1440" w:left="1440" w:header="720" w:footer="720" w:gutter="0"/>
          <w:pgNumType w:start="1"/>
          <w:cols w:num="1" w:sep="0" w:space="720" w:equalWidth="1"/>
        </w:sectPr>
      </w:pPr>
      <w:r>
        <w:rPr>
          <w:sz w:val="22"/>
          <w:szCs w:val="22"/>
        </w:rPr>
      </w:r>
    </w:p>
    <w:p w14:paraId="348E1FFE" w14:textId="77777777">
      <w:pPr>
        <w:pStyle w:val="1130"/>
        <w:pBdr/>
        <w:spacing/>
        <w:ind/>
        <w:rPr>
          <w:sz w:val="22"/>
          <w:szCs w:val="22"/>
        </w:rPr>
      </w:pPr>
      <w:r>
        <w:rPr>
          <w:sz w:val="22"/>
          <w:szCs w:val="22"/>
        </w:rPr>
      </w:r>
    </w:p>
    <w:p w14:paraId="4B6E13F0" w14:textId="73C4428C">
      <w:pPr>
        <w:pStyle w:val="1145"/>
        <w:pBdr/>
        <w:spacing/>
        <w:ind/>
        <w:rPr>
          <w:szCs w:val="22"/>
        </w:rPr>
      </w:pPr>
      <w:r>
        <w:rPr>
          <w:szCs w:val="22"/>
        </w:rPr>
        <w:t xml:space="preserve">This agreement is dated [●]</w:t>
      </w:r>
      <w:commentRangeStart w:id="2"/>
      <w:r/>
      <w:commentRangeEnd w:id="2"/>
      <w:r>
        <w:commentReference w:id="2"/>
      </w:r>
      <w:r>
        <w:rPr>
          <w:szCs w:val="22"/>
        </w:rPr>
      </w:r>
    </w:p>
    <w:p w14:paraId="58FFAEA9" w14:textId="77777777">
      <w:pPr>
        <w:pStyle w:val="1055"/>
        <w:pBdr/>
        <w:spacing/>
        <w:ind/>
        <w:rPr>
          <w:rFonts w:asciiTheme="minorHAnsi" w:hAnsiTheme="minorHAnsi"/>
        </w:rPr>
      </w:pPr>
      <w:r>
        <w:rPr>
          <w:rFonts w:asciiTheme="minorHAnsi" w:hAnsiTheme="minorHAnsi"/>
        </w:rPr>
        <w:t xml:space="preserve">Parties</w:t>
      </w:r>
    </w:p>
    <w:p w14:paraId="63DC6661" w14:textId="2A6EB0BE">
      <w:pPr>
        <w:pStyle w:val="1097"/>
        <w:pBdr/>
        <w:spacing/>
        <w:ind/>
        <w:rPr>
          <w:szCs w:val="22"/>
        </w:rPr>
      </w:pPr>
      <w:r>
        <w:rPr>
          <w:b/>
          <w:bCs/>
          <w:szCs w:val="22"/>
        </w:rPr>
        <w:t xml:space="preserve">[the Contractor]</w:t>
      </w:r>
      <w:r>
        <w:rPr>
          <w:szCs w:val="22"/>
        </w:rPr>
        <w:t xml:space="preserve"> incorporated and registered in Ireland with company number [●] whose registered office is at [registered office address] (the “</w:t>
      </w:r>
      <w:r>
        <w:rPr>
          <w:b/>
          <w:bCs/>
          <w:szCs w:val="22"/>
        </w:rPr>
        <w:t xml:space="preserve">Developer</w:t>
      </w:r>
      <w:r>
        <w:rPr>
          <w:szCs w:val="22"/>
        </w:rPr>
        <w:t xml:space="preserve">”) </w:t>
      </w:r>
    </w:p>
    <w:p w14:paraId="1950810A" w14:textId="77777777">
      <w:pPr>
        <w:pStyle w:val="1097"/>
        <w:pBdr/>
        <w:spacing/>
        <w:ind/>
        <w:rPr>
          <w:szCs w:val="22"/>
        </w:rPr>
      </w:pPr>
      <w:r/>
      <w:commentRangeStart w:id="3"/>
      <w:r>
        <w:rPr>
          <w:b/>
          <w:bCs/>
          <w:szCs w:val="22"/>
        </w:rPr>
        <w:t xml:space="preserve">Construction IT Alliance</w:t>
      </w:r>
      <w:r>
        <w:rPr>
          <w:szCs w:val="22"/>
        </w:rPr>
        <w:t xml:space="preserve"> incorporated and registered in Ireland with company number </w:t>
      </w:r>
      <w:r>
        <w:t xml:space="preserve">410667</w:t>
      </w:r>
      <w:r>
        <w:rPr>
          <w:szCs w:val="22"/>
        </w:rPr>
        <w:t xml:space="preserve">, whose registered office is at 29 Mount Street Upper, Dublin 2, D02 K003 </w:t>
      </w:r>
      <w:commentRangeEnd w:id="3"/>
      <w:r>
        <w:commentReference w:id="3"/>
      </w:r>
      <w:r>
        <w:rPr>
          <w:szCs w:val="22"/>
        </w:rPr>
        <w:t xml:space="preserve">(</w:t>
      </w:r>
      <w:r>
        <w:rPr>
          <w:rFonts w:ascii="Arial" w:hAnsi="Arial" w:eastAsia="Arial" w:cs="Arial"/>
          <w:szCs w:val="22"/>
        </w:rPr>
        <w:t xml:space="preserve">the “</w:t>
      </w:r>
      <w:r>
        <w:rPr>
          <w:rStyle w:val="1186"/>
          <w:rFonts w:ascii="Arial" w:hAnsi="Arial" w:eastAsia="Arial" w:cs="Arial"/>
          <w:szCs w:val="22"/>
        </w:rPr>
        <w:t xml:space="preserve">Customer”</w:t>
      </w:r>
      <w:r>
        <w:rPr>
          <w:szCs w:val="22"/>
        </w:rPr>
        <w:t xml:space="preserve">) </w:t>
      </w:r>
    </w:p>
    <w:p w14:paraId="40732264" w14:textId="77777777">
      <w:pPr>
        <w:pStyle w:val="1055"/>
        <w:pBdr/>
        <w:spacing/>
        <w:ind/>
        <w:rPr>
          <w:rFonts w:asciiTheme="minorHAnsi" w:hAnsiTheme="minorHAnsi"/>
        </w:rPr>
      </w:pPr>
      <w:r>
        <w:rPr>
          <w:rFonts w:asciiTheme="minorHAnsi" w:hAnsiTheme="minorHAnsi"/>
        </w:rPr>
        <w:t xml:space="preserve">BACKGROUND</w:t>
      </w:r>
    </w:p>
    <w:p w14:paraId="0F11CC2F" w14:textId="62FC1027">
      <w:pPr>
        <w:pStyle w:val="1042"/>
        <w:pBdr/>
        <w:spacing/>
        <w:ind/>
        <w:rPr>
          <w:szCs w:val="22"/>
        </w:rPr>
      </w:pPr>
      <w:r/>
      <w:bookmarkStart w:id="10" w:name="a975754"/>
      <w:r>
        <w:rPr>
          <w:szCs w:val="22"/>
        </w:rPr>
        <w:t xml:space="preserve">The parties have agreed that the Developer shall provide the Customer with website support, maintenance and development and/or extend a website and related services on the terms and conditions set out in this agreement.</w:t>
      </w:r>
      <w:bookmarkEnd w:id="10"/>
      <w:r>
        <w:rPr>
          <w:szCs w:val="22"/>
        </w:rPr>
      </w:r>
    </w:p>
    <w:p w14:paraId="38D2DD9F" w14:textId="77777777">
      <w:pPr>
        <w:pStyle w:val="1055"/>
        <w:pBdr/>
        <w:spacing/>
        <w:ind/>
        <w:rPr>
          <w:rFonts w:asciiTheme="minorHAnsi" w:hAnsiTheme="minorHAnsi"/>
        </w:rPr>
      </w:pPr>
      <w:r>
        <w:rPr>
          <w:rFonts w:asciiTheme="minorHAnsi" w:hAnsiTheme="minorHAnsi"/>
        </w:rPr>
        <w:t xml:space="preserve">Agreed terms</w:t>
      </w:r>
    </w:p>
    <w:p w14:paraId="0C8CFF98" w14:textId="77777777">
      <w:pPr>
        <w:pStyle w:val="1046"/>
        <w:pBdr/>
        <w:spacing/>
        <w:ind/>
        <w:rPr>
          <w:szCs w:val="22"/>
        </w:rPr>
      </w:pPr>
      <w:r>
        <w:rPr>
          <w:szCs w:val="22"/>
        </w:rPr>
        <w:fldChar w:fldCharType="begin"/>
        <w:instrText xml:space="preserve">TC "1. Interpretation" \l 1</w:instrText>
        <w:fldChar w:fldCharType="end"/>
      </w:r>
      <w:bookmarkStart w:id="11" w:name="a790127"/>
      <w:r/>
      <w:bookmarkStart w:id="12" w:name="_Toc106276012"/>
      <w:r>
        <w:rPr>
          <w:szCs w:val="22"/>
        </w:rPr>
        <w:t xml:space="preserve">Interpretation</w:t>
      </w:r>
      <w:bookmarkEnd w:id="11"/>
      <w:r/>
      <w:bookmarkEnd w:id="12"/>
      <w:r>
        <w:rPr>
          <w:szCs w:val="22"/>
        </w:rPr>
      </w:r>
    </w:p>
    <w:p w14:paraId="1836341A" w14:textId="77777777">
      <w:pPr>
        <w:pStyle w:val="1087"/>
        <w:pBdr/>
        <w:spacing/>
        <w:ind/>
        <w:rPr>
          <w:szCs w:val="22"/>
        </w:rPr>
      </w:pPr>
      <w:r>
        <w:rPr>
          <w:szCs w:val="22"/>
        </w:rPr>
        <w:t xml:space="preserve">The definitions and rules of interpretation in this clause apply in this agreement.</w:t>
      </w:r>
    </w:p>
    <w:p w14:paraId="727980AA" w14:textId="77777777">
      <w:pPr>
        <w:pStyle w:val="1089"/>
        <w:pBdr/>
        <w:spacing/>
        <w:ind/>
        <w:rPr>
          <w:szCs w:val="22"/>
        </w:rPr>
      </w:pPr>
      <w:r/>
      <w:bookmarkStart w:id="13" w:name="a612589"/>
      <w:r>
        <w:rPr>
          <w:szCs w:val="22"/>
        </w:rPr>
        <w:t xml:space="preserve">Definitions:</w:t>
      </w:r>
      <w:bookmarkEnd w:id="13"/>
      <w:r>
        <w:rPr>
          <w:szCs w:val="22"/>
        </w:rPr>
      </w:r>
    </w:p>
    <w:p w14:paraId="3A49F4F1" w14:textId="6A90429C">
      <w:pPr>
        <w:pStyle w:val="1054"/>
        <w:pBdr/>
        <w:spacing/>
        <w:ind/>
        <w:rPr>
          <w:rStyle w:val="1186"/>
          <w:rFonts w:asciiTheme="minorHAnsi" w:hAnsiTheme="minorHAnsi"/>
          <w:szCs w:val="22"/>
        </w:rPr>
      </w:pPr>
      <w:r/>
      <w:bookmarkStart w:id="14" w:name="a608794"/>
      <w:r>
        <w:rPr>
          <w:rStyle w:val="1186"/>
          <w:rFonts w:asciiTheme="minorHAnsi" w:hAnsiTheme="minorHAnsi"/>
          <w:szCs w:val="22"/>
        </w:rPr>
        <w:t xml:space="preserve">Acceptance</w:t>
      </w:r>
      <w:r>
        <w:rPr>
          <w:szCs w:val="22"/>
        </w:rPr>
        <w:t xml:space="preserve">: the acceptance or deemed acceptance </w:t>
      </w:r>
      <w:bookmarkStart w:id="15" w:name="_Hlk94532810"/>
      <w:r>
        <w:rPr>
          <w:szCs w:val="22"/>
        </w:rPr>
        <w:t xml:space="preserve">of the Site by the Customer pursuant to </w:t>
        <w:fldChar w:fldCharType="begin"/>
        <w:instrText xml:space="preserve">PAGEREF a941436\# "'clause '"  \h</w:instrText>
        <w:fldChar w:fldCharType="separate"/>
        <w:t xml:space="preserve">clause </w:t>
        <w:fldChar w:fldCharType="end"/>
        <w:fldChar w:fldCharType="begin"/>
        <w:instrText xml:space="preserve">REF a941436 \h \w</w:instrText>
        <w:instrText xml:space="preserve"> \* MERGEFORMAT </w:instrText>
        <w:fldChar w:fldCharType="separate"/>
        <w:t xml:space="preserve">4</w:t>
        <w:fldChar w:fldCharType="end"/>
      </w:r>
      <w:bookmarkEnd w:id="15"/>
      <w:r>
        <w:rPr>
          <w:szCs w:val="22"/>
        </w:rPr>
        <w:t xml:space="preserve">.</w:t>
      </w:r>
      <w:bookmarkEnd w:id="14"/>
      <w:r>
        <w:rPr>
          <w:rStyle w:val="1186"/>
          <w:rFonts w:asciiTheme="minorHAnsi" w:hAnsiTheme="minorHAnsi"/>
          <w:szCs w:val="22"/>
        </w:rPr>
      </w:r>
    </w:p>
    <w:p w14:paraId="42468CB4" w14:textId="30856419">
      <w:pPr>
        <w:pStyle w:val="1054"/>
        <w:pBdr/>
        <w:spacing/>
        <w:ind/>
        <w:rPr>
          <w:rStyle w:val="1186"/>
          <w:rFonts w:asciiTheme="minorHAnsi" w:hAnsiTheme="minorHAnsi"/>
          <w:szCs w:val="22"/>
        </w:rPr>
      </w:pPr>
      <w:r/>
      <w:bookmarkStart w:id="16" w:name="a988161"/>
      <w:r>
        <w:rPr>
          <w:rStyle w:val="1186"/>
          <w:rFonts w:asciiTheme="minorHAnsi" w:hAnsiTheme="minorHAnsi"/>
          <w:szCs w:val="22"/>
        </w:rPr>
        <w:t xml:space="preserve">Acceptance Tests</w:t>
      </w:r>
      <w:r>
        <w:rPr>
          <w:szCs w:val="22"/>
        </w:rPr>
        <w:t xml:space="preserve">: the tests to be carried out on the Site as </w:t>
      </w:r>
      <w:bookmarkEnd w:id="16"/>
      <w:r>
        <w:rPr>
          <w:szCs w:val="22"/>
        </w:rPr>
        <w:t xml:space="preserve">agreed between the Developer and the Customer.</w:t>
      </w:r>
      <w:r>
        <w:rPr>
          <w:rStyle w:val="1186"/>
          <w:rFonts w:asciiTheme="minorHAnsi" w:hAnsiTheme="minorHAnsi"/>
          <w:szCs w:val="22"/>
        </w:rPr>
      </w:r>
    </w:p>
    <w:p w14:paraId="2790B65A" w14:textId="77777777">
      <w:pPr>
        <w:pStyle w:val="1054"/>
        <w:pBdr/>
        <w:spacing/>
        <w:ind/>
        <w:rPr>
          <w:rStyle w:val="1186"/>
          <w:rFonts w:asciiTheme="minorHAnsi" w:hAnsiTheme="minorHAnsi"/>
          <w:szCs w:val="22"/>
        </w:rPr>
      </w:pPr>
      <w:r/>
      <w:bookmarkStart w:id="17" w:name="a299817"/>
      <w:r>
        <w:rPr>
          <w:rStyle w:val="1186"/>
          <w:rFonts w:asciiTheme="minorHAnsi" w:hAnsiTheme="minorHAnsi"/>
          <w:szCs w:val="22"/>
        </w:rPr>
        <w:t xml:space="preserve">Business Day</w:t>
      </w:r>
      <w:r>
        <w:rPr>
          <w:szCs w:val="22"/>
        </w:rPr>
        <w:t xml:space="preserve">: a day other than a Saturday or Sunday or public holiday in Ireland when banks in Dublin are open for business.</w:t>
      </w:r>
      <w:bookmarkEnd w:id="17"/>
      <w:r>
        <w:rPr>
          <w:rStyle w:val="1186"/>
          <w:rFonts w:asciiTheme="minorHAnsi" w:hAnsiTheme="minorHAnsi"/>
          <w:szCs w:val="22"/>
        </w:rPr>
      </w:r>
    </w:p>
    <w:p w14:paraId="1E875C0A" w14:textId="6765D49B">
      <w:pPr>
        <w:pStyle w:val="1054"/>
        <w:pBdr/>
        <w:spacing/>
        <w:ind/>
        <w:rPr>
          <w:rStyle w:val="1186"/>
          <w:rFonts w:asciiTheme="minorHAnsi" w:hAnsiTheme="minorHAnsi" w:cstheme="minorHAnsi"/>
          <w:color w:val="auto"/>
          <w:szCs w:val="22"/>
        </w:rPr>
      </w:pPr>
      <w:r/>
      <w:bookmarkStart w:id="18" w:name="a727922"/>
      <w:r>
        <w:rPr>
          <w:rStyle w:val="1186"/>
          <w:rFonts w:asciiTheme="minorHAnsi" w:hAnsiTheme="minorHAnsi" w:cstheme="minorHAnsi"/>
          <w:color w:val="auto"/>
          <w:szCs w:val="22"/>
        </w:rPr>
        <w:t xml:space="preserve">Changes:</w:t>
      </w:r>
      <w:r>
        <w:rPr>
          <w:rStyle w:val="1186"/>
          <w:rFonts w:asciiTheme="minorHAnsi" w:hAnsiTheme="minorHAnsi" w:cstheme="minorHAnsi"/>
          <w:b w:val="0"/>
          <w:bCs/>
          <w:color w:val="auto"/>
          <w:szCs w:val="22"/>
        </w:rPr>
        <w:t xml:space="preserve"> the changes arising from the delivery of Services, including but not limited to, code changes, content changes and/or configuration changes.</w:t>
      </w:r>
      <w:r>
        <w:rPr>
          <w:rStyle w:val="1186"/>
          <w:rFonts w:asciiTheme="minorHAnsi" w:hAnsiTheme="minorHAnsi" w:cstheme="minorHAnsi"/>
          <w:color w:val="auto"/>
          <w:szCs w:val="22"/>
        </w:rPr>
      </w:r>
    </w:p>
    <w:p w14:paraId="07F2FCD1" w14:textId="1CAA42FC">
      <w:pPr>
        <w:pStyle w:val="1054"/>
        <w:pBdr/>
        <w:spacing/>
        <w:ind/>
        <w:rPr>
          <w:rFonts w:eastAsia="Arial"/>
          <w:b/>
          <w:szCs w:val="22"/>
        </w:rPr>
      </w:pPr>
      <w:r>
        <w:rPr>
          <w:rStyle w:val="1186"/>
          <w:rFonts w:asciiTheme="minorHAnsi" w:hAnsiTheme="minorHAnsi"/>
          <w:szCs w:val="22"/>
        </w:rPr>
        <w:t xml:space="preserve">Charges</w:t>
      </w:r>
      <w:r>
        <w:rPr>
          <w:szCs w:val="22"/>
        </w:rPr>
        <w:t xml:space="preserve">: the charges in respect of the Services set out in</w:t>
      </w:r>
      <w:bookmarkEnd w:id="18"/>
      <w:r>
        <w:rPr>
          <w:szCs w:val="22"/>
        </w:rPr>
        <w:t xml:space="preserve"> Schedule 2, together with any charges arising from the Change Control procedures.</w:t>
      </w:r>
      <w:r>
        <w:rPr>
          <w:rFonts w:eastAsia="Arial"/>
          <w:b/>
          <w:szCs w:val="22"/>
        </w:rPr>
      </w:r>
    </w:p>
    <w:p w14:paraId="0FD98305" w14:textId="3E4C7F3B">
      <w:pPr>
        <w:pStyle w:val="1054"/>
        <w:pBdr/>
        <w:spacing/>
        <w:ind/>
        <w:rPr>
          <w:rStyle w:val="1186"/>
          <w:rFonts w:asciiTheme="minorHAnsi" w:hAnsiTheme="minorHAnsi"/>
          <w:szCs w:val="22"/>
        </w:rPr>
      </w:pPr>
      <w:r>
        <w:rPr>
          <w:rStyle w:val="1186"/>
          <w:rFonts w:asciiTheme="minorHAnsi" w:hAnsiTheme="minorHAnsi"/>
          <w:szCs w:val="22"/>
        </w:rPr>
        <w:t xml:space="preserve">Claims: </w:t>
      </w:r>
      <w:r>
        <w:rPr>
          <w:rStyle w:val="1186"/>
          <w:rFonts w:asciiTheme="minorHAnsi" w:hAnsiTheme="minorHAnsi"/>
          <w:b w:val="0"/>
          <w:bCs/>
          <w:szCs w:val="22"/>
        </w:rPr>
        <w:t xml:space="preserve">all and any claims (whether successful or otherwise), loss, liability, costs, damages and expenses, including reasonable legal costs of whatsoever nature and howsoever arising.</w:t>
      </w:r>
      <w:r>
        <w:rPr>
          <w:rStyle w:val="1186"/>
          <w:rFonts w:asciiTheme="minorHAnsi" w:hAnsiTheme="minorHAnsi"/>
          <w:szCs w:val="22"/>
        </w:rPr>
      </w:r>
    </w:p>
    <w:p w14:paraId="268406EC" w14:textId="77777777">
      <w:pPr>
        <w:pStyle w:val="1054"/>
        <w:pBdr/>
        <w:spacing/>
        <w:ind/>
        <w:rPr>
          <w:rStyle w:val="1186"/>
          <w:rFonts w:asciiTheme="minorHAnsi" w:hAnsiTheme="minorHAnsi"/>
          <w:szCs w:val="22"/>
        </w:rPr>
      </w:pPr>
      <w:r/>
      <w:bookmarkStart w:id="19" w:name="a812970"/>
      <w:r>
        <w:rPr>
          <w:rStyle w:val="1186"/>
          <w:rFonts w:asciiTheme="minorHAnsi" w:hAnsiTheme="minorHAnsi"/>
          <w:szCs w:val="22"/>
        </w:rPr>
        <w:t xml:space="preserve">Confidential Information</w:t>
      </w:r>
      <w:r>
        <w:rPr>
          <w:szCs w:val="22"/>
        </w:rPr>
        <w:t xml:space="preserve">: all information, whether technical or commercial (including all specifications, drawings and designs, disclosed in writing, on disc, orally or by inspection of documents or during discussions between the parties), where the information is:</w:t>
      </w:r>
      <w:bookmarkEnd w:id="19"/>
      <w:r>
        <w:rPr>
          <w:rStyle w:val="1186"/>
          <w:rFonts w:asciiTheme="minorHAnsi" w:hAnsiTheme="minorHAnsi"/>
          <w:szCs w:val="22"/>
        </w:rPr>
      </w:r>
    </w:p>
    <w:p w14:paraId="320A56BD" w14:textId="77777777">
      <w:pPr>
        <w:pStyle w:val="1218"/>
        <w:pBdr/>
        <w:spacing/>
        <w:ind/>
        <w:rPr>
          <w:szCs w:val="22"/>
        </w:rPr>
      </w:pPr>
      <w:r>
        <w:rPr>
          <w:szCs w:val="22"/>
        </w:rPr>
        <w:t xml:space="preserve">identified as confidential at the time of disclosure; or</w:t>
      </w:r>
    </w:p>
    <w:p w14:paraId="51AE63AE" w14:textId="77777777">
      <w:pPr>
        <w:pStyle w:val="1218"/>
        <w:pBdr/>
        <w:spacing/>
        <w:ind/>
        <w:rPr>
          <w:szCs w:val="22"/>
        </w:rPr>
      </w:pPr>
      <w:r>
        <w:rPr>
          <w:szCs w:val="22"/>
        </w:rPr>
        <w:t xml:space="preserve">ought reasonably to be considered confidential given the nature of the information or the circumstances of disclosure.</w:t>
      </w:r>
    </w:p>
    <w:p w14:paraId="2A32EDF1" w14:textId="77777777">
      <w:pPr>
        <w:pStyle w:val="1054"/>
        <w:pBdr/>
        <w:spacing/>
        <w:ind/>
        <w:rPr>
          <w:szCs w:val="22"/>
        </w:rPr>
      </w:pPr>
      <w:r>
        <w:rPr>
          <w:b/>
          <w:szCs w:val="22"/>
        </w:rPr>
        <w:t xml:space="preserve">Controller, Processor, Data Subject, Personal Data, Personal Data Breach, processing and appropriate technical and organisational measures</w:t>
      </w:r>
      <w:r>
        <w:rPr>
          <w:szCs w:val="22"/>
        </w:rPr>
        <w:t xml:space="preserve">: as defined in the Data Protection Legislation.</w:t>
      </w:r>
    </w:p>
    <w:p w14:paraId="7EDF0752" w14:textId="57227666">
      <w:pPr>
        <w:pStyle w:val="1054"/>
        <w:pBdr/>
        <w:spacing/>
        <w:ind/>
        <w:rPr>
          <w:szCs w:val="22"/>
        </w:rPr>
      </w:pPr>
      <w:r/>
      <w:bookmarkStart w:id="20" w:name="a336544"/>
      <w:r>
        <w:rPr>
          <w:rFonts w:cs="Arial"/>
          <w:b/>
          <w:szCs w:val="22"/>
        </w:rPr>
        <w:t xml:space="preserve">Data </w:t>
      </w:r>
      <w:r>
        <w:rPr>
          <w:rStyle w:val="1186"/>
          <w:rFonts w:asciiTheme="minorHAnsi" w:hAnsiTheme="minorHAnsi"/>
          <w:szCs w:val="22"/>
        </w:rPr>
        <w:t xml:space="preserve">Protection Legislation</w:t>
      </w:r>
      <w:r>
        <w:rPr>
          <w:szCs w:val="22"/>
        </w:rPr>
        <w:t xml:space="preserve">: all applicable data protection and privacy legislation in force from time to time in Ireland including the General Data Protection Regulation ((EU) 2016/679); the Data Protection Act 2018 (DPA 2018) (and regulations made thereunder)  as amended</w:t>
      </w:r>
      <w:bookmarkEnd w:id="20"/>
      <w:r>
        <w:rPr>
          <w:szCs w:val="22"/>
        </w:rPr>
        <w:t xml:space="preserve">.</w:t>
      </w:r>
    </w:p>
    <w:p w14:paraId="316632B2" w14:textId="77777777">
      <w:pPr>
        <w:pStyle w:val="1054"/>
        <w:pBdr/>
        <w:spacing/>
        <w:ind/>
        <w:rPr>
          <w:rStyle w:val="1186"/>
          <w:rFonts w:eastAsia="Arial Unicode MS" w:asciiTheme="minorHAnsi" w:hAnsiTheme="minorHAnsi"/>
          <w:b w:val="0"/>
          <w:szCs w:val="22"/>
        </w:rPr>
      </w:pPr>
      <w:r>
        <w:rPr>
          <w:b/>
          <w:bCs/>
          <w:szCs w:val="22"/>
        </w:rPr>
        <w:t xml:space="preserve">Drupal</w:t>
      </w:r>
      <w:r>
        <w:rPr>
          <w:szCs w:val="22"/>
        </w:rPr>
        <w:t xml:space="preserve"> the open source content management platform and any extensions thereto including, but not limited to Themes, Modules and Profiles, licensed under the General Public Licence (“</w:t>
      </w:r>
      <w:r>
        <w:rPr>
          <w:b/>
          <w:bCs/>
          <w:szCs w:val="22"/>
        </w:rPr>
        <w:t xml:space="preserve">GPL”)</w:t>
      </w:r>
      <w:r>
        <w:rPr>
          <w:szCs w:val="22"/>
        </w:rPr>
        <w:t xml:space="preserve"> Version 2, June 1991 (http://www.gnu.org/licenses/old-licenses/gpl-2.0.txt) as amended from time to time, upon which the Website is constructed.</w:t>
      </w:r>
      <w:r>
        <w:rPr>
          <w:rStyle w:val="1186"/>
          <w:rFonts w:eastAsia="Arial Unicode MS" w:asciiTheme="minorHAnsi" w:hAnsiTheme="minorHAnsi"/>
          <w:b w:val="0"/>
          <w:szCs w:val="22"/>
        </w:rPr>
      </w:r>
    </w:p>
    <w:p w14:paraId="38B3A4E4" w14:textId="1BAC8483">
      <w:pPr>
        <w:pStyle w:val="1054"/>
        <w:pBdr/>
        <w:spacing/>
        <w:ind/>
        <w:rPr>
          <w:rStyle w:val="1186"/>
          <w:rFonts w:asciiTheme="minorHAnsi" w:hAnsiTheme="minorHAnsi"/>
          <w:szCs w:val="22"/>
        </w:rPr>
      </w:pPr>
      <w:r>
        <w:rPr>
          <w:rStyle w:val="1186"/>
          <w:rFonts w:asciiTheme="minorHAnsi" w:hAnsiTheme="minorHAnsi"/>
          <w:szCs w:val="22"/>
        </w:rPr>
        <w:t xml:space="preserve">Effective Date</w:t>
      </w:r>
      <w:r>
        <w:rPr>
          <w:szCs w:val="22"/>
        </w:rPr>
        <w:t xml:space="preserve">: [●]</w:t>
      </w:r>
      <w:commentRangeStart w:id="4"/>
      <w:r/>
      <w:commentRangeEnd w:id="4"/>
      <w:r>
        <w:commentReference w:id="4"/>
      </w:r>
      <w:r>
        <w:rPr>
          <w:rStyle w:val="1186"/>
          <w:rFonts w:asciiTheme="minorHAnsi" w:hAnsiTheme="minorHAnsi"/>
          <w:szCs w:val="22"/>
        </w:rPr>
      </w:r>
    </w:p>
    <w:p w14:paraId="2FE064AC" w14:textId="77777777">
      <w:pPr>
        <w:pStyle w:val="1054"/>
        <w:pBdr/>
        <w:spacing/>
        <w:ind/>
        <w:rPr>
          <w:rStyle w:val="1186"/>
          <w:rFonts w:eastAsia="Arial Unicode MS" w:cstheme="minorBidi"/>
          <w:b w:val="0"/>
          <w:color w:val="auto"/>
          <w:szCs w:val="22"/>
        </w:rPr>
      </w:pPr>
      <w:r/>
      <w:bookmarkStart w:id="23" w:name="a311403"/>
      <w:r>
        <w:rPr>
          <w:rStyle w:val="1186"/>
          <w:rFonts w:asciiTheme="minorHAnsi" w:hAnsiTheme="minorHAnsi"/>
          <w:szCs w:val="22"/>
        </w:rPr>
        <w:t xml:space="preserve">Email address for Customer:</w:t>
      </w:r>
      <w:r>
        <w:rPr>
          <w:szCs w:val="22"/>
        </w:rPr>
        <w:t xml:space="preserve"> </w:t>
      </w:r>
      <w:commentRangeStart w:id="5"/>
      <w:r>
        <w:rPr>
          <w:szCs w:val="22"/>
        </w:rPr>
        <w:t xml:space="preserve"> spurcell@cita.ie</w:t>
      </w:r>
      <w:commentRangeEnd w:id="5"/>
      <w:r>
        <w:commentReference w:id="5"/>
      </w:r>
      <w:r>
        <w:rPr>
          <w:rStyle w:val="1186"/>
          <w:rFonts w:eastAsia="Arial Unicode MS" w:cstheme="minorBidi"/>
          <w:b w:val="0"/>
          <w:color w:val="auto"/>
          <w:szCs w:val="22"/>
        </w:rPr>
      </w:r>
    </w:p>
    <w:p w14:paraId="0B0091A7" w14:textId="79F7E4F8">
      <w:pPr>
        <w:pStyle w:val="1054"/>
        <w:pBdr/>
        <w:spacing/>
        <w:ind/>
        <w:rPr>
          <w:rStyle w:val="1186"/>
          <w:rFonts w:eastAsia="Arial Unicode MS" w:cstheme="minorBidi"/>
          <w:b w:val="0"/>
          <w:color w:val="auto"/>
          <w:szCs w:val="22"/>
        </w:rPr>
      </w:pPr>
      <w:r>
        <w:rPr>
          <w:rStyle w:val="1186"/>
          <w:rFonts w:asciiTheme="minorHAnsi" w:hAnsiTheme="minorHAnsi"/>
          <w:szCs w:val="22"/>
        </w:rPr>
        <w:t xml:space="preserve">Email address for Developer: </w:t>
      </w:r>
      <w:r>
        <w:rPr>
          <w:szCs w:val="22"/>
        </w:rPr>
        <w:t xml:space="preserve">[Contractor email address]</w:t>
      </w:r>
      <w:r>
        <w:rPr>
          <w:rStyle w:val="1186"/>
          <w:rFonts w:eastAsia="Arial Unicode MS" w:cstheme="minorBidi"/>
          <w:b w:val="0"/>
          <w:color w:val="auto"/>
          <w:szCs w:val="22"/>
        </w:rPr>
      </w:r>
    </w:p>
    <w:p w14:paraId="5EC98A94" w14:textId="244F230E">
      <w:pPr>
        <w:pStyle w:val="1054"/>
        <w:pBdr/>
        <w:spacing/>
        <w:ind/>
        <w:rPr>
          <w:szCs w:val="22"/>
        </w:rPr>
      </w:pPr>
      <w:r>
        <w:rPr>
          <w:rStyle w:val="1186"/>
          <w:rFonts w:asciiTheme="minorHAnsi" w:hAnsiTheme="minorHAnsi"/>
          <w:szCs w:val="22"/>
        </w:rPr>
        <w:t xml:space="preserve">Heightened Cybersecurity Requirements</w:t>
      </w:r>
      <w:r>
        <w:rPr>
          <w:szCs w:val="22"/>
        </w:rPr>
        <w:t xml:space="preserve">: any laws, regulations, codes, guidance from regulatory and advisory bodies (whether mandatory or not), international and national standards, industry schemes and sanctions, which are applicable to the Customer (but not the Developer) relating to security of network and information systems and security breach and incident reporting requirements, which may include the Cybersecurity Directive ((EU) 2016/1148), Commission Implementing Regulation ((EU) 2018/151), the European Union (Measures for a High Common Level of Security of Network and Information Systems) Regulations 2018 (SI 360/2018), all as amended or updated from time to time. </w:t>
        <w:fldChar w:fldCharType="begin"/>
        <w:fldChar w:fldCharType="end"/>
      </w:r>
      <w:bookmarkEnd w:id="23"/>
      <w:r>
        <w:rPr>
          <w:szCs w:val="22"/>
        </w:rPr>
      </w:r>
    </w:p>
    <w:p w14:paraId="74D6421A" w14:textId="77777777">
      <w:pPr>
        <w:pStyle w:val="1054"/>
        <w:pBdr/>
        <w:spacing/>
        <w:ind/>
        <w:rPr>
          <w:rStyle w:val="1186"/>
          <w:rFonts w:asciiTheme="minorHAnsi" w:hAnsiTheme="minorHAnsi"/>
          <w:szCs w:val="22"/>
        </w:rPr>
      </w:pPr>
      <w:r/>
      <w:bookmarkStart w:id="25" w:name="a559595"/>
      <w:r>
        <w:rPr>
          <w:rStyle w:val="1186"/>
          <w:rFonts w:asciiTheme="minorHAnsi" w:hAnsiTheme="minorHAnsi"/>
          <w:szCs w:val="22"/>
        </w:rPr>
        <w:t xml:space="preserve">Intellectual Property Rights</w:t>
      </w:r>
      <w:r>
        <w:rPr>
          <w:szCs w:val="22"/>
        </w:rPr>
        <w:t xml:space="preserve">: patents, utility models, rights to inventions, copyright and neighbouring and related rights, moral rights, trademarks and service marks, business names and domain names, rights in get-up and trade dress,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 save and except any intellectual  property rights, if any, in Drupal and/or its extensions.</w:t>
      </w:r>
      <w:bookmarkEnd w:id="25"/>
      <w:r>
        <w:rPr>
          <w:rStyle w:val="1186"/>
          <w:rFonts w:asciiTheme="minorHAnsi" w:hAnsiTheme="minorHAnsi"/>
          <w:szCs w:val="22"/>
        </w:rPr>
      </w:r>
    </w:p>
    <w:p w14:paraId="5AB2E6B1" w14:textId="3519F280">
      <w:pPr>
        <w:pStyle w:val="1054"/>
        <w:pBdr/>
        <w:spacing/>
        <w:ind/>
        <w:rPr>
          <w:rFonts w:eastAsia="Arial"/>
          <w:b/>
          <w:szCs w:val="22"/>
        </w:rPr>
      </w:pPr>
      <w:r/>
      <w:bookmarkStart w:id="26" w:name="a267219"/>
      <w:r>
        <w:rPr>
          <w:rStyle w:val="1186"/>
          <w:rFonts w:asciiTheme="minorHAnsi" w:hAnsiTheme="minorHAnsi"/>
          <w:szCs w:val="22"/>
        </w:rPr>
        <w:t xml:space="preserve">Materials</w:t>
      </w:r>
      <w:r>
        <w:rPr>
          <w:szCs w:val="22"/>
        </w:rPr>
        <w:t xml:space="preserve">: the content provided to the Developer by the Customer from time to time for incorporation in the Site</w:t>
      </w:r>
      <w:bookmarkEnd w:id="26"/>
      <w:r>
        <w:rPr>
          <w:szCs w:val="22"/>
        </w:rPr>
        <w:t xml:space="preserve">, which may include items such as brand guidelines and/or documentation.</w:t>
      </w:r>
      <w:r>
        <w:rPr>
          <w:rFonts w:eastAsia="Arial"/>
          <w:b/>
          <w:szCs w:val="22"/>
        </w:rPr>
      </w:r>
    </w:p>
    <w:p w14:paraId="341B75CE" w14:textId="30E74676">
      <w:pPr>
        <w:pStyle w:val="1054"/>
        <w:pBdr/>
        <w:spacing/>
        <w:ind/>
        <w:rPr>
          <w:rStyle w:val="1186"/>
          <w:rFonts w:asciiTheme="minorHAnsi" w:hAnsiTheme="minorHAnsi"/>
          <w:szCs w:val="22"/>
        </w:rPr>
      </w:pPr>
      <w:r/>
      <w:bookmarkStart w:id="27" w:name="a207243"/>
      <w:r>
        <w:rPr>
          <w:rStyle w:val="1186"/>
          <w:rFonts w:asciiTheme="minorHAnsi" w:hAnsiTheme="minorHAnsi"/>
          <w:szCs w:val="22"/>
        </w:rPr>
        <w:t xml:space="preserve">Non-Developer Defects</w:t>
      </w:r>
      <w:r>
        <w:rPr>
          <w:szCs w:val="22"/>
        </w:rPr>
        <w:t xml:space="preserve">: those defects described in </w:t>
        <w:fldChar w:fldCharType="begin"/>
        <w:instrText xml:space="preserve">PAGEREF a582317\# "'clause '"  \h</w:instrText>
        <w:fldChar w:fldCharType="separate"/>
        <w:t xml:space="preserve">clause </w:t>
        <w:fldChar w:fldCharType="end"/>
        <w:fldChar w:fldCharType="begin"/>
        <w:instrText xml:space="preserve">REF a582317 \h \w</w:instrText>
        <w:instrText xml:space="preserve"> \* MERGEFORMAT </w:instrText>
        <w:fldChar w:fldCharType="separate"/>
        <w:t xml:space="preserve">4.2</w:t>
        <w:fldChar w:fldCharType="end"/>
        <w:t xml:space="preserve">.</w:t>
      </w:r>
      <w:bookmarkEnd w:id="27"/>
      <w:r>
        <w:rPr>
          <w:rStyle w:val="1186"/>
          <w:rFonts w:asciiTheme="minorHAnsi" w:hAnsiTheme="minorHAnsi"/>
          <w:szCs w:val="22"/>
        </w:rPr>
      </w:r>
    </w:p>
    <w:p w14:paraId="6E74141B" w14:textId="77777777">
      <w:pPr>
        <w:pStyle w:val="1054"/>
        <w:pBdr/>
        <w:spacing/>
        <w:ind/>
        <w:rPr>
          <w:rStyle w:val="1186"/>
          <w:rFonts w:asciiTheme="minorHAnsi" w:hAnsiTheme="minorHAnsi"/>
          <w:szCs w:val="22"/>
        </w:rPr>
      </w:pPr>
      <w:r/>
      <w:bookmarkStart w:id="28" w:name="a776184"/>
      <w:r>
        <w:rPr>
          <w:rStyle w:val="1186"/>
          <w:rFonts w:asciiTheme="minorHAnsi" w:hAnsiTheme="minorHAnsi"/>
          <w:szCs w:val="22"/>
        </w:rPr>
        <w:t xml:space="preserve">Project</w:t>
      </w:r>
      <w:r>
        <w:rPr>
          <w:szCs w:val="22"/>
        </w:rPr>
        <w:t xml:space="preserve">: the provision by the Developer of the Services as set out in this agreement.</w:t>
      </w:r>
      <w:bookmarkEnd w:id="28"/>
      <w:r>
        <w:rPr>
          <w:rStyle w:val="1186"/>
          <w:rFonts w:asciiTheme="minorHAnsi" w:hAnsiTheme="minorHAnsi"/>
          <w:szCs w:val="22"/>
        </w:rPr>
      </w:r>
    </w:p>
    <w:p w14:paraId="28E16FDF" w14:textId="0C60DC40">
      <w:pPr>
        <w:pStyle w:val="1054"/>
        <w:pBdr/>
        <w:spacing/>
        <w:ind/>
        <w:rPr>
          <w:rStyle w:val="1186"/>
          <w:rFonts w:asciiTheme="minorHAnsi" w:hAnsiTheme="minorHAnsi"/>
          <w:b w:val="0"/>
          <w:bCs/>
          <w:szCs w:val="22"/>
        </w:rPr>
      </w:pPr>
      <w:r>
        <w:rPr>
          <w:b/>
          <w:bCs/>
          <w:szCs w:val="22"/>
        </w:rPr>
        <w:t xml:space="preserve">Service Level</w:t>
      </w:r>
      <w:r>
        <w:rPr>
          <w:szCs w:val="22"/>
        </w:rPr>
        <w:t xml:space="preserve">: the number hours of Services as defined in Schedule 1. </w:t>
      </w:r>
      <w:r>
        <w:rPr>
          <w:rStyle w:val="1186"/>
          <w:rFonts w:asciiTheme="minorHAnsi" w:hAnsiTheme="minorHAnsi"/>
          <w:b w:val="0"/>
          <w:bCs/>
          <w:szCs w:val="22"/>
        </w:rPr>
      </w:r>
    </w:p>
    <w:p w14:paraId="7179DEE4" w14:textId="2874C244">
      <w:pPr>
        <w:pStyle w:val="1054"/>
        <w:pBdr/>
        <w:spacing/>
        <w:ind/>
        <w:rPr>
          <w:rStyle w:val="1186"/>
          <w:rFonts w:asciiTheme="minorHAnsi" w:hAnsiTheme="minorHAnsi"/>
          <w:szCs w:val="22"/>
        </w:rPr>
      </w:pPr>
      <w:r/>
      <w:bookmarkStart w:id="29" w:name="a499496"/>
      <w:r>
        <w:rPr>
          <w:rStyle w:val="1186"/>
          <w:rFonts w:asciiTheme="minorHAnsi" w:hAnsiTheme="minorHAnsi"/>
          <w:szCs w:val="22"/>
        </w:rPr>
        <w:t xml:space="preserve">Services</w:t>
      </w:r>
      <w:r>
        <w:rPr>
          <w:szCs w:val="22"/>
        </w:rPr>
        <w:t xml:space="preserve">: the maintenance and development and/ or extension services as agreed by the parties in writing, through email and/or the ticketing system’.</w:t>
      </w:r>
      <w:bookmarkEnd w:id="29"/>
      <w:r>
        <w:rPr>
          <w:rStyle w:val="1186"/>
          <w:rFonts w:asciiTheme="minorHAnsi" w:hAnsiTheme="minorHAnsi"/>
          <w:szCs w:val="22"/>
        </w:rPr>
      </w:r>
    </w:p>
    <w:p w14:paraId="6B68D380" w14:textId="0082448A">
      <w:pPr>
        <w:pStyle w:val="1054"/>
        <w:pBdr/>
        <w:spacing/>
        <w:ind/>
        <w:rPr>
          <w:rStyle w:val="1186"/>
          <w:rFonts w:asciiTheme="minorHAnsi" w:hAnsiTheme="minorHAnsi"/>
          <w:szCs w:val="22"/>
        </w:rPr>
      </w:pPr>
      <w:r/>
      <w:bookmarkStart w:id="30" w:name="a706583"/>
      <w:r>
        <w:rPr>
          <w:rStyle w:val="1186"/>
          <w:rFonts w:asciiTheme="minorHAnsi" w:hAnsiTheme="minorHAnsi"/>
          <w:szCs w:val="22"/>
        </w:rPr>
        <w:t xml:space="preserve">Site (or Website)</w:t>
      </w:r>
      <w:r>
        <w:rPr>
          <w:szCs w:val="22"/>
        </w:rPr>
        <w:t xml:space="preserve">: the website(s) at </w:t>
      </w:r>
      <w:hyperlink r:id="rId17" w:tooltip="https://www.skillnetmmcaccelerate.ie/en" w:history="1">
        <w:r>
          <w:rPr>
            <w:rStyle w:val="1123"/>
            <w:szCs w:val="22"/>
          </w:rPr>
          <w:t xml:space="preserve">https://www.skillnetmmcaccelerate.ie/en</w:t>
        </w:r>
      </w:hyperlink>
      <w:r>
        <w:rPr>
          <w:szCs w:val="22"/>
        </w:rPr>
        <w:t xml:space="preserve"> to be supported, maintained and/or further developed by the Developer pursuant to this agreement.</w:t>
      </w:r>
      <w:bookmarkEnd w:id="30"/>
      <w:r>
        <w:rPr>
          <w:rStyle w:val="1186"/>
          <w:rFonts w:asciiTheme="minorHAnsi" w:hAnsiTheme="minorHAnsi"/>
          <w:szCs w:val="22"/>
        </w:rPr>
      </w:r>
    </w:p>
    <w:p w14:paraId="2F86CD50" w14:textId="252A17DC">
      <w:pPr>
        <w:pStyle w:val="1054"/>
        <w:pBdr/>
        <w:spacing/>
        <w:ind/>
        <w:rPr>
          <w:rStyle w:val="1186"/>
          <w:rFonts w:asciiTheme="minorHAnsi" w:hAnsiTheme="minorHAnsi"/>
          <w:szCs w:val="22"/>
        </w:rPr>
      </w:pPr>
      <w:r/>
      <w:bookmarkStart w:id="32" w:name="a796922"/>
      <w:r>
        <w:rPr>
          <w:rStyle w:val="1186"/>
          <w:rFonts w:asciiTheme="minorHAnsi" w:hAnsiTheme="minorHAnsi"/>
          <w:szCs w:val="22"/>
        </w:rPr>
        <w:t xml:space="preserve">Site Software</w:t>
      </w:r>
      <w:r>
        <w:rPr>
          <w:szCs w:val="22"/>
        </w:rPr>
        <w:t xml:space="preserve">: the software for the Site commissioned by the Customer agreed by the parties in writing, through email and/or the ticketing system.</w:t>
      </w:r>
      <w:bookmarkEnd w:id="32"/>
      <w:r>
        <w:rPr>
          <w:rStyle w:val="1186"/>
          <w:rFonts w:asciiTheme="minorHAnsi" w:hAnsiTheme="minorHAnsi"/>
          <w:szCs w:val="22"/>
        </w:rPr>
      </w:r>
    </w:p>
    <w:p w14:paraId="5F29DBF0" w14:textId="63E7651F">
      <w:pPr>
        <w:pStyle w:val="1054"/>
        <w:pBdr/>
        <w:spacing/>
        <w:ind/>
        <w:rPr>
          <w:rFonts w:eastAsia="Arial" w:cs="Arial"/>
          <w:b/>
          <w:szCs w:val="22"/>
        </w:rPr>
      </w:pPr>
      <w:r/>
      <w:bookmarkStart w:id="33" w:name="a552294"/>
      <w:r>
        <w:rPr>
          <w:rStyle w:val="1186"/>
          <w:rFonts w:asciiTheme="minorHAnsi" w:hAnsiTheme="minorHAnsi"/>
          <w:szCs w:val="22"/>
        </w:rPr>
        <w:t xml:space="preserve">Site Specification</w:t>
      </w:r>
      <w:r>
        <w:rPr>
          <w:szCs w:val="22"/>
        </w:rPr>
        <w:t xml:space="preserve">: </w:t>
      </w:r>
      <w:bookmarkStart w:id="34" w:name="a278794"/>
      <w:r/>
      <w:bookmarkEnd w:id="33"/>
      <w:r>
        <w:rPr>
          <w:szCs w:val="22"/>
        </w:rPr>
        <w:t xml:space="preserve">The specification for the Site agreed by the parties in writing, through email and/or the ticketing system</w:t>
      </w:r>
      <w:r>
        <w:rPr>
          <w:rFonts w:eastAsia="Arial" w:cs="Arial"/>
          <w:b/>
          <w:szCs w:val="22"/>
        </w:rPr>
        <w:t xml:space="preserve">.</w:t>
      </w:r>
    </w:p>
    <w:p w14:paraId="68F8C751" w14:textId="47C4D4DD">
      <w:pPr>
        <w:pStyle w:val="1054"/>
        <w:pBdr/>
        <w:spacing/>
        <w:ind/>
        <w:rPr>
          <w:rStyle w:val="1186"/>
          <w:rFonts w:asciiTheme="minorHAnsi" w:hAnsiTheme="minorHAnsi"/>
          <w:szCs w:val="22"/>
        </w:rPr>
      </w:pPr>
      <w:r>
        <w:rPr>
          <w:rStyle w:val="1186"/>
          <w:rFonts w:asciiTheme="minorHAnsi" w:hAnsiTheme="minorHAnsi"/>
          <w:szCs w:val="22"/>
        </w:rPr>
        <w:t xml:space="preserve">Third Party Products</w:t>
      </w:r>
      <w:r>
        <w:rPr>
          <w:szCs w:val="22"/>
        </w:rPr>
        <w:t xml:space="preserve">: those third party software products used by the Developer for the purpose of providing the Services.</w:t>
      </w:r>
      <w:bookmarkEnd w:id="34"/>
      <w:r>
        <w:rPr>
          <w:rStyle w:val="1186"/>
          <w:rFonts w:asciiTheme="minorHAnsi" w:hAnsiTheme="minorHAnsi"/>
          <w:szCs w:val="22"/>
        </w:rPr>
      </w:r>
    </w:p>
    <w:p w14:paraId="2B035B4C" w14:textId="77777777">
      <w:pPr>
        <w:pStyle w:val="1054"/>
        <w:pBdr/>
        <w:spacing/>
        <w:ind/>
        <w:rPr>
          <w:b/>
          <w:szCs w:val="22"/>
        </w:rPr>
      </w:pPr>
      <w:r/>
      <w:bookmarkStart w:id="35" w:name="a661319"/>
      <w:r>
        <w:rPr>
          <w:rStyle w:val="1186"/>
          <w:rFonts w:asciiTheme="minorHAnsi" w:hAnsiTheme="minorHAnsi"/>
          <w:szCs w:val="22"/>
        </w:rPr>
        <w:t xml:space="preserve">Visitor</w:t>
      </w:r>
      <w:r>
        <w:rPr>
          <w:szCs w:val="22"/>
        </w:rPr>
        <w:t xml:space="preserve">: a visitor to the Site.</w:t>
      </w:r>
      <w:bookmarkEnd w:id="35"/>
      <w:r>
        <w:rPr>
          <w:b/>
          <w:szCs w:val="22"/>
        </w:rPr>
      </w:r>
    </w:p>
    <w:p w14:paraId="305B8E7F" w14:textId="4F1164AF">
      <w:pPr>
        <w:pStyle w:val="1054"/>
        <w:pBdr/>
        <w:spacing/>
        <w:ind/>
        <w:rPr>
          <w:szCs w:val="22"/>
        </w:rPr>
      </w:pPr>
      <w:r/>
      <w:bookmarkStart w:id="36" w:name="a231532"/>
      <w:r>
        <w:rPr>
          <w:rStyle w:val="1186"/>
          <w:rFonts w:asciiTheme="minorHAnsi" w:hAnsiTheme="minorHAnsi"/>
          <w:szCs w:val="22"/>
        </w:rPr>
        <w:t xml:space="preserve">Vulnerability</w:t>
      </w:r>
      <w:r>
        <w:rPr>
          <w:szCs w:val="22"/>
        </w:rPr>
        <w:t xml:space="preserve">: a weakness in the computational logic (for example, code) found in software and hardware components that when exploited, results in a negative impact to the confidentiality, integrity, or availability, and the term </w:t>
      </w:r>
      <w:r>
        <w:rPr>
          <w:rStyle w:val="1186"/>
          <w:rFonts w:asciiTheme="minorHAnsi" w:hAnsiTheme="minorHAnsi"/>
          <w:szCs w:val="22"/>
        </w:rPr>
        <w:t xml:space="preserve">Vulnerabilities</w:t>
      </w:r>
      <w:r>
        <w:rPr>
          <w:szCs w:val="22"/>
        </w:rPr>
        <w:t xml:space="preserve"> shall be construed accordingly.</w:t>
        <w:fldChar w:fldCharType="begin"/>
        <w:fldChar w:fldCharType="end"/>
      </w:r>
      <w:bookmarkEnd w:id="36"/>
      <w:r>
        <w:rPr>
          <w:szCs w:val="22"/>
        </w:rPr>
      </w:r>
    </w:p>
    <w:p w14:paraId="4376586E" w14:textId="77777777">
      <w:pPr>
        <w:pStyle w:val="1089"/>
        <w:pBdr/>
        <w:spacing/>
        <w:ind/>
        <w:rPr>
          <w:szCs w:val="22"/>
        </w:rPr>
      </w:pPr>
      <w:r/>
      <w:bookmarkStart w:id="37" w:name="a193744"/>
      <w:r>
        <w:rPr>
          <w:szCs w:val="22"/>
        </w:rPr>
        <w:t xml:space="preserve">Clause and Schedule headings do not affect the interpretation of this agreement.</w:t>
      </w:r>
      <w:bookmarkEnd w:id="37"/>
      <w:r>
        <w:rPr>
          <w:szCs w:val="22"/>
        </w:rPr>
      </w:r>
    </w:p>
    <w:p w14:paraId="2E2B59F1" w14:textId="77777777">
      <w:pPr>
        <w:pStyle w:val="1089"/>
        <w:pBdr/>
        <w:spacing/>
        <w:ind/>
        <w:rPr>
          <w:szCs w:val="22"/>
        </w:rPr>
      </w:pPr>
      <w:r/>
      <w:bookmarkStart w:id="38" w:name="a418052"/>
      <w:r>
        <w:rPr>
          <w:szCs w:val="22"/>
        </w:rPr>
        <w:t xml:space="preserve">References to clauses and Schedules are (unless otherwise provided) references to the clauses and Schedules of this agreement.</w:t>
      </w:r>
      <w:bookmarkEnd w:id="38"/>
      <w:r>
        <w:rPr>
          <w:szCs w:val="22"/>
        </w:rPr>
      </w:r>
    </w:p>
    <w:p w14:paraId="50262E31" w14:textId="77777777">
      <w:pPr>
        <w:pStyle w:val="1089"/>
        <w:pBdr/>
        <w:spacing/>
        <w:ind/>
        <w:rPr>
          <w:szCs w:val="22"/>
        </w:rPr>
      </w:pPr>
      <w:r/>
      <w:bookmarkStart w:id="39" w:name="a479548"/>
      <w:r>
        <w:rPr>
          <w:szCs w:val="22"/>
        </w:rPr>
        <w:t xml:space="preserve">In the event and to the extent only of any conflict between the clauses and the Schedules, the clauses shall prevail.</w:t>
      </w:r>
      <w:bookmarkEnd w:id="39"/>
      <w:r>
        <w:rPr>
          <w:szCs w:val="22"/>
        </w:rPr>
      </w:r>
    </w:p>
    <w:p w14:paraId="63C6FE1E" w14:textId="77777777">
      <w:pPr>
        <w:pStyle w:val="1089"/>
        <w:pBdr/>
        <w:spacing/>
        <w:ind/>
        <w:rPr>
          <w:szCs w:val="22"/>
        </w:rPr>
      </w:pPr>
      <w:r/>
      <w:bookmarkStart w:id="40" w:name="a763899"/>
      <w:r>
        <w:rPr>
          <w:szCs w:val="22"/>
        </w:rPr>
        <w:t xml:space="preserve">Unless the context otherwise requires, words in the singular shall include the plural and in the plural include the singular.</w:t>
      </w:r>
      <w:bookmarkEnd w:id="40"/>
      <w:r>
        <w:rPr>
          <w:szCs w:val="22"/>
        </w:rPr>
      </w:r>
    </w:p>
    <w:p w14:paraId="640FA973" w14:textId="77777777">
      <w:pPr>
        <w:pStyle w:val="1089"/>
        <w:pBdr/>
        <w:spacing/>
        <w:ind/>
        <w:rPr>
          <w:szCs w:val="22"/>
        </w:rPr>
      </w:pPr>
      <w:r/>
      <w:bookmarkStart w:id="41" w:name="a176426"/>
      <w:r>
        <w:rPr>
          <w:szCs w:val="22"/>
        </w:rPr>
        <w:t xml:space="preserve">A reference to a statute or statutory provision is a reference to it as it is in force as at the date of this agreement.</w:t>
      </w:r>
      <w:bookmarkEnd w:id="41"/>
      <w:r>
        <w:rPr>
          <w:szCs w:val="22"/>
        </w:rPr>
      </w:r>
    </w:p>
    <w:p w14:paraId="47E497D7" w14:textId="77777777">
      <w:pPr>
        <w:pStyle w:val="1089"/>
        <w:pBdr/>
        <w:spacing/>
        <w:ind/>
        <w:rPr>
          <w:szCs w:val="22"/>
        </w:rPr>
      </w:pPr>
      <w:r/>
      <w:bookmarkStart w:id="42" w:name="a342811"/>
      <w:r>
        <w:rPr>
          <w:szCs w:val="22"/>
        </w:rPr>
        <w:t xml:space="preserve">A reference to a statute or statutory provision shall include all subordinate legislation made as at the date of this agreement under that statute or statutory provision.</w:t>
      </w:r>
      <w:bookmarkEnd w:id="42"/>
      <w:r>
        <w:rPr>
          <w:szCs w:val="22"/>
        </w:rPr>
      </w:r>
    </w:p>
    <w:p w14:paraId="27A1DEA3" w14:textId="77777777">
      <w:pPr>
        <w:pStyle w:val="1089"/>
        <w:pBdr/>
        <w:spacing/>
        <w:ind/>
        <w:rPr>
          <w:szCs w:val="22"/>
        </w:rPr>
      </w:pPr>
      <w:r/>
      <w:bookmarkStart w:id="43" w:name="a204425"/>
      <w:r>
        <w:rPr>
          <w:szCs w:val="22"/>
        </w:rPr>
        <w:t xml:space="preserve">Any words following the terms </w:t>
      </w:r>
      <w:r>
        <w:rPr>
          <w:b/>
          <w:szCs w:val="22"/>
        </w:rPr>
        <w:t xml:space="preserve">including</w:t>
      </w:r>
      <w:r>
        <w:rPr>
          <w:szCs w:val="22"/>
        </w:rPr>
        <w:t xml:space="preserve">, </w:t>
      </w:r>
      <w:r>
        <w:rPr>
          <w:b/>
          <w:szCs w:val="22"/>
        </w:rPr>
        <w:t xml:space="preserve">include</w:t>
      </w:r>
      <w:r>
        <w:rPr>
          <w:szCs w:val="22"/>
        </w:rPr>
        <w:t xml:space="preserve">, </w:t>
      </w:r>
      <w:r>
        <w:rPr>
          <w:b/>
          <w:szCs w:val="22"/>
        </w:rPr>
        <w:t xml:space="preserve">in particular</w:t>
      </w:r>
      <w:r>
        <w:rPr>
          <w:szCs w:val="22"/>
        </w:rPr>
        <w:t xml:space="preserve">, </w:t>
      </w:r>
      <w:r>
        <w:rPr>
          <w:b/>
          <w:szCs w:val="22"/>
        </w:rPr>
        <w:t xml:space="preserve">for example</w:t>
      </w:r>
      <w:r>
        <w:rPr>
          <w:szCs w:val="22"/>
        </w:rPr>
        <w:t xml:space="preserve"> or any similar expression shall be construed as illustrative and shall not limit the sense of the words, description, definition, phrase or term preceding those terms.</w:t>
      </w:r>
      <w:bookmarkEnd w:id="43"/>
      <w:r>
        <w:rPr>
          <w:szCs w:val="22"/>
        </w:rPr>
      </w:r>
    </w:p>
    <w:p w14:paraId="07E6CA4A" w14:textId="77777777">
      <w:pPr>
        <w:pStyle w:val="1089"/>
        <w:pBdr/>
        <w:spacing/>
        <w:ind/>
        <w:rPr>
          <w:szCs w:val="22"/>
        </w:rPr>
      </w:pPr>
      <w:r/>
      <w:bookmarkStart w:id="44" w:name="a386008"/>
      <w:r>
        <w:rPr>
          <w:szCs w:val="22"/>
        </w:rPr>
        <w:t xml:space="preserve">References to </w:t>
      </w:r>
      <w:r>
        <w:rPr>
          <w:b/>
          <w:szCs w:val="22"/>
        </w:rPr>
        <w:t xml:space="preserve">content</w:t>
      </w:r>
      <w:r>
        <w:rPr>
          <w:szCs w:val="22"/>
        </w:rPr>
        <w:t xml:space="preserve"> include any kind of text, information, image, or audio or video material which can be incorporated in a website for access by a Visitor to that website.</w:t>
      </w:r>
      <w:bookmarkEnd w:id="44"/>
      <w:r>
        <w:rPr>
          <w:szCs w:val="22"/>
        </w:rPr>
      </w:r>
    </w:p>
    <w:p w14:paraId="3BEB3FC4" w14:textId="1B959C94">
      <w:pPr>
        <w:pStyle w:val="1089"/>
        <w:pBdr/>
        <w:spacing/>
        <w:ind/>
        <w:rPr>
          <w:b/>
          <w:szCs w:val="22"/>
        </w:rPr>
      </w:pPr>
      <w:r/>
      <w:bookmarkStart w:id="45" w:name="a575680"/>
      <w:r>
        <w:rPr>
          <w:bCs/>
          <w:szCs w:val="22"/>
        </w:rPr>
        <w:t xml:space="preserve">A reference to </w:t>
      </w:r>
      <w:r>
        <w:rPr>
          <w:b/>
          <w:szCs w:val="22"/>
        </w:rPr>
        <w:t xml:space="preserve">writing</w:t>
      </w:r>
      <w:r>
        <w:rPr>
          <w:szCs w:val="22"/>
        </w:rPr>
        <w:t xml:space="preserve"> or </w:t>
      </w:r>
      <w:r>
        <w:rPr>
          <w:b/>
          <w:szCs w:val="22"/>
        </w:rPr>
        <w:t xml:space="preserve">written</w:t>
      </w:r>
      <w:r>
        <w:rPr>
          <w:szCs w:val="22"/>
        </w:rPr>
        <w:t xml:space="preserve"> includes fax and email.</w:t>
      </w:r>
      <w:bookmarkEnd w:id="45"/>
      <w:r>
        <w:rPr>
          <w:b/>
          <w:szCs w:val="22"/>
        </w:rPr>
      </w:r>
    </w:p>
    <w:p w14:paraId="4AFA1599" w14:textId="42922C9A">
      <w:pPr>
        <w:pStyle w:val="1046"/>
        <w:pBdr/>
        <w:spacing/>
        <w:ind/>
        <w:rPr>
          <w:szCs w:val="22"/>
        </w:rPr>
      </w:pPr>
      <w:r>
        <w:rPr>
          <w:szCs w:val="22"/>
        </w:rPr>
        <w:fldChar w:fldCharType="begin"/>
        <w:instrText xml:space="preserve">TC "2. Scope of the project" \l 1</w:instrText>
        <w:fldChar w:fldCharType="end"/>
      </w:r>
      <w:bookmarkStart w:id="46" w:name="a475503"/>
      <w:r/>
      <w:bookmarkStart w:id="47" w:name="_Toc106276013"/>
      <w:r>
        <w:rPr>
          <w:szCs w:val="22"/>
        </w:rPr>
        <w:t xml:space="preserve">Scope of the Project</w:t>
      </w:r>
      <w:bookmarkEnd w:id="46"/>
      <w:r/>
      <w:bookmarkEnd w:id="47"/>
      <w:r>
        <w:rPr>
          <w:szCs w:val="22"/>
        </w:rPr>
      </w:r>
    </w:p>
    <w:p w14:paraId="771B6EC9" w14:textId="77777777">
      <w:pPr>
        <w:pStyle w:val="1089"/>
        <w:pBdr/>
        <w:spacing/>
        <w:ind/>
        <w:rPr/>
      </w:pPr>
      <w:r/>
      <w:bookmarkStart w:id="48" w:name="a1041613"/>
      <w:r>
        <w:t xml:space="preserve">The Developer shall:</w:t>
      </w:r>
      <w:bookmarkEnd w:id="48"/>
      <w:r/>
    </w:p>
    <w:p w14:paraId="1C89604D" w14:textId="2015AF16">
      <w:pPr>
        <w:pStyle w:val="1091"/>
        <w:pBdr/>
        <w:spacing/>
        <w:ind/>
        <w:rPr>
          <w:szCs w:val="22"/>
        </w:rPr>
      </w:pPr>
      <w:r/>
      <w:bookmarkStart w:id="49" w:name="a703856"/>
      <w:r>
        <w:rPr>
          <w:szCs w:val="22"/>
        </w:rPr>
        <w:t xml:space="preserve">support and maintain the Site; and</w:t>
      </w:r>
    </w:p>
    <w:p w14:paraId="38666E74" w14:textId="5004ED03">
      <w:pPr>
        <w:pStyle w:val="1091"/>
        <w:pBdr/>
        <w:spacing/>
        <w:ind/>
        <w:rPr>
          <w:szCs w:val="22"/>
        </w:rPr>
      </w:pPr>
      <w:r>
        <w:rPr>
          <w:szCs w:val="22"/>
        </w:rPr>
        <w:t xml:space="preserve">further enhance, develop and/or extend the Site; and</w:t>
      </w:r>
      <w:bookmarkEnd w:id="49"/>
      <w:r>
        <w:rPr>
          <w:szCs w:val="22"/>
        </w:rPr>
      </w:r>
    </w:p>
    <w:p w14:paraId="4CA826E4" w14:textId="3E1851C0">
      <w:pPr>
        <w:pStyle w:val="1091"/>
        <w:pBdr/>
        <w:spacing/>
        <w:ind/>
        <w:rPr>
          <w:szCs w:val="22"/>
        </w:rPr>
      </w:pPr>
      <w:r/>
      <w:bookmarkStart w:id="50" w:name="a90976"/>
      <w:r>
        <w:rPr>
          <w:szCs w:val="22"/>
        </w:rPr>
        <w:t xml:space="preserve">provide the Services</w:t>
      </w:r>
      <w:bookmarkEnd w:id="50"/>
      <w:r>
        <w:rPr>
          <w:szCs w:val="22"/>
        </w:rPr>
        <w:t xml:space="preserve">.</w:t>
      </w:r>
    </w:p>
    <w:p w14:paraId="4A44EF7E" w14:textId="77777777">
      <w:pPr>
        <w:pStyle w:val="1046"/>
        <w:pBdr/>
        <w:spacing/>
        <w:ind/>
        <w:rPr>
          <w:szCs w:val="22"/>
        </w:rPr>
      </w:pPr>
      <w:r>
        <w:rPr>
          <w:szCs w:val="22"/>
        </w:rPr>
        <w:fldChar w:fldCharType="begin"/>
        <w:instrText xml:space="preserve">TC "3. Customer responsibilities" \l 1</w:instrText>
        <w:fldChar w:fldCharType="end"/>
      </w:r>
      <w:bookmarkStart w:id="51" w:name="a460777"/>
      <w:r/>
      <w:bookmarkStart w:id="52" w:name="_Toc106276014"/>
      <w:r>
        <w:rPr>
          <w:szCs w:val="22"/>
        </w:rPr>
        <w:t xml:space="preserve">Customer responsibilities</w:t>
      </w:r>
      <w:bookmarkEnd w:id="51"/>
      <w:r/>
      <w:bookmarkEnd w:id="52"/>
      <w:r>
        <w:rPr>
          <w:szCs w:val="22"/>
        </w:rPr>
      </w:r>
    </w:p>
    <w:p w14:paraId="51A49701" w14:textId="618638D9">
      <w:pPr>
        <w:pStyle w:val="1089"/>
        <w:pBdr/>
        <w:spacing/>
        <w:ind/>
        <w:rPr>
          <w:szCs w:val="22"/>
        </w:rPr>
      </w:pPr>
      <w:r/>
      <w:bookmarkStart w:id="53" w:name="a351373"/>
      <w:r>
        <w:rPr>
          <w:szCs w:val="22"/>
        </w:rPr>
        <w:t xml:space="preserve">The Customer acknowledges that the Developer's ability to provide the Services is dependent upon the full and timely co-operation of the Customer (which the Customer agrees to provide), as well as the accuracy and completeness of any design specifications provided by an external agency and any information and data the Customer provides to the Developer. Accordingly, the Customer shall:</w:t>
      </w:r>
      <w:bookmarkEnd w:id="53"/>
      <w:r>
        <w:rPr>
          <w:szCs w:val="22"/>
        </w:rPr>
      </w:r>
    </w:p>
    <w:p w14:paraId="3241E039" w14:textId="4667F244">
      <w:pPr>
        <w:pStyle w:val="1091"/>
        <w:pBdr/>
        <w:spacing/>
        <w:ind/>
        <w:rPr>
          <w:szCs w:val="22"/>
        </w:rPr>
      </w:pPr>
      <w:r/>
      <w:bookmarkStart w:id="54" w:name="a148428"/>
      <w:r>
        <w:rPr>
          <w:szCs w:val="22"/>
        </w:rPr>
        <w:t xml:space="preserve">provide the Developer with access to, and use of, all information, data and documentation reasonably required by the Developer for the performance by the Developer of its obligations under this agreement; </w:t>
      </w:r>
      <w:bookmarkEnd w:id="54"/>
      <w:r>
        <w:rPr>
          <w:szCs w:val="22"/>
        </w:rPr>
      </w:r>
    </w:p>
    <w:p w14:paraId="5698C360" w14:textId="7506BEB4">
      <w:pPr>
        <w:pStyle w:val="1089"/>
        <w:pBdr/>
        <w:spacing/>
        <w:ind/>
        <w:rPr>
          <w:szCs w:val="22"/>
        </w:rPr>
      </w:pPr>
      <w:r/>
      <w:bookmarkStart w:id="55" w:name="a930755"/>
      <w:r>
        <w:rPr>
          <w:szCs w:val="22"/>
        </w:rPr>
        <w:t xml:space="preserve">The Customer shall be responsible for the accuracy and completeness of the Materials on the Site in accordance with </w:t>
        <w:fldChar w:fldCharType="begin"/>
        <w:instrText xml:space="preserve">PAGEREF a515955\# "'clause '"  \h</w:instrText>
        <w:fldChar w:fldCharType="separate"/>
        <w:t xml:space="preserve">clause </w:t>
        <w:fldChar w:fldCharType="end"/>
        <w:fldChar w:fldCharType="begin"/>
        <w:instrText xml:space="preserve">REF a515955 \h \w</w:instrText>
        <w:instrText xml:space="preserve"> \* MERGEFORMAT </w:instrText>
        <w:fldChar w:fldCharType="separate"/>
        <w:t xml:space="preserve">11</w:t>
        <w:fldChar w:fldCharType="end"/>
        <w:t xml:space="preserve">.</w:t>
      </w:r>
      <w:bookmarkEnd w:id="55"/>
      <w:r>
        <w:rPr>
          <w:szCs w:val="22"/>
        </w:rPr>
        <w:t xml:space="preserve"> </w:t>
      </w:r>
    </w:p>
    <w:p w14:paraId="3D8C2134" w14:textId="589DB8DF">
      <w:pPr>
        <w:pStyle w:val="1089"/>
        <w:pBdr/>
        <w:spacing/>
        <w:ind/>
        <w:rPr>
          <w:szCs w:val="22"/>
        </w:rPr>
      </w:pPr>
      <w:r>
        <w:rPr>
          <w:szCs w:val="22"/>
        </w:rPr>
        <w:t xml:space="preserve">At any time prior to Acceptance as provided for in Clause 4 of this agreement, the Developer may recommend in writing and/or the Customer may request in writing, reasonable changes to any part of the Project or the Service Level. Consent by either party to such changes to the Project shall not be unreasonably withheld or delayed.</w:t>
      </w:r>
    </w:p>
    <w:p w14:paraId="43E28DE0" w14:textId="47E238FE">
      <w:pPr>
        <w:pStyle w:val="1089"/>
        <w:pBdr/>
        <w:spacing/>
        <w:ind/>
        <w:rPr>
          <w:szCs w:val="22"/>
        </w:rPr>
      </w:pPr>
      <w:r>
        <w:rPr>
          <w:szCs w:val="22"/>
        </w:rPr>
        <w:t xml:space="preserve">The Developer shall notify the Customer in writing within 14 days of receipt of the change request or of the making of the change recommendations, of the time and costs needed to investigate the implications for this agreement and implementing the proposed change.  The investigation shall be carried out only on the Customer’s written instruction, unless such changes are proposed by the Developer.</w:t>
      </w:r>
    </w:p>
    <w:p w14:paraId="656996E0" w14:textId="5ED2495A">
      <w:pPr>
        <w:pStyle w:val="1089"/>
        <w:pBdr/>
        <w:spacing/>
        <w:ind/>
        <w:rPr>
          <w:szCs w:val="22"/>
        </w:rPr>
      </w:pPr>
      <w:r>
        <w:rPr>
          <w:szCs w:val="22"/>
        </w:rPr>
        <w:t xml:space="preserve">Following the assessment, if any, the Developer will give a written quotation or a verbal estimate, showing any increase or decrease in the Charges and any related effect on other matters in this agreement including the payment schedule, should the proposed change be implemented.  Such quotation will be valid for 30 days from the date on which it is given to the Customer.</w:t>
      </w:r>
    </w:p>
    <w:p w14:paraId="1ECDFAAD" w14:textId="2322DB05">
      <w:pPr>
        <w:pStyle w:val="1089"/>
        <w:pBdr/>
        <w:spacing/>
        <w:ind/>
        <w:rPr>
          <w:szCs w:val="22"/>
        </w:rPr>
      </w:pPr>
      <w:r>
        <w:rPr>
          <w:szCs w:val="22"/>
        </w:rPr>
        <w:t xml:space="preserve">Should the Customer wish to proceed with the proposed change, it will so notify the Developer in writing not later than 14 days after receipt of the written quotation or estimate.  The parts of this agreement affected by the change will then be deemed to be modified accordingly.  The Developer will as soon as reasonably practicable provide the Customer with a new Site Specification and revised timetable for the Project.</w:t>
      </w:r>
    </w:p>
    <w:p w14:paraId="5F167685" w14:textId="6C2D62B5">
      <w:pPr>
        <w:pStyle w:val="1089"/>
        <w:pBdr/>
        <w:spacing/>
        <w:ind/>
        <w:rPr>
          <w:szCs w:val="22"/>
        </w:rPr>
      </w:pPr>
      <w:r>
        <w:rPr>
          <w:szCs w:val="22"/>
        </w:rPr>
        <w:t xml:space="preserve">No change will take effect unless and until it is formally agreed in accordance with this Clause 3.</w:t>
      </w:r>
    </w:p>
    <w:p w14:paraId="7BCDA494" w14:textId="28A8FFEC">
      <w:pPr>
        <w:pStyle w:val="1046"/>
        <w:pBdr/>
        <w:spacing/>
        <w:ind/>
        <w:rPr>
          <w:szCs w:val="22"/>
        </w:rPr>
      </w:pPr>
      <w:r>
        <w:rPr>
          <w:szCs w:val="22"/>
        </w:rPr>
        <w:fldChar w:fldCharType="begin"/>
        <w:instrText xml:space="preserve">TC "4. Development and acceptance of site" \l 1</w:instrText>
        <w:fldChar w:fldCharType="end"/>
      </w:r>
      <w:bookmarkStart w:id="56" w:name="a941436"/>
      <w:r/>
      <w:bookmarkStart w:id="57" w:name="_Toc106276015"/>
      <w:r>
        <w:rPr>
          <w:szCs w:val="22"/>
        </w:rPr>
        <w:t xml:space="preserve">Development and Acceptance of </w:t>
      </w:r>
      <w:bookmarkEnd w:id="56"/>
      <w:r>
        <w:rPr>
          <w:szCs w:val="22"/>
        </w:rPr>
        <w:t xml:space="preserve">the Changes</w:t>
      </w:r>
      <w:bookmarkEnd w:id="57"/>
      <w:r>
        <w:rPr>
          <w:szCs w:val="22"/>
        </w:rPr>
      </w:r>
    </w:p>
    <w:p w14:paraId="1B2FC0EC" w14:textId="71C49615">
      <w:pPr>
        <w:pStyle w:val="1089"/>
        <w:pBdr/>
        <w:spacing/>
        <w:ind/>
        <w:rPr>
          <w:szCs w:val="22"/>
        </w:rPr>
      </w:pPr>
      <w:r/>
      <w:bookmarkStart w:id="58" w:name="a909392"/>
      <w:r>
        <w:rPr>
          <w:szCs w:val="22"/>
        </w:rPr>
        <w:t xml:space="preserve">Once the Developer has completed the Changes, the Customer may (if required) run the Acceptance Tests. Any further maintenance and/or development works shall be agreed between th</w:t>
      </w:r>
      <w:bookmarkEnd w:id="58"/>
      <w:r>
        <w:rPr>
          <w:szCs w:val="22"/>
        </w:rPr>
        <w:t xml:space="preserve">e parties. </w:t>
      </w:r>
    </w:p>
    <w:p w14:paraId="78B905FE" w14:textId="6076D819">
      <w:pPr>
        <w:pStyle w:val="1089"/>
        <w:pBdr/>
        <w:spacing/>
        <w:ind/>
        <w:rPr>
          <w:szCs w:val="22"/>
        </w:rPr>
      </w:pPr>
      <w:r/>
      <w:bookmarkStart w:id="59" w:name="a582317"/>
      <w:r>
        <w:rPr>
          <w:szCs w:val="22"/>
        </w:rPr>
        <w:t xml:space="preserve">If any failure to pass the Acceptance Tests results from a defect which is caused by an act or omission of the Customer, or by one of the Customer's sub-contractors or agents for whom the Developer has no responsibility (</w:t>
      </w:r>
      <w:r>
        <w:rPr>
          <w:rStyle w:val="1186"/>
          <w:rFonts w:asciiTheme="minorHAnsi" w:hAnsiTheme="minorHAnsi"/>
          <w:szCs w:val="22"/>
        </w:rPr>
        <w:t xml:space="preserve">Non-Developer Defect</w:t>
      </w:r>
      <w:r>
        <w:rPr>
          <w:szCs w:val="22"/>
        </w:rPr>
        <w:t xml:space="preserve">), the Changes shall be deemed to have passed the Acceptance Tests notwithstanding such Non-Developer Defect. The Developer shall provide assistance reasonably requested by the Customer in remedying any Non-Developer Defect by supplying additional services or products. The Customer shall pay the Developer in full for all such additional services and products at the Developer's then current fees and prices.</w:t>
      </w:r>
      <w:bookmarkEnd w:id="59"/>
      <w:r>
        <w:rPr>
          <w:szCs w:val="22"/>
        </w:rPr>
      </w:r>
    </w:p>
    <w:p w14:paraId="6D27CC7E" w14:textId="09AE9DFD">
      <w:pPr>
        <w:pStyle w:val="1089"/>
        <w:pBdr/>
        <w:spacing/>
        <w:ind/>
        <w:rPr>
          <w:szCs w:val="22"/>
        </w:rPr>
      </w:pPr>
      <w:r/>
      <w:bookmarkStart w:id="60" w:name="a721174"/>
      <w:r>
        <w:rPr>
          <w:szCs w:val="22"/>
        </w:rPr>
        <w:t xml:space="preserve">Acceptance of the Changes shall be deemed to have taken place upon the occurrence of any of the following events:</w:t>
      </w:r>
      <w:bookmarkEnd w:id="60"/>
      <w:r>
        <w:rPr>
          <w:szCs w:val="22"/>
        </w:rPr>
      </w:r>
    </w:p>
    <w:p w14:paraId="2ADCFB48" w14:textId="01B466B1">
      <w:pPr>
        <w:pStyle w:val="1091"/>
        <w:pBdr/>
        <w:spacing/>
        <w:ind/>
        <w:rPr>
          <w:szCs w:val="22"/>
        </w:rPr>
      </w:pPr>
      <w:r/>
      <w:bookmarkStart w:id="61" w:name="a304602"/>
      <w:r>
        <w:rPr>
          <w:szCs w:val="22"/>
        </w:rPr>
        <w:t xml:space="preserve">the Changes going live or into production; or</w:t>
      </w:r>
      <w:bookmarkEnd w:id="61"/>
      <w:r>
        <w:rPr>
          <w:szCs w:val="22"/>
        </w:rPr>
      </w:r>
    </w:p>
    <w:p w14:paraId="027B83F9" w14:textId="47EECF76">
      <w:pPr>
        <w:pStyle w:val="1091"/>
        <w:pBdr/>
        <w:spacing/>
        <w:ind/>
        <w:rPr>
          <w:szCs w:val="22"/>
        </w:rPr>
      </w:pPr>
      <w:r/>
      <w:bookmarkStart w:id="62" w:name="a554318"/>
      <w:r>
        <w:rPr>
          <w:szCs w:val="22"/>
        </w:rPr>
        <w:t xml:space="preserve">the Customer unreasonably delays the start of the relevant Acceptance Tests or any retests for a period of seven working days from the date on which the Developer confirms the Changes are ready to commence.</w:t>
      </w:r>
      <w:bookmarkEnd w:id="62"/>
      <w:r>
        <w:rPr>
          <w:szCs w:val="22"/>
        </w:rPr>
      </w:r>
    </w:p>
    <w:p w14:paraId="5782A439" w14:textId="77777777">
      <w:pPr>
        <w:pStyle w:val="1046"/>
        <w:pBdr/>
        <w:spacing/>
        <w:ind/>
        <w:rPr>
          <w:szCs w:val="22"/>
        </w:rPr>
      </w:pPr>
      <w:r>
        <w:rPr>
          <w:szCs w:val="22"/>
        </w:rPr>
        <w:fldChar w:fldCharType="begin"/>
        <w:instrText xml:space="preserve">TC "5. Third party products" \l 1</w:instrText>
        <w:fldChar w:fldCharType="end"/>
      </w:r>
      <w:bookmarkStart w:id="63" w:name="a539591"/>
      <w:r/>
      <w:bookmarkStart w:id="64" w:name="_Toc106276016"/>
      <w:r>
        <w:rPr>
          <w:szCs w:val="22"/>
        </w:rPr>
        <w:t xml:space="preserve">Third party products</w:t>
      </w:r>
      <w:bookmarkEnd w:id="63"/>
      <w:r/>
      <w:bookmarkEnd w:id="64"/>
      <w:r>
        <w:rPr>
          <w:szCs w:val="22"/>
        </w:rPr>
      </w:r>
    </w:p>
    <w:p w14:paraId="49E30476" w14:textId="5A4E50F2">
      <w:pPr>
        <w:pStyle w:val="1221"/>
        <w:pBdr/>
        <w:spacing/>
        <w:ind/>
        <w:rPr>
          <w:szCs w:val="22"/>
        </w:rPr>
      </w:pPr>
      <w:r/>
      <w:bookmarkStart w:id="65" w:name="a849350"/>
      <w:r>
        <w:rPr>
          <w:szCs w:val="22"/>
        </w:rPr>
        <w:t xml:space="preserve">The Third Party Products shall be supplied in accordance with the relevant licensor's standard terms. The one-off licence fee for such Third Party Products is included in the Charges payable under </w:t>
        <w:fldChar w:fldCharType="begin"/>
        <w:instrText xml:space="preserve">PAGEREF a443459\# "'clause '"  \h</w:instrText>
        <w:fldChar w:fldCharType="separate"/>
        <w:t xml:space="preserve">clause </w:t>
        <w:fldChar w:fldCharType="end"/>
        <w:fldChar w:fldCharType="begin"/>
        <w:instrText xml:space="preserve">REF a443459 \h \w</w:instrText>
        <w:instrText xml:space="preserve"> \* MERGEFORMAT </w:instrText>
        <w:fldChar w:fldCharType="separate"/>
        <w:t xml:space="preserve">7.1</w:t>
        <w:fldChar w:fldCharType="end"/>
        <w:t xml:space="preserve">.</w:t>
      </w:r>
      <w:bookmarkEnd w:id="65"/>
      <w:r>
        <w:rPr>
          <w:szCs w:val="22"/>
        </w:rPr>
      </w:r>
    </w:p>
    <w:p w14:paraId="252F06F9" w14:textId="77777777">
      <w:pPr>
        <w:pStyle w:val="1046"/>
        <w:pBdr/>
        <w:spacing/>
        <w:ind/>
        <w:rPr>
          <w:szCs w:val="22"/>
        </w:rPr>
      </w:pPr>
      <w:r>
        <w:rPr>
          <w:szCs w:val="22"/>
        </w:rPr>
        <w:fldChar w:fldCharType="begin"/>
        <w:instrText xml:space="preserve">TC "6. Project management" \l 1</w:instrText>
        <w:fldChar w:fldCharType="end"/>
      </w:r>
      <w:bookmarkStart w:id="66" w:name="a920074"/>
      <w:r/>
      <w:bookmarkStart w:id="67" w:name="_Toc106276017"/>
      <w:r>
        <w:rPr>
          <w:szCs w:val="22"/>
        </w:rPr>
        <w:t xml:space="preserve">Project management</w:t>
      </w:r>
      <w:bookmarkEnd w:id="66"/>
      <w:r/>
      <w:bookmarkEnd w:id="67"/>
      <w:r>
        <w:rPr>
          <w:szCs w:val="22"/>
        </w:rPr>
      </w:r>
    </w:p>
    <w:p w14:paraId="182B4BB6" w14:textId="77777777">
      <w:pPr>
        <w:pStyle w:val="1089"/>
        <w:pBdr/>
        <w:spacing/>
        <w:ind/>
        <w:rPr>
          <w:szCs w:val="22"/>
        </w:rPr>
      </w:pPr>
      <w:r/>
      <w:bookmarkStart w:id="68" w:name="a973480"/>
      <w:r>
        <w:rPr>
          <w:szCs w:val="22"/>
        </w:rPr>
        <w:t xml:space="preserve">Each party shall appoint a project manager who shall:</w:t>
      </w:r>
      <w:bookmarkEnd w:id="68"/>
      <w:r>
        <w:rPr>
          <w:szCs w:val="22"/>
        </w:rPr>
      </w:r>
    </w:p>
    <w:p w14:paraId="50044302" w14:textId="77777777">
      <w:pPr>
        <w:pStyle w:val="1091"/>
        <w:pBdr/>
        <w:spacing/>
        <w:ind/>
        <w:rPr>
          <w:szCs w:val="22"/>
        </w:rPr>
      </w:pPr>
      <w:r/>
      <w:bookmarkStart w:id="69" w:name="a813260"/>
      <w:r>
        <w:rPr>
          <w:szCs w:val="22"/>
        </w:rPr>
        <w:t xml:space="preserve">provide professional and prompt liaison with the other party; and</w:t>
      </w:r>
      <w:bookmarkEnd w:id="69"/>
      <w:r>
        <w:rPr>
          <w:szCs w:val="22"/>
        </w:rPr>
      </w:r>
    </w:p>
    <w:p w14:paraId="4E8B7EEA" w14:textId="77777777">
      <w:pPr>
        <w:pStyle w:val="1091"/>
        <w:pBdr/>
        <w:spacing/>
        <w:ind/>
        <w:rPr>
          <w:szCs w:val="22"/>
        </w:rPr>
      </w:pPr>
      <w:r/>
      <w:bookmarkStart w:id="70" w:name="a293921"/>
      <w:r>
        <w:rPr>
          <w:szCs w:val="22"/>
        </w:rPr>
        <w:t xml:space="preserve">have the necessary expertise and authority to commit the relevant party.</w:t>
      </w:r>
      <w:bookmarkEnd w:id="70"/>
      <w:r>
        <w:rPr>
          <w:szCs w:val="22"/>
        </w:rPr>
      </w:r>
    </w:p>
    <w:p w14:paraId="6E9A6D36" w14:textId="03481499">
      <w:pPr>
        <w:pStyle w:val="1046"/>
        <w:pBdr/>
        <w:spacing/>
        <w:ind/>
        <w:rPr>
          <w:szCs w:val="22"/>
        </w:rPr>
      </w:pPr>
      <w:r>
        <w:rPr>
          <w:szCs w:val="22"/>
        </w:rPr>
        <w:fldChar w:fldCharType="begin"/>
        <w:instrText xml:space="preserve">TC "7. Charges and payment" \l 1</w:instrText>
        <w:fldChar w:fldCharType="end"/>
      </w:r>
      <w:bookmarkStart w:id="71" w:name="a586362"/>
      <w:r/>
      <w:bookmarkStart w:id="72" w:name="_Toc106276018"/>
      <w:r>
        <w:rPr>
          <w:szCs w:val="22"/>
        </w:rPr>
        <w:t xml:space="preserve">Charges and payment</w:t>
      </w:r>
      <w:bookmarkEnd w:id="71"/>
      <w:r/>
      <w:bookmarkEnd w:id="72"/>
      <w:r>
        <w:rPr>
          <w:szCs w:val="22"/>
        </w:rPr>
      </w:r>
    </w:p>
    <w:p w14:paraId="69AA4DB7" w14:textId="2066EF7F">
      <w:pPr>
        <w:pStyle w:val="1089"/>
        <w:pBdr/>
        <w:spacing/>
        <w:ind/>
        <w:rPr/>
      </w:pPr>
      <w:r/>
      <w:bookmarkStart w:id="73" w:name="a443459"/>
      <w:r>
        <w:t xml:space="preserve">In consideration of developing the Website, the Customer shall pay to the Developer such amounts as are due pursuant to invoices delivered to the Customer by the Developer on a monthly basis throughout the duration of this agreement.</w:t>
      </w:r>
    </w:p>
    <w:p w14:paraId="64F63222" w14:textId="77777777">
      <w:pPr>
        <w:pStyle w:val="1089"/>
        <w:pBdr/>
        <w:spacing/>
        <w:ind/>
        <w:rPr>
          <w:szCs w:val="22"/>
        </w:rPr>
      </w:pPr>
      <w:r>
        <w:rPr>
          <w:szCs w:val="22"/>
        </w:rPr>
        <w:t xml:space="preserve">The Developer shall provide the Customer with a annual invoice</w:t>
      </w:r>
      <w:commentRangeStart w:id="6"/>
      <w:r>
        <w:t xml:space="preserve"> for the support services </w:t>
      </w:r>
      <w:commentRangeEnd w:id="6"/>
      <w:r>
        <w:commentReference w:id="6"/>
      </w:r>
      <w:r>
        <w:rPr>
          <w:szCs w:val="22"/>
        </w:rPr>
        <w:t xml:space="preserve">which shall be paid in full within 30 days from the date thereof.</w:t>
      </w:r>
    </w:p>
    <w:p w14:paraId="1D429E30" w14:textId="269D36CE">
      <w:pPr>
        <w:pStyle w:val="1089"/>
        <w:pBdr/>
        <w:spacing/>
        <w:ind/>
        <w:rPr>
          <w:szCs w:val="22"/>
        </w:rPr>
      </w:pPr>
      <w:r>
        <w:rPr>
          <w:szCs w:val="22"/>
        </w:rPr>
        <w:t xml:space="preserve">The Charges for the Project are calculated by reference to the time spent working on the Project based off the rates set out in Schedule 2.</w:t>
      </w:r>
    </w:p>
    <w:p w14:paraId="2A49A9C1" w14:textId="76D94F52">
      <w:pPr>
        <w:pStyle w:val="1089"/>
        <w:pBdr/>
        <w:spacing/>
        <w:ind/>
        <w:rPr/>
      </w:pPr>
      <w:r>
        <w:rPr>
          <w:szCs w:val="22"/>
        </w:rPr>
        <w:t xml:space="preserve">Nothing contained in this agreement or specifically in the Service Level shall be construed in such a manner as to require the Developer to provide a specified number of hours in respect of the Project.</w:t>
      </w:r>
      <w:r/>
    </w:p>
    <w:p w14:paraId="2F282318" w14:textId="49352584">
      <w:pPr>
        <w:pStyle w:val="1089"/>
        <w:pBdr/>
        <w:spacing/>
        <w:ind/>
        <w:rPr>
          <w:szCs w:val="22"/>
        </w:rPr>
      </w:pPr>
      <w:r>
        <w:rPr>
          <w:szCs w:val="22"/>
        </w:rPr>
        <w:t xml:space="preserve">Notwithstanding any other provision in this agreement the Developer may, in its absolute discretion, and in the absence of agreement between the Developer and the Customer, cease to provide any further services in respect of the Project upon reaching the number of hours as set out in the Service Level.</w:t>
      </w:r>
    </w:p>
    <w:p w14:paraId="72A83CF9" w14:textId="640A723E">
      <w:pPr>
        <w:pStyle w:val="1089"/>
        <w:pBdr/>
        <w:spacing/>
        <w:ind/>
        <w:rPr>
          <w:szCs w:val="22"/>
        </w:rPr>
      </w:pPr>
      <w:r>
        <w:rPr>
          <w:szCs w:val="22"/>
        </w:rPr>
        <w:t xml:space="preserve">The fees above are exclusive of VAT or any similar sales tax, for which the Customer shall be additionally liable, if payable.  The Developer shall be responsible for all of its other taxation affairs and for making payment of all or any taxation due in respect of the monies payable pursuant to Clause 7.2.</w:t>
      </w:r>
    </w:p>
    <w:p w14:paraId="3B381D09" w14:textId="54888EE6">
      <w:pPr>
        <w:pStyle w:val="1089"/>
        <w:pBdr/>
        <w:spacing/>
        <w:ind/>
        <w:rPr>
          <w:szCs w:val="22"/>
        </w:rPr>
      </w:pPr>
      <w:r>
        <w:rPr>
          <w:szCs w:val="22"/>
        </w:rPr>
        <w:t xml:space="preserve">The Customer shall reimburse the Developer for all reasonable and necessary expenses incurred on behalf of the Customer by the Developer in connection with the performance of this agreement.</w:t>
      </w:r>
    </w:p>
    <w:p w14:paraId="1882E405" w14:textId="58EE9345">
      <w:pPr>
        <w:pStyle w:val="1089"/>
        <w:pBdr/>
        <w:spacing/>
        <w:ind/>
        <w:rPr>
          <w:szCs w:val="22"/>
        </w:rPr>
      </w:pPr>
      <w:r/>
      <w:bookmarkStart w:id="75" w:name="a789307"/>
      <w:r/>
      <w:bookmarkEnd w:id="73"/>
      <w:r>
        <w:rPr>
          <w:szCs w:val="22"/>
        </w:rPr>
        <w:t xml:space="preserve">If the Customer fails to make any payment due to the Developer under this agreement by the due date for payment, then, without limiting the Developer's remedies under </w:t>
        <w:fldChar w:fldCharType="begin"/>
        <w:instrText xml:space="preserve">PAGEREF a829758\# "'clause '"  \h</w:instrText>
        <w:fldChar w:fldCharType="separate"/>
        <w:t xml:space="preserve">clause </w:t>
        <w:fldChar w:fldCharType="end"/>
        <w:fldChar w:fldCharType="begin"/>
        <w:instrText xml:space="preserve">REF a829758 \h \w</w:instrText>
        <w:instrText xml:space="preserve"> \* MERGEFORMAT </w:instrText>
        <w:fldChar w:fldCharType="separate"/>
        <w:t xml:space="preserve">13</w:t>
        <w:fldChar w:fldCharType="end"/>
        <w:t xml:space="preserve">, the Customer shall pay interest on the overdue sum from the due date until payment of the overdue sum, whether before or after judgment. Interest under this clause will accrue each day at 4% a year above the European Central Bank’s base rate from time to time, but at 4% a year for any period when that base rate is below 0%. </w:t>
      </w:r>
      <w:bookmarkEnd w:id="75"/>
      <w:r>
        <w:rPr>
          <w:szCs w:val="22"/>
        </w:rPr>
      </w:r>
    </w:p>
    <w:p w14:paraId="70726410" w14:textId="77777777">
      <w:pPr>
        <w:pStyle w:val="1046"/>
        <w:pBdr/>
        <w:spacing/>
        <w:ind/>
        <w:rPr>
          <w:szCs w:val="22"/>
        </w:rPr>
      </w:pPr>
      <w:r>
        <w:rPr>
          <w:szCs w:val="22"/>
        </w:rPr>
        <w:fldChar w:fldCharType="begin"/>
        <w:instrText xml:space="preserve">TC "8. Warranties" \l 1</w:instrText>
        <w:fldChar w:fldCharType="end"/>
      </w:r>
      <w:bookmarkStart w:id="76" w:name="a834623"/>
      <w:r/>
      <w:bookmarkStart w:id="77" w:name="_Toc106276019"/>
      <w:r>
        <w:rPr>
          <w:szCs w:val="22"/>
        </w:rPr>
        <w:t xml:space="preserve">Warranties</w:t>
      </w:r>
      <w:bookmarkEnd w:id="76"/>
      <w:r/>
      <w:bookmarkEnd w:id="77"/>
      <w:r>
        <w:rPr>
          <w:szCs w:val="22"/>
        </w:rPr>
      </w:r>
    </w:p>
    <w:p w14:paraId="25B7E852" w14:textId="77777777">
      <w:pPr>
        <w:pStyle w:val="1089"/>
        <w:pBdr/>
        <w:spacing/>
        <w:ind/>
        <w:rPr>
          <w:szCs w:val="22"/>
        </w:rPr>
      </w:pPr>
      <w:r/>
      <w:bookmarkStart w:id="78" w:name="a229833"/>
      <w:r>
        <w:rPr>
          <w:szCs w:val="22"/>
        </w:rPr>
        <w:t xml:space="preserve">Each of the parties warrants to the other that it has full power and authority to enter into and perform this agreement.</w:t>
      </w:r>
    </w:p>
    <w:p w14:paraId="6F75A841" w14:textId="1D953387">
      <w:pPr>
        <w:pStyle w:val="1089"/>
        <w:pBdr/>
        <w:spacing/>
        <w:ind/>
        <w:rPr>
          <w:szCs w:val="22"/>
        </w:rPr>
      </w:pPr>
      <w:r>
        <w:rPr>
          <w:szCs w:val="22"/>
        </w:rPr>
        <w:t xml:space="preserve">The Customer warrants that there are no agreements between it and a third party which conflict with the terms of this Agreement.</w:t>
      </w:r>
      <w:bookmarkEnd w:id="78"/>
      <w:r>
        <w:rPr>
          <w:szCs w:val="22"/>
        </w:rPr>
      </w:r>
    </w:p>
    <w:p w14:paraId="0FC4BBEE" w14:textId="38669DF0">
      <w:pPr>
        <w:pStyle w:val="1089"/>
        <w:pBdr/>
        <w:spacing/>
        <w:ind/>
        <w:rPr>
          <w:szCs w:val="22"/>
        </w:rPr>
      </w:pPr>
      <w:r/>
      <w:bookmarkStart w:id="79" w:name="a778625"/>
      <w:r>
        <w:rPr>
          <w:szCs w:val="22"/>
        </w:rPr>
        <w:t xml:space="preserve">The Developer shall perform the Services with reasonable care and skill.</w:t>
      </w:r>
      <w:bookmarkEnd w:id="79"/>
      <w:r>
        <w:rPr>
          <w:szCs w:val="22"/>
        </w:rPr>
      </w:r>
    </w:p>
    <w:p w14:paraId="4D027146" w14:textId="77777777">
      <w:pPr>
        <w:pStyle w:val="1089"/>
        <w:pBdr/>
        <w:spacing/>
        <w:ind/>
        <w:rPr>
          <w:szCs w:val="22"/>
        </w:rPr>
      </w:pPr>
      <w:r/>
      <w:bookmarkStart w:id="80" w:name="a332601"/>
      <w:r>
        <w:rPr>
          <w:szCs w:val="22"/>
        </w:rPr>
        <w:t xml:space="preserve">This agreement sets out the full extent of the Developer's obligations and liabilities in respect of the supply of the Services. All conditions, warranties or other terms concerning the Services which might otherwise be implied into this agreement or any collateral contract (whether by statute or otherwise) are hereby expressly excluded.</w:t>
      </w:r>
      <w:bookmarkEnd w:id="80"/>
      <w:r>
        <w:rPr>
          <w:szCs w:val="22"/>
        </w:rPr>
      </w:r>
    </w:p>
    <w:p w14:paraId="71C06FCE" w14:textId="77777777">
      <w:pPr>
        <w:pStyle w:val="1089"/>
        <w:pBdr/>
        <w:spacing/>
        <w:ind/>
        <w:rPr>
          <w:szCs w:val="22"/>
        </w:rPr>
      </w:pPr>
      <w:r>
        <w:rPr>
          <w:szCs w:val="22"/>
        </w:rPr>
        <w:t xml:space="preserve">The Customer acknowledges and agrees that it has been referred to the GPL governing Drupal and enters into this agreement specifically subject to the terms of the GPL.</w:t>
      </w:r>
    </w:p>
    <w:p w14:paraId="7E8E28D2" w14:textId="09951B55">
      <w:pPr>
        <w:pStyle w:val="1089"/>
        <w:pBdr/>
        <w:spacing/>
        <w:ind/>
        <w:rPr>
          <w:szCs w:val="22"/>
        </w:rPr>
      </w:pPr>
      <w:r/>
      <w:bookmarkStart w:id="81" w:name="a672264"/>
      <w:r>
        <w:rPr>
          <w:szCs w:val="22"/>
        </w:rPr>
        <w:t xml:space="preserve">The Developer:</w:t>
        <w:fldChar w:fldCharType="begin"/>
        <w:instrText xml:space="preserve">MACROBUTTON optional</w:instrText>
        <w:fldChar w:fldCharType="end"/>
      </w:r>
      <w:bookmarkEnd w:id="81"/>
      <w:r>
        <w:rPr>
          <w:szCs w:val="22"/>
        </w:rPr>
      </w:r>
    </w:p>
    <w:p w14:paraId="2EC0EB37" w14:textId="77777777">
      <w:pPr>
        <w:pStyle w:val="1091"/>
        <w:pBdr/>
        <w:spacing/>
        <w:ind/>
        <w:rPr>
          <w:szCs w:val="22"/>
        </w:rPr>
      </w:pPr>
      <w:r/>
      <w:bookmarkStart w:id="82" w:name="a432639"/>
      <w:r>
        <w:rPr>
          <w:szCs w:val="22"/>
        </w:rPr>
        <w:t xml:space="preserve">does not warrant that:</w:t>
      </w:r>
      <w:bookmarkEnd w:id="82"/>
      <w:r>
        <w:rPr>
          <w:szCs w:val="22"/>
        </w:rPr>
      </w:r>
    </w:p>
    <w:p w14:paraId="3A0C5840" w14:textId="77777777">
      <w:pPr>
        <w:pStyle w:val="1093"/>
        <w:pBdr/>
        <w:spacing/>
        <w:ind/>
        <w:rPr>
          <w:szCs w:val="22"/>
        </w:rPr>
      </w:pPr>
      <w:r/>
      <w:bookmarkStart w:id="83" w:name="a654513"/>
      <w:r>
        <w:rPr>
          <w:szCs w:val="22"/>
        </w:rPr>
        <w:t xml:space="preserve">the Customer's use of the Services or the Site will be uninterrupted or error-free; or</w:t>
      </w:r>
      <w:bookmarkEnd w:id="83"/>
      <w:r>
        <w:rPr>
          <w:szCs w:val="22"/>
        </w:rPr>
      </w:r>
    </w:p>
    <w:p w14:paraId="06A25CBB" w14:textId="77777777">
      <w:pPr>
        <w:pStyle w:val="1093"/>
        <w:pBdr/>
        <w:spacing/>
        <w:ind/>
        <w:rPr>
          <w:szCs w:val="22"/>
        </w:rPr>
      </w:pPr>
      <w:r/>
      <w:bookmarkStart w:id="84" w:name="a822128"/>
      <w:r>
        <w:rPr>
          <w:szCs w:val="22"/>
        </w:rPr>
        <w:t xml:space="preserve">the Services or the Site will be free from Vulnerabilities</w:t>
      </w:r>
      <w:bookmarkEnd w:id="84"/>
      <w:r>
        <w:rPr>
          <w:szCs w:val="22"/>
        </w:rPr>
      </w:r>
    </w:p>
    <w:p w14:paraId="1DCC1E5E" w14:textId="2A3DD2BC">
      <w:pPr>
        <w:pStyle w:val="1093"/>
        <w:pBdr/>
        <w:spacing/>
        <w:ind/>
        <w:rPr>
          <w:szCs w:val="22"/>
        </w:rPr>
      </w:pPr>
      <w:r/>
      <w:bookmarkStart w:id="85" w:name="a499782"/>
      <w:r>
        <w:rPr>
          <w:szCs w:val="22"/>
        </w:rPr>
        <w:t xml:space="preserve">the Services or the Site will comply with any Heightened Cybersecurity Requirements.</w:t>
        <w:fldChar w:fldCharType="begin"/>
        <w:fldChar w:fldCharType="end"/>
      </w:r>
      <w:bookmarkEnd w:id="85"/>
      <w:r>
        <w:rPr>
          <w:szCs w:val="22"/>
        </w:rPr>
      </w:r>
    </w:p>
    <w:p w14:paraId="3AB5CAF9" w14:textId="77777777">
      <w:pPr>
        <w:pStyle w:val="1046"/>
        <w:pBdr/>
        <w:spacing/>
        <w:ind/>
        <w:rPr>
          <w:szCs w:val="22"/>
        </w:rPr>
      </w:pPr>
      <w:r>
        <w:rPr>
          <w:szCs w:val="22"/>
        </w:rPr>
        <w:fldChar w:fldCharType="begin"/>
        <w:instrText xml:space="preserve">TC "9. Limitation of remedies and liability" \l 1</w:instrText>
        <w:fldChar w:fldCharType="end"/>
      </w:r>
      <w:bookmarkStart w:id="86" w:name="a735900"/>
      <w:r/>
      <w:bookmarkStart w:id="87" w:name="_Toc106276020"/>
      <w:r>
        <w:rPr>
          <w:szCs w:val="22"/>
        </w:rPr>
        <w:t xml:space="preserve">Limitation of remedies and liability</w:t>
      </w:r>
      <w:bookmarkEnd w:id="86"/>
      <w:r/>
      <w:bookmarkEnd w:id="87"/>
      <w:r>
        <w:rPr>
          <w:szCs w:val="22"/>
        </w:rPr>
      </w:r>
    </w:p>
    <w:p w14:paraId="6B388F97" w14:textId="77777777">
      <w:pPr>
        <w:pStyle w:val="1089"/>
        <w:pBdr/>
        <w:spacing/>
        <w:ind/>
        <w:rPr>
          <w:szCs w:val="22"/>
        </w:rPr>
      </w:pPr>
      <w:r/>
      <w:bookmarkStart w:id="88" w:name="a994843"/>
      <w:r>
        <w:rPr>
          <w:szCs w:val="22"/>
        </w:rPr>
        <w:t xml:space="preserve">Nothing in this agreement shall operate to exclude or limit the Developer's liability for:</w:t>
      </w:r>
      <w:bookmarkEnd w:id="88"/>
      <w:r>
        <w:rPr>
          <w:szCs w:val="22"/>
        </w:rPr>
      </w:r>
    </w:p>
    <w:p w14:paraId="73E98B97" w14:textId="77777777">
      <w:pPr>
        <w:pStyle w:val="1091"/>
        <w:pBdr/>
        <w:spacing/>
        <w:ind/>
        <w:rPr>
          <w:szCs w:val="22"/>
        </w:rPr>
      </w:pPr>
      <w:r/>
      <w:bookmarkStart w:id="89" w:name="a749173"/>
      <w:r>
        <w:rPr>
          <w:szCs w:val="22"/>
        </w:rPr>
        <w:t xml:space="preserve">death or personal injury caused by its negligence; or</w:t>
      </w:r>
      <w:bookmarkEnd w:id="89"/>
      <w:r>
        <w:rPr>
          <w:szCs w:val="22"/>
        </w:rPr>
      </w:r>
    </w:p>
    <w:p w14:paraId="619D03E2" w14:textId="77777777">
      <w:pPr>
        <w:pStyle w:val="1091"/>
        <w:pBdr/>
        <w:spacing/>
        <w:ind/>
        <w:rPr>
          <w:szCs w:val="22"/>
        </w:rPr>
      </w:pPr>
      <w:r/>
      <w:bookmarkStart w:id="90" w:name="a1009569"/>
      <w:r>
        <w:rPr>
          <w:szCs w:val="22"/>
        </w:rPr>
        <w:t xml:space="preserve">fraud; or</w:t>
      </w:r>
      <w:bookmarkEnd w:id="90"/>
      <w:r>
        <w:rPr>
          <w:szCs w:val="22"/>
        </w:rPr>
      </w:r>
    </w:p>
    <w:p w14:paraId="5FAAE1D2" w14:textId="77777777">
      <w:pPr>
        <w:pStyle w:val="1091"/>
        <w:pBdr/>
        <w:spacing/>
        <w:ind/>
        <w:rPr>
          <w:szCs w:val="22"/>
        </w:rPr>
      </w:pPr>
      <w:r/>
      <w:bookmarkStart w:id="91" w:name="a439414"/>
      <w:r>
        <w:rPr>
          <w:szCs w:val="22"/>
        </w:rPr>
        <w:t xml:space="preserve">any other liability which cannot be excluded or limited under applicable law.</w:t>
      </w:r>
      <w:bookmarkEnd w:id="91"/>
      <w:r>
        <w:rPr>
          <w:szCs w:val="22"/>
        </w:rPr>
      </w:r>
    </w:p>
    <w:p w14:paraId="39A624A2" w14:textId="77777777">
      <w:pPr>
        <w:pStyle w:val="1089"/>
        <w:pBdr/>
        <w:spacing/>
        <w:ind/>
        <w:rPr>
          <w:szCs w:val="22"/>
        </w:rPr>
      </w:pPr>
      <w:r/>
      <w:bookmarkStart w:id="92" w:name="a415461"/>
      <w:r>
        <w:rPr>
          <w:szCs w:val="22"/>
        </w:rPr>
        <w:t xml:space="preserve">The Developer shall not be liable to the Customer for any damage to software, damage to or loss of data, loss of profit, anticipated profits, revenues, anticipated savings, goodwill or business opportunity, or for any indirect or consequential loss or damage, loss of reputation or loss of, damage to or corruption of data. </w:t>
      </w:r>
      <w:bookmarkEnd w:id="92"/>
      <w:r>
        <w:rPr>
          <w:szCs w:val="22"/>
        </w:rPr>
      </w:r>
    </w:p>
    <w:p w14:paraId="35D8318B" w14:textId="34AAA65E">
      <w:pPr>
        <w:pStyle w:val="1089"/>
        <w:pBdr/>
        <w:spacing/>
        <w:ind/>
        <w:rPr>
          <w:szCs w:val="22"/>
        </w:rPr>
      </w:pPr>
      <w:r>
        <w:rPr>
          <w:szCs w:val="22"/>
        </w:rPr>
        <w:t xml:space="preserve">The Developer shall not be liable to the Customer by reason of any representation or warranty, condition or other term or any duty of common law, or under the express terms of this Agreement, for any consequential, special, incidental or punitive loss or damage (whether for loss of current or future profits, loss of enterprise value or otherwise) and whether occasioned by the negligence of the respective parties, their employees or agents or otherwise, even if advised of the possibility of such damages, except that this limitation shall not apply to damages directly or indirectly arising from personal injury or death caused by a party’s negligence.</w:t>
      </w:r>
    </w:p>
    <w:p w14:paraId="1D2345D9" w14:textId="77777777">
      <w:pPr>
        <w:pStyle w:val="1089"/>
        <w:pBdr/>
        <w:spacing/>
        <w:ind/>
        <w:rPr>
          <w:szCs w:val="22"/>
        </w:rPr>
      </w:pPr>
      <w:r/>
      <w:bookmarkStart w:id="93" w:name="a956163"/>
      <w:r>
        <w:rPr>
          <w:szCs w:val="22"/>
        </w:rPr>
        <w:t xml:space="preserve">Where the Developer is indemnified by the Customer under this Agreement, such indemnification shall also apply for the benefit of the Developer’s affiliates and the employees, officers, directors and agents of any of them, acting in such capacity.</w:t>
      </w:r>
    </w:p>
    <w:p w14:paraId="68FE3970" w14:textId="1CF33068">
      <w:pPr>
        <w:pStyle w:val="1089"/>
        <w:pBdr/>
        <w:spacing/>
        <w:ind/>
        <w:rPr>
          <w:szCs w:val="22"/>
        </w:rPr>
      </w:pPr>
      <w:r>
        <w:rPr>
          <w:szCs w:val="22"/>
        </w:rPr>
        <w:t xml:space="preserve">Subject to </w:t>
        <w:fldChar w:fldCharType="begin"/>
        <w:instrText xml:space="preserve">PAGEREF a994843\# "'clause '"  \h</w:instrText>
        <w:fldChar w:fldCharType="separate"/>
        <w:t xml:space="preserve">clause </w:t>
        <w:fldChar w:fldCharType="end"/>
        <w:fldChar w:fldCharType="begin"/>
        <w:instrText xml:space="preserve">REF a994843 \h \w</w:instrText>
        <w:instrText xml:space="preserve"> \* MERGEFORMAT </w:instrText>
        <w:fldChar w:fldCharType="separate"/>
        <w:t xml:space="preserve">9.1</w:t>
        <w:fldChar w:fldCharType="end"/>
        <w:t xml:space="preserve">, the Developer's aggregate liability in respect of claims based on events in any calendar year arising out of or in connection with this agreement or any collateral contract, whether in contract or tort (including negligence) or otherwise, shall in no circumstances exceed </w:t>
      </w:r>
      <w:commentRangeStart w:id="7"/>
      <w:r>
        <w:rPr>
          <w:szCs w:val="22"/>
        </w:rPr>
        <w:t xml:space="preserve">10% </w:t>
      </w:r>
      <w:commentRangeEnd w:id="7"/>
      <w:r>
        <w:commentReference w:id="7"/>
      </w:r>
      <w:r>
        <w:rPr>
          <w:szCs w:val="22"/>
        </w:rPr>
        <w:t xml:space="preserve">of the total Charges payable by the Customer to the Developer under this agreement in that calendar year.</w:t>
      </w:r>
      <w:bookmarkEnd w:id="93"/>
      <w:r>
        <w:rPr>
          <w:szCs w:val="22"/>
        </w:rPr>
      </w:r>
    </w:p>
    <w:p w14:paraId="7BEE628A" w14:textId="6A07B923">
      <w:pPr>
        <w:pStyle w:val="1089"/>
        <w:pBdr/>
        <w:spacing/>
        <w:ind/>
        <w:rPr>
          <w:szCs w:val="22"/>
        </w:rPr>
      </w:pPr>
      <w:r>
        <w:rPr>
          <w:szCs w:val="22"/>
        </w:rPr>
        <w:t xml:space="preserve">To the fullest extent permitted by law, apart from the foregoing warranties and indemnity, the Developer makes no additional representations or warranties, and disclaims all warranties, representations, and liabilities, whether express or implied, arising from contract or tort (except fraud), imposed by statute or otherwise, relating to the conduct of the Project, including any warranties as to merchantability, fitness for purpose, correspondence with description, or non-infringement.</w:t>
      </w:r>
    </w:p>
    <w:p w14:paraId="034734B5" w14:textId="77777777">
      <w:pPr>
        <w:pStyle w:val="1089"/>
        <w:pBdr/>
        <w:spacing/>
        <w:ind/>
        <w:rPr>
          <w:szCs w:val="22"/>
        </w:rPr>
      </w:pPr>
      <w:r>
        <w:rPr>
          <w:szCs w:val="22"/>
        </w:rPr>
        <w:t xml:space="preserve">As the Customer is a business and not a consumer, the parties agree, understand and accept that Supply of Goods and Services Act 1980, European Communities (Unfair Terms in Consumer Contracts) Regulations, S.I. No. 27 of 1995 (‘the Regulations’) as amended by the European Communities (Unfair Terms in Consumer Contracts) (Amendment) Regulations 2000, S.I. No. 307 of 2000 the European Communities (Unfair Terms in Consumer Contracts) (Amendment) Regulations 2013, S.I. 160 of 2013 the Distance Selling Regulations (S.I. No. 484 of 2013). and Consumer Protection Act 2007 do not apply and are waived and excluded to the fullest extent possible.</w:t>
      </w:r>
    </w:p>
    <w:p w14:paraId="5DBDBEDF" w14:textId="77777777">
      <w:pPr>
        <w:pStyle w:val="1046"/>
        <w:pBdr/>
        <w:spacing/>
        <w:ind/>
        <w:rPr>
          <w:szCs w:val="22"/>
        </w:rPr>
      </w:pPr>
      <w:r>
        <w:rPr>
          <w:szCs w:val="22"/>
        </w:rPr>
        <w:fldChar w:fldCharType="begin"/>
        <w:instrText xml:space="preserve">TC "10. Intellectual property rights" \l 1</w:instrText>
        <w:fldChar w:fldCharType="end"/>
      </w:r>
      <w:bookmarkStart w:id="95" w:name="a599634"/>
      <w:r/>
      <w:bookmarkStart w:id="96" w:name="_Toc106276021"/>
      <w:r>
        <w:rPr>
          <w:szCs w:val="22"/>
        </w:rPr>
        <w:t xml:space="preserve">Intellectual property rights</w:t>
      </w:r>
      <w:bookmarkEnd w:id="95"/>
      <w:r/>
      <w:bookmarkEnd w:id="96"/>
      <w:r>
        <w:rPr>
          <w:szCs w:val="22"/>
        </w:rPr>
      </w:r>
    </w:p>
    <w:p w14:paraId="535056EA" w14:textId="04246962">
      <w:pPr>
        <w:pStyle w:val="1089"/>
        <w:pBdr/>
        <w:spacing/>
        <w:ind/>
        <w:rPr>
          <w:szCs w:val="22"/>
        </w:rPr>
      </w:pPr>
      <w:r/>
      <w:bookmarkStart w:id="97" w:name="a934800"/>
      <w:r>
        <w:rPr>
          <w:szCs w:val="22"/>
        </w:rPr>
        <w:t xml:space="preserve">All Intellectual Property Rights in the Site (including in the content of the Site and the Site Software), but excluding the Materials and any pre-existing Intellectual Property Rights of the Developer and any third-party or open-source components (including Drupal), arising in connection with this agreement shall vest in and be the property of the Customer. The Developer shall, at the Customer's request and cost, execute all documents and do all acts necessary to give effect to this clause, and shall deliver to the Customer the source code, repository history and build and deployment configuration for the Site. To the extent that any pre-existing Developer materials or third-party components are incorporated in the Site, the Developer grants the Customer a perpetual, irrevocable, royalty-free and transferable licence to use, maintain, modify and have modified those materials for the purposes of operating, supporting and further developing the Site, including by a replacement supplier.</w:t>
      </w:r>
      <w:bookmarkEnd w:id="97"/>
      <w:r>
        <w:rPr>
          <w:szCs w:val="22"/>
        </w:rPr>
      </w:r>
    </w:p>
    <w:p w14:paraId="4C23410C" w14:textId="77777777">
      <w:pPr>
        <w:pStyle w:val="1089"/>
        <w:pBdr/>
        <w:spacing/>
        <w:ind/>
        <w:rPr>
          <w:szCs w:val="22"/>
        </w:rPr>
      </w:pPr>
      <w:r/>
      <w:bookmarkStart w:id="98" w:name="a663722"/>
      <w:r>
        <w:rPr>
          <w:szCs w:val="22"/>
        </w:rPr>
        <w:t xml:space="preserve">The Customer shall indemnify the Developer against all damages, losses and expenses arising as a result of any action or claim that the Materials infringe the Intellectual Property Rights of a third party.</w:t>
      </w:r>
      <w:bookmarkEnd w:id="98"/>
      <w:r>
        <w:rPr>
          <w:szCs w:val="22"/>
        </w:rPr>
      </w:r>
    </w:p>
    <w:p w14:paraId="7F8354BA" w14:textId="681312B8">
      <w:pPr>
        <w:pStyle w:val="1089"/>
        <w:pBdr/>
        <w:spacing/>
        <w:ind/>
        <w:rPr>
          <w:szCs w:val="22"/>
        </w:rPr>
      </w:pPr>
      <w:r/>
      <w:bookmarkStart w:id="99" w:name="a742536"/>
      <w:r>
        <w:rPr>
          <w:szCs w:val="22"/>
        </w:rPr>
        <w:t xml:space="preserve">The Developer shall indemnify the Customer against all damages, losses and expenses arising as a result of any action or claim that the Site infringes any Intellectual Property Rights of a third party in  Ireland, other than infringements referred to in </w:t>
        <w:fldChar w:fldCharType="begin"/>
        <w:instrText xml:space="preserve">PAGEREF a663722\# "'clause '"  \h</w:instrText>
        <w:fldChar w:fldCharType="separate"/>
        <w:t xml:space="preserve">clause </w:t>
        <w:fldChar w:fldCharType="end"/>
        <w:fldChar w:fldCharType="begin"/>
        <w:instrText xml:space="preserve">REF a663722 \h \w</w:instrText>
        <w:instrText xml:space="preserve"> \* MERGEFORMAT </w:instrText>
        <w:fldChar w:fldCharType="separate"/>
        <w:t xml:space="preserve">10.2</w:t>
        <w:fldChar w:fldCharType="end"/>
        <w:t xml:space="preserve">.</w:t>
      </w:r>
      <w:bookmarkEnd w:id="99"/>
      <w:r>
        <w:rPr>
          <w:szCs w:val="22"/>
        </w:rPr>
      </w:r>
    </w:p>
    <w:p w14:paraId="6C566EEF" w14:textId="610CAF2C">
      <w:pPr>
        <w:pStyle w:val="1089"/>
        <w:pBdr/>
        <w:spacing/>
        <w:ind/>
        <w:rPr>
          <w:szCs w:val="22"/>
        </w:rPr>
      </w:pPr>
      <w:r/>
      <w:bookmarkStart w:id="100" w:name="a178197"/>
      <w:r>
        <w:rPr>
          <w:szCs w:val="22"/>
        </w:rPr>
        <w:t xml:space="preserve">The indemnities in </w:t>
        <w:fldChar w:fldCharType="begin"/>
        <w:instrText xml:space="preserve">PAGEREF a663722\# "'clause '"  \h</w:instrText>
        <w:fldChar w:fldCharType="separate"/>
        <w:t xml:space="preserve">clause </w:t>
        <w:fldChar w:fldCharType="end"/>
        <w:fldChar w:fldCharType="begin"/>
        <w:instrText xml:space="preserve">REF a663722 \h \w</w:instrText>
        <w:instrText xml:space="preserve"> \* MERGEFORMAT </w:instrText>
        <w:fldChar w:fldCharType="separate"/>
        <w:t xml:space="preserve">10.2</w:t>
        <w:fldChar w:fldCharType="end"/>
        <w:t xml:space="preserve">, </w:t>
        <w:fldChar w:fldCharType="begin"/>
        <w:instrText xml:space="preserve">PAGEREF a742536\# "'clause '"  \h</w:instrText>
        <w:fldChar w:fldCharType="separate"/>
        <w:t xml:space="preserve">clause </w:t>
        <w:fldChar w:fldCharType="end"/>
        <w:fldChar w:fldCharType="begin"/>
        <w:instrText xml:space="preserve">REF a742536 \h \w</w:instrText>
        <w:instrText xml:space="preserve"> \* MERGEFORMAT </w:instrText>
        <w:fldChar w:fldCharType="separate"/>
        <w:t xml:space="preserve">10.3</w:t>
        <w:fldChar w:fldCharType="end"/>
        <w:t xml:space="preserve"> and </w:t>
        <w:fldChar w:fldCharType="begin"/>
        <w:instrText xml:space="preserve">PAGEREF a182243\# "'clause '"  \h</w:instrText>
        <w:fldChar w:fldCharType="separate"/>
        <w:t xml:space="preserve">clause </w:t>
        <w:fldChar w:fldCharType="end"/>
        <w:fldChar w:fldCharType="begin"/>
        <w:instrText xml:space="preserve">REF a182243 \h \w</w:instrText>
        <w:instrText xml:space="preserve"> \* MERGEFORMAT </w:instrText>
        <w:fldChar w:fldCharType="separate"/>
        <w:t xml:space="preserve">11.4</w:t>
        <w:fldChar w:fldCharType="end"/>
        <w:t xml:space="preserve"> are subject to the following conditions:</w:t>
      </w:r>
      <w:bookmarkEnd w:id="100"/>
      <w:r>
        <w:rPr>
          <w:szCs w:val="22"/>
        </w:rPr>
      </w:r>
    </w:p>
    <w:p w14:paraId="4AEAC155" w14:textId="77777777">
      <w:pPr>
        <w:pStyle w:val="1091"/>
        <w:pBdr/>
        <w:spacing/>
        <w:ind/>
        <w:rPr>
          <w:szCs w:val="22"/>
        </w:rPr>
      </w:pPr>
      <w:r/>
      <w:bookmarkStart w:id="101" w:name="a684265"/>
      <w:r>
        <w:rPr>
          <w:szCs w:val="22"/>
        </w:rPr>
        <w:t xml:space="preserve">the indemnified party promptly notifies the indemnifier in writing of the claim;</w:t>
      </w:r>
      <w:bookmarkEnd w:id="101"/>
      <w:r>
        <w:rPr>
          <w:szCs w:val="22"/>
        </w:rPr>
      </w:r>
    </w:p>
    <w:p w14:paraId="2B07B31F" w14:textId="77777777">
      <w:pPr>
        <w:pStyle w:val="1091"/>
        <w:pBdr/>
        <w:spacing/>
        <w:ind/>
        <w:rPr>
          <w:szCs w:val="22"/>
        </w:rPr>
      </w:pPr>
      <w:r/>
      <w:bookmarkStart w:id="102" w:name="a900482"/>
      <w:r>
        <w:rPr>
          <w:szCs w:val="22"/>
        </w:rPr>
        <w:t xml:space="preserve">the indemnified party makes no admissions or settlements without the indemnifier's prior written consent;</w:t>
      </w:r>
      <w:bookmarkEnd w:id="102"/>
      <w:r>
        <w:rPr>
          <w:szCs w:val="22"/>
        </w:rPr>
      </w:r>
    </w:p>
    <w:p w14:paraId="616F6C8C" w14:textId="77777777">
      <w:pPr>
        <w:pStyle w:val="1091"/>
        <w:pBdr/>
        <w:spacing/>
        <w:ind/>
        <w:rPr>
          <w:szCs w:val="22"/>
        </w:rPr>
      </w:pPr>
      <w:r/>
      <w:bookmarkStart w:id="103" w:name="a782988"/>
      <w:r>
        <w:rPr>
          <w:szCs w:val="22"/>
        </w:rPr>
        <w:t xml:space="preserve">the indemnified party gives the indemnifier all information and assistance that the indemnifier may reasonably require; and</w:t>
      </w:r>
      <w:bookmarkEnd w:id="103"/>
      <w:r>
        <w:rPr>
          <w:szCs w:val="22"/>
        </w:rPr>
      </w:r>
    </w:p>
    <w:p w14:paraId="0AA43139" w14:textId="77777777">
      <w:pPr>
        <w:pStyle w:val="1091"/>
        <w:pBdr/>
        <w:spacing/>
        <w:ind/>
        <w:rPr>
          <w:szCs w:val="22"/>
        </w:rPr>
      </w:pPr>
      <w:r/>
      <w:bookmarkStart w:id="104" w:name="a135472"/>
      <w:r>
        <w:rPr>
          <w:szCs w:val="22"/>
        </w:rPr>
        <w:t xml:space="preserve">the indemnified party allows the indemnifier complete control over the litigation and settlement of any action or claim.</w:t>
      </w:r>
      <w:bookmarkEnd w:id="104"/>
      <w:r>
        <w:rPr>
          <w:szCs w:val="22"/>
        </w:rPr>
      </w:r>
    </w:p>
    <w:p w14:paraId="5800FC92" w14:textId="6675569D">
      <w:pPr>
        <w:pStyle w:val="1089"/>
        <w:pBdr/>
        <w:spacing/>
        <w:ind/>
        <w:rPr>
          <w:szCs w:val="22"/>
        </w:rPr>
      </w:pPr>
      <w:r/>
      <w:bookmarkStart w:id="105" w:name="a78020"/>
      <w:r>
        <w:rPr>
          <w:szCs w:val="22"/>
        </w:rPr>
        <w:t xml:space="preserve">The indemnities in </w:t>
        <w:fldChar w:fldCharType="begin"/>
        <w:instrText xml:space="preserve">PAGEREF a663722\# "'clause '"  \h</w:instrText>
        <w:fldChar w:fldCharType="separate"/>
        <w:t xml:space="preserve">clause </w:t>
        <w:fldChar w:fldCharType="end"/>
        <w:fldChar w:fldCharType="begin"/>
        <w:instrText xml:space="preserve">REF a663722 \h \w</w:instrText>
        <w:instrText xml:space="preserve"> \* MERGEFORMAT </w:instrText>
        <w:fldChar w:fldCharType="separate"/>
        <w:t xml:space="preserve">10.2</w:t>
        <w:fldChar w:fldCharType="end"/>
        <w:t xml:space="preserve">, </w:t>
        <w:fldChar w:fldCharType="begin"/>
        <w:instrText xml:space="preserve">PAGEREF a742536\# "'clause '"  \h</w:instrText>
        <w:fldChar w:fldCharType="separate"/>
        <w:t xml:space="preserve">clause </w:t>
        <w:fldChar w:fldCharType="end"/>
        <w:fldChar w:fldCharType="begin"/>
        <w:instrText xml:space="preserve">REF a742536 \h \w</w:instrText>
        <w:instrText xml:space="preserve"> \* MERGEFORMAT </w:instrText>
        <w:fldChar w:fldCharType="separate"/>
        <w:t xml:space="preserve">10.3</w:t>
        <w:fldChar w:fldCharType="end"/>
        <w:t xml:space="preserve"> and </w:t>
        <w:fldChar w:fldCharType="begin"/>
        <w:instrText xml:space="preserve">PAGEREF a182243\# "'clause '"  \h</w:instrText>
        <w:fldChar w:fldCharType="separate"/>
        <w:t xml:space="preserve">clause </w:t>
        <w:fldChar w:fldCharType="end"/>
        <w:fldChar w:fldCharType="begin"/>
        <w:instrText xml:space="preserve">REF a182243 \h \w</w:instrText>
        <w:instrText xml:space="preserve"> \* MERGEFORMAT </w:instrText>
        <w:fldChar w:fldCharType="separate"/>
        <w:t xml:space="preserve">11.4</w:t>
        <w:fldChar w:fldCharType="end"/>
        <w:t xml:space="preserve"> may not be invoked to the extent that the action or claim arises out of the indemnifier's compliance with any designs, specifications or instructions of the indemnified party.</w:t>
      </w:r>
      <w:bookmarkEnd w:id="105"/>
      <w:r>
        <w:rPr>
          <w:szCs w:val="22"/>
        </w:rPr>
      </w:r>
    </w:p>
    <w:p w14:paraId="38E654F7" w14:textId="77777777">
      <w:pPr>
        <w:pStyle w:val="1046"/>
        <w:pBdr/>
        <w:spacing/>
        <w:ind/>
        <w:rPr>
          <w:szCs w:val="22"/>
        </w:rPr>
      </w:pPr>
      <w:r>
        <w:rPr>
          <w:szCs w:val="22"/>
        </w:rPr>
        <w:fldChar w:fldCharType="begin"/>
        <w:instrText xml:space="preserve">TC "11. Site content" \l 1</w:instrText>
        <w:fldChar w:fldCharType="end"/>
      </w:r>
      <w:bookmarkStart w:id="106" w:name="a515955"/>
      <w:r/>
      <w:bookmarkStart w:id="107" w:name="_Toc106276022"/>
      <w:r>
        <w:rPr>
          <w:szCs w:val="22"/>
        </w:rPr>
        <w:t xml:space="preserve">Site content</w:t>
      </w:r>
      <w:bookmarkEnd w:id="106"/>
      <w:r/>
      <w:bookmarkEnd w:id="107"/>
      <w:r>
        <w:rPr>
          <w:szCs w:val="22"/>
        </w:rPr>
      </w:r>
    </w:p>
    <w:p w14:paraId="77565F18" w14:textId="38510F50">
      <w:pPr>
        <w:pStyle w:val="1089"/>
        <w:pBdr/>
        <w:spacing/>
        <w:ind/>
        <w:rPr>
          <w:szCs w:val="22"/>
        </w:rPr>
      </w:pPr>
      <w:r/>
      <w:bookmarkStart w:id="108" w:name="a936571"/>
      <w:r>
        <w:rPr>
          <w:szCs w:val="22"/>
        </w:rPr>
        <w:t xml:space="preserve">The Developer may update the Site with Materials provided from time to time by the Customer. The Customer shall ensure that the Materials do not infringe any applicable laws, regulations or third party rights (including material which is obscene, indecent, pornographic, seditious, offensive, defamatory, threatening, liable to incite racial hatred or acts of terrorism, menacing, blasphemous or in breach of any third party Intellectual Property Rights) (</w:t>
      </w:r>
      <w:r>
        <w:rPr>
          <w:rStyle w:val="1186"/>
          <w:rFonts w:asciiTheme="minorHAnsi" w:hAnsiTheme="minorHAnsi"/>
          <w:szCs w:val="22"/>
        </w:rPr>
        <w:t xml:space="preserve">Inappropriate Content</w:t>
      </w:r>
      <w:r>
        <w:rPr>
          <w:szCs w:val="22"/>
        </w:rPr>
        <w:t xml:space="preserve">).</w:t>
      </w:r>
      <w:bookmarkEnd w:id="108"/>
      <w:r>
        <w:rPr>
          <w:szCs w:val="22"/>
        </w:rPr>
      </w:r>
    </w:p>
    <w:p w14:paraId="478B13FB" w14:textId="154681BD">
      <w:pPr>
        <w:pStyle w:val="1089"/>
        <w:pBdr/>
        <w:spacing/>
        <w:ind/>
        <w:rPr>
          <w:szCs w:val="22"/>
        </w:rPr>
      </w:pPr>
      <w:r>
        <w:rPr>
          <w:szCs w:val="22"/>
        </w:rPr>
        <w:fldChar w:fldCharType="begin"/>
        <w:fldChar w:fldCharType="end"/>
      </w:r>
      <w:bookmarkStart w:id="109" w:name="a409141"/>
      <w:r>
        <w:rPr>
          <w:szCs w:val="22"/>
        </w:rPr>
        <w:t xml:space="preserve">The Developer shall grant the Customer access to log into the Website in order to </w:t>
      </w:r>
      <w:bookmarkEnd w:id="109"/>
      <w:r>
        <w:rPr>
          <w:szCs w:val="22"/>
        </w:rPr>
        <w:t xml:space="preserve">add or update content on the Site.   </w:t>
      </w:r>
    </w:p>
    <w:p w14:paraId="3D8A4C31" w14:textId="402670D5">
      <w:pPr>
        <w:pStyle w:val="1089"/>
        <w:pBdr/>
        <w:spacing/>
        <w:ind/>
        <w:rPr>
          <w:szCs w:val="22"/>
        </w:rPr>
      </w:pPr>
      <w:r>
        <w:rPr>
          <w:szCs w:val="22"/>
        </w:rPr>
        <w:fldChar w:fldCharType="begin"/>
        <w:fldChar w:fldCharType="end"/>
      </w:r>
      <w:bookmarkStart w:id="110" w:name="a257012"/>
      <w:r>
        <w:rPr>
          <w:szCs w:val="22"/>
        </w:rPr>
        <w:t xml:space="preserve">The Customer shall include only Materials on the Site. The Customer acknowledges that the Developer has no control over any content placed on the Site by Visitors or the Customer and does not purport to monitor the content of the Site. The Developer reserves the right to remove content from the Site where it reasonably suspects such content is Inappropriate Content. The Developer shall notify the Customer promptly if it becomes aware of any allegation that any content on the Site may be Inappropriate Content.</w:t>
      </w:r>
      <w:bookmarkEnd w:id="110"/>
      <w:r>
        <w:rPr>
          <w:szCs w:val="22"/>
        </w:rPr>
      </w:r>
    </w:p>
    <w:p w14:paraId="7D99BCA1" w14:textId="77777777">
      <w:pPr>
        <w:pStyle w:val="1089"/>
        <w:pBdr/>
        <w:spacing/>
        <w:ind/>
        <w:rPr>
          <w:szCs w:val="22"/>
        </w:rPr>
      </w:pPr>
      <w:r/>
      <w:bookmarkStart w:id="111" w:name="a182243"/>
      <w:r>
        <w:rPr>
          <w:szCs w:val="22"/>
        </w:rPr>
        <w:t xml:space="preserve">The Customer shall indemnify the Developer against all damages, losses and expenses arising as a result of any action or claim that the Materials constitute Inappropriate Content.</w:t>
      </w:r>
      <w:bookmarkEnd w:id="111"/>
      <w:r>
        <w:rPr>
          <w:szCs w:val="22"/>
        </w:rPr>
      </w:r>
    </w:p>
    <w:p w14:paraId="0DE65B9C" w14:textId="1F9BF0D0">
      <w:pPr>
        <w:pStyle w:val="1089"/>
        <w:pBdr/>
        <w:spacing/>
        <w:ind/>
        <w:rPr>
          <w:szCs w:val="22"/>
        </w:rPr>
      </w:pPr>
      <w:r/>
      <w:bookmarkStart w:id="112" w:name="a406550"/>
      <w:r>
        <w:rPr>
          <w:szCs w:val="22"/>
        </w:rPr>
        <w:t xml:space="preserve">The Developer may include statements and/or confirmation on the Site to the effect that the Site was designed and/or developed by the Developer. </w:t>
      </w:r>
      <w:bookmarkEnd w:id="112"/>
      <w:r>
        <w:rPr>
          <w:szCs w:val="22"/>
        </w:rPr>
      </w:r>
    </w:p>
    <w:p w14:paraId="59553188" w14:textId="77777777">
      <w:pPr>
        <w:pStyle w:val="1046"/>
        <w:pBdr/>
        <w:spacing/>
        <w:ind/>
        <w:rPr>
          <w:szCs w:val="22"/>
        </w:rPr>
      </w:pPr>
      <w:r>
        <w:rPr>
          <w:szCs w:val="22"/>
        </w:rPr>
        <w:fldChar w:fldCharType="begin"/>
        <w:instrText xml:space="preserve">TC "12. Data protection" \l 1</w:instrText>
        <w:fldChar w:fldCharType="end"/>
      </w:r>
      <w:bookmarkStart w:id="113" w:name="a836299"/>
      <w:r/>
      <w:bookmarkStart w:id="114" w:name="_Toc106276023"/>
      <w:r>
        <w:rPr>
          <w:szCs w:val="22"/>
        </w:rPr>
        <w:t xml:space="preserve">Data protection</w:t>
      </w:r>
      <w:bookmarkEnd w:id="113"/>
      <w:r/>
      <w:bookmarkEnd w:id="114"/>
      <w:r>
        <w:rPr>
          <w:szCs w:val="22"/>
        </w:rPr>
      </w:r>
    </w:p>
    <w:p w14:paraId="345A21A6" w14:textId="38747ABF">
      <w:pPr>
        <w:pStyle w:val="1089"/>
        <w:pBdr/>
        <w:spacing/>
        <w:ind/>
        <w:rPr>
          <w:szCs w:val="22"/>
        </w:rPr>
      </w:pPr>
      <w:r/>
      <w:bookmarkStart w:id="115" w:name="a382995"/>
      <w:r>
        <w:rPr>
          <w:szCs w:val="22"/>
        </w:rPr>
        <w:t xml:space="preserve">Both parties will comply with all applicable requirements of the Data Protection Legislation. This </w:t>
        <w:fldChar w:fldCharType="begin"/>
        <w:instrText xml:space="preserve">PAGEREF a836299\# "'clause '"  \h</w:instrText>
        <w:fldChar w:fldCharType="separate"/>
        <w:t xml:space="preserve">clause </w:t>
        <w:fldChar w:fldCharType="end"/>
        <w:fldChar w:fldCharType="begin"/>
        <w:instrText xml:space="preserve">REF a836299 \h \w</w:instrText>
        <w:instrText xml:space="preserve"> \* MERGEFORMAT </w:instrText>
        <w:fldChar w:fldCharType="separate"/>
        <w:t xml:space="preserve">12</w:t>
        <w:fldChar w:fldCharType="end"/>
        <w:t xml:space="preserve"> is in addition to, and does not relieve, remove or replace, a party's obligations or rights under the Data Protection Legislation.</w:t>
      </w:r>
      <w:bookmarkEnd w:id="115"/>
      <w:r>
        <w:rPr>
          <w:szCs w:val="22"/>
        </w:rPr>
      </w:r>
    </w:p>
    <w:p w14:paraId="00C99EB9" w14:textId="4E5D5A40">
      <w:pPr>
        <w:pStyle w:val="1089"/>
        <w:pBdr/>
        <w:spacing/>
        <w:ind/>
        <w:rPr>
          <w:szCs w:val="22"/>
        </w:rPr>
      </w:pPr>
      <w:r/>
      <w:bookmarkStart w:id="116" w:name="a141830"/>
      <w:r>
        <w:rPr>
          <w:szCs w:val="22"/>
        </w:rPr>
        <w:t xml:space="preserve">The parties acknowledge that for the purposes of the Data Protection Legislation, the Customer is the Controller and the Developer is the Processor. Schedule 3 sets out each of the parties’ additional obligations, as well as the scope, nature and purpose of processing by the Developer, the duration of the processing and the types of Personal Data and categories of Data Subject.</w:t>
      </w:r>
      <w:bookmarkEnd w:id="116"/>
      <w:r>
        <w:rPr>
          <w:szCs w:val="22"/>
        </w:rPr>
      </w:r>
    </w:p>
    <w:p w14:paraId="51DAC246" w14:textId="585C99D0">
      <w:pPr>
        <w:pStyle w:val="1089"/>
        <w:pBdr/>
        <w:spacing/>
        <w:ind/>
        <w:rPr>
          <w:szCs w:val="22"/>
        </w:rPr>
      </w:pPr>
      <w:r/>
      <w:bookmarkStart w:id="117" w:name="a162511"/>
      <w:r>
        <w:rPr>
          <w:szCs w:val="22"/>
        </w:rPr>
        <w:t xml:space="preserve">Without prejudice to the generality of </w:t>
        <w:fldChar w:fldCharType="begin"/>
        <w:instrText xml:space="preserve">PAGEREF a382995\# "'clause '"  \h</w:instrText>
        <w:fldChar w:fldCharType="separate"/>
        <w:t xml:space="preserve">clause </w:t>
        <w:fldChar w:fldCharType="end"/>
        <w:fldChar w:fldCharType="begin"/>
        <w:instrText xml:space="preserve">REF a382995 \h \w</w:instrText>
        <w:instrText xml:space="preserve"> \* MERGEFORMAT </w:instrText>
        <w:fldChar w:fldCharType="separate"/>
        <w:t xml:space="preserve">12.1</w:t>
        <w:fldChar w:fldCharType="end"/>
        <w:t xml:space="preserve">, the Customer will ensure that it has all necessary appropriate consents and notices in place to enable lawful transfer of the Personal Data to the Developer </w:t>
      </w:r>
      <w:commentRangeStart w:id="8"/>
      <w:r>
        <w:rPr>
          <w:szCs w:val="22"/>
        </w:rPr>
        <w:t xml:space="preserve">and/or lawful collection of the Personal Data by the Developer on behalf of the Customer] </w:t>
      </w:r>
      <w:commentRangeEnd w:id="8"/>
      <w:r>
        <w:commentReference w:id="8"/>
      </w:r>
      <w:r>
        <w:rPr>
          <w:szCs w:val="22"/>
        </w:rPr>
        <w:t xml:space="preserve">for the duration and purposes of this agreement.</w:t>
      </w:r>
      <w:bookmarkEnd w:id="117"/>
      <w:r>
        <w:rPr>
          <w:szCs w:val="22"/>
        </w:rPr>
      </w:r>
    </w:p>
    <w:p w14:paraId="505BD192" w14:textId="793B9D0C">
      <w:pPr>
        <w:pStyle w:val="1089"/>
        <w:pBdr/>
        <w:spacing/>
        <w:ind/>
        <w:rPr>
          <w:szCs w:val="22"/>
        </w:rPr>
      </w:pPr>
      <w:r/>
      <w:bookmarkStart w:id="119" w:name="a549695"/>
      <w:r>
        <w:rPr>
          <w:szCs w:val="22"/>
        </w:rPr>
        <w:t xml:space="preserve">Without prejudice to the generality of </w:t>
        <w:fldChar w:fldCharType="begin"/>
        <w:instrText xml:space="preserve">PAGEREF a382995\# "'clause '"  \h</w:instrText>
        <w:fldChar w:fldCharType="separate"/>
        <w:t xml:space="preserve">clause </w:t>
        <w:fldChar w:fldCharType="end"/>
        <w:fldChar w:fldCharType="begin"/>
        <w:instrText xml:space="preserve">REF a382995 \h \w</w:instrText>
        <w:instrText xml:space="preserve"> \* MERGEFORMAT </w:instrText>
        <w:fldChar w:fldCharType="separate"/>
        <w:t xml:space="preserve">12.1</w:t>
        <w:fldChar w:fldCharType="end"/>
        <w:t xml:space="preserve">, the Developer shall, in relation to any Personal Data processed in connection with the performance by the Developer of its obligations under this agreement:</w:t>
      </w:r>
      <w:bookmarkEnd w:id="119"/>
      <w:r>
        <w:rPr>
          <w:szCs w:val="22"/>
        </w:rPr>
      </w:r>
    </w:p>
    <w:p w14:paraId="6D83A0AF" w14:textId="77777777">
      <w:pPr>
        <w:pStyle w:val="1091"/>
        <w:pBdr/>
        <w:spacing/>
        <w:ind/>
        <w:rPr>
          <w:szCs w:val="22"/>
        </w:rPr>
      </w:pPr>
      <w:r/>
      <w:bookmarkStart w:id="120" w:name="a394754"/>
      <w:r>
        <w:rPr>
          <w:szCs w:val="22"/>
        </w:rPr>
        <w:t xml:space="preserve">process that Personal Data only on the documented written instructions of the Customer which are set out in Schedule 3 unless the Developer is required by Irish Law to otherwise process that Personal Data. Where the Developer is relying on Irish Law as the basis for processing Personal Data, the Developer shall promptly notify the Customer of this before performing the processing required by the Irish Law unless the Irish Law prohibits the Developer from so notifying the Customer;</w:t>
      </w:r>
      <w:bookmarkEnd w:id="120"/>
      <w:r>
        <w:rPr>
          <w:szCs w:val="22"/>
        </w:rPr>
      </w:r>
    </w:p>
    <w:p w14:paraId="6DB840D3" w14:textId="77777777">
      <w:pPr>
        <w:pStyle w:val="1091"/>
        <w:pBdr/>
        <w:spacing/>
        <w:ind/>
        <w:rPr>
          <w:szCs w:val="22"/>
        </w:rPr>
      </w:pPr>
      <w:r/>
      <w:bookmarkStart w:id="122" w:name="a635153"/>
      <w:r>
        <w:rPr>
          <w:szCs w:val="22"/>
        </w:rPr>
        <w:t xml:space="preserve">ensure that it has in place appropriate technical and organisational measures, reviewed and approved by the Customer,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bookmarkEnd w:id="122"/>
      <w:r>
        <w:rPr>
          <w:szCs w:val="22"/>
        </w:rPr>
      </w:r>
    </w:p>
    <w:p w14:paraId="509BC42E" w14:textId="77777777">
      <w:pPr>
        <w:pStyle w:val="1091"/>
        <w:pBdr/>
        <w:spacing/>
        <w:ind/>
        <w:rPr>
          <w:szCs w:val="22"/>
        </w:rPr>
      </w:pPr>
      <w:r/>
      <w:bookmarkStart w:id="123" w:name="a308420"/>
      <w:r>
        <w:rPr>
          <w:szCs w:val="22"/>
        </w:rPr>
        <w:t xml:space="preserve">ensure that all personnel who have access to and/or process Personal Data are obliged to keep the Personal Data confidential; and</w:t>
      </w:r>
      <w:bookmarkEnd w:id="123"/>
      <w:r>
        <w:rPr>
          <w:szCs w:val="22"/>
        </w:rPr>
      </w:r>
    </w:p>
    <w:p w14:paraId="02C1F759" w14:textId="30AE1BA6">
      <w:pPr>
        <w:pStyle w:val="1091"/>
        <w:pBdr/>
        <w:spacing/>
        <w:ind/>
        <w:rPr>
          <w:szCs w:val="22"/>
        </w:rPr>
      </w:pPr>
      <w:r/>
      <w:bookmarkStart w:id="124" w:name="a220675"/>
      <w:r>
        <w:rPr>
          <w:szCs w:val="22"/>
        </w:rPr>
        <w:t xml:space="preserve">not transfer any Personal Data outside of the European Economic Area unless the prior written consent of the Customer has been obtained or the following conditions are fulfilled:</w:t>
      </w:r>
      <w:bookmarkEnd w:id="124"/>
      <w:r>
        <w:rPr>
          <w:szCs w:val="22"/>
        </w:rPr>
      </w:r>
    </w:p>
    <w:p w14:paraId="663AD49E" w14:textId="77777777">
      <w:pPr>
        <w:pStyle w:val="1093"/>
        <w:pBdr/>
        <w:spacing/>
        <w:ind/>
        <w:rPr>
          <w:szCs w:val="22"/>
        </w:rPr>
      </w:pPr>
      <w:r/>
      <w:bookmarkStart w:id="125" w:name="a496781"/>
      <w:r>
        <w:rPr>
          <w:szCs w:val="22"/>
        </w:rPr>
        <w:t xml:space="preserve">the Customer or the Developer has provided appropriate safeguards in relation to the transfer;</w:t>
      </w:r>
      <w:bookmarkEnd w:id="125"/>
      <w:r>
        <w:rPr>
          <w:szCs w:val="22"/>
        </w:rPr>
      </w:r>
    </w:p>
    <w:p w14:paraId="79FB8F95" w14:textId="77777777">
      <w:pPr>
        <w:pStyle w:val="1093"/>
        <w:pBdr/>
        <w:spacing/>
        <w:ind/>
        <w:rPr>
          <w:szCs w:val="22"/>
        </w:rPr>
      </w:pPr>
      <w:r/>
      <w:bookmarkStart w:id="126" w:name="a666472"/>
      <w:r>
        <w:rPr>
          <w:szCs w:val="22"/>
        </w:rPr>
        <w:t xml:space="preserve">the Data Subject has enforceable rights and effective legal remedies;</w:t>
      </w:r>
      <w:bookmarkEnd w:id="126"/>
      <w:r>
        <w:rPr>
          <w:szCs w:val="22"/>
        </w:rPr>
      </w:r>
    </w:p>
    <w:p w14:paraId="42C04456" w14:textId="77777777">
      <w:pPr>
        <w:pStyle w:val="1093"/>
        <w:pBdr/>
        <w:spacing/>
        <w:ind/>
        <w:rPr>
          <w:szCs w:val="22"/>
        </w:rPr>
      </w:pPr>
      <w:r/>
      <w:bookmarkStart w:id="127" w:name="a453813"/>
      <w:r>
        <w:rPr>
          <w:szCs w:val="22"/>
        </w:rPr>
        <w:t xml:space="preserve">the Developer complies with its obligations under the Data Protection Legislation by providing an adequate level of protection to any Personal Data that is transferred; and</w:t>
      </w:r>
      <w:bookmarkEnd w:id="127"/>
      <w:r>
        <w:rPr>
          <w:szCs w:val="22"/>
        </w:rPr>
      </w:r>
    </w:p>
    <w:p w14:paraId="650A5ECC" w14:textId="77777777">
      <w:pPr>
        <w:pStyle w:val="1093"/>
        <w:pBdr/>
        <w:spacing/>
        <w:ind/>
        <w:rPr>
          <w:szCs w:val="22"/>
        </w:rPr>
      </w:pPr>
      <w:r/>
      <w:bookmarkStart w:id="128" w:name="a318917"/>
      <w:r>
        <w:rPr>
          <w:szCs w:val="22"/>
        </w:rPr>
        <w:t xml:space="preserve">the Developer complies with reasonable instructions notified to it in advance by the Customer with respect to the processing of the Personal Data;</w:t>
      </w:r>
      <w:bookmarkEnd w:id="128"/>
      <w:r>
        <w:rPr>
          <w:szCs w:val="22"/>
        </w:rPr>
      </w:r>
    </w:p>
    <w:p w14:paraId="59E3A3DB" w14:textId="77777777">
      <w:pPr>
        <w:pStyle w:val="1091"/>
        <w:pBdr/>
        <w:spacing/>
        <w:ind/>
        <w:rPr>
          <w:szCs w:val="22"/>
        </w:rPr>
      </w:pPr>
      <w:r/>
      <w:bookmarkStart w:id="129" w:name="a560301"/>
      <w:r>
        <w:rPr>
          <w:szCs w:val="22"/>
        </w:rPr>
        <w:t xml:space="preserve">assist the Customer, at the Customer's cost, in responding to any request from a Data Subject and in ensuring compliance with its obligations under the Data Protection Legislation with respect to security, breach notifications, impact assessments and consultations with supervisory authorities or regulators;</w:t>
      </w:r>
      <w:bookmarkEnd w:id="129"/>
      <w:r>
        <w:rPr>
          <w:szCs w:val="22"/>
        </w:rPr>
      </w:r>
    </w:p>
    <w:p w14:paraId="0D11EA0B" w14:textId="77777777">
      <w:pPr>
        <w:pStyle w:val="1091"/>
        <w:pBdr/>
        <w:spacing/>
        <w:ind/>
        <w:rPr>
          <w:szCs w:val="22"/>
        </w:rPr>
      </w:pPr>
      <w:r/>
      <w:bookmarkStart w:id="130" w:name="a367316"/>
      <w:r>
        <w:rPr>
          <w:szCs w:val="22"/>
        </w:rPr>
        <w:t xml:space="preserve">notify the Customer without undue delay on becoming aware of a Personal Data breach;</w:t>
      </w:r>
      <w:bookmarkEnd w:id="130"/>
      <w:r>
        <w:rPr>
          <w:szCs w:val="22"/>
        </w:rPr>
      </w:r>
    </w:p>
    <w:p w14:paraId="034C678A" w14:textId="77777777">
      <w:pPr>
        <w:pStyle w:val="1091"/>
        <w:pBdr/>
        <w:spacing/>
        <w:ind/>
        <w:rPr>
          <w:szCs w:val="22"/>
        </w:rPr>
      </w:pPr>
      <w:r/>
      <w:bookmarkStart w:id="131" w:name="a227642"/>
      <w:r>
        <w:rPr>
          <w:szCs w:val="22"/>
        </w:rPr>
        <w:t xml:space="preserve">at the written direction of the Customer, delete or return Personal Data and copies thereof to the Customer on termination of the agreement unless required by Irish Law to store the Personal Data; and</w:t>
      </w:r>
      <w:bookmarkEnd w:id="131"/>
      <w:r>
        <w:rPr>
          <w:szCs w:val="22"/>
        </w:rPr>
      </w:r>
    </w:p>
    <w:p w14:paraId="252CCDCF" w14:textId="4594B533">
      <w:pPr>
        <w:pStyle w:val="1091"/>
        <w:pBdr/>
        <w:spacing/>
        <w:ind/>
        <w:rPr>
          <w:szCs w:val="22"/>
        </w:rPr>
      </w:pPr>
      <w:r/>
      <w:bookmarkStart w:id="132" w:name="a265845"/>
      <w:r>
        <w:rPr>
          <w:szCs w:val="22"/>
        </w:rPr>
        <w:t xml:space="preserve">maintain complete and accurate records and information to demonstrate its compliance with this </w:t>
        <w:fldChar w:fldCharType="begin"/>
        <w:instrText xml:space="preserve">PAGEREF a836299\# "'clause '"  \h</w:instrText>
        <w:fldChar w:fldCharType="separate"/>
        <w:t xml:space="preserve">clause </w:t>
        <w:fldChar w:fldCharType="end"/>
        <w:fldChar w:fldCharType="begin"/>
        <w:instrText xml:space="preserve">REF a836299 \h \w</w:instrText>
        <w:instrText xml:space="preserve"> \* MERGEFORMAT </w:instrText>
        <w:fldChar w:fldCharType="separate"/>
        <w:t xml:space="preserve">12</w:t>
        <w:fldChar w:fldCharType="end"/>
      </w:r>
      <w:r>
        <w:rPr>
          <w:rStyle w:val="1123"/>
          <w:rFonts w:asciiTheme="minorHAnsi" w:hAnsiTheme="minorHAnsi"/>
          <w:szCs w:val="22"/>
          <w:u w:val="none"/>
        </w:rPr>
        <w:t xml:space="preserve"> </w:t>
      </w:r>
      <w:r>
        <w:rPr>
          <w:iCs/>
          <w:szCs w:val="22"/>
        </w:rPr>
        <w:t xml:space="preserve">and allow for audits by the Customer or the Customer's designated auditor and immediately inform the Customer if, in the opinion of the Developer, an instruction infringes the Data Protection Legislation</w:t>
      </w:r>
      <w:r>
        <w:rPr>
          <w:szCs w:val="22"/>
        </w:rPr>
        <w:t xml:space="preserve">.</w:t>
      </w:r>
      <w:bookmarkEnd w:id="132"/>
      <w:r>
        <w:rPr>
          <w:szCs w:val="22"/>
        </w:rPr>
      </w:r>
    </w:p>
    <w:p w14:paraId="42E04C47" w14:textId="526764E6">
      <w:pPr>
        <w:pStyle w:val="1089"/>
        <w:pBdr/>
        <w:spacing/>
        <w:ind/>
        <w:rPr>
          <w:szCs w:val="22"/>
        </w:rPr>
      </w:pPr>
      <w:r/>
      <w:bookmarkStart w:id="133" w:name="a889967"/>
      <w:r/>
      <w:commentRangeStart w:id="9"/>
      <w:r>
        <w:rPr>
          <w:szCs w:val="22"/>
        </w:rPr>
        <w:t xml:space="preserve">The Customer does not consent to the Developer appointing any third party processor of Personal Data under this agreement</w:t>
      </w:r>
      <w:bookmarkEnd w:id="133"/>
      <w:r/>
      <w:commentRangeEnd w:id="9"/>
      <w:r>
        <w:commentReference w:id="9"/>
      </w:r>
      <w:r>
        <w:rPr>
          <w:szCs w:val="22"/>
        </w:rPr>
      </w:r>
    </w:p>
    <w:p w14:paraId="31DB149D" w14:textId="10155E03">
      <w:pPr>
        <w:pStyle w:val="1089"/>
        <w:pBdr/>
        <w:spacing/>
        <w:ind/>
        <w:rPr>
          <w:szCs w:val="22"/>
        </w:rPr>
      </w:pPr>
      <w:r/>
      <w:bookmarkStart w:id="135" w:name="a679852"/>
      <w:r>
        <w:rPr>
          <w:szCs w:val="22"/>
        </w:rPr>
        <w:t xml:space="preserve">Either party may, at any time on not less than 30 days’ notice, revise this </w:t>
        <w:fldChar w:fldCharType="begin"/>
        <w:instrText xml:space="preserve">PAGEREF a836299\# "'clause '"  \h</w:instrText>
        <w:fldChar w:fldCharType="separate"/>
        <w:t xml:space="preserve">clause </w:t>
        <w:fldChar w:fldCharType="end"/>
        <w:fldChar w:fldCharType="begin"/>
        <w:instrText xml:space="preserve">REF a836299 \h \w</w:instrText>
        <w:instrText xml:space="preserve"> \* MERGEFORMAT </w:instrText>
        <w:fldChar w:fldCharType="separate"/>
        <w:t xml:space="preserve">12</w:t>
        <w:fldChar w:fldCharType="end"/>
        <w:t xml:space="preserve"> by replacing it with any applicable controller to processor standard clauses or similar terms </w:t>
      </w:r>
      <w:r>
        <w:rPr>
          <w:bCs/>
          <w:szCs w:val="22"/>
        </w:rPr>
        <w:t xml:space="preserve">adopted by the Data Protection Commissioner or forming part </w:t>
      </w:r>
      <w:r>
        <w:rPr>
          <w:szCs w:val="22"/>
        </w:rPr>
        <w:t xml:space="preserve">of an applicable certification scheme (which shall apply when replaced by attachment to this agreement).</w:t>
      </w:r>
      <w:bookmarkEnd w:id="135"/>
      <w:r>
        <w:rPr>
          <w:szCs w:val="22"/>
        </w:rPr>
      </w:r>
    </w:p>
    <w:p w14:paraId="3CB29630" w14:textId="77777777">
      <w:pPr>
        <w:pStyle w:val="1046"/>
        <w:pBdr/>
        <w:spacing/>
        <w:ind/>
        <w:rPr>
          <w:szCs w:val="22"/>
        </w:rPr>
      </w:pPr>
      <w:r>
        <w:rPr>
          <w:szCs w:val="22"/>
        </w:rPr>
        <w:fldChar w:fldCharType="begin"/>
        <w:instrText xml:space="preserve">TC "13. Term and termination" \l 1</w:instrText>
        <w:fldChar w:fldCharType="end"/>
      </w:r>
      <w:bookmarkStart w:id="136" w:name="a829758"/>
      <w:r/>
      <w:bookmarkStart w:id="137" w:name="_Toc106276024"/>
      <w:r>
        <w:rPr>
          <w:szCs w:val="22"/>
        </w:rPr>
        <w:t xml:space="preserve">Term and termination</w:t>
      </w:r>
      <w:bookmarkEnd w:id="136"/>
      <w:r/>
      <w:bookmarkEnd w:id="137"/>
      <w:r>
        <w:rPr>
          <w:szCs w:val="22"/>
        </w:rPr>
      </w:r>
    </w:p>
    <w:p w14:paraId="44D7313D" w14:textId="77777777">
      <w:pPr>
        <w:pStyle w:val="1089"/>
        <w:pBdr/>
        <w:spacing/>
        <w:ind/>
        <w:rPr>
          <w:szCs w:val="22"/>
        </w:rPr>
      </w:pPr>
      <w:r/>
      <w:bookmarkStart w:id="138" w:name="a729581"/>
      <w:r>
        <w:rPr>
          <w:szCs w:val="22"/>
        </w:rPr>
        <w:t xml:space="preserve">This agreement shall commence on the Effective Date.</w:t>
      </w:r>
    </w:p>
    <w:p w14:paraId="30C0F218" w14:textId="3A481326">
      <w:pPr>
        <w:pStyle w:val="1089"/>
        <w:pBdr/>
        <w:spacing/>
        <w:ind/>
        <w:rPr>
          <w:szCs w:val="22"/>
        </w:rPr>
      </w:pPr>
      <w:r>
        <w:rPr>
          <w:szCs w:val="22"/>
        </w:rPr>
        <w:t xml:space="preserve">Either party may, at any time on not less than </w:t>
      </w:r>
      <w:commentRangeStart w:id="10"/>
      <w:r>
        <w:rPr>
          <w:szCs w:val="22"/>
        </w:rPr>
        <w:t xml:space="preserve">60 days’ written notice</w:t>
      </w:r>
      <w:commentRangeEnd w:id="10"/>
      <w:r>
        <w:commentReference w:id="10"/>
      </w:r>
      <w:r>
        <w:rPr>
          <w:szCs w:val="22"/>
        </w:rPr>
        <w:t xml:space="preserve">, terminate the agreement.</w:t>
      </w:r>
    </w:p>
    <w:p w14:paraId="57084E2E" w14:textId="77777777">
      <w:pPr>
        <w:pStyle w:val="1089"/>
        <w:pBdr/>
        <w:spacing/>
        <w:ind/>
        <w:rPr>
          <w:szCs w:val="22"/>
        </w:rPr>
      </w:pPr>
      <w:r/>
      <w:bookmarkStart w:id="140" w:name="a295692"/>
      <w:r/>
      <w:bookmarkEnd w:id="138"/>
      <w:r>
        <w:rPr>
          <w:szCs w:val="22"/>
        </w:rPr>
        <w:t xml:space="preserve">Without affecting any other right or remedy available to it, either party may terminate this agreement with immediate effect by giving written notice to the other party if:</w:t>
      </w:r>
      <w:bookmarkEnd w:id="140"/>
      <w:r>
        <w:rPr>
          <w:szCs w:val="22"/>
        </w:rPr>
      </w:r>
    </w:p>
    <w:p w14:paraId="74AC0C3B" w14:textId="54962500">
      <w:pPr>
        <w:pStyle w:val="1091"/>
        <w:pBdr/>
        <w:spacing/>
        <w:ind/>
        <w:rPr>
          <w:szCs w:val="22"/>
        </w:rPr>
      </w:pPr>
      <w:r/>
      <w:bookmarkStart w:id="141" w:name="a331781"/>
      <w:r>
        <w:rPr>
          <w:szCs w:val="22"/>
        </w:rPr>
        <w:t xml:space="preserve">the other party fails to pay any amount due under this agreement on the due date for payment and remains in default not less than 7 days after being notified in writing to make such payment;</w:t>
      </w:r>
      <w:bookmarkEnd w:id="141"/>
      <w:r>
        <w:rPr>
          <w:szCs w:val="22"/>
        </w:rPr>
      </w:r>
    </w:p>
    <w:p w14:paraId="075E2541" w14:textId="4C701655">
      <w:pPr>
        <w:pStyle w:val="1091"/>
        <w:pBdr/>
        <w:spacing/>
        <w:ind/>
        <w:rPr>
          <w:szCs w:val="22"/>
        </w:rPr>
      </w:pPr>
      <w:r/>
      <w:bookmarkStart w:id="142" w:name="a957934"/>
      <w:r>
        <w:rPr>
          <w:szCs w:val="22"/>
        </w:rPr>
        <w:t xml:space="preserve">the other party commits a material breach of any term of this agreement and (if such breach is remediable) fails to remedy that breach within a period of 30 days after being notified in writing to do so;</w:t>
      </w:r>
      <w:bookmarkEnd w:id="142"/>
      <w:r>
        <w:rPr>
          <w:szCs w:val="22"/>
        </w:rPr>
      </w:r>
    </w:p>
    <w:p w14:paraId="0315873C" w14:textId="11E093EE">
      <w:pPr>
        <w:pStyle w:val="1091"/>
        <w:pBdr/>
        <w:spacing/>
        <w:ind/>
        <w:rPr/>
      </w:pPr>
      <w:r/>
      <w:bookmarkStart w:id="143" w:name="_Hlk108103866"/>
      <w:r>
        <w:fldChar w:fldCharType="begin"/>
        <w:fldChar w:fldCharType="end"/>
        <w:t xml:space="preserve">the other party repeatedly breaches any of the terms of this agreement in such a manner as to reasonably justify the opinion that its conduct is inconsistent with it having the intention or ability to give effect to the terms of this agreement;</w:t>
      </w:r>
      <w:bookmarkEnd w:id="143"/>
      <w:r/>
    </w:p>
    <w:p w14:paraId="41C7DECB" w14:textId="77777777">
      <w:pPr>
        <w:pStyle w:val="1091"/>
        <w:pBdr/>
        <w:spacing/>
        <w:ind/>
        <w:rPr>
          <w:szCs w:val="22"/>
        </w:rPr>
      </w:pPr>
      <w:r/>
      <w:bookmarkStart w:id="144" w:name="a715668"/>
      <w:r>
        <w:rPr>
          <w:szCs w:val="22"/>
        </w:rPr>
        <w:t xml:space="preserve">the other party suspends, or threatens to suspend, payment of its debts or is unable to pay its debts as they fall due or admits inability to pay its debts or is deemed unable to pay its debts within the meaning of section 570 of the Companies Act 2014 ;</w:t>
      </w:r>
      <w:bookmarkEnd w:id="144"/>
      <w:r>
        <w:rPr>
          <w:szCs w:val="22"/>
        </w:rPr>
      </w:r>
    </w:p>
    <w:p w14:paraId="2BBAE3B8" w14:textId="531FB780">
      <w:pPr>
        <w:pStyle w:val="1091"/>
        <w:pBdr/>
        <w:spacing/>
        <w:ind/>
        <w:rPr>
          <w:szCs w:val="22"/>
        </w:rPr>
      </w:pPr>
      <w:r/>
      <w:bookmarkStart w:id="145" w:name="a305525"/>
      <w:r>
        <w:rPr>
          <w:szCs w:val="22"/>
        </w:rPr>
        <w:t xml:space="preserve">the other party commences negotiations with all or any class of any of its creditors with a view to rescheduling any of its debts, or makes a proposal for or enters into any compromise or arrangement with its creditors other than (being a company) for the sole purpose of a scheme for a solvent amalgamation of that other party with one or more other companies or the solvent reconstruction of that other party;</w:t>
      </w:r>
      <w:bookmarkEnd w:id="145"/>
      <w:r>
        <w:rPr>
          <w:szCs w:val="22"/>
        </w:rPr>
      </w:r>
    </w:p>
    <w:p w14:paraId="3BBED8BE" w14:textId="77777777">
      <w:pPr>
        <w:pStyle w:val="1091"/>
        <w:pBdr/>
        <w:spacing/>
        <w:ind/>
        <w:rPr>
          <w:szCs w:val="22"/>
        </w:rPr>
      </w:pPr>
      <w:r/>
      <w:bookmarkStart w:id="146" w:name="a90948"/>
      <w:r>
        <w:rPr>
          <w:szCs w:val="22"/>
        </w:rPr>
        <w:t xml:space="preserve">a petition is filed, a notice is given, a resolution is passed, or an order is made, for or in connection with the winding up of the other party;</w:t>
      </w:r>
      <w:bookmarkEnd w:id="146"/>
      <w:r>
        <w:rPr>
          <w:szCs w:val="22"/>
        </w:rPr>
      </w:r>
    </w:p>
    <w:p w14:paraId="238DD521" w14:textId="77777777">
      <w:pPr>
        <w:pStyle w:val="1091"/>
        <w:pBdr/>
        <w:spacing/>
        <w:ind/>
        <w:rPr>
          <w:szCs w:val="22"/>
        </w:rPr>
      </w:pPr>
      <w:r/>
      <w:bookmarkStart w:id="147" w:name="a203523"/>
      <w:r>
        <w:rPr>
          <w:szCs w:val="22"/>
        </w:rPr>
        <w:t xml:space="preserve">an application is made to court, or an order is made, for the appointment of an examiner, or if a notice of intention to appoint an examiner is given or if an examiner is appointed, over the other party (being a company, partnership or limited liability partnership);</w:t>
      </w:r>
      <w:bookmarkEnd w:id="147"/>
      <w:r>
        <w:rPr>
          <w:szCs w:val="22"/>
        </w:rPr>
      </w:r>
    </w:p>
    <w:p w14:paraId="1336203E" w14:textId="77777777">
      <w:pPr>
        <w:pStyle w:val="1091"/>
        <w:pBdr/>
        <w:spacing/>
        <w:ind/>
        <w:rPr>
          <w:szCs w:val="22"/>
        </w:rPr>
      </w:pPr>
      <w:r/>
      <w:bookmarkStart w:id="148" w:name="a836104"/>
      <w:r>
        <w:rPr>
          <w:szCs w:val="22"/>
        </w:rPr>
        <w:t xml:space="preserve">the holder of a qualifying floating charge over the assets of that other party (being a company or limited liability partnership) has become entitled to appoint or has appointed an administrative receiver;</w:t>
      </w:r>
      <w:bookmarkEnd w:id="148"/>
      <w:r>
        <w:rPr>
          <w:szCs w:val="22"/>
        </w:rPr>
      </w:r>
    </w:p>
    <w:p w14:paraId="1E7FA86B" w14:textId="77777777">
      <w:pPr>
        <w:pStyle w:val="1091"/>
        <w:pBdr/>
        <w:spacing/>
        <w:ind/>
        <w:rPr>
          <w:szCs w:val="22"/>
        </w:rPr>
      </w:pPr>
      <w:r/>
      <w:bookmarkStart w:id="149" w:name="a493351"/>
      <w:r>
        <w:rPr>
          <w:szCs w:val="22"/>
        </w:rPr>
        <w:t xml:space="preserve">a person becomes entitled to appoint a receiver over all or any of the assets of the other party or a receiver is appointed over all or any of the assets of the other party;</w:t>
      </w:r>
      <w:bookmarkEnd w:id="149"/>
      <w:r>
        <w:rPr>
          <w:szCs w:val="22"/>
        </w:rPr>
      </w:r>
    </w:p>
    <w:p w14:paraId="226CC5B3" w14:textId="77777777">
      <w:pPr>
        <w:pStyle w:val="1091"/>
        <w:pBdr/>
        <w:spacing/>
        <w:ind/>
        <w:rPr>
          <w:szCs w:val="22"/>
        </w:rPr>
      </w:pPr>
      <w:r/>
      <w:bookmarkStart w:id="150" w:name="a990453"/>
      <w:r>
        <w:rPr>
          <w:szCs w:val="22"/>
        </w:rPr>
        <w:t xml:space="preserve">a creditor or encumbrancer of the other party attaches or takes possession of, or a distress, execution, sequestration or other such process is levied or enforced on or sued against, the whole or any part of the other party's assets and such attachment or process is not discharged within 14 days;</w:t>
      </w:r>
      <w:bookmarkEnd w:id="150"/>
      <w:r>
        <w:rPr>
          <w:szCs w:val="22"/>
        </w:rPr>
      </w:r>
    </w:p>
    <w:p w14:paraId="41E919AD" w14:textId="387A7D5D">
      <w:pPr>
        <w:pStyle w:val="1091"/>
        <w:pBdr/>
        <w:spacing/>
        <w:ind/>
        <w:rPr>
          <w:szCs w:val="22"/>
        </w:rPr>
      </w:pPr>
      <w:r/>
      <w:bookmarkStart w:id="151" w:name="a469452"/>
      <w:r>
        <w:rPr>
          <w:szCs w:val="22"/>
        </w:rPr>
        <w:t xml:space="preserve">any event occurs, or proceeding is taken, with respect to the other party in any jurisdiction to which it is subject that has an effect equivalent or similar to any of the events mentioned in </w:t>
        <w:fldChar w:fldCharType="begin"/>
        <w:instrText xml:space="preserve">PAGEREF a715668\# "'clause '"  \h</w:instrText>
        <w:fldChar w:fldCharType="separate"/>
        <w:t xml:space="preserve">clause </w:t>
        <w:fldChar w:fldCharType="end"/>
        <w:fldChar w:fldCharType="begin"/>
        <w:instrText xml:space="preserve">REF a715668 \h \w</w:instrText>
        <w:instrText xml:space="preserve"> \* MERGEFORMAT </w:instrText>
        <w:fldChar w:fldCharType="separate"/>
        <w:t xml:space="preserve">13.3(c)</w:t>
        <w:fldChar w:fldCharType="end"/>
        <w:t xml:space="preserve"> to </w:t>
        <w:fldChar w:fldCharType="begin"/>
        <w:instrText xml:space="preserve">PAGEREF a990453\# "'clause '"  \h</w:instrText>
        <w:fldChar w:fldCharType="separate"/>
        <w:t xml:space="preserve">clause </w:t>
        <w:fldChar w:fldCharType="end"/>
        <w:fldChar w:fldCharType="begin"/>
        <w:instrText xml:space="preserve">REF a990453 \h \w</w:instrText>
        <w:instrText xml:space="preserve"> \* MERGEFORMAT </w:instrText>
        <w:fldChar w:fldCharType="separate"/>
        <w:t xml:space="preserve">13.3(i)</w:t>
        <w:fldChar w:fldCharType="end"/>
        <w:t xml:space="preserve"> (inclusive);</w:t>
      </w:r>
      <w:bookmarkEnd w:id="151"/>
      <w:r>
        <w:rPr>
          <w:szCs w:val="22"/>
        </w:rPr>
      </w:r>
    </w:p>
    <w:p w14:paraId="268ADDC9" w14:textId="77777777">
      <w:pPr>
        <w:pStyle w:val="1091"/>
        <w:pBdr/>
        <w:spacing/>
        <w:ind/>
        <w:rPr>
          <w:szCs w:val="22"/>
        </w:rPr>
      </w:pPr>
      <w:r/>
      <w:bookmarkStart w:id="152" w:name="a853028"/>
      <w:r>
        <w:rPr>
          <w:szCs w:val="22"/>
        </w:rPr>
        <w:t xml:space="preserve">the other party suspends or ceases, or threatens to suspend or cease, carrying on all or a substantial part of its business; or</w:t>
      </w:r>
      <w:bookmarkEnd w:id="152"/>
      <w:r>
        <w:rPr>
          <w:szCs w:val="22"/>
        </w:rPr>
      </w:r>
    </w:p>
    <w:p w14:paraId="386B3CFD" w14:textId="3FC4999B">
      <w:pPr>
        <w:pStyle w:val="1091"/>
        <w:pBdr/>
        <w:spacing/>
        <w:ind/>
        <w:rPr>
          <w:szCs w:val="22"/>
        </w:rPr>
      </w:pPr>
      <w:r/>
      <w:bookmarkStart w:id="153" w:name="a265576"/>
      <w:r>
        <w:rPr>
          <w:szCs w:val="22"/>
        </w:rPr>
        <w:t xml:space="preserve">the other party's financial position deteriorates so far as to reasonably justify the opinion that its ability to give effect to the terms of this agreement is in jeopardy; or</w:t>
      </w:r>
      <w:bookmarkEnd w:id="153"/>
      <w:r>
        <w:rPr>
          <w:szCs w:val="22"/>
        </w:rPr>
      </w:r>
    </w:p>
    <w:p w14:paraId="050F8F01" w14:textId="7620DFBF">
      <w:pPr>
        <w:pStyle w:val="1091"/>
        <w:pBdr/>
        <w:spacing/>
        <w:ind/>
        <w:rPr>
          <w:szCs w:val="22"/>
        </w:rPr>
      </w:pPr>
      <w:r/>
      <w:bookmarkStart w:id="154" w:name="a905560"/>
      <w:r>
        <w:rPr>
          <w:szCs w:val="22"/>
        </w:rPr>
        <w:t xml:space="preserve">any warranty given by the other party in </w:t>
        <w:fldChar w:fldCharType="begin"/>
        <w:instrText xml:space="preserve">PAGEREF a834623\# "'clause '"  \h</w:instrText>
        <w:fldChar w:fldCharType="separate"/>
        <w:t xml:space="preserve">clause </w:t>
        <w:fldChar w:fldCharType="end"/>
        <w:fldChar w:fldCharType="begin"/>
        <w:instrText xml:space="preserve">REF a834623 \h \w</w:instrText>
        <w:instrText xml:space="preserve"> \* MERGEFORMAT </w:instrText>
        <w:fldChar w:fldCharType="separate"/>
        <w:t xml:space="preserve">8</w:t>
        <w:fldChar w:fldCharType="end"/>
        <w:t xml:space="preserve"> of this agreement is found to be untrue or misleading.</w:t>
      </w:r>
      <w:bookmarkEnd w:id="154"/>
      <w:r>
        <w:rPr>
          <w:szCs w:val="22"/>
        </w:rPr>
      </w:r>
    </w:p>
    <w:p w14:paraId="7DAD07B7" w14:textId="70280D83">
      <w:pPr>
        <w:pStyle w:val="1089"/>
        <w:pBdr/>
        <w:spacing/>
        <w:ind/>
        <w:rPr>
          <w:szCs w:val="22"/>
        </w:rPr>
      </w:pPr>
      <w:r/>
      <w:bookmarkStart w:id="155" w:name="a184834"/>
      <w:r>
        <w:rPr>
          <w:szCs w:val="22"/>
        </w:rPr>
        <w:t xml:space="preserve">On termination of this agreement by the Developer under </w:t>
        <w:fldChar w:fldCharType="begin"/>
        <w:instrText xml:space="preserve">PAGEREF a295692\# "'clause '"  \h</w:instrText>
        <w:fldChar w:fldCharType="separate"/>
        <w:t xml:space="preserve">clause </w:t>
        <w:fldChar w:fldCharType="end"/>
        <w:fldChar w:fldCharType="begin"/>
        <w:instrText xml:space="preserve">REF a295692 \h \w</w:instrText>
        <w:instrText xml:space="preserve"> \* MERGEFORMAT </w:instrText>
        <w:fldChar w:fldCharType="separate"/>
        <w:t xml:space="preserve">13.3</w:t>
        <w:fldChar w:fldCharType="end"/>
        <w:t xml:space="preserve">, all licences granted by the Developer under this agreement shall terminate immediately.</w:t>
      </w:r>
      <w:bookmarkEnd w:id="155"/>
      <w:r>
        <w:rPr>
          <w:szCs w:val="22"/>
        </w:rPr>
      </w:r>
    </w:p>
    <w:p w14:paraId="720DE852" w14:textId="78D83B89">
      <w:pPr>
        <w:pStyle w:val="1089"/>
        <w:pBdr/>
        <w:spacing/>
        <w:ind/>
        <w:rPr>
          <w:szCs w:val="22"/>
        </w:rPr>
      </w:pPr>
      <w:r/>
      <w:bookmarkStart w:id="156" w:name="a195515"/>
      <w:r>
        <w:rPr>
          <w:szCs w:val="22"/>
        </w:rPr>
        <w:t xml:space="preserve">On expiry or termination of this agreement for any reason (and notwithstanding </w:t>
        <w:fldChar w:fldCharType="begin"/>
        <w:instrText xml:space="preserve">PAGEREF a295692\# "'clause '"  \h</w:instrText>
        <w:fldChar w:fldCharType="separate"/>
        <w:t xml:space="preserve">clause </w:t>
        <w:fldChar w:fldCharType="end"/>
        <w:fldChar w:fldCharType="begin"/>
        <w:instrText xml:space="preserve">REF a295692 \h \w</w:instrText>
        <w:instrText xml:space="preserve"> \* MERGEFORMAT </w:instrText>
        <w:fldChar w:fldCharType="separate"/>
        <w:t xml:space="preserve">13.3</w:t>
        <w:fldChar w:fldCharType="end"/>
        <w:t xml:space="preserve">), the Developer shall, at no additional cost to the Customer and irrespective of the reason for termination, promptly hand over the Site to the Customer or its nominated replacement supplier, including the complete source code and repository history, all build, deployment and hosting configuration, DNS and TLS control, administrator and third-party service credentials, a full export of all content and databases, the Materials, and all associated documentation, together with reasonable transition assistance so as to avoid any interruption to the Site, as further described in the RFT (Appendix 1, Section 4.6).</w:t>
      </w:r>
      <w:bookmarkEnd w:id="156"/>
      <w:r>
        <w:rPr>
          <w:szCs w:val="22"/>
        </w:rPr>
      </w:r>
    </w:p>
    <w:p w14:paraId="1A9680E9" w14:textId="77777777">
      <w:pPr>
        <w:pStyle w:val="1089"/>
        <w:pBdr/>
        <w:spacing/>
        <w:ind/>
        <w:rPr>
          <w:szCs w:val="22"/>
        </w:rPr>
      </w:pPr>
      <w:r/>
      <w:bookmarkStart w:id="157" w:name="a163471"/>
      <w:r>
        <w:rPr>
          <w:szCs w:val="22"/>
        </w:rPr>
        <w:t xml:space="preserve">On expiry or termination of this agreement, all provisions of this agreement shall cease to have effect, except that any provision which can reasonably be inferred as continuing or is expressly stated to continue shall continue in full force and effect.</w:t>
      </w:r>
      <w:bookmarkEnd w:id="157"/>
      <w:r>
        <w:rPr>
          <w:szCs w:val="22"/>
        </w:rPr>
      </w:r>
    </w:p>
    <w:p w14:paraId="473D5AF5" w14:textId="77777777">
      <w:pPr>
        <w:pStyle w:val="1046"/>
        <w:pBdr/>
        <w:spacing/>
        <w:ind/>
        <w:rPr>
          <w:szCs w:val="22"/>
        </w:rPr>
      </w:pPr>
      <w:r>
        <w:rPr>
          <w:szCs w:val="22"/>
        </w:rPr>
        <w:fldChar w:fldCharType="begin"/>
        <w:instrText xml:space="preserve">TC "14. Change control" \l 1</w:instrText>
        <w:fldChar w:fldCharType="end"/>
      </w:r>
      <w:bookmarkStart w:id="158" w:name="a259603"/>
      <w:r/>
      <w:bookmarkStart w:id="159" w:name="_Toc106277140"/>
      <w:r>
        <w:rPr>
          <w:szCs w:val="22"/>
        </w:rPr>
        <w:t xml:space="preserve">Change control</w:t>
      </w:r>
      <w:bookmarkEnd w:id="158"/>
      <w:r/>
      <w:bookmarkEnd w:id="159"/>
      <w:r>
        <w:rPr>
          <w:szCs w:val="22"/>
        </w:rPr>
      </w:r>
    </w:p>
    <w:p w14:paraId="5A0B3979" w14:textId="66E4452E">
      <w:pPr>
        <w:pStyle w:val="1089"/>
        <w:pBdr/>
        <w:spacing/>
        <w:ind/>
        <w:rPr>
          <w:szCs w:val="22"/>
        </w:rPr>
      </w:pPr>
      <w:r>
        <w:rPr>
          <w:szCs w:val="22"/>
        </w:rPr>
        <w:t xml:space="preserve">The Customer will notify the Developer in writing of any requested changes to the Service Level at least 30 days in advance of the month start in which they are to occur.</w:t>
      </w:r>
    </w:p>
    <w:p w14:paraId="5E58D9A1" w14:textId="68C82B81">
      <w:pPr>
        <w:pStyle w:val="1089"/>
        <w:pBdr/>
        <w:spacing/>
        <w:ind/>
        <w:rPr>
          <w:szCs w:val="22"/>
        </w:rPr>
      </w:pPr>
      <w:r>
        <w:rPr>
          <w:szCs w:val="22"/>
        </w:rPr>
        <w:t xml:space="preserve">The Developer must confirm to the Customer within 14 days of any associated changes to the Charges as a result of the changes to the Service Level.</w:t>
      </w:r>
    </w:p>
    <w:p w14:paraId="20D79A01" w14:textId="42F576C6">
      <w:pPr>
        <w:pStyle w:val="1089"/>
        <w:pBdr/>
        <w:spacing/>
        <w:ind/>
        <w:rPr>
          <w:szCs w:val="22"/>
        </w:rPr>
      </w:pPr>
      <w:r>
        <w:rPr>
          <w:szCs w:val="22"/>
        </w:rPr>
        <w:t xml:space="preserve">All changes to the Service Level must be accepted and confirmed by the Developer in writing before the new Service Level can take effect. </w:t>
      </w:r>
    </w:p>
    <w:p w14:paraId="50315C9A" w14:textId="763559C7">
      <w:pPr>
        <w:pStyle w:val="1089"/>
        <w:pBdr/>
        <w:spacing/>
        <w:ind/>
        <w:rPr>
          <w:szCs w:val="22"/>
        </w:rPr>
      </w:pPr>
      <w:r>
        <w:rPr>
          <w:szCs w:val="22"/>
        </w:rPr>
        <w:t xml:space="preserve">In respect of an increase to the Service Level, the Developer reserves the right to defer or delay the commencement of the increased Service Level until such time as the necessary resources can be put in place.  </w:t>
      </w:r>
    </w:p>
    <w:p w14:paraId="37D58139" w14:textId="3E6D3A9C">
      <w:pPr>
        <w:pStyle w:val="1046"/>
        <w:pBdr/>
        <w:spacing/>
        <w:ind/>
        <w:rPr>
          <w:szCs w:val="22"/>
        </w:rPr>
      </w:pPr>
      <w:r>
        <w:rPr>
          <w:szCs w:val="22"/>
        </w:rPr>
        <w:fldChar w:fldCharType="begin"/>
        <w:instrText xml:space="preserve">TC "15. Force majeure" \l 1</w:instrText>
        <w:fldChar w:fldCharType="end"/>
      </w:r>
      <w:bookmarkStart w:id="160" w:name="a836394"/>
      <w:r/>
      <w:bookmarkStart w:id="161" w:name="_Toc106276025"/>
      <w:r>
        <w:rPr>
          <w:szCs w:val="22"/>
        </w:rPr>
        <w:t xml:space="preserve">Force majeure</w:t>
      </w:r>
      <w:bookmarkEnd w:id="160"/>
      <w:r/>
      <w:bookmarkEnd w:id="161"/>
      <w:r>
        <w:rPr>
          <w:szCs w:val="22"/>
        </w:rPr>
      </w:r>
    </w:p>
    <w:p w14:paraId="14CB3124" w14:textId="1C8C4A03">
      <w:pPr>
        <w:pStyle w:val="1221"/>
        <w:pBdr/>
        <w:spacing/>
        <w:ind/>
        <w:rPr>
          <w:szCs w:val="22"/>
        </w:rPr>
      </w:pPr>
      <w:r/>
      <w:bookmarkStart w:id="162" w:name="a808395"/>
      <w:r>
        <w:rPr>
          <w:szCs w:val="22"/>
        </w:rPr>
        <w:t xml:space="preserve">Neither party shall be in breach of this agreement nor liable for delay in performing, or failure to perform, any of its obligations under this agreement if such delay or failure result from events, circumstances or causes beyond its reasonable control. In such circumstances the affected party shall be entitled to a reasonable extension of the time for performing such obligations. If the period of delay or non-performance continues for 2 months, the party not affected may terminate this agreement by giving 30 days’ written notice to the affected party.</w:t>
      </w:r>
      <w:bookmarkEnd w:id="162"/>
      <w:r>
        <w:rPr>
          <w:szCs w:val="22"/>
        </w:rPr>
      </w:r>
    </w:p>
    <w:p w14:paraId="5228E5DA" w14:textId="77777777">
      <w:pPr>
        <w:pStyle w:val="1046"/>
        <w:pBdr/>
        <w:spacing/>
        <w:ind/>
        <w:rPr>
          <w:szCs w:val="22"/>
        </w:rPr>
      </w:pPr>
      <w:r>
        <w:rPr>
          <w:szCs w:val="22"/>
        </w:rPr>
        <w:fldChar w:fldCharType="begin"/>
        <w:instrText xml:space="preserve">TC "16. Confidentiality" \l 1</w:instrText>
        <w:fldChar w:fldCharType="end"/>
      </w:r>
      <w:bookmarkStart w:id="164" w:name="a793669"/>
      <w:r/>
      <w:bookmarkStart w:id="165" w:name="_Toc106276026"/>
      <w:r>
        <w:rPr>
          <w:szCs w:val="22"/>
        </w:rPr>
        <w:t xml:space="preserve">Confidentiality</w:t>
      </w:r>
      <w:bookmarkEnd w:id="164"/>
      <w:r/>
      <w:bookmarkEnd w:id="165"/>
      <w:r>
        <w:rPr>
          <w:szCs w:val="22"/>
        </w:rPr>
      </w:r>
    </w:p>
    <w:p w14:paraId="0606C9BF" w14:textId="39DDC74B">
      <w:pPr>
        <w:pStyle w:val="1089"/>
        <w:pBdr/>
        <w:spacing/>
        <w:ind/>
        <w:rPr>
          <w:szCs w:val="22"/>
        </w:rPr>
      </w:pPr>
      <w:r/>
      <w:bookmarkStart w:id="166" w:name="a547999"/>
      <w:r>
        <w:rPr>
          <w:szCs w:val="22"/>
        </w:rPr>
        <w:t xml:space="preserve">Each party undertakes that it shall not at any time during this agreement, and for a period of three (3) years after termination or expiry of this agreement, disclose to any person any confidential information concerning the business, affairs, customers, clients or Developers of the other party</w:t>
      </w:r>
      <w:r>
        <w:rPr>
          <w:rFonts w:cs="Arial"/>
        </w:rPr>
        <w:t xml:space="preserve"> or of any member of the group of companies to which the other party belongs</w:t>
      </w:r>
      <w:r>
        <w:rPr>
          <w:szCs w:val="22"/>
        </w:rPr>
        <w:t xml:space="preserve">, except as permitted by </w:t>
        <w:fldChar w:fldCharType="begin"/>
        <w:instrText xml:space="preserve">PAGEREF a946187\# "'clause '"  \h</w:instrText>
        <w:fldChar w:fldCharType="separate"/>
        <w:t xml:space="preserve">clause </w:t>
        <w:fldChar w:fldCharType="end"/>
        <w:fldChar w:fldCharType="begin"/>
        <w:instrText xml:space="preserve">REF a946187 \h \w</w:instrText>
        <w:instrText xml:space="preserve"> \* MERGEFORMAT </w:instrText>
        <w:fldChar w:fldCharType="separate"/>
        <w:t xml:space="preserve">15.2</w:t>
        <w:fldChar w:fldCharType="end"/>
        <w:t xml:space="preserve">.</w:t>
      </w:r>
      <w:bookmarkEnd w:id="166"/>
      <w:r>
        <w:rPr>
          <w:szCs w:val="22"/>
        </w:rPr>
      </w:r>
    </w:p>
    <w:p w14:paraId="4D7646EE" w14:textId="77777777">
      <w:pPr>
        <w:pStyle w:val="1089"/>
        <w:pBdr/>
        <w:spacing/>
        <w:ind/>
        <w:rPr>
          <w:szCs w:val="22"/>
        </w:rPr>
      </w:pPr>
      <w:r/>
      <w:bookmarkStart w:id="167" w:name="a946187"/>
      <w:r>
        <w:rPr>
          <w:szCs w:val="22"/>
        </w:rPr>
        <w:t xml:space="preserve">Each party may disclose the other party's confidential information:</w:t>
      </w:r>
      <w:bookmarkEnd w:id="167"/>
      <w:r>
        <w:rPr>
          <w:szCs w:val="22"/>
        </w:rPr>
      </w:r>
    </w:p>
    <w:p w14:paraId="4D8BE82F" w14:textId="02F5D629">
      <w:pPr>
        <w:pStyle w:val="1091"/>
        <w:pBdr/>
        <w:spacing/>
        <w:ind/>
        <w:rPr>
          <w:szCs w:val="22"/>
        </w:rPr>
      </w:pPr>
      <w:r/>
      <w:bookmarkStart w:id="168" w:name="a780898"/>
      <w:r>
        <w:rPr>
          <w:szCs w:val="22"/>
        </w:rPr>
        <w:t xml:space="preserve">to its employees, officers, representatives, contractors, subcontractors or advisers who need to know such information for the purposes of exercising the party's rights or carrying out its obligations under or in connection with this agreement. Each party shall ensure that its employees, officers, representatives, contractors, subcontractors or advisers to whom it discloses the other party's confidential information comply with this </w:t>
        <w:fldChar w:fldCharType="begin"/>
        <w:instrText xml:space="preserve">PAGEREF a793669\# "'clause '"  \h</w:instrText>
        <w:fldChar w:fldCharType="separate"/>
        <w:t xml:space="preserve">clause </w:t>
        <w:fldChar w:fldCharType="end"/>
        <w:fldChar w:fldCharType="begin"/>
        <w:instrText xml:space="preserve">REF a793669 \h \w</w:instrText>
        <w:instrText xml:space="preserve"> \* MERGEFORMAT </w:instrText>
        <w:fldChar w:fldCharType="separate"/>
        <w:t xml:space="preserve">15</w:t>
        <w:fldChar w:fldCharType="end"/>
        <w:t xml:space="preserve">; and</w:t>
      </w:r>
      <w:bookmarkEnd w:id="168"/>
      <w:r>
        <w:rPr>
          <w:szCs w:val="22"/>
        </w:rPr>
      </w:r>
    </w:p>
    <w:p w14:paraId="0B57371B" w14:textId="77777777">
      <w:pPr>
        <w:pStyle w:val="1091"/>
        <w:pBdr/>
        <w:spacing/>
        <w:ind/>
        <w:rPr>
          <w:szCs w:val="22"/>
        </w:rPr>
      </w:pPr>
      <w:r/>
      <w:bookmarkStart w:id="169" w:name="a823430"/>
      <w:r>
        <w:rPr>
          <w:szCs w:val="22"/>
        </w:rPr>
        <w:t xml:space="preserve">as may be required by law, a court of competent jurisdiction or any governmental or regulatory authority.</w:t>
      </w:r>
      <w:bookmarkEnd w:id="169"/>
      <w:r>
        <w:rPr>
          <w:szCs w:val="22"/>
        </w:rPr>
      </w:r>
    </w:p>
    <w:p w14:paraId="2BE9CD18" w14:textId="77777777">
      <w:pPr>
        <w:pStyle w:val="1089"/>
        <w:pBdr/>
        <w:spacing/>
        <w:ind/>
        <w:rPr>
          <w:szCs w:val="22"/>
        </w:rPr>
      </w:pPr>
      <w:r/>
      <w:bookmarkStart w:id="170" w:name="a725573"/>
      <w:r>
        <w:rPr>
          <w:szCs w:val="22"/>
        </w:rPr>
        <w:t xml:space="preserve">No party shall use any other party's confidential information for any purpose other than to exercise its rights and perform its obligations under or in connection with this agreement.</w:t>
      </w:r>
      <w:bookmarkEnd w:id="170"/>
      <w:r>
        <w:rPr>
          <w:szCs w:val="22"/>
        </w:rPr>
      </w:r>
    </w:p>
    <w:p w14:paraId="436DD3BB" w14:textId="77777777">
      <w:pPr>
        <w:pStyle w:val="1046"/>
        <w:pBdr/>
        <w:spacing/>
        <w:ind/>
        <w:rPr>
          <w:szCs w:val="22"/>
        </w:rPr>
      </w:pPr>
      <w:r>
        <w:rPr>
          <w:szCs w:val="22"/>
        </w:rPr>
        <w:fldChar w:fldCharType="begin"/>
        <w:instrText xml:space="preserve">TC "17. Notices" \l 1</w:instrText>
        <w:fldChar w:fldCharType="end"/>
      </w:r>
      <w:bookmarkStart w:id="171" w:name="a537081"/>
      <w:r/>
      <w:bookmarkStart w:id="172" w:name="_Toc106276027"/>
      <w:r>
        <w:rPr>
          <w:szCs w:val="22"/>
        </w:rPr>
        <w:t xml:space="preserve">Notices</w:t>
      </w:r>
      <w:bookmarkEnd w:id="171"/>
      <w:r/>
      <w:bookmarkEnd w:id="172"/>
      <w:r>
        <w:rPr>
          <w:szCs w:val="22"/>
        </w:rPr>
      </w:r>
    </w:p>
    <w:p w14:paraId="676087BF" w14:textId="07B794F9">
      <w:pPr>
        <w:pStyle w:val="1089"/>
        <w:pBdr/>
        <w:spacing/>
        <w:ind/>
        <w:rPr>
          <w:szCs w:val="22"/>
        </w:rPr>
      </w:pPr>
      <w:r/>
      <w:bookmarkStart w:id="173" w:name="a520663"/>
      <w:r>
        <w:rPr>
          <w:szCs w:val="22"/>
        </w:rPr>
        <w:t xml:space="preserve">Any notice or other communication given to a party under or in connection with this contract shall be in writing and shall be:</w:t>
      </w:r>
      <w:bookmarkEnd w:id="173"/>
      <w:r>
        <w:rPr>
          <w:szCs w:val="22"/>
        </w:rPr>
      </w:r>
    </w:p>
    <w:p w14:paraId="7D4489EB" w14:textId="1A94A7B1">
      <w:pPr>
        <w:pStyle w:val="1091"/>
        <w:pBdr/>
        <w:spacing/>
        <w:ind/>
        <w:rPr>
          <w:szCs w:val="22"/>
        </w:rPr>
      </w:pPr>
      <w:r/>
      <w:bookmarkStart w:id="174" w:name="a343839"/>
      <w:r>
        <w:rPr>
          <w:szCs w:val="22"/>
        </w:rPr>
        <w:t xml:space="preserve">delivered by hand or by pre-paid ordinary post or other next working day delivery service at its registered office (if a company) or its principal place of business (in any other case); or </w:t>
      </w:r>
      <w:bookmarkEnd w:id="174"/>
      <w:r>
        <w:rPr>
          <w:szCs w:val="22"/>
        </w:rPr>
      </w:r>
    </w:p>
    <w:p w14:paraId="51163183" w14:textId="6E088787">
      <w:pPr>
        <w:pStyle w:val="1091"/>
        <w:pBdr/>
        <w:spacing/>
        <w:ind/>
        <w:rPr>
          <w:szCs w:val="22"/>
        </w:rPr>
      </w:pPr>
      <w:r/>
      <w:bookmarkStart w:id="175" w:name="a739048"/>
      <w:r/>
      <w:bookmarkStart w:id="176" w:name="a659520"/>
      <w:r>
        <w:t xml:space="preserve">sent by email to the address of the other party specified </w:t>
      </w:r>
      <w:r>
        <w:rPr>
          <w:rFonts w:cs="Arial"/>
        </w:rPr>
        <w:t xml:space="preserve">in </w:t>
      </w:r>
      <w:r>
        <w:rPr>
          <w:rFonts w:cs="Arial"/>
          <w:i/>
          <w:iCs/>
        </w:rPr>
        <w:t xml:space="preserve">Clause 1.</w:t>
      </w:r>
      <w:bookmarkEnd w:id="175"/>
      <w:r>
        <w:rPr>
          <w:rFonts w:cs="Arial"/>
          <w:i/>
          <w:iCs/>
        </w:rPr>
        <w:t xml:space="preserve">1</w:t>
      </w:r>
      <w:r>
        <w:rPr>
          <w:szCs w:val="22"/>
        </w:rPr>
      </w:r>
    </w:p>
    <w:p w14:paraId="4C6CA041" w14:textId="6DB4D0B8">
      <w:pPr>
        <w:pStyle w:val="1089"/>
        <w:pBdr/>
        <w:spacing/>
        <w:ind/>
        <w:rPr>
          <w:szCs w:val="22"/>
        </w:rPr>
      </w:pPr>
      <w:r>
        <w:rPr>
          <w:szCs w:val="22"/>
        </w:rPr>
        <w:t xml:space="preserve">Any notice or communication shall be deemed to have been received:</w:t>
      </w:r>
      <w:bookmarkEnd w:id="176"/>
      <w:r>
        <w:rPr>
          <w:szCs w:val="22"/>
        </w:rPr>
      </w:r>
    </w:p>
    <w:p w14:paraId="7E4CAFE2" w14:textId="77777777">
      <w:pPr>
        <w:pStyle w:val="1091"/>
        <w:pBdr/>
        <w:spacing/>
        <w:ind/>
        <w:rPr>
          <w:szCs w:val="22"/>
        </w:rPr>
      </w:pPr>
      <w:r/>
      <w:bookmarkStart w:id="177" w:name="a553420"/>
      <w:r>
        <w:rPr>
          <w:szCs w:val="22"/>
        </w:rPr>
        <w:t xml:space="preserve">if delivered by hand, at the time the notice is left at the proper address;</w:t>
      </w:r>
      <w:bookmarkEnd w:id="177"/>
      <w:r>
        <w:rPr>
          <w:szCs w:val="22"/>
        </w:rPr>
      </w:r>
    </w:p>
    <w:p w14:paraId="5F045BDF" w14:textId="2BB286CB">
      <w:pPr>
        <w:pStyle w:val="1091"/>
        <w:pBdr/>
        <w:spacing/>
        <w:ind/>
        <w:rPr>
          <w:szCs w:val="22"/>
        </w:rPr>
      </w:pPr>
      <w:r/>
      <w:bookmarkStart w:id="178" w:name="a375883"/>
      <w:r>
        <w:rPr>
          <w:szCs w:val="22"/>
        </w:rPr>
        <w:t xml:space="preserve">if sent by pre-paid ordinary post or other next working day delivery service, at 5.00 pm on the second Business Day after posting;</w:t>
      </w:r>
      <w:bookmarkEnd w:id="178"/>
      <w:r>
        <w:rPr>
          <w:szCs w:val="22"/>
        </w:rPr>
      </w:r>
    </w:p>
    <w:p w14:paraId="45457412" w14:textId="4600C63E">
      <w:pPr>
        <w:pStyle w:val="1091"/>
        <w:pBdr/>
        <w:spacing/>
        <w:ind/>
        <w:rPr>
          <w:szCs w:val="22"/>
        </w:rPr>
      </w:pPr>
      <w:r/>
      <w:bookmarkStart w:id="179" w:name="a642916"/>
      <w:r>
        <w:rPr>
          <w:szCs w:val="22"/>
        </w:rPr>
        <w:t xml:space="preserve">if sent by email, at the time of transmission, or, if this time falls outside business hours in the place of receipt, when business hours resume. In this </w:t>
      </w:r>
      <w:r>
        <w:rPr>
          <w:i/>
          <w:szCs w:val="22"/>
        </w:rPr>
        <w:t xml:space="preserve">clause 17.2(c)</w:t>
      </w:r>
      <w:r>
        <w:rPr>
          <w:szCs w:val="22"/>
        </w:rPr>
        <w:t xml:space="preserve">, business hours means 9.00 am to 5.00 pm Monday to Friday on a day that is not a public holiday in the place of receipt.</w:t>
        <w:fldChar w:fldCharType="begin"/>
        <w:fldChar w:fldCharType="end"/>
      </w:r>
      <w:bookmarkEnd w:id="179"/>
      <w:r>
        <w:rPr>
          <w:szCs w:val="22"/>
        </w:rPr>
      </w:r>
    </w:p>
    <w:p w14:paraId="1482AC43" w14:textId="77777777">
      <w:pPr>
        <w:pStyle w:val="1089"/>
        <w:pBdr/>
        <w:spacing/>
        <w:ind/>
        <w:rPr>
          <w:szCs w:val="22"/>
        </w:rPr>
      </w:pPr>
      <w:r/>
      <w:bookmarkStart w:id="180" w:name="a242948"/>
      <w:r>
        <w:rPr>
          <w:szCs w:val="22"/>
        </w:rPr>
        <w:t xml:space="preserve">This clause does not apply to the service of any proceedings or other documents in any legal action or, where applicable, any arbitration or other method of dispute resolution.</w:t>
      </w:r>
      <w:bookmarkEnd w:id="180"/>
      <w:r>
        <w:rPr>
          <w:szCs w:val="22"/>
        </w:rPr>
      </w:r>
    </w:p>
    <w:p w14:paraId="38E6E60C" w14:textId="77777777">
      <w:pPr>
        <w:pStyle w:val="1046"/>
        <w:pBdr/>
        <w:spacing/>
        <w:ind/>
        <w:rPr>
          <w:szCs w:val="22"/>
        </w:rPr>
      </w:pPr>
      <w:r>
        <w:rPr>
          <w:szCs w:val="22"/>
        </w:rPr>
        <w:fldChar w:fldCharType="begin"/>
        <w:instrText xml:space="preserve">TC "18. Publicity" \l 1</w:instrText>
        <w:fldChar w:fldCharType="end"/>
      </w:r>
      <w:bookmarkStart w:id="181" w:name="a504453"/>
      <w:r/>
      <w:bookmarkStart w:id="182" w:name="_Toc106276028"/>
      <w:r>
        <w:rPr>
          <w:szCs w:val="22"/>
        </w:rPr>
        <w:t xml:space="preserve">Publicity</w:t>
      </w:r>
      <w:bookmarkEnd w:id="181"/>
      <w:r/>
      <w:bookmarkEnd w:id="182"/>
      <w:r>
        <w:rPr>
          <w:szCs w:val="22"/>
        </w:rPr>
      </w:r>
    </w:p>
    <w:p w14:paraId="0D143A7F" w14:textId="7AAC8DBE">
      <w:pPr>
        <w:pStyle w:val="1221"/>
        <w:pBdr/>
        <w:spacing/>
        <w:ind/>
        <w:rPr>
          <w:szCs w:val="22"/>
        </w:rPr>
      </w:pPr>
      <w:r/>
      <w:bookmarkStart w:id="183" w:name="a190650"/>
      <w:r>
        <w:rPr>
          <w:szCs w:val="22"/>
        </w:rPr>
        <w:t xml:space="preserve">All media releases, public announcements and public disclosures by either party relating to this agreement or its subject matter, including promotional or marketing material, shall be co-ordinated with the other party and approved jointly by the parties prior to release.</w:t>
      </w:r>
      <w:bookmarkEnd w:id="183"/>
      <w:r>
        <w:rPr>
          <w:szCs w:val="22"/>
        </w:rPr>
        <w:t xml:space="preserve"> Nothing in this agreement shall preclude the Developer from displaying information about the Website in a portfolio section of the Developer’s own website or in any promotional material published by or on behalf of the Developer.</w:t>
      </w:r>
    </w:p>
    <w:p w14:paraId="5C14CF56" w14:textId="77777777">
      <w:pPr>
        <w:pStyle w:val="1046"/>
        <w:pBdr/>
        <w:spacing/>
        <w:ind/>
        <w:rPr>
          <w:szCs w:val="22"/>
        </w:rPr>
      </w:pPr>
      <w:r>
        <w:rPr>
          <w:szCs w:val="22"/>
        </w:rPr>
        <w:fldChar w:fldCharType="begin"/>
        <w:instrText xml:space="preserve">TC "19. Assignment" \l 1</w:instrText>
        <w:fldChar w:fldCharType="end"/>
      </w:r>
      <w:bookmarkStart w:id="184" w:name="a397640"/>
      <w:r/>
      <w:bookmarkStart w:id="185" w:name="_Toc106276029"/>
      <w:r>
        <w:rPr>
          <w:szCs w:val="22"/>
        </w:rPr>
        <w:t xml:space="preserve">Assignment</w:t>
      </w:r>
      <w:bookmarkEnd w:id="184"/>
      <w:r/>
      <w:bookmarkEnd w:id="185"/>
      <w:r>
        <w:rPr>
          <w:szCs w:val="22"/>
        </w:rPr>
      </w:r>
    </w:p>
    <w:p w14:paraId="2562EEBC" w14:textId="65AE9C8D">
      <w:pPr>
        <w:pStyle w:val="1221"/>
        <w:pBdr/>
        <w:spacing/>
        <w:ind/>
        <w:rPr>
          <w:szCs w:val="22"/>
        </w:rPr>
      </w:pPr>
      <w:r/>
      <w:bookmarkStart w:id="186" w:name="a511090"/>
      <w:r>
        <w:rPr>
          <w:szCs w:val="22"/>
        </w:rPr>
        <w:t xml:space="preserve">Neither party shall assign, transfer, mortgage, charge, subcontract, delegate, declare a trust over or deal in any other manner with any of its rights and obligations under this agreement.</w:t>
      </w:r>
      <w:bookmarkEnd w:id="186"/>
      <w:r>
        <w:rPr>
          <w:szCs w:val="22"/>
        </w:rPr>
      </w:r>
    </w:p>
    <w:p w14:paraId="5F6D69A1" w14:textId="77777777">
      <w:pPr>
        <w:pStyle w:val="1046"/>
        <w:pBdr/>
        <w:spacing/>
        <w:ind/>
        <w:rPr>
          <w:szCs w:val="22"/>
        </w:rPr>
      </w:pPr>
      <w:r>
        <w:rPr>
          <w:szCs w:val="22"/>
        </w:rPr>
        <w:fldChar w:fldCharType="begin"/>
        <w:instrText xml:space="preserve">TC "20. Entire agreement" \l 1</w:instrText>
        <w:fldChar w:fldCharType="end"/>
      </w:r>
      <w:bookmarkStart w:id="187" w:name="a436320"/>
      <w:r/>
      <w:bookmarkStart w:id="188" w:name="_Toc106276030"/>
      <w:r>
        <w:rPr>
          <w:szCs w:val="22"/>
        </w:rPr>
        <w:t xml:space="preserve">Entire agreement</w:t>
      </w:r>
      <w:bookmarkEnd w:id="187"/>
      <w:r/>
      <w:bookmarkEnd w:id="188"/>
      <w:r>
        <w:rPr>
          <w:szCs w:val="22"/>
        </w:rPr>
      </w:r>
    </w:p>
    <w:p w14:paraId="037A1C56" w14:textId="77777777">
      <w:pPr>
        <w:pStyle w:val="1089"/>
        <w:pBdr/>
        <w:spacing/>
        <w:ind/>
        <w:rPr>
          <w:szCs w:val="22"/>
        </w:rPr>
      </w:pPr>
      <w:r/>
      <w:bookmarkStart w:id="189" w:name="a660628"/>
      <w:r>
        <w:rPr>
          <w:szCs w:val="22"/>
        </w:rPr>
        <w:t xml:space="preserve">This agreement constitutes the entire agreement between the parties and supersedes and extinguishes all previous agreements, promises, assurances, warranties, representations and understandings between them, whether written or oral, relating to its subject matter.</w:t>
      </w:r>
      <w:bookmarkEnd w:id="189"/>
      <w:r>
        <w:rPr>
          <w:szCs w:val="22"/>
        </w:rPr>
      </w:r>
    </w:p>
    <w:p w14:paraId="7E9DB05B" w14:textId="644B3498">
      <w:pPr>
        <w:pStyle w:val="1089"/>
        <w:pBdr/>
        <w:spacing/>
        <w:ind/>
        <w:rPr>
          <w:szCs w:val="22"/>
        </w:rPr>
      </w:pPr>
      <w:r/>
      <w:bookmarkStart w:id="190" w:name="a799712"/>
      <w:r>
        <w:rPr>
          <w:szCs w:val="22"/>
        </w:rPr>
        <w:t xml:space="preserve">Each party acknowledges that in entering into this agreement it does not rely on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w:t>
      </w:r>
      <w:bookmarkEnd w:id="190"/>
      <w:r>
        <w:rPr>
          <w:szCs w:val="22"/>
        </w:rPr>
      </w:r>
    </w:p>
    <w:p w14:paraId="02839E34" w14:textId="77777777">
      <w:pPr>
        <w:pStyle w:val="1046"/>
        <w:pBdr/>
        <w:spacing/>
        <w:ind/>
        <w:rPr>
          <w:szCs w:val="22"/>
        </w:rPr>
      </w:pPr>
      <w:r>
        <w:rPr>
          <w:szCs w:val="22"/>
        </w:rPr>
        <w:fldChar w:fldCharType="begin"/>
        <w:instrText xml:space="preserve">TC "21. Third party rights" \l 1</w:instrText>
        <w:fldChar w:fldCharType="end"/>
      </w:r>
      <w:bookmarkStart w:id="191" w:name="_Toc106276031"/>
      <w:r>
        <w:rPr>
          <w:szCs w:val="22"/>
        </w:rPr>
        <w:t xml:space="preserve">Parties</w:t>
      </w:r>
      <w:bookmarkEnd w:id="191"/>
      <w:r>
        <w:rPr>
          <w:szCs w:val="22"/>
        </w:rPr>
      </w:r>
    </w:p>
    <w:p w14:paraId="0E58F035" w14:textId="77777777">
      <w:pPr>
        <w:pStyle w:val="1089"/>
        <w:pBdr/>
        <w:spacing/>
        <w:ind/>
        <w:rPr>
          <w:szCs w:val="22"/>
        </w:rPr>
      </w:pPr>
      <w:r>
        <w:rPr>
          <w:szCs w:val="22"/>
        </w:rPr>
        <w:t xml:space="preserve">This Agreement shall be binding upon and run for the benefit of the parties, their successors and permitted assigns.</w:t>
      </w:r>
    </w:p>
    <w:p w14:paraId="0503E765" w14:textId="77777777">
      <w:pPr>
        <w:pStyle w:val="1089"/>
        <w:pBdr/>
        <w:spacing/>
        <w:ind/>
        <w:rPr>
          <w:szCs w:val="22"/>
        </w:rPr>
      </w:pPr>
      <w:r>
        <w:rPr>
          <w:szCs w:val="22"/>
        </w:rPr>
        <w:t xml:space="preserve">Nothing shall be deemed to constitute a partnership between the parties, or make any party an agent for any other party, for any purpose whatsoever, or make the Developer, or any of its servants, agents or employees, an employee of the customer.</w:t>
      </w:r>
    </w:p>
    <w:p w14:paraId="01D0B269" w14:textId="77777777">
      <w:pPr>
        <w:pStyle w:val="1046"/>
        <w:pBdr/>
        <w:spacing/>
        <w:ind/>
        <w:rPr>
          <w:szCs w:val="22"/>
        </w:rPr>
      </w:pPr>
      <w:r>
        <w:rPr>
          <w:szCs w:val="22"/>
        </w:rPr>
        <w:fldChar w:fldCharType="begin"/>
        <w:instrText xml:space="preserve">TC "22. Variation" \l 1</w:instrText>
        <w:fldChar w:fldCharType="end"/>
      </w:r>
      <w:bookmarkStart w:id="192" w:name="a83837"/>
      <w:r/>
      <w:bookmarkStart w:id="193" w:name="_Toc106276032"/>
      <w:r>
        <w:rPr>
          <w:szCs w:val="22"/>
        </w:rPr>
        <w:t xml:space="preserve">Variation</w:t>
      </w:r>
      <w:bookmarkEnd w:id="192"/>
      <w:r>
        <w:rPr>
          <w:szCs w:val="22"/>
        </w:rPr>
        <w:t xml:space="preserve"> and Counterparts</w:t>
      </w:r>
      <w:bookmarkEnd w:id="193"/>
      <w:r>
        <w:rPr>
          <w:szCs w:val="22"/>
        </w:rPr>
      </w:r>
    </w:p>
    <w:p w14:paraId="110BF3D8" w14:textId="77777777">
      <w:pPr>
        <w:pStyle w:val="1089"/>
        <w:pBdr/>
        <w:spacing/>
        <w:ind/>
        <w:rPr/>
      </w:pPr>
      <w:r>
        <w:t xml:space="preserve">No variation hereof shall be effective unless made in writing and signed by the Developer and the Customer. </w:t>
      </w:r>
    </w:p>
    <w:p w14:paraId="12966F34" w14:textId="77777777">
      <w:pPr>
        <w:pStyle w:val="1089"/>
        <w:pBdr/>
        <w:spacing/>
        <w:ind/>
        <w:rPr/>
      </w:pPr>
      <w:r>
        <w:t xml:space="preserve">The Charges are fixed in accordance with the successful Tender and may be varied only by written agreement of both parties under the change-control provisions of this agreement.     </w:t>
      </w:r>
    </w:p>
    <w:p w14:paraId="7B3E7A2D" w14:textId="245A2F04">
      <w:pPr>
        <w:pStyle w:val="1089"/>
        <w:pBdr/>
        <w:spacing/>
        <w:ind/>
        <w:rPr>
          <w:szCs w:val="22"/>
        </w:rPr>
      </w:pPr>
      <w:r>
        <w:rPr>
          <w:szCs w:val="22"/>
        </w:rPr>
        <w:t xml:space="preserve">This agreement may be executed in any number of counterparts, each of which when so executed shall be deemed to be an original and all of which when taken together shall constitute this agreement.</w:t>
      </w:r>
    </w:p>
    <w:p w14:paraId="26E1F880" w14:textId="77777777">
      <w:pPr>
        <w:pStyle w:val="1046"/>
        <w:pBdr/>
        <w:spacing/>
        <w:ind/>
        <w:rPr>
          <w:szCs w:val="22"/>
        </w:rPr>
      </w:pPr>
      <w:r/>
      <w:bookmarkStart w:id="195" w:name="_Toc106276033"/>
      <w:r>
        <w:rPr>
          <w:szCs w:val="22"/>
        </w:rPr>
        <w:t xml:space="preserve">Costs</w:t>
      </w:r>
      <w:bookmarkEnd w:id="195"/>
      <w:r>
        <w:rPr>
          <w:szCs w:val="22"/>
        </w:rPr>
      </w:r>
    </w:p>
    <w:p w14:paraId="46070C8F" w14:textId="1B390355">
      <w:pPr>
        <w:pStyle w:val="1221"/>
        <w:pBdr/>
        <w:spacing/>
        <w:ind/>
        <w:rPr>
          <w:b/>
        </w:rPr>
      </w:pPr>
      <w:r/>
      <w:bookmarkStart w:id="196" w:name="_Toc82522821"/>
      <w:r>
        <w:t xml:space="preserve">Each party shall bear its own legal and professional advisers’ costs and expenses incurred in connection with the negotiation and entering into of this agreement.</w:t>
      </w:r>
      <w:bookmarkEnd w:id="196"/>
      <w:r>
        <w:rPr>
          <w:b/>
        </w:rPr>
      </w:r>
    </w:p>
    <w:p w14:paraId="17799D6C" w14:textId="77777777">
      <w:pPr>
        <w:pStyle w:val="1046"/>
        <w:pBdr/>
        <w:spacing/>
        <w:ind/>
        <w:rPr>
          <w:szCs w:val="22"/>
        </w:rPr>
      </w:pPr>
      <w:r>
        <w:rPr>
          <w:szCs w:val="22"/>
        </w:rPr>
        <w:fldChar w:fldCharType="begin"/>
        <w:instrText xml:space="preserve">TC "23. Waiver" \l 1</w:instrText>
        <w:fldChar w:fldCharType="end"/>
      </w:r>
      <w:bookmarkStart w:id="197" w:name="a131171"/>
      <w:r/>
      <w:bookmarkStart w:id="198" w:name="_Toc106276034"/>
      <w:r>
        <w:rPr>
          <w:szCs w:val="22"/>
        </w:rPr>
        <w:t xml:space="preserve">Waiver</w:t>
      </w:r>
      <w:bookmarkEnd w:id="197"/>
      <w:r/>
      <w:bookmarkEnd w:id="198"/>
      <w:r>
        <w:rPr>
          <w:szCs w:val="22"/>
        </w:rPr>
      </w:r>
    </w:p>
    <w:p w14:paraId="2F98F90C" w14:textId="77777777">
      <w:pPr>
        <w:pStyle w:val="1089"/>
        <w:pBdr/>
        <w:spacing/>
        <w:ind/>
        <w:rPr>
          <w:szCs w:val="22"/>
        </w:rPr>
      </w:pPr>
      <w:r/>
      <w:bookmarkStart w:id="199" w:name="a398204"/>
      <w:r>
        <w:rPr>
          <w:szCs w:val="22"/>
        </w:rPr>
        <w:t xml:space="preserve">A waiver of any right or remedy under this agreement or by law is only effective if given in writing and shall not be deemed a waiver of any subsequent right or remedy.</w:t>
      </w:r>
      <w:bookmarkEnd w:id="199"/>
      <w:r>
        <w:rPr>
          <w:szCs w:val="22"/>
        </w:rPr>
      </w:r>
    </w:p>
    <w:p w14:paraId="1A971FC6" w14:textId="77777777">
      <w:pPr>
        <w:pStyle w:val="1089"/>
        <w:pBdr/>
        <w:spacing/>
        <w:ind/>
        <w:rPr>
          <w:szCs w:val="22"/>
        </w:rPr>
      </w:pPr>
      <w:r/>
      <w:bookmarkStart w:id="200" w:name="a869712"/>
      <w:r>
        <w:rPr>
          <w:szCs w:val="22"/>
        </w:rPr>
        <w:t xml:space="preserve">A failure or delay by a party to exercise any right or remedy provided under this agreement or by law shall not constitute a waiver of that or any other right or remedy, nor shall it prevent or restrict any further exercise of that or any other right or remedy. No single or partial exercise of any right or remedy provided under this agreement or by law shall prevent or restrict the further exercise of that or any other right or remedy.</w:t>
      </w:r>
      <w:bookmarkEnd w:id="200"/>
      <w:r>
        <w:rPr>
          <w:szCs w:val="22"/>
        </w:rPr>
      </w:r>
    </w:p>
    <w:p w14:paraId="32AA9D50" w14:textId="77777777">
      <w:pPr>
        <w:pStyle w:val="1046"/>
        <w:pBdr/>
        <w:spacing/>
        <w:ind/>
        <w:rPr>
          <w:szCs w:val="22"/>
        </w:rPr>
      </w:pPr>
      <w:r>
        <w:rPr>
          <w:szCs w:val="22"/>
        </w:rPr>
        <w:fldChar w:fldCharType="begin"/>
        <w:instrText xml:space="preserve">TC "24. Rights and remedies" \l 1</w:instrText>
        <w:fldChar w:fldCharType="end"/>
      </w:r>
      <w:bookmarkStart w:id="201" w:name="a534359"/>
      <w:r/>
      <w:bookmarkStart w:id="202" w:name="_Toc106276035"/>
      <w:r>
        <w:rPr>
          <w:szCs w:val="22"/>
        </w:rPr>
        <w:t xml:space="preserve">Rights and remedies</w:t>
      </w:r>
      <w:bookmarkEnd w:id="201"/>
      <w:r/>
      <w:bookmarkEnd w:id="202"/>
      <w:r>
        <w:rPr>
          <w:szCs w:val="22"/>
        </w:rPr>
      </w:r>
    </w:p>
    <w:p w14:paraId="5661CA3F" w14:textId="77777777">
      <w:pPr>
        <w:pStyle w:val="1221"/>
        <w:pBdr/>
        <w:spacing/>
        <w:ind/>
        <w:rPr>
          <w:szCs w:val="22"/>
        </w:rPr>
      </w:pPr>
      <w:r/>
      <w:bookmarkStart w:id="203" w:name="a420341"/>
      <w:r>
        <w:rPr>
          <w:szCs w:val="22"/>
        </w:rPr>
        <w:t xml:space="preserve">Except as expressly provided in this agreement, the rights and remedies provided under this agreement are in addition to, and not exclusive of, any rights or remedies provided by law.</w:t>
      </w:r>
      <w:bookmarkEnd w:id="203"/>
      <w:r>
        <w:rPr>
          <w:szCs w:val="22"/>
        </w:rPr>
      </w:r>
    </w:p>
    <w:p w14:paraId="0098B7F8" w14:textId="77777777">
      <w:pPr>
        <w:pStyle w:val="1046"/>
        <w:pBdr/>
        <w:spacing/>
        <w:ind/>
        <w:rPr>
          <w:szCs w:val="22"/>
        </w:rPr>
      </w:pPr>
      <w:r>
        <w:rPr>
          <w:szCs w:val="22"/>
        </w:rPr>
        <w:fldChar w:fldCharType="begin"/>
        <w:instrText xml:space="preserve">TC "25. Severance" \l 1</w:instrText>
        <w:fldChar w:fldCharType="end"/>
      </w:r>
      <w:bookmarkStart w:id="204" w:name="a212013"/>
      <w:r/>
      <w:bookmarkStart w:id="205" w:name="_Toc106276036"/>
      <w:r>
        <w:rPr>
          <w:szCs w:val="22"/>
        </w:rPr>
        <w:t xml:space="preserve">Severance</w:t>
      </w:r>
      <w:bookmarkEnd w:id="204"/>
      <w:r/>
      <w:bookmarkEnd w:id="205"/>
      <w:r>
        <w:rPr>
          <w:szCs w:val="22"/>
        </w:rPr>
      </w:r>
    </w:p>
    <w:p w14:paraId="7DD659D7" w14:textId="77777777">
      <w:pPr>
        <w:pStyle w:val="1089"/>
        <w:pBdr/>
        <w:spacing/>
        <w:ind/>
        <w:rPr>
          <w:szCs w:val="22"/>
        </w:rPr>
      </w:pPr>
      <w:r/>
      <w:bookmarkStart w:id="206" w:name="a656170"/>
      <w:r>
        <w:rPr>
          <w:szCs w:val="22"/>
        </w:rPr>
        <w:t xml:space="preserve">If any provision or part-provision of this agreement is or becomes invalid, illegal or unenforceable, it shall be deemed deleted, but that shall not affect the validity and enforceability of the rest of this agreement.</w:t>
      </w:r>
      <w:bookmarkEnd w:id="206"/>
      <w:r>
        <w:rPr>
          <w:szCs w:val="22"/>
        </w:rPr>
      </w:r>
    </w:p>
    <w:p w14:paraId="23418884" w14:textId="396BF29D">
      <w:pPr>
        <w:pStyle w:val="1089"/>
        <w:pBdr/>
        <w:spacing/>
        <w:ind/>
        <w:rPr>
          <w:szCs w:val="22"/>
        </w:rPr>
      </w:pPr>
      <w:r/>
      <w:bookmarkStart w:id="207" w:name="a1051379"/>
      <w:r>
        <w:rPr>
          <w:szCs w:val="22"/>
        </w:rPr>
        <w:t xml:space="preserve">If any provision or part-provision of this agreement is deemed deleted under </w:t>
        <w:fldChar w:fldCharType="begin"/>
        <w:instrText xml:space="preserve">PAGEREF a656170\# "'clause '"  \h</w:instrText>
        <w:fldChar w:fldCharType="separate"/>
        <w:t xml:space="preserve">clause </w:t>
        <w:fldChar w:fldCharType="end"/>
        <w:fldChar w:fldCharType="begin"/>
        <w:instrText xml:space="preserve">REF a656170 \h \w</w:instrText>
        <w:instrText xml:space="preserve"> \* MERGEFORMAT </w:instrText>
        <w:fldChar w:fldCharType="separate"/>
        <w:t xml:space="preserve">25.1</w:t>
        <w:fldChar w:fldCharType="end"/>
        <w:t xml:space="preserve">, the parties shall negotiate in good faith to agree a replacement provision that, to the greatest extent possible, achieves the intended commercial result of the original provision.</w:t>
      </w:r>
      <w:bookmarkEnd w:id="207"/>
      <w:r>
        <w:rPr>
          <w:szCs w:val="22"/>
        </w:rPr>
      </w:r>
    </w:p>
    <w:p w14:paraId="241EF544" w14:textId="77777777">
      <w:pPr>
        <w:pStyle w:val="1046"/>
        <w:pBdr/>
        <w:spacing/>
        <w:ind/>
        <w:rPr>
          <w:szCs w:val="22"/>
        </w:rPr>
      </w:pPr>
      <w:r/>
      <w:bookmarkStart w:id="208" w:name="_Toc106276037"/>
      <w:r>
        <w:rPr>
          <w:szCs w:val="22"/>
        </w:rPr>
        <w:t xml:space="preserve">Further Assurance</w:t>
      </w:r>
      <w:bookmarkEnd w:id="208"/>
      <w:r>
        <w:rPr>
          <w:szCs w:val="22"/>
        </w:rPr>
        <w:t xml:space="preserve"> </w:t>
      </w:r>
    </w:p>
    <w:p w14:paraId="52B3E5DA" w14:textId="1827D6F7">
      <w:pPr>
        <w:pStyle w:val="1221"/>
        <w:pBdr/>
        <w:spacing/>
        <w:ind/>
        <w:rPr>
          <w:b/>
        </w:rPr>
      </w:pPr>
      <w:r/>
      <w:bookmarkStart w:id="209" w:name="_Toc82522826"/>
      <w:r>
        <w:t xml:space="preserve">Each party shall do and execute, or arrange for the doing and executing of, each necessary act, document and thing reasonably within its power to implement this agreement.</w:t>
      </w:r>
      <w:bookmarkEnd w:id="209"/>
      <w:r>
        <w:rPr>
          <w:b/>
        </w:rPr>
      </w:r>
    </w:p>
    <w:p w14:paraId="5A85C638" w14:textId="77777777">
      <w:pPr>
        <w:pStyle w:val="1046"/>
        <w:pBdr/>
        <w:spacing/>
        <w:ind/>
        <w:rPr>
          <w:szCs w:val="22"/>
        </w:rPr>
      </w:pPr>
      <w:r>
        <w:rPr>
          <w:szCs w:val="22"/>
        </w:rPr>
        <w:fldChar w:fldCharType="begin"/>
        <w:instrText xml:space="preserve">TC "26. Governing law" \l 1</w:instrText>
        <w:fldChar w:fldCharType="end"/>
      </w:r>
      <w:bookmarkStart w:id="210" w:name="a859528"/>
      <w:r/>
      <w:bookmarkStart w:id="211" w:name="_Toc106276038"/>
      <w:r>
        <w:rPr>
          <w:szCs w:val="22"/>
        </w:rPr>
        <w:t xml:space="preserve">Governing law</w:t>
      </w:r>
      <w:bookmarkEnd w:id="210"/>
      <w:r/>
      <w:bookmarkEnd w:id="211"/>
      <w:r>
        <w:rPr>
          <w:szCs w:val="22"/>
        </w:rPr>
      </w:r>
    </w:p>
    <w:p w14:paraId="59122D01" w14:textId="77777777">
      <w:pPr>
        <w:pStyle w:val="1221"/>
        <w:pBdr/>
        <w:spacing/>
        <w:ind/>
        <w:rPr>
          <w:szCs w:val="22"/>
        </w:rPr>
      </w:pPr>
      <w:r/>
      <w:bookmarkStart w:id="212" w:name="a656583"/>
      <w:r>
        <w:rPr>
          <w:szCs w:val="22"/>
        </w:rPr>
        <w:t xml:space="preserve">This agreement and any dispute or claim (including non-contractual disputes or claims) arising out of or in connection with it or its subject matter or formation shall be governed by and construed in accordance with the law of Ireland.</w:t>
      </w:r>
      <w:bookmarkEnd w:id="212"/>
      <w:r>
        <w:rPr>
          <w:szCs w:val="22"/>
        </w:rPr>
      </w:r>
    </w:p>
    <w:p w14:paraId="29557753" w14:textId="77777777">
      <w:pPr>
        <w:pStyle w:val="1046"/>
        <w:pBdr/>
        <w:spacing/>
        <w:ind/>
        <w:rPr>
          <w:szCs w:val="22"/>
        </w:rPr>
      </w:pPr>
      <w:r>
        <w:rPr>
          <w:szCs w:val="22"/>
        </w:rPr>
        <w:fldChar w:fldCharType="begin"/>
        <w:instrText xml:space="preserve">TC "27. Jurisdiction" \l 1</w:instrText>
        <w:fldChar w:fldCharType="end"/>
      </w:r>
      <w:bookmarkStart w:id="213" w:name="a496590"/>
      <w:r/>
      <w:bookmarkStart w:id="214" w:name="_Toc106276039"/>
      <w:r>
        <w:rPr>
          <w:szCs w:val="22"/>
        </w:rPr>
        <w:t xml:space="preserve">Jurisdiction</w:t>
      </w:r>
      <w:bookmarkEnd w:id="213"/>
      <w:r/>
      <w:bookmarkEnd w:id="214"/>
      <w:r>
        <w:rPr>
          <w:szCs w:val="22"/>
        </w:rPr>
      </w:r>
    </w:p>
    <w:p w14:paraId="4ECF7D93" w14:textId="77777777">
      <w:pPr>
        <w:pStyle w:val="1221"/>
        <w:pBdr/>
        <w:spacing/>
        <w:ind/>
        <w:rPr>
          <w:szCs w:val="22"/>
        </w:rPr>
      </w:pPr>
      <w:r/>
      <w:bookmarkStart w:id="215" w:name="a891798"/>
      <w:r>
        <w:rPr>
          <w:szCs w:val="22"/>
        </w:rPr>
        <w:t xml:space="preserve">Each party irrevocably agrees that the courts of Ireland shall have exclusive jurisdiction to settle any dispute or claim (including non-contractual disputes or claims) arising out of or in connection with this agreement or its subject matter or formation.</w:t>
      </w:r>
      <w:bookmarkEnd w:id="215"/>
      <w:r>
        <w:rPr>
          <w:szCs w:val="22"/>
        </w:rPr>
      </w:r>
    </w:p>
    <w:p w14:paraId="091142C1" w14:textId="77777777">
      <w:pPr>
        <w:pStyle w:val="1177"/>
        <w:pBdr/>
        <w:spacing/>
        <w:ind/>
        <w:rPr>
          <w:szCs w:val="22"/>
        </w:rPr>
      </w:pPr>
      <w:r>
        <w:rPr>
          <w:szCs w:val="22"/>
        </w:rPr>
        <w:t xml:space="preserve">This agreement has been entered into on the date stated at the beginning of it.</w:t>
      </w:r>
    </w:p>
    <w:p w14:paraId="3CB841C1" w14:textId="6B666833">
      <w:pPr>
        <w:pStyle w:val="1163"/>
        <w:pageBreakBefore w:val="true"/>
        <w:numPr>
          <w:ilvl w:val="0"/>
          <w:numId w:val="27"/>
        </w:numPr>
        <w:pBdr/>
        <w:spacing/>
        <w:ind/>
        <w:rPr>
          <w:rFonts w:asciiTheme="minorHAnsi" w:hAnsiTheme="minorHAnsi"/>
        </w:rPr>
      </w:pPr>
      <w:r/>
      <w:bookmarkStart w:id="216" w:name="_Toc106280510"/>
      <w:r/>
      <w:bookmarkStart w:id="217" w:name="a959705"/>
      <w:r>
        <w:rPr>
          <w:rFonts w:asciiTheme="minorHAnsi" w:hAnsiTheme="minorHAnsi"/>
        </w:rPr>
        <w:t xml:space="preserve">Service Level</w:t>
      </w:r>
      <w:bookmarkEnd w:id="216"/>
      <w:r>
        <w:rPr>
          <w:rFonts w:asciiTheme="minorHAnsi" w:hAnsiTheme="minorHAnsi"/>
        </w:rPr>
      </w:r>
    </w:p>
    <w:p w14:paraId="52B8671C" w14:textId="11D7AC50">
      <w:pPr>
        <w:pStyle w:val="1264"/>
        <w:pBdr/>
        <w:spacing/>
        <w:ind/>
        <w:rPr/>
      </w:pPr>
      <w:r>
        <w:t xml:space="preserve">The Developer will deliver 16 hours per month to the Customer, where the charge per hour in respect of these services are shown in Schedule 2.</w:t>
      </w:r>
      <w:r>
        <w:rPr>
          <w:rStyle w:val="1247"/>
        </w:rPr>
      </w:r>
      <w:r/>
    </w:p>
    <w:p w14:paraId="207580C9" w14:textId="4C63B9D7">
      <w:pPr>
        <w:pStyle w:val="1264"/>
        <w:pBdr/>
        <w:spacing/>
        <w:ind/>
        <w:rPr/>
      </w:pPr>
      <w:r>
        <w:t xml:space="preserve">Reserved hours not availed of will be charged for. Unused hours can be carried over to the following month(s) with a maximum of one month's subscription applied.</w:t>
      </w:r>
    </w:p>
    <w:p w14:paraId="4E35B68C" w14:textId="77777777">
      <w:pPr>
        <w:pStyle w:val="1264"/>
        <w:pBdr/>
        <w:spacing/>
        <w:ind/>
        <w:rPr/>
      </w:pPr>
      <w:r/>
    </w:p>
    <w:p w14:paraId="4F5B7FA6" w14:textId="4F2AEC4E">
      <w:pPr>
        <w:pStyle w:val="1163"/>
        <w:pageBreakBefore w:val="true"/>
        <w:numPr>
          <w:ilvl w:val="0"/>
          <w:numId w:val="27"/>
        </w:numPr>
        <w:pBdr/>
        <w:spacing/>
        <w:ind/>
        <w:rPr>
          <w:rFonts w:asciiTheme="minorHAnsi" w:hAnsiTheme="minorHAnsi"/>
        </w:rPr>
      </w:pPr>
      <w:r/>
      <w:bookmarkStart w:id="220" w:name="_Toc106280511"/>
      <w:r>
        <w:rPr>
          <w:rFonts w:asciiTheme="minorHAnsi" w:hAnsiTheme="minorHAnsi"/>
        </w:rPr>
        <w:t xml:space="preserve">Charges</w:t>
      </w:r>
      <w:bookmarkEnd w:id="217"/>
      <w:r>
        <w:rPr>
          <w:rStyle w:val="1247"/>
          <w:b w:val="0"/>
          <w:lang w:val="en-GB"/>
        </w:rPr>
      </w:r>
      <w:bookmarkEnd w:id="220"/>
      <w:r>
        <w:rPr>
          <w:rFonts w:asciiTheme="minorHAnsi" w:hAnsiTheme="minorHAnsi"/>
        </w:rPr>
      </w:r>
    </w:p>
    <w:tbl>
      <w:tblPr>
        <w:tblW w:w="9495" w:type="dxa"/>
        <w:tblCellMar>
          <w:left w:w="113" w:type="dxa"/>
          <w:top w:w="113" w:type="dxa"/>
          <w:right w:w="113" w:type="dxa"/>
          <w:bottom w:w="113" w:type="dxa"/>
        </w:tblCellMar>
        <w:tblBorders/>
        <w:tblLayout w:type="fixed"/>
        <w:tblLook w:val="0000" w:firstRow="0" w:lastRow="0" w:firstColumn="0" w:lastColumn="0" w:noHBand="0" w:noVBand="0"/>
      </w:tblPr>
      <w:tblGrid>
        <w:gridCol w:w="3432"/>
        <w:gridCol w:w="2020"/>
      </w:tblGrid>
      <w:tr>
        <w:trPr>
          <w:tblHeader/>
        </w:trPr>
        <w:tc>
          <w:tcPr>
            <w:shd w:val="clear" w:color="auto" w:fill="ffffff"/>
            <w:tcBorders>
              <w:top w:val="single" w:color="000000" w:sz="2" w:space="0"/>
              <w:left w:val="single" w:color="000000" w:sz="2" w:space="0"/>
              <w:bottom w:val="single" w:color="000000" w:sz="2" w:space="0"/>
            </w:tcBorders>
            <w:tcW w:w="3432" w:type="dxa"/>
          </w:tcPr>
          <w:p w14:paraId="10B24F67" w14:textId="77777777">
            <w:pPr>
              <w:pStyle w:val="1267"/>
              <w:pBdr/>
              <w:spacing/>
              <w:ind/>
              <w:rPr>
                <w:rFonts w:ascii="Arial" w:hAnsi="Arial" w:cs="Arial"/>
                <w:lang w:val="en-GB"/>
              </w:rPr>
            </w:pPr>
            <w:r>
              <w:rPr>
                <w:rFonts w:ascii="Arial" w:hAnsi="Arial" w:cs="Arial"/>
                <w:lang w:val="en-GB"/>
              </w:rPr>
            </w:r>
          </w:p>
        </w:tc>
        <w:tc>
          <w:tcPr>
            <w:shd w:val="clear" w:color="auto" w:fill="b9cce3"/>
            <w:tcBorders>
              <w:top w:val="single" w:color="000000" w:sz="2" w:space="0"/>
              <w:left w:val="single" w:color="000000" w:sz="2" w:space="0"/>
              <w:bottom w:val="single" w:color="000000" w:sz="2" w:space="0"/>
            </w:tcBorders>
            <w:tcW w:w="2020" w:type="dxa"/>
          </w:tcPr>
          <w:p w14:paraId="1EAB8B2A" w14:textId="77777777">
            <w:pPr>
              <w:pStyle w:val="1267"/>
              <w:pBdr/>
              <w:spacing/>
              <w:ind/>
              <w:rPr>
                <w:rFonts w:ascii="Arial" w:hAnsi="Arial" w:cs="Arial"/>
                <w:lang w:val="en-GB"/>
              </w:rPr>
            </w:pPr>
            <w:r>
              <w:rPr>
                <w:rFonts w:ascii="Arial" w:hAnsi="Arial" w:cs="Arial"/>
                <w:lang w:val="en-GB"/>
              </w:rPr>
              <w:t xml:space="preserve">[Package per Tender]</w:t>
            </w:r>
          </w:p>
        </w:tc>
      </w:tr>
      <w:tr>
        <w:trPr/>
        <w:tc>
          <w:tcPr>
            <w:shd w:val="clear" w:color="auto" w:fill="b9cce3"/>
            <w:tcBorders>
              <w:left w:val="single" w:color="000000" w:sz="2" w:space="0"/>
              <w:bottom w:val="single" w:color="000000" w:sz="2" w:space="0"/>
            </w:tcBorders>
            <w:tcW w:w="3432" w:type="dxa"/>
          </w:tcPr>
          <w:p w14:paraId="03F4490D" w14:textId="77777777">
            <w:pPr>
              <w:pStyle w:val="1266"/>
              <w:pBdr/>
              <w:spacing/>
              <w:ind/>
              <w:rPr>
                <w:rFonts w:ascii="Arial" w:hAnsi="Arial" w:cs="Arial"/>
                <w:lang w:val="en-GB"/>
              </w:rPr>
            </w:pPr>
            <w:r>
              <w:rPr>
                <w:rFonts w:ascii="Arial" w:hAnsi="Arial" w:cs="Arial"/>
                <w:lang w:val="en-GB"/>
              </w:rPr>
              <w:t xml:space="preserve">Hours per month</w:t>
            </w:r>
          </w:p>
        </w:tc>
        <w:tc>
          <w:tcPr>
            <w:shd w:val="clear" w:color="auto" w:fill="ffffff"/>
            <w:tcBorders>
              <w:left w:val="single" w:color="000000" w:sz="2" w:space="0"/>
              <w:bottom w:val="single" w:color="000000" w:sz="2" w:space="0"/>
            </w:tcBorders>
            <w:tcW w:w="2020" w:type="dxa"/>
          </w:tcPr>
          <w:p w14:paraId="79FC3ADA" w14:textId="77777777">
            <w:pPr>
              <w:pStyle w:val="1266"/>
              <w:pBdr/>
              <w:spacing/>
              <w:ind/>
              <w:rPr>
                <w:rFonts w:ascii="Arial" w:hAnsi="Arial" w:cs="Arial"/>
                <w:lang w:val="en-GB"/>
              </w:rPr>
            </w:pPr>
            <w:r>
              <w:rPr>
                <w:rFonts w:ascii="Arial" w:hAnsi="Arial" w:cs="Arial"/>
                <w:lang w:val="en-GB"/>
              </w:rPr>
              <w:t xml:space="preserve">16</w:t>
            </w:r>
          </w:p>
        </w:tc>
      </w:tr>
      <w:tr>
        <w:trPr/>
        <w:tc>
          <w:tcPr>
            <w:shd w:val="clear" w:color="auto" w:fill="b9cce3"/>
            <w:tcBorders>
              <w:left w:val="single" w:color="000000" w:sz="2" w:space="0"/>
              <w:bottom w:val="single" w:color="000000" w:sz="2" w:space="0"/>
            </w:tcBorders>
            <w:tcW w:w="3432" w:type="dxa"/>
          </w:tcPr>
          <w:p w14:paraId="1A6FAAAC" w14:textId="77777777">
            <w:pPr>
              <w:pStyle w:val="1266"/>
              <w:pBdr/>
              <w:spacing/>
              <w:ind/>
              <w:rPr>
                <w:rFonts w:ascii="Arial" w:hAnsi="Arial" w:cs="Arial"/>
                <w:lang w:val="en-GB"/>
              </w:rPr>
            </w:pPr>
            <w:r>
              <w:rPr>
                <w:rFonts w:ascii="Arial" w:hAnsi="Arial" w:cs="Arial"/>
                <w:lang w:val="en-GB"/>
              </w:rPr>
              <w:t xml:space="preserve">Hourly rate (ex VAT)</w:t>
            </w:r>
          </w:p>
        </w:tc>
        <w:tc>
          <w:tcPr>
            <w:shd w:val="clear" w:color="auto" w:fill="ffffff"/>
            <w:tcBorders>
              <w:left w:val="single" w:color="000000" w:sz="2" w:space="0"/>
              <w:bottom w:val="single" w:color="000000" w:sz="2" w:space="0"/>
            </w:tcBorders>
            <w:tcW w:w="2020" w:type="dxa"/>
          </w:tcPr>
          <w:p w14:paraId="4869EFE6" w14:textId="7189D81D">
            <w:pPr>
              <w:pStyle w:val="1266"/>
              <w:pBdr/>
              <w:spacing/>
              <w:ind/>
              <w:rPr>
                <w:rFonts w:ascii="Arial" w:hAnsi="Arial" w:cs="Arial"/>
                <w:lang w:val="en-GB"/>
              </w:rPr>
            </w:pPr>
            <w:r>
              <w:rPr>
                <w:rFonts w:ascii="Arial" w:hAnsi="Arial" w:cs="Arial"/>
                <w:lang w:val="en-GB"/>
              </w:rPr>
              <w:t xml:space="preserve">[rate per Pricing Template]</w:t>
            </w:r>
          </w:p>
        </w:tc>
      </w:tr>
    </w:tbl>
    <w:p w14:paraId="1D952B77" w14:textId="0A77996D">
      <w:pPr>
        <w:pStyle w:val="1264"/>
        <w:pBdr/>
        <w:spacing/>
        <w:ind/>
        <w:rPr/>
      </w:pPr>
      <w:r/>
    </w:p>
    <w:p w14:paraId="6FD684AC" w14:textId="40184F17">
      <w:pPr>
        <w:pStyle w:val="1264"/>
        <w:pBdr/>
        <w:spacing/>
        <w:ind/>
        <w:rPr/>
      </w:pPr>
      <w:r>
        <w:t xml:space="preserve">Hours delivered in excess of the selected package will be charged at the standard rate for the relevant subscription package exclusive of VAT.</w:t>
      </w:r>
    </w:p>
    <w:p w14:paraId="16B5433B" w14:textId="77777777">
      <w:pPr>
        <w:pBdr/>
        <w:spacing/>
        <w:ind/>
        <w:rPr/>
      </w:pPr>
      <w:r>
        <w:rPr>
          <w:lang w:val="en-US"/>
        </w:rPr>
        <w:t xml:space="preserve">The Charges are those set out in the successful Tender and the Pricing Template and are fixed for the term, save for any variation agreed in writing under the change-control provisions of this agreement. </w:t>
      </w:r>
      <w:r>
        <w:t xml:space="preserve"/>
      </w:r>
    </w:p>
    <w:p w14:paraId="4288D737" w14:textId="77777777">
      <w:pPr>
        <w:pStyle w:val="1264"/>
        <w:pBdr/>
        <w:spacing/>
        <w:ind/>
        <w:rPr/>
      </w:pPr>
      <w:r/>
    </w:p>
    <w:p w14:paraId="2945A4F8" w14:textId="77777777">
      <w:pPr>
        <w:pStyle w:val="1264"/>
        <w:pBdr/>
        <w:spacing/>
        <w:ind/>
        <w:rPr/>
      </w:pPr>
      <w:r/>
    </w:p>
    <w:p w14:paraId="2D76FA86" w14:textId="77777777">
      <w:pPr>
        <w:pStyle w:val="1163"/>
        <w:pageBreakBefore w:val="true"/>
        <w:numPr>
          <w:ilvl w:val="0"/>
          <w:numId w:val="27"/>
        </w:numPr>
        <w:pBdr/>
        <w:spacing/>
        <w:ind/>
        <w:rPr>
          <w:rFonts w:asciiTheme="minorHAnsi" w:hAnsiTheme="minorHAnsi"/>
        </w:rPr>
      </w:pPr>
      <w:r/>
      <w:bookmarkStart w:id="223" w:name="a561188"/>
      <w:r/>
      <w:bookmarkStart w:id="224" w:name="_Toc256000033"/>
      <w:r/>
      <w:bookmarkStart w:id="225" w:name="_Toc106280512"/>
      <w:r>
        <w:rPr>
          <w:rFonts w:asciiTheme="minorHAnsi" w:hAnsiTheme="minorHAnsi"/>
        </w:rPr>
        <w:t xml:space="preserve">Personal data, processing and data subjects</w:t>
      </w:r>
      <w:bookmarkEnd w:id="223"/>
      <w:r/>
      <w:bookmarkEnd w:id="224"/>
      <w:r/>
      <w:bookmarkEnd w:id="225"/>
      <w:r>
        <w:rPr>
          <w:rFonts w:asciiTheme="minorHAnsi" w:hAnsiTheme="minorHAnsi"/>
        </w:rPr>
      </w:r>
    </w:p>
    <w:p w14:paraId="48467196" w14:textId="77777777">
      <w:pPr>
        <w:keepNext w:val="true"/>
        <w:widowControl w:val="false"/>
        <w:numPr>
          <w:ilvl w:val="1"/>
          <w:numId w:val="10"/>
        </w:numPr>
        <w:pBdr/>
        <w:tabs>
          <w:tab w:val="num" w:leader="none" w:pos="360"/>
          <w:tab w:val="num" w:leader="none" w:pos="576"/>
        </w:tabs>
        <w:spacing w:after="120" w:before="200" w:line="240" w:lineRule="auto"/>
        <w:ind w:hanging="576" w:left="576"/>
        <w:jc w:val="center"/>
        <w:outlineLvl w:val="1"/>
        <w:rPr>
          <w:rFonts w:eastAsia="Arial Unicode MS"/>
          <w:b/>
          <w:bCs/>
          <w:caps/>
          <w:lang w:eastAsia="zh-CN" w:bidi="hi-IN"/>
        </w:rPr>
      </w:pPr>
      <w:r>
        <w:rPr>
          <w:rFonts w:eastAsia="Arial Unicode MS"/>
          <w:b/>
          <w:bCs/>
          <w:caps/>
          <w:lang w:eastAsia="zh-CN" w:bidi="hi-IN"/>
        </w:rPr>
        <w:t xml:space="preserve">Data Processing Agreement</w:t>
      </w:r>
    </w:p>
    <w:p w14:paraId="51805ABD" w14:textId="77777777">
      <w:pPr>
        <w:pBdr/>
        <w:spacing w:after="120" w:before="120" w:line="252" w:lineRule="auto"/>
        <w:ind/>
        <w:rPr>
          <w:rFonts w:eastAsia="Times New Roman"/>
          <w:b/>
          <w:color w:val="4472c4"/>
          <w:lang w:eastAsia="en-GB"/>
        </w:rPr>
      </w:pPr>
      <w:r>
        <w:rPr>
          <w:rFonts w:eastAsia="Times New Roman"/>
          <w:b/>
          <w:color w:val="4472c4"/>
          <w:lang w:eastAsia="en-GB"/>
        </w:rPr>
      </w:r>
    </w:p>
    <w:p w14:paraId="4425D6EE" w14:textId="77777777">
      <w:pPr>
        <w:pBdr/>
        <w:spacing w:after="240" w:before="120" w:line="252" w:lineRule="auto"/>
        <w:ind/>
        <w:rPr>
          <w:rFonts w:eastAsia="Arial Unicode MS"/>
          <w:lang w:eastAsia="zh-CN" w:bidi="hi-IN"/>
        </w:rPr>
      </w:pPr>
      <w:r>
        <w:rPr>
          <w:rFonts w:eastAsia="Times New Roman"/>
          <w:lang w:eastAsia="en-GB"/>
        </w:rPr>
        <w:t xml:space="preserve">As per the requirements of the General Data Protection Regulation (GDPR), this Data Processing Agreement (DPA) is a binding agreement between </w:t>
      </w:r>
      <w:r>
        <w:rPr>
          <w:rFonts w:eastAsia="Times New Roman"/>
          <w:b/>
          <w:bCs/>
          <w:lang w:eastAsia="en-GB"/>
        </w:rPr>
        <w:t xml:space="preserve">the Developer</w:t>
      </w:r>
      <w:r>
        <w:rPr>
          <w:rFonts w:eastAsia="Times New Roman"/>
          <w:lang w:eastAsia="en-GB"/>
        </w:rPr>
        <w:t xml:space="preserve">, as the data processor and </w:t>
      </w:r>
      <w:r>
        <w:rPr>
          <w:rFonts w:eastAsia="Times New Roman"/>
          <w:b/>
          <w:bCs/>
          <w:lang w:eastAsia="en-GB"/>
        </w:rPr>
        <w:t xml:space="preserve">Customer</w:t>
      </w:r>
      <w:r>
        <w:rPr>
          <w:rFonts w:eastAsia="Times New Roman"/>
          <w:lang w:eastAsia="en-GB"/>
        </w:rPr>
        <w:t xml:space="preserve"> as the data controller, to comply with the Data Protection Laws of Ireland.  This contract forms part of our overall Agreement and does not replace it.   </w:t>
      </w:r>
      <w:r>
        <w:rPr>
          <w:rFonts w:eastAsia="Arial Unicode MS"/>
          <w:lang w:eastAsia="zh-CN" w:bidi="hi-IN"/>
        </w:rPr>
      </w:r>
    </w:p>
    <w:p w14:paraId="7AB3533B" w14:textId="77777777">
      <w:pPr>
        <w:keepNext w:val="true"/>
        <w:keepLines w:val="true"/>
        <w:pBdr>
          <w:top w:val="single" w:color="d9d9d9" w:sz="4" w:space="1"/>
        </w:pBdr>
        <w:spacing w:after="0" w:line="240" w:lineRule="auto"/>
        <w:ind/>
        <w:jc w:val="both"/>
        <w:outlineLvl w:val="0"/>
        <w:rPr>
          <w:rFonts w:eastAsia="SimSun"/>
          <w:color w:val="4472c4"/>
          <w:spacing w:val="4"/>
          <w:lang w:eastAsia="en-GB"/>
        </w:rPr>
      </w:pPr>
      <w:r>
        <w:rPr>
          <w:rFonts w:eastAsia="SimSun"/>
          <w:color w:val="4472c4"/>
          <w:spacing w:val="4"/>
          <w:lang w:eastAsia="en-GB"/>
        </w:rPr>
      </w:r>
    </w:p>
    <w:p w14:paraId="4C8CF86B" w14:textId="77777777">
      <w:pPr>
        <w:pBdr/>
        <w:spacing w:after="0" w:line="240" w:lineRule="auto"/>
        <w:ind/>
        <w:outlineLvl w:val="0"/>
        <w:rPr>
          <w:rFonts w:eastAsia="SimSun"/>
          <w:b/>
          <w:spacing w:val="4"/>
          <w:lang w:eastAsia="en-GB"/>
        </w:rPr>
      </w:pPr>
      <w:r>
        <w:rPr>
          <w:rFonts w:eastAsia="SimSun"/>
          <w:b/>
          <w:spacing w:val="4"/>
          <w:lang w:eastAsia="en-GB"/>
        </w:rPr>
        <w:t xml:space="preserve">Obligations &amp; Rights of the Processor – the Developer</w:t>
      </w:r>
    </w:p>
    <w:p w14:paraId="5722EF9F" w14:textId="77777777">
      <w:pPr>
        <w:pBdr/>
        <w:spacing w:after="0" w:line="252" w:lineRule="auto"/>
        <w:ind/>
        <w:rPr>
          <w:rFonts w:eastAsia="Times New Roman"/>
          <w:b/>
          <w:lang w:eastAsia="en-GB"/>
        </w:rPr>
      </w:pPr>
      <w:r>
        <w:rPr>
          <w:rFonts w:eastAsia="Times New Roman"/>
          <w:b/>
          <w:lang w:eastAsia="en-GB"/>
        </w:rPr>
      </w:r>
    </w:p>
    <w:p w14:paraId="724F7CED"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The data processor complies with GDPR Principles and ensures that all processing meets relevant Data Protection Laws</w:t>
      </w:r>
    </w:p>
    <w:p w14:paraId="6E788BF4"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Will only act on the written instructions of the Controller</w:t>
      </w:r>
    </w:p>
    <w:p w14:paraId="219DF339"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Ensures that anyone processing data are subject to a duty of confidence and do not process Controller data except on instructions from the Controller</w:t>
      </w:r>
    </w:p>
    <w:p w14:paraId="4388949E" w14:textId="77777777">
      <w:pPr>
        <w:widowControl w:val="false"/>
        <w:numPr>
          <w:ilvl w:val="0"/>
          <w:numId w:val="33"/>
        </w:numPr>
        <w:pBdr/>
        <w:spacing w:after="240" w:line="252" w:lineRule="auto"/>
        <w:ind w:firstLine="0"/>
        <w:rPr>
          <w:rFonts w:eastAsia="Arial Unicode MS"/>
          <w:lang w:eastAsia="zh-CN" w:bidi="hi-IN"/>
        </w:rPr>
      </w:pPr>
      <w:r>
        <w:rPr>
          <w:rFonts w:eastAsia="Times New Roman"/>
          <w:lang w:eastAsia="en-GB"/>
        </w:rPr>
        <w:t xml:space="preserve">Uses its best endeavours to safeguard and protect all personal data from unauthorised or unlawful processing, including </w:t>
      </w:r>
      <w:r>
        <w:rPr>
          <w:rFonts w:eastAsia="Times New Roman"/>
          <w:i/>
          <w:lang w:eastAsia="en-GB"/>
        </w:rPr>
        <w:t xml:space="preserve">(but not limited to)</w:t>
      </w:r>
      <w:r>
        <w:rPr>
          <w:rFonts w:eastAsia="Times New Roman"/>
          <w:lang w:eastAsia="en-GB"/>
        </w:rPr>
        <w:t xml:space="preserve"> accidental loss, destruction or damage and will ensure the security of processing through the demonstration and implementation of appropriate technical and organisational measures</w:t>
      </w:r>
      <w:r>
        <w:rPr>
          <w:rFonts w:eastAsia="Arial Unicode MS"/>
          <w:lang w:eastAsia="zh-CN" w:bidi="hi-IN"/>
        </w:rPr>
      </w:r>
    </w:p>
    <w:p w14:paraId="69BA531A"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Ensures that where a sub-processor is used, they only engage a sub-processor with the prior consent of the data Controller.  Any changes or replacements of sub-processors will be based on prior consent of the data Controller.  (not applicable in this case)   </w:t>
      </w:r>
    </w:p>
    <w:p w14:paraId="2C130741"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Understands that where any sub-processor is used on their behalf, that any failure on the part of the sub-processor to comply with the Data Protection Laws or the relevant data processing agreement, the initial processor remains fully liable to the Controller for the performance of the sub-processor’s obligations. (not applicable in this case) </w:t>
      </w:r>
    </w:p>
    <w:p w14:paraId="710A1749"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Assists the data Controller in providing subject access and allowing data subjects to exercise their rights under the Data Protection Laws, if required</w:t>
      </w:r>
    </w:p>
    <w:p w14:paraId="2B2C4115"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Assists the data Controller in meeting its data protection obligations in relation to the security of processing, data protection impact assessments (DPIA), data audits and the investigation and notification of personal data breaches </w:t>
      </w:r>
    </w:p>
    <w:p w14:paraId="5BC99C51"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Delete or return all personal data to the Controller as requested at the end of the contract</w:t>
      </w:r>
    </w:p>
    <w:p w14:paraId="607EB986" w14:textId="77777777">
      <w:pPr>
        <w:widowControl w:val="false"/>
        <w:numPr>
          <w:ilvl w:val="0"/>
          <w:numId w:val="33"/>
        </w:numPr>
        <w:pBdr/>
        <w:spacing w:after="240" w:line="252" w:lineRule="auto"/>
        <w:ind w:firstLine="0"/>
        <w:rPr>
          <w:rFonts w:eastAsia="Times New Roman"/>
          <w:lang w:eastAsia="en-GB"/>
        </w:rPr>
      </w:pPr>
      <w:r>
        <w:rPr>
          <w:rFonts w:eastAsia="Times New Roman"/>
          <w:lang w:eastAsia="en-GB"/>
        </w:rPr>
        <w:t xml:space="preserve">The Processor will make available to the Controller, in the form of a data audit, all information necessary to demonstrate compliance with the obligations laid down by the Irish Data Protection Laws and allow for, and contribute to audits, including inspections, conducted by the Controller or another auditor mandated by the Controller</w:t>
      </w:r>
    </w:p>
    <w:p w14:paraId="78A02B4F" w14:textId="77777777">
      <w:pPr>
        <w:widowControl w:val="false"/>
        <w:numPr>
          <w:ilvl w:val="0"/>
          <w:numId w:val="33"/>
        </w:numPr>
        <w:pBdr/>
        <w:spacing w:after="240" w:line="252" w:lineRule="auto"/>
        <w:ind w:hanging="357" w:left="354"/>
        <w:rPr>
          <w:rFonts w:eastAsia="Arial Unicode MS"/>
          <w:lang w:eastAsia="zh-CN" w:bidi="hi-IN"/>
        </w:rPr>
      </w:pPr>
      <w:r>
        <w:rPr>
          <w:rFonts w:eastAsia="Times New Roman"/>
          <w:lang w:eastAsia="en-GB"/>
        </w:rPr>
        <w:t xml:space="preserve">Tell the Controller immediately if they have done something (</w:t>
      </w:r>
      <w:r>
        <w:rPr>
          <w:rFonts w:eastAsia="Times New Roman"/>
          <w:i/>
          <w:lang w:eastAsia="en-GB"/>
        </w:rPr>
        <w:t xml:space="preserve">or are asked to do something</w:t>
      </w:r>
      <w:r>
        <w:rPr>
          <w:rFonts w:eastAsia="Times New Roman"/>
          <w:lang w:eastAsia="en-GB"/>
        </w:rPr>
        <w:t xml:space="preserve">) that infringes a data protection law</w:t>
      </w:r>
      <w:r>
        <w:rPr>
          <w:rFonts w:eastAsia="Arial Unicode MS"/>
          <w:lang w:eastAsia="zh-CN" w:bidi="hi-IN"/>
        </w:rPr>
      </w:r>
    </w:p>
    <w:p w14:paraId="33AA698A" w14:textId="77777777">
      <w:pPr>
        <w:widowControl w:val="false"/>
        <w:numPr>
          <w:ilvl w:val="0"/>
          <w:numId w:val="33"/>
        </w:numPr>
        <w:pBdr/>
        <w:spacing w:after="240" w:line="252" w:lineRule="auto"/>
        <w:ind w:hanging="357" w:left="354"/>
        <w:rPr>
          <w:rFonts w:eastAsia="Times New Roman"/>
          <w:lang w:eastAsia="en-GB"/>
        </w:rPr>
      </w:pPr>
      <w:r>
        <w:rPr>
          <w:rFonts w:eastAsia="Times New Roman"/>
          <w:lang w:eastAsia="en-GB"/>
        </w:rPr>
        <w:t xml:space="preserve">Co-operate with the Supervisory Authorities, in this instance, the Irish Data Protection Commission in relation to a Supervisory Authority investigation </w:t>
      </w:r>
    </w:p>
    <w:p w14:paraId="2B9FA614" w14:textId="77777777">
      <w:pPr>
        <w:widowControl w:val="false"/>
        <w:numPr>
          <w:ilvl w:val="0"/>
          <w:numId w:val="33"/>
        </w:numPr>
        <w:pBdr/>
        <w:spacing w:after="240" w:line="252" w:lineRule="auto"/>
        <w:ind w:hanging="357" w:left="354"/>
        <w:rPr>
          <w:rFonts w:eastAsia="Times New Roman"/>
          <w:lang w:eastAsia="en-GB"/>
        </w:rPr>
      </w:pPr>
      <w:r>
        <w:rPr>
          <w:rFonts w:eastAsia="Times New Roman"/>
          <w:lang w:eastAsia="en-GB"/>
        </w:rPr>
        <w:t xml:space="preserve">Notify the controller of any personal data breaches immediately. The Controller must investigate and make a data privacy risk decision to report the breach to the Supervisory Authority, within 72 hours.</w:t>
      </w:r>
    </w:p>
    <w:p w14:paraId="26B32A07" w14:textId="77777777">
      <w:pPr>
        <w:widowControl w:val="false"/>
        <w:numPr>
          <w:ilvl w:val="0"/>
          <w:numId w:val="33"/>
        </w:numPr>
        <w:pBdr/>
        <w:spacing w:after="240" w:line="252" w:lineRule="auto"/>
        <w:ind w:hanging="357" w:left="354"/>
        <w:rPr>
          <w:rFonts w:eastAsia="Arial Unicode MS"/>
          <w:lang w:eastAsia="zh-CN" w:bidi="hi-IN"/>
        </w:rPr>
      </w:pPr>
      <w:r>
        <w:rPr>
          <w:rFonts w:eastAsia="Times New Roman"/>
          <w:lang w:eastAsia="en-GB"/>
        </w:rPr>
        <w:t xml:space="preserve">In the event of an issue relating to data protection, please contact our </w:t>
      </w:r>
      <w:r>
        <w:rPr>
          <w:rFonts w:eastAsia="Times New Roman"/>
          <w:b/>
          <w:bCs/>
          <w:lang w:eastAsia="en-GB"/>
        </w:rPr>
        <w:t xml:space="preserve">Data Protection Officer</w:t>
      </w:r>
      <w:r>
        <w:rPr>
          <w:rFonts w:eastAsia="Times New Roman"/>
          <w:lang w:eastAsia="en-GB"/>
        </w:rPr>
        <w:t xml:space="preserve"> </w:t>
      </w:r>
      <w:hyperlink r:id="rId18" w:tooltip="mailto:[Contractor DPO email address]" w:history="1">
        <w:r>
          <w:rPr>
            <w:rFonts w:eastAsia="Times New Roman"/>
            <w:color w:val="0563c1"/>
            <w:u w:val="single"/>
            <w:lang w:eastAsia="en-GB"/>
          </w:rPr>
          <w:t xml:space="preserve">[Contractor DPO email address]</w:t>
        </w:r>
      </w:hyperlink>
      <w:r>
        <w:rPr>
          <w:rFonts w:eastAsia="Times New Roman"/>
          <w:lang w:eastAsia="en-GB"/>
        </w:rPr>
        <w:t xml:space="preserve">  </w:t>
      </w:r>
      <w:r>
        <w:rPr>
          <w:rFonts w:eastAsia="Arial Unicode MS"/>
          <w:lang w:eastAsia="zh-CN" w:bidi="hi-IN"/>
        </w:rPr>
      </w:r>
    </w:p>
    <w:p w14:paraId="42602370" w14:textId="77777777">
      <w:pPr>
        <w:widowControl w:val="false"/>
        <w:numPr>
          <w:ilvl w:val="0"/>
          <w:numId w:val="33"/>
        </w:numPr>
        <w:pBdr/>
        <w:spacing w:after="240" w:line="252" w:lineRule="auto"/>
        <w:ind w:hanging="357" w:left="354"/>
        <w:rPr>
          <w:rFonts w:eastAsia="Arial Unicode MS"/>
          <w:lang w:eastAsia="zh-CN" w:bidi="hi-IN"/>
        </w:rPr>
      </w:pPr>
      <w:r>
        <w:rPr>
          <w:rFonts w:eastAsia="Times New Roman"/>
          <w:lang w:eastAsia="en-GB"/>
        </w:rPr>
        <w:t xml:space="preserve">Appoint </w:t>
      </w:r>
      <w:r>
        <w:rPr>
          <w:rFonts w:eastAsia="Times New Roman"/>
          <w:i/>
          <w:lang w:eastAsia="en-GB"/>
        </w:rPr>
        <w:t xml:space="preserve">(in writing)</w:t>
      </w:r>
      <w:r>
        <w:rPr>
          <w:rFonts w:eastAsia="Times New Roman"/>
          <w:lang w:eastAsia="en-GB"/>
        </w:rPr>
        <w:t xml:space="preserve"> a representative within the EU. (not applicable in this case). </w:t>
      </w:r>
      <w:r>
        <w:rPr>
          <w:rFonts w:eastAsia="Arial Unicode MS"/>
          <w:lang w:eastAsia="zh-CN" w:bidi="hi-IN"/>
        </w:rPr>
      </w:r>
    </w:p>
    <w:p w14:paraId="7D3C51CE" w14:textId="77777777">
      <w:pPr>
        <w:widowControl w:val="false"/>
        <w:numPr>
          <w:ilvl w:val="0"/>
          <w:numId w:val="33"/>
        </w:numPr>
        <w:pBdr/>
        <w:spacing w:after="240" w:line="252" w:lineRule="auto"/>
        <w:ind w:hanging="357" w:left="352"/>
        <w:rPr>
          <w:rFonts w:eastAsia="SimSun"/>
          <w:lang w:eastAsia="en-GB"/>
        </w:rPr>
      </w:pPr>
      <w:r>
        <w:rPr>
          <w:rFonts w:eastAsia="SimSun"/>
          <w:lang w:eastAsia="en-GB"/>
        </w:rPr>
        <w:t xml:space="preserve">Nothing within this agreement relieves the Processor of their own direct responsibilities, obligations and liabilities under Data Protection Laws.</w:t>
      </w:r>
    </w:p>
    <w:p w14:paraId="0E1B4F0A" w14:textId="77777777">
      <w:pPr>
        <w:widowControl w:val="false"/>
        <w:numPr>
          <w:ilvl w:val="0"/>
          <w:numId w:val="33"/>
        </w:numPr>
        <w:pBdr/>
        <w:spacing w:after="240" w:line="252" w:lineRule="auto"/>
        <w:ind w:hanging="357" w:left="352"/>
        <w:rPr>
          <w:rFonts w:eastAsia="Arial Unicode MS"/>
          <w:lang w:eastAsia="zh-CN" w:bidi="hi-IN"/>
        </w:rPr>
      </w:pPr>
      <w:r>
        <w:rPr>
          <w:rFonts w:eastAsia="SimSun"/>
          <w:lang w:eastAsia="en-GB"/>
        </w:rPr>
        <w:t xml:space="preserve">The processor is responsible for ensuring that each of its employees, agents, subcontractors or vendors are made aware of its obligations regarding the security and protection of the personal data and the terms set out in this agreement.   All employees and contractors have updated and adequate contracts that includes Standard Contractual Clause, in line with data protection law.</w:t>
      </w:r>
      <w:r>
        <w:rPr>
          <w:rFonts w:eastAsia="Arial Unicode MS"/>
          <w:lang w:eastAsia="zh-CN" w:bidi="hi-IN"/>
        </w:rPr>
      </w:r>
    </w:p>
    <w:p w14:paraId="48B3E835" w14:textId="77777777">
      <w:pPr>
        <w:widowControl w:val="false"/>
        <w:numPr>
          <w:ilvl w:val="0"/>
          <w:numId w:val="33"/>
        </w:numPr>
        <w:pBdr/>
        <w:spacing w:after="240" w:line="252" w:lineRule="auto"/>
        <w:ind w:hanging="357" w:left="352"/>
        <w:rPr>
          <w:rFonts w:eastAsia="Arial Unicode MS"/>
          <w:lang w:eastAsia="zh-CN" w:bidi="hi-IN"/>
        </w:rPr>
      </w:pPr>
      <w:r>
        <w:rPr>
          <w:rFonts w:eastAsia="SimSun"/>
          <w:lang w:eastAsia="en-GB"/>
        </w:rPr>
        <w:t xml:space="preserve">To ensure continuity of service and support, on occasion data will be processed outside the EEA. This processing will only be carried out by an employee/contractor of the processor, under adequate data protection contract.   </w:t>
      </w:r>
      <w:r>
        <w:rPr>
          <w:rFonts w:eastAsia="Arial Unicode MS"/>
          <w:lang w:eastAsia="zh-CN" w:bidi="hi-IN"/>
        </w:rPr>
      </w:r>
    </w:p>
    <w:p w14:paraId="38E00E39" w14:textId="77777777">
      <w:pPr>
        <w:widowControl w:val="false"/>
        <w:numPr>
          <w:ilvl w:val="0"/>
          <w:numId w:val="33"/>
        </w:numPr>
        <w:pBdr/>
        <w:spacing w:after="240" w:line="252" w:lineRule="auto"/>
        <w:ind w:hanging="357" w:left="352"/>
        <w:rPr>
          <w:rFonts w:eastAsia="SimSun"/>
          <w:lang w:eastAsia="en-GB"/>
        </w:rPr>
      </w:pPr>
      <w:r>
        <w:rPr>
          <w:rFonts w:eastAsia="SimSun"/>
          <w:lang w:eastAsia="en-GB"/>
        </w:rPr>
        <w:t xml:space="preserve">If the processor is required to transfer data to a third country by Union or Member State law, the processor shall inform the Controller of this legal requirement before processing.  </w:t>
      </w:r>
    </w:p>
    <w:p w14:paraId="068E79CD" w14:textId="77777777">
      <w:pPr>
        <w:pBdr/>
        <w:spacing w:after="0" w:line="240" w:lineRule="auto"/>
        <w:ind/>
        <w:outlineLvl w:val="0"/>
        <w:rPr>
          <w:rFonts w:eastAsia="Arial Unicode MS"/>
          <w:lang w:eastAsia="zh-CN" w:bidi="hi-IN"/>
        </w:rPr>
      </w:pPr>
      <w:r>
        <w:rPr>
          <w:rFonts w:eastAsia="SimSun"/>
          <w:b/>
          <w:spacing w:val="4"/>
          <w:lang w:eastAsia="en-GB"/>
        </w:rPr>
        <w:t xml:space="preserve">Obligations and Rights of the Client (data controller)  </w:t>
      </w:r>
      <w:r>
        <w:rPr>
          <w:rFonts w:eastAsia="Arial Unicode MS"/>
          <w:lang w:eastAsia="zh-CN" w:bidi="hi-IN"/>
        </w:rPr>
      </w:r>
    </w:p>
    <w:p w14:paraId="22E35FD4" w14:textId="77777777">
      <w:pPr>
        <w:pBdr/>
        <w:spacing w:after="240" w:line="252" w:lineRule="auto"/>
        <w:ind/>
        <w:rPr>
          <w:rFonts w:eastAsia="Times New Roman"/>
          <w:lang w:eastAsia="en-GB"/>
        </w:rPr>
      </w:pPr>
      <w:r>
        <w:rPr>
          <w:rFonts w:eastAsia="Times New Roman"/>
          <w:lang w:eastAsia="en-GB"/>
        </w:rPr>
      </w:r>
    </w:p>
    <w:p w14:paraId="07DFFDE5" w14:textId="77777777">
      <w:pPr>
        <w:widowControl w:val="false"/>
        <w:numPr>
          <w:ilvl w:val="0"/>
          <w:numId w:val="34"/>
        </w:numPr>
        <w:pBdr/>
        <w:spacing w:after="240" w:line="252" w:lineRule="auto"/>
        <w:ind/>
        <w:rPr>
          <w:rFonts w:eastAsia="Times New Roman"/>
          <w:lang w:eastAsia="en-GB"/>
        </w:rPr>
      </w:pPr>
      <w:r/>
      <w:bookmarkStart w:id="226" w:name="_Hlk513626440"/>
      <w:r/>
      <w:bookmarkEnd w:id="226"/>
      <w:r>
        <w:rPr>
          <w:rFonts w:eastAsia="Times New Roman"/>
          <w:lang w:eastAsia="en-GB"/>
        </w:rPr>
        <w:t xml:space="preserve">The Controller is responsible for verifying the validity and suitability of the processor and named sub-processors before entering a business relationship</w:t>
      </w:r>
    </w:p>
    <w:p w14:paraId="371BDE4F" w14:textId="77777777">
      <w:pPr>
        <w:widowControl w:val="false"/>
        <w:numPr>
          <w:ilvl w:val="0"/>
          <w:numId w:val="34"/>
        </w:numPr>
        <w:pBdr/>
        <w:spacing w:after="240" w:line="252" w:lineRule="auto"/>
        <w:ind/>
        <w:rPr>
          <w:rFonts w:eastAsia="Times New Roman"/>
          <w:lang w:eastAsia="en-GB"/>
        </w:rPr>
      </w:pPr>
      <w:r>
        <w:rPr>
          <w:rFonts w:eastAsia="Times New Roman"/>
          <w:lang w:eastAsia="en-GB"/>
        </w:rPr>
        <w:t xml:space="preserve">The Controller shall carry out adequate and appropriate on-boarding and due diligence checks for all Processors, with a full assessment of the Data Protection Law requirements</w:t>
      </w:r>
    </w:p>
    <w:p w14:paraId="432C454E" w14:textId="77777777">
      <w:pPr>
        <w:widowControl w:val="false"/>
        <w:numPr>
          <w:ilvl w:val="0"/>
          <w:numId w:val="34"/>
        </w:numPr>
        <w:pBdr/>
        <w:spacing w:after="240" w:line="252" w:lineRule="auto"/>
        <w:ind/>
        <w:rPr>
          <w:rFonts w:eastAsia="Times New Roman"/>
          <w:lang w:eastAsia="en-GB"/>
        </w:rPr>
      </w:pPr>
      <w:r>
        <w:rPr>
          <w:rFonts w:eastAsia="Times New Roman"/>
          <w:lang w:eastAsia="en-GB"/>
        </w:rPr>
        <w:t xml:space="preserve">The Controller shall verify that the Processor has adequate and documented processes for data breaches, data retention and data transfers in place</w:t>
      </w:r>
    </w:p>
    <w:p w14:paraId="146B9B8D" w14:textId="29C310A4">
      <w:pPr>
        <w:widowControl w:val="false"/>
        <w:numPr>
          <w:ilvl w:val="0"/>
          <w:numId w:val="34"/>
        </w:numPr>
        <w:pBdr/>
        <w:spacing w:after="240" w:line="252" w:lineRule="auto"/>
        <w:ind/>
        <w:rPr>
          <w:rFonts w:eastAsia="Times New Roman"/>
          <w:lang w:eastAsia="en-GB"/>
        </w:rPr>
      </w:pPr>
      <w:r>
        <w:rPr>
          <w:rFonts w:eastAsia="Times New Roman"/>
          <w:lang w:eastAsia="en-GB"/>
        </w:rPr>
        <w:t xml:space="preserve">The Controller shall obtain evidence from the processor as to the verification and reliability of the employees used by the processor, certificates, accreditations and policies as referred to in the due diligence procedure, if applicable.</w:t>
      </w:r>
    </w:p>
    <w:p w14:paraId="7F3B3E5F" w14:textId="77777777">
      <w:pPr>
        <w:widowControl w:val="false"/>
        <w:numPr>
          <w:ilvl w:val="0"/>
          <w:numId w:val="34"/>
        </w:numPr>
        <w:pBdr/>
        <w:spacing w:after="240" w:line="252" w:lineRule="auto"/>
        <w:ind/>
        <w:rPr>
          <w:rFonts w:eastAsia="Arial Unicode MS"/>
          <w:lang w:eastAsia="zh-CN" w:bidi="hi-IN"/>
        </w:rPr>
      </w:pPr>
      <w:r>
        <w:rPr>
          <w:rFonts w:eastAsia="Times New Roman"/>
          <w:lang w:eastAsia="en-GB"/>
        </w:rPr>
        <w:t xml:space="preserve">Ensure technical and operational measures are in place as described in Annex 1 of this agreement.</w:t>
      </w:r>
      <w:r>
        <w:rPr>
          <w:rFonts w:eastAsia="Arial Unicode MS"/>
          <w:lang w:eastAsia="zh-CN" w:bidi="hi-IN"/>
        </w:rPr>
      </w:r>
    </w:p>
    <w:p w14:paraId="1ED4ADA9" w14:textId="77777777">
      <w:pPr>
        <w:widowControl w:val="false"/>
        <w:numPr>
          <w:ilvl w:val="0"/>
          <w:numId w:val="34"/>
        </w:numPr>
        <w:pBdr/>
        <w:spacing w:after="240" w:line="252" w:lineRule="auto"/>
        <w:ind/>
        <w:rPr>
          <w:rFonts w:eastAsia="Times New Roman"/>
          <w:lang w:eastAsia="en-GB"/>
        </w:rPr>
      </w:pPr>
      <w:r>
        <w:rPr>
          <w:rFonts w:eastAsia="Times New Roman"/>
          <w:lang w:eastAsia="en-GB"/>
        </w:rPr>
        <w:t xml:space="preserve">Ensure procedures in place for allowing data subjects to exercise their rights, including (but not limited to), subject access requests, erasure &amp; rectification procedures and restriction of processing measures.  </w:t>
      </w:r>
    </w:p>
    <w:p w14:paraId="6016FCA4" w14:textId="77777777">
      <w:pPr>
        <w:widowControl w:val="false"/>
        <w:numPr>
          <w:ilvl w:val="0"/>
          <w:numId w:val="34"/>
        </w:numPr>
        <w:pBdr/>
        <w:spacing w:after="240" w:line="252" w:lineRule="auto"/>
        <w:ind/>
        <w:rPr>
          <w:rFonts w:eastAsia="Arial Unicode MS"/>
          <w:lang w:eastAsia="zh-CN" w:bidi="hi-IN"/>
        </w:rPr>
      </w:pPr>
      <w:r>
        <w:rPr>
          <w:rFonts w:eastAsia="Times New Roman"/>
          <w:lang w:eastAsia="en-GB"/>
        </w:rPr>
        <w:t xml:space="preserve">Where the Controller has authorised the use of any sub-processor by the initial Processor, the details of the sub-processor must be added to Annex 2 of this agreement (not applicable in this case)</w:t>
      </w:r>
      <w:r>
        <w:rPr>
          <w:rFonts w:eastAsia="Arial Unicode MS"/>
          <w:lang w:eastAsia="zh-CN" w:bidi="hi-IN"/>
        </w:rPr>
      </w:r>
    </w:p>
    <w:p w14:paraId="6CE70E05" w14:textId="77777777">
      <w:pPr>
        <w:pBdr/>
        <w:spacing w:after="0" w:line="240" w:lineRule="auto"/>
        <w:ind/>
        <w:outlineLvl w:val="0"/>
        <w:rPr>
          <w:rFonts w:eastAsia="Arial Unicode MS"/>
          <w:lang w:eastAsia="zh-CN" w:bidi="hi-IN"/>
        </w:rPr>
      </w:pPr>
      <w:r>
        <w:rPr>
          <w:rFonts w:eastAsia="SimSun"/>
          <w:b/>
          <w:spacing w:val="4"/>
          <w:lang w:eastAsia="en-GB"/>
        </w:rPr>
        <w:t xml:space="preserve">Annex 1</w:t>
      </w:r>
      <w:r>
        <w:rPr>
          <w:rFonts w:eastAsia="Arial Unicode MS"/>
          <w:lang w:eastAsia="zh-CN" w:bidi="hi-IN"/>
        </w:rPr>
      </w:r>
    </w:p>
    <w:p w14:paraId="7711CBFA" w14:textId="77777777">
      <w:pPr>
        <w:keepNext w:val="true"/>
        <w:keepLines w:val="true"/>
        <w:pBdr>
          <w:top w:val="single" w:color="d9d9d9" w:sz="4" w:space="1"/>
        </w:pBdr>
        <w:spacing w:after="120" w:before="600" w:line="240" w:lineRule="auto"/>
        <w:ind/>
        <w:jc w:val="both"/>
        <w:outlineLvl w:val="0"/>
        <w:rPr>
          <w:rFonts w:eastAsia="SimSun"/>
          <w:b/>
          <w:spacing w:val="4"/>
          <w:lang w:eastAsia="en-GB"/>
        </w:rPr>
      </w:pPr>
      <w:r>
        <w:rPr>
          <w:rFonts w:eastAsia="SimSun"/>
          <w:b/>
          <w:spacing w:val="4"/>
          <w:lang w:eastAsia="en-GB"/>
        </w:rPr>
        <w:t xml:space="preserve">Processing Detail</w:t>
      </w:r>
    </w:p>
    <w:p w14:paraId="00CB20E6" w14:textId="77777777">
      <w:pPr>
        <w:widowControl w:val="false"/>
        <w:numPr>
          <w:ilvl w:val="0"/>
          <w:numId w:val="35"/>
        </w:numPr>
        <w:pBdr/>
        <w:spacing w:after="240" w:line="252" w:lineRule="auto"/>
        <w:ind/>
        <w:rPr>
          <w:rFonts w:eastAsia="Arial Unicode MS"/>
          <w:lang w:eastAsia="zh-CN" w:bidi="hi-IN"/>
        </w:rPr>
      </w:pPr>
      <w:r>
        <w:rPr>
          <w:rFonts w:eastAsia="Times New Roman"/>
          <w:lang w:eastAsia="en-GB"/>
        </w:rPr>
        <w:t xml:space="preserve">The Controller has appointed the Developer, the processor for the purpose of services </w:t>
      </w:r>
      <w:r>
        <w:rPr>
          <w:rFonts w:eastAsia="Times New Roman"/>
          <w:b/>
          <w:bCs/>
          <w:lang w:eastAsia="en-GB"/>
        </w:rPr>
        <w:t xml:space="preserve">relating to websites and web applications</w:t>
      </w:r>
      <w:r>
        <w:rPr>
          <w:rFonts w:eastAsia="Arial Unicode MS"/>
          <w:lang w:eastAsia="zh-CN" w:bidi="hi-IN"/>
        </w:rPr>
      </w:r>
    </w:p>
    <w:p w14:paraId="0BB9BA66" w14:textId="77777777">
      <w:pPr>
        <w:widowControl w:val="false"/>
        <w:numPr>
          <w:ilvl w:val="0"/>
          <w:numId w:val="35"/>
        </w:numPr>
        <w:pBdr/>
        <w:spacing w:after="240" w:line="252" w:lineRule="auto"/>
        <w:ind/>
        <w:rPr>
          <w:rFonts w:eastAsia="Times New Roman"/>
          <w:lang w:eastAsia="en-GB"/>
        </w:rPr>
      </w:pPr>
      <w:r>
        <w:rPr>
          <w:rFonts w:eastAsia="Times New Roman"/>
          <w:lang w:eastAsia="en-GB"/>
        </w:rPr>
        <w:t xml:space="preserve">The duration of the processing is outlined within the Principle Contract.  The Controller or Processor can terminate this agreement as per the Principle Contract</w:t>
      </w:r>
    </w:p>
    <w:p w14:paraId="6F30A049" w14:textId="77777777">
      <w:pPr>
        <w:widowControl w:val="false"/>
        <w:numPr>
          <w:ilvl w:val="0"/>
          <w:numId w:val="35"/>
        </w:numPr>
        <w:pBdr/>
        <w:spacing w:after="240" w:line="252" w:lineRule="auto"/>
        <w:ind/>
        <w:rPr>
          <w:rFonts w:eastAsia="Arial Unicode MS"/>
          <w:lang w:eastAsia="zh-CN" w:bidi="hi-IN"/>
        </w:rPr>
      </w:pPr>
      <w:r>
        <w:rPr>
          <w:rFonts w:eastAsia="Times New Roman"/>
          <w:lang w:eastAsia="en-GB"/>
        </w:rPr>
        <w:t xml:space="preserve">The requirement for the Processor to act on behalf of the Controller is to process the following data type and category: </w:t>
      </w:r>
      <w:r>
        <w:rPr>
          <w:rFonts w:eastAsia="Times New Roman"/>
          <w:b/>
          <w:bCs/>
          <w:lang w:eastAsia="en-GB"/>
        </w:rPr>
        <w:t xml:space="preserve">standard website contact details and other bespoke personal information.  This may include special category data.</w:t>
      </w:r>
      <w:r>
        <w:rPr>
          <w:rFonts w:eastAsia="Arial Unicode MS"/>
          <w:lang w:eastAsia="zh-CN" w:bidi="hi-IN"/>
        </w:rPr>
      </w:r>
    </w:p>
    <w:p w14:paraId="378215EE" w14:textId="0A94E83F">
      <w:pPr>
        <w:widowControl w:val="false"/>
        <w:numPr>
          <w:ilvl w:val="0"/>
          <w:numId w:val="35"/>
        </w:numPr>
        <w:pBdr/>
        <w:spacing w:after="240"/>
        <w:ind/>
        <w:rPr>
          <w:rFonts w:eastAsia="Arial Unicode MS"/>
          <w:lang w:eastAsia="zh-CN" w:bidi="hi-IN"/>
        </w:rPr>
      </w:pPr>
      <w:r>
        <w:rPr>
          <w:rFonts w:eastAsia="Times New Roman"/>
          <w:lang w:eastAsia="en-GB"/>
        </w:rPr>
        <w:t xml:space="preserve">The Processor can demonstrate and provide sufficient guarantees as to the implementation of appropriate technical and organisational measures taken to ensure data security and protection including</w:t>
      </w:r>
      <w:r>
        <w:rPr>
          <w:rFonts w:eastAsia="Times New Roman"/>
          <w:spacing w:val="-2"/>
        </w:rPr>
        <w:t xml:space="preserve"> encryption, pseudonymisation and anonymisation of data where appropriate.</w:t>
      </w:r>
      <w:r>
        <w:rPr>
          <w:rFonts w:eastAsia="Calibri"/>
          <w:spacing w:val="-2"/>
        </w:rPr>
        <w:t xml:space="preserve"> </w:t>
      </w:r>
      <w:r>
        <w:rPr>
          <w:rFonts w:eastAsia="Arial Unicode MS"/>
          <w:lang w:eastAsia="zh-CN" w:bidi="hi-IN"/>
        </w:rPr>
      </w:r>
    </w:p>
    <w:p w14:paraId="14902202" w14:textId="77777777">
      <w:pPr>
        <w:pBdr/>
        <w:spacing w:after="0" w:line="252" w:lineRule="auto"/>
        <w:ind/>
        <w:rPr>
          <w:rFonts w:eastAsia="Times New Roman"/>
          <w:shd w:val="clear" w:color="auto" w:fill="ffff00"/>
          <w:lang w:eastAsia="en-GB"/>
        </w:rPr>
      </w:pPr>
      <w:r>
        <w:rPr>
          <w:rFonts w:eastAsia="Times New Roman"/>
          <w:shd w:val="clear" w:color="auto" w:fill="ffff00"/>
          <w:lang w:eastAsia="en-GB"/>
        </w:rPr>
      </w:r>
    </w:p>
    <w:p w14:paraId="3354D07E" w14:textId="77777777">
      <w:pPr>
        <w:pBdr/>
        <w:spacing w:after="0" w:line="240" w:lineRule="auto"/>
        <w:ind/>
        <w:rPr>
          <w:rFonts w:eastAsia="SimSun"/>
          <w:b/>
          <w:spacing w:val="4"/>
          <w:lang w:eastAsia="en-GB"/>
        </w:rPr>
      </w:pPr>
      <w:r>
        <w:rPr>
          <w:rFonts w:eastAsia="SimSun"/>
          <w:b/>
          <w:spacing w:val="4"/>
          <w:lang w:eastAsia="en-GB"/>
        </w:rPr>
        <w:br w:type="page" w:clear="all"/>
      </w:r>
    </w:p>
    <w:p w14:paraId="78755255" w14:textId="58AE5737">
      <w:pPr>
        <w:pBdr/>
        <w:spacing w:after="0" w:line="240" w:lineRule="auto"/>
        <w:ind/>
        <w:outlineLvl w:val="0"/>
        <w:rPr>
          <w:rFonts w:eastAsia="Arial Unicode MS"/>
          <w:lang w:eastAsia="zh-CN" w:bidi="hi-IN"/>
        </w:rPr>
      </w:pPr>
      <w:r>
        <w:rPr>
          <w:rFonts w:eastAsia="SimSun"/>
          <w:b/>
          <w:spacing w:val="4"/>
          <w:lang w:eastAsia="en-GB"/>
        </w:rPr>
        <w:t xml:space="preserve">Annex 2</w:t>
      </w:r>
      <w:r>
        <w:rPr>
          <w:rFonts w:eastAsia="Arial Unicode MS"/>
          <w:lang w:eastAsia="zh-CN" w:bidi="hi-IN"/>
        </w:rPr>
      </w:r>
    </w:p>
    <w:p w14:paraId="47E47C24" w14:textId="77777777">
      <w:pPr>
        <w:keepNext w:val="true"/>
        <w:keepLines w:val="true"/>
        <w:pBdr>
          <w:top w:val="single" w:color="d9d9d9" w:sz="4" w:space="1"/>
        </w:pBdr>
        <w:spacing w:after="120" w:before="600" w:line="240" w:lineRule="auto"/>
        <w:ind/>
        <w:jc w:val="both"/>
        <w:outlineLvl w:val="0"/>
        <w:rPr>
          <w:rFonts w:eastAsia="SimSun"/>
          <w:b/>
          <w:spacing w:val="4"/>
          <w:lang w:eastAsia="en-GB"/>
        </w:rPr>
      </w:pPr>
      <w:r>
        <w:rPr>
          <w:rFonts w:eastAsia="SimSun"/>
          <w:b/>
          <w:spacing w:val="4"/>
          <w:lang w:eastAsia="en-GB"/>
        </w:rPr>
        <w:t xml:space="preserve">Authorised Sub-Processors </w:t>
      </w:r>
    </w:p>
    <w:p w14:paraId="64F1862B" w14:textId="450A3047">
      <w:pPr>
        <w:pBdr/>
        <w:spacing w:after="240" w:line="252" w:lineRule="auto"/>
        <w:ind/>
        <w:rPr>
          <w:rFonts w:eastAsia="Times New Roman"/>
          <w:lang w:eastAsia="en-GB"/>
        </w:rPr>
      </w:pPr>
      <w:r>
        <w:rPr>
          <w:rFonts w:eastAsia="Times New Roman"/>
          <w:lang w:eastAsia="en-GB"/>
        </w:rPr>
        <w:t xml:space="preserve">the Developer, the processor can confirm that they do not contract any element of their work to sub-processors.  All services are carried out by employees/contractors of the Developer. </w:t>
      </w:r>
      <w:bookmarkEnd w:id="0"/>
      <w:r>
        <w:rPr>
          <w:rFonts w:eastAsia="Times New Roman"/>
          <w:lang w:eastAsia="en-GB"/>
        </w:rPr>
      </w:r>
    </w:p>
    <w:p w14:paraId="4229B99E" w14:textId="77777777">
      <w:pPr>
        <w:pBdr/>
        <w:spacing w:after="240" w:line="252" w:lineRule="auto"/>
        <w:ind/>
        <w:rPr>
          <w:rFonts w:eastAsia="Times New Roman"/>
          <w:lang w:eastAsia="en-GB"/>
        </w:rPr>
      </w:pPr>
      <w:r>
        <w:rPr>
          <w:rFonts w:eastAsia="Times New Roman"/>
          <w:lang w:eastAsia="en-GB"/>
        </w:rPr>
      </w:r>
    </w:p>
    <w:p w14:paraId="55C2B844" w14:textId="77777777">
      <w:pPr>
        <w:pBdr/>
        <w:spacing/>
        <w:ind/>
        <w:jc w:val="center"/>
        <w:rPr>
          <w:b/>
        </w:rPr>
      </w:pPr>
      <w:r>
        <w:rPr>
          <w:b/>
          <w:bCs/>
        </w:rPr>
        <w:t xml:space="preserve">Contract Signature </w:t>
      </w:r>
      <w:commentRangeStart w:id="11"/>
      <w:r/>
      <w:commentRangeEnd w:id="11"/>
      <w:r>
        <w:commentReference w:id="11"/>
      </w:r>
      <w:r>
        <w:rPr>
          <w:b/>
        </w:rPr>
      </w:r>
    </w:p>
    <w:p w14:paraId="2A23E8B0" w14:textId="77777777">
      <w:pPr>
        <w:pBdr/>
        <w:spacing/>
        <w:ind/>
        <w:jc w:val="both"/>
        <w:rPr/>
      </w:pPr>
      <w:r/>
    </w:p>
    <w:p w14:paraId="3EA27590" w14:textId="77777777">
      <w:pPr>
        <w:pBdr/>
        <w:spacing/>
        <w:ind/>
        <w:jc w:val="both"/>
        <w:rPr/>
      </w:pPr>
      <w:r/>
    </w:p>
    <w:p w14:paraId="7984F60B" w14:textId="77777777">
      <w:pPr>
        <w:pBdr/>
        <w:spacing/>
        <w:ind/>
        <w:jc w:val="both"/>
        <w:rPr/>
      </w:pPr>
      <w:r>
        <w:t xml:space="preserve">________________________________</w:t>
        <w:tab/>
        <w:tab/>
        <w:t xml:space="preserve">_____________________________</w:t>
        <w:tab/>
      </w:r>
    </w:p>
    <w:p w14:paraId="7CDFF0F0" w14:textId="173ABA0D">
      <w:pPr>
        <w:pBdr/>
        <w:spacing/>
        <w:ind/>
        <w:rPr/>
      </w:pPr>
      <w:r>
        <w:t xml:space="preserve">Authorised Individual </w:t>
        <w:tab/>
        <w:tab/>
        <w:tab/>
        <w:tab/>
        <w:tab/>
        <w:t xml:space="preserve">Authorised Signature</w:t>
        <w:br/>
        <w:t xml:space="preserve">For and on behalf of Customer</w:t>
      </w:r>
    </w:p>
    <w:p w14:paraId="362B2B96" w14:textId="77777777">
      <w:pPr>
        <w:pBdr/>
        <w:spacing/>
        <w:ind/>
        <w:rPr/>
      </w:pPr>
      <w:r/>
    </w:p>
    <w:p w14:paraId="3133F1D5" w14:textId="77777777">
      <w:pPr>
        <w:pBdr/>
        <w:spacing/>
        <w:ind/>
        <w:rPr/>
      </w:pPr>
      <w:r/>
    </w:p>
    <w:p w14:paraId="30D15823" w14:textId="77777777">
      <w:pPr>
        <w:pBdr/>
        <w:spacing/>
        <w:ind/>
        <w:jc w:val="both"/>
        <w:rPr/>
      </w:pPr>
      <w:r>
        <w:t xml:space="preserve">________________________________</w:t>
        <w:tab/>
        <w:tab/>
        <w:t xml:space="preserve">_____________________________</w:t>
      </w:r>
    </w:p>
    <w:p w14:paraId="396B638D" w14:textId="32EAE3BF">
      <w:pPr>
        <w:pBdr/>
        <w:spacing/>
        <w:ind/>
        <w:rPr/>
      </w:pPr>
      <w:r>
        <w:t xml:space="preserve">Director Name </w:t>
        <w:tab/>
        <w:tab/>
        <w:tab/>
        <w:tab/>
        <w:tab/>
        <w:t xml:space="preserve">Director Signature</w:t>
        <w:br/>
        <w:t xml:space="preserve">For and on behalf of [the Contractor]</w:t>
        <w:tab/>
      </w:r>
    </w:p>
    <w:sectPr>
      <w:footerReference w:type="default" r:id="rId12"/>
      <w:footnotePr/>
      <w:endnotePr/>
      <w:type w:val="nextPage"/>
      <w:pgSz w:h="16820" w:orient="portrait" w:w="11900"/>
      <w:pgMar w:top="1440" w:right="1440" w:bottom="1440" w:left="1440" w:header="720" w:footer="720" w:gutter="0"/>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Stella Power" w:date="2019-06-11T09:47:00Z" w:initials="SP">
    <w:p w14:paraId="00000001" w14:textId="00000001">
      <w:pPr>
        <w:spacing w:line="240" w:after="0" w:lineRule="auto" w:before="0"/>
        <w:ind w:firstLine="0" w:left="0" w:right="0"/>
        <w:jc w:val="left"/>
      </w:pPr>
      <w:r>
        <w:rPr>
          <w:rFonts w:eastAsia="Arial" w:ascii="Arial" w:hAnsi="Arial" w:cs="Arial"/>
          <w:sz w:val="22"/>
        </w:rPr>
        <w:t xml:space="preserve">Sign / update sig</w:t>
      </w:r>
    </w:p>
    <w:p w14:paraId="00000002" w14:textId="00000002">
      <w:pPr>
        <w:spacing w:line="240" w:after="0" w:lineRule="auto" w:before="0"/>
        <w:ind w:firstLine="0" w:left="0" w:right="0"/>
        <w:jc w:val="left"/>
      </w:pPr>
      <w:r>
        <w:rPr>
          <w:rFonts w:eastAsia="Arial" w:ascii="Arial" w:hAnsi="Arial" w:cs="Arial"/>
          <w:sz w:val="22"/>
        </w:rPr>
        <w:t xml:space="preserve"/>
      </w:r>
    </w:p>
  </w:comment>
  <w:comment w:id="10" w:author="Stella" w:date="2023-11-10T16:59:00Z" w:initials="S">
    <w:p w14:paraId="00000003" w14:textId="00000003">
      <w:pPr>
        <w:spacing w:line="240" w:after="0" w:lineRule="auto" w:before="0"/>
        <w:ind w:firstLine="0" w:left="0" w:right="0"/>
        <w:jc w:val="left"/>
      </w:pPr>
      <w:r>
        <w:rPr>
          <w:rFonts w:eastAsia="Arial" w:ascii="Arial" w:hAnsi="Arial" w:cs="Arial"/>
          <w:sz w:val="22"/>
        </w:rPr>
        <w:t xml:space="preserve">Is 60 days termination enough?</w:t>
      </w:r>
    </w:p>
  </w:comment>
  <w:comment w:id="9" w:author="Stella" w:date="2022-06-16T11:11:00Z" w:initials="S">
    <w:p w14:paraId="00000004" w14:textId="00000004">
      <w:pPr>
        <w:spacing w:line="240" w:after="0" w:lineRule="auto" w:before="0"/>
        <w:ind w:firstLine="0" w:left="0" w:right="0"/>
        <w:jc w:val="left"/>
      </w:pPr>
      <w:r>
        <w:rPr>
          <w:rFonts w:eastAsia="Arial" w:ascii="Arial" w:hAnsi="Arial" w:cs="Arial"/>
          <w:sz w:val="22"/>
        </w:rPr>
        <w:t xml:space="preserve">Confirm no sub-processor, if there is, change this - see project templates for alternative wording</w:t>
      </w:r>
    </w:p>
  </w:comment>
  <w:comment w:id="8" w:author="Stella" w:date="2022-07-21T23:57:00Z" w:initials="S">
    <w:p w14:paraId="00000005" w14:textId="00000005">
      <w:pPr>
        <w:spacing w:line="240" w:after="0" w:lineRule="auto" w:before="0"/>
        <w:ind w:firstLine="0" w:left="0" w:right="0"/>
        <w:jc w:val="left"/>
      </w:pPr>
      <w:r>
        <w:rPr>
          <w:rFonts w:eastAsia="Arial" w:ascii="Arial" w:hAnsi="Arial" w:cs="Arial"/>
          <w:sz w:val="22"/>
        </w:rPr>
        <w:t xml:space="preserve">Collection of data?</w:t>
      </w:r>
    </w:p>
  </w:comment>
  <w:comment w:id="7" w:author="Stella" w:date="2022-06-16T11:09:00Z" w:initials="S">
    <w:p w14:paraId="00000006" w14:textId="00000006">
      <w:pPr>
        <w:spacing w:line="240" w:after="0" w:lineRule="auto" w:before="0"/>
        <w:ind w:firstLine="0" w:left="0" w:right="0"/>
        <w:jc w:val="left"/>
      </w:pPr>
      <w:r>
        <w:rPr>
          <w:rFonts w:eastAsia="Arial" w:ascii="Arial" w:hAnsi="Arial" w:cs="Arial"/>
          <w:sz w:val="22"/>
        </w:rPr>
        <w:t xml:space="preserve">Adjust percentage based on contract value</w:t>
      </w:r>
    </w:p>
  </w:comment>
  <w:comment w:id="6" w:author="Stella" w:date="2022-06-16T11:08:00Z" w:initials="S">
    <w:p w14:paraId="00000007" w14:textId="00000007">
      <w:pPr>
        <w:spacing w:line="240" w:after="0" w:lineRule="auto" w:before="0"/>
        <w:ind w:firstLine="0" w:left="0" w:right="0"/>
        <w:jc w:val="left"/>
      </w:pPr>
      <w:r>
        <w:rPr>
          <w:rFonts w:eastAsia="Arial" w:ascii="Arial" w:hAnsi="Arial" w:cs="Arial"/>
          <w:sz w:val="22"/>
        </w:rPr>
        <w:t xml:space="preserve">Is it monthly invoicing?</w:t>
      </w:r>
    </w:p>
  </w:comment>
  <w:comment w:id="5" w:author="Stella" w:date="2022-06-13T15:42:00Z" w:initials="S">
    <w:p w14:paraId="00000008" w14:textId="00000008">
      <w:pPr>
        <w:spacing w:line="240" w:after="0" w:lineRule="auto" w:before="0"/>
        <w:ind w:firstLine="0" w:left="0" w:right="0"/>
        <w:jc w:val="left"/>
      </w:pPr>
      <w:r>
        <w:rPr>
          <w:rFonts w:eastAsia="Arial" w:ascii="Arial" w:hAnsi="Arial" w:cs="Arial"/>
          <w:sz w:val="22"/>
        </w:rPr>
        <w:t xml:space="preserve">Customer email</w:t>
      </w:r>
    </w:p>
  </w:comment>
  <w:comment w:id="4" w:author="Stella" w:date="2022-06-13T15:42:00Z" w:initials="S">
    <w:p w14:paraId="00000009" w14:textId="00000009">
      <w:pPr>
        <w:spacing w:line="240" w:after="0" w:lineRule="auto" w:before="0"/>
        <w:ind w:firstLine="0" w:left="0" w:right="0"/>
        <w:jc w:val="left"/>
      </w:pPr>
      <w:r>
        <w:rPr>
          <w:rFonts w:eastAsia="Arial" w:ascii="Arial" w:hAnsi="Arial" w:cs="Arial"/>
          <w:sz w:val="22"/>
        </w:rPr>
        <w:t xml:space="preserve">Effective date</w:t>
      </w:r>
    </w:p>
  </w:comment>
  <w:comment w:id="3" w:author="Stella" w:date="2022-06-16T10:50:00Z" w:initials="S">
    <w:p w14:paraId="0000000A" w14:textId="0000000A">
      <w:pPr>
        <w:spacing w:line="240" w:after="0" w:lineRule="auto" w:before="0"/>
        <w:ind w:firstLine="0" w:left="0" w:right="0"/>
        <w:jc w:val="left"/>
      </w:pPr>
      <w:r>
        <w:rPr>
          <w:rFonts w:eastAsia="Arial" w:ascii="Arial" w:hAnsi="Arial" w:cs="Arial"/>
          <w:sz w:val="22"/>
        </w:rPr>
        <w:t xml:space="preserve">Customer details</w:t>
      </w:r>
    </w:p>
  </w:comment>
  <w:comment w:id="2" w:author="Stella" w:date="2022-06-13T15:41:00Z" w:initials="S">
    <w:p w14:paraId="0000000B" w14:textId="0000000B">
      <w:pPr>
        <w:spacing w:line="240" w:after="0" w:lineRule="auto" w:before="0"/>
        <w:ind w:firstLine="0" w:left="0" w:right="0"/>
        <w:jc w:val="left"/>
      </w:pPr>
      <w:r>
        <w:rPr>
          <w:rFonts w:eastAsia="Arial" w:ascii="Arial" w:hAnsi="Arial" w:cs="Arial"/>
          <w:sz w:val="22"/>
        </w:rPr>
        <w:t xml:space="preserve">agreement date</w:t>
      </w:r>
    </w:p>
  </w:comment>
  <w:comment w:id="1" w:author="Stella" w:date="2022-06-13T15:40:00Z" w:initials="S">
    <w:p w14:paraId="0000000C" w14:textId="0000000C">
      <w:pPr>
        <w:spacing w:line="240" w:after="0" w:lineRule="auto" w:before="0"/>
        <w:ind w:firstLine="0" w:left="0" w:right="0"/>
        <w:jc w:val="left"/>
      </w:pPr>
      <w:r>
        <w:rPr>
          <w:rFonts w:eastAsia="Arial" w:ascii="Arial" w:hAnsi="Arial" w:cs="Arial"/>
          <w:sz w:val="22"/>
        </w:rPr>
        <w:t xml:space="preserve">Customer name</w:t>
      </w:r>
    </w:p>
  </w:comment>
  <w:comment w:id="0" w:author="Stella" w:date="2022-06-16T17:49:00Z" w:initials="S">
    <w:p w14:paraId="0000000D" w14:textId="0000000D">
      <w:pPr>
        <w:spacing w:line="240" w:after="0" w:lineRule="auto" w:before="0"/>
        <w:ind w:firstLine="0" w:left="0" w:right="0"/>
        <w:jc w:val="left"/>
      </w:pPr>
      <w:r>
        <w:rPr>
          <w:rFonts w:eastAsia="Arial" w:ascii="Arial" w:hAnsi="Arial" w:cs="Arial"/>
          <w:sz w:val="22"/>
        </w:rPr>
        <w:t xml:space="preserve">Insert date</w:t>
      </w:r>
    </w:p>
  </w:comment>
</w:comments>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tella" w:date="2022-06-16T10:46:00Z" w:initials="S">
    <w:p w14:paraId="00000001" w14:textId="00000001">
      <w:pPr>
        <w:spacing w:line="240" w:after="0" w:lineRule="auto" w:before="0"/>
        <w:ind w:firstLine="0" w:left="0" w:right="0"/>
        <w:jc w:val="left"/>
      </w:pPr>
      <w:r>
        <w:rPr>
          <w:rFonts w:eastAsia="Arial" w:ascii="Arial" w:hAnsi="Arial" w:cs="Arial"/>
          <w:sz w:val="22"/>
        </w:rPr>
        <w:t xml:space="preserve">Update index if removing any schedules</w:t>
      </w:r>
    </w:p>
  </w:comment>
  <w:comment w:id="1" w:author="Stella" w:date="2022-06-16T12:56:00Z" w:initials="S">
    <w:p w14:paraId="00000002" w14:textId="00000002">
      <w:pPr>
        <w:spacing w:line="240" w:after="0" w:lineRule="auto" w:before="0"/>
        <w:ind w:firstLine="0" w:left="0" w:right="0"/>
        <w:jc w:val="left"/>
      </w:pPr>
      <w:r>
        <w:rPr>
          <w:rFonts w:eastAsia="Arial" w:ascii="Arial" w:hAnsi="Arial" w:cs="Arial"/>
          <w:sz w:val="22"/>
        </w:rPr>
        <w:t xml:space="preserve">And fix any cross referencing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2" w15:done="1"/>
  <w15:commentEx w15:paraId="00000003" w15:done="1"/>
  <w15:commentEx w15:paraId="00000004" w15:done="1"/>
  <w15:commentEx w15:paraId="00000005" w15:done="1"/>
  <w15:commentEx w15:paraId="00000006" w15:done="1"/>
  <w15:commentEx w15:paraId="00000007" w15:done="1"/>
  <w15:commentEx w15:paraId="00000008" w15:done="1"/>
  <w15:commentEx w15:paraId="00000009" w15:done="1"/>
  <w15:commentEx w15:paraId="0000000A" w15:done="1"/>
  <w15:commentEx w15:paraId="0000000B" w15:done="1"/>
  <w15:commentEx w15:paraId="0000000C" w15:done="1"/>
  <w15:commentEx w15:paraId="0000000D" w15:done="1"/>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paraIdParent="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C4CD02" w16cex:dateUtc="2019-06-11T08:47:00Z"/>
  <w16cex:commentExtensible w16cex:durableId="19AD7B6D" w16cex:dateUtc="2023-11-10T15:59:00Z"/>
  <w16cex:commentExtensible w16cex:durableId="26558E7D" w16cex:dateUtc="2022-06-16T10:11:00Z"/>
  <w16cex:commentExtensible w16cex:durableId="26846662" w16cex:dateUtc="2022-07-21T22:57:00Z"/>
  <w16cex:commentExtensible w16cex:durableId="26558DFD" w16cex:dateUtc="2022-06-16T10:09:00Z"/>
  <w16cex:commentExtensible w16cex:durableId="26558DB1" w16cex:dateUtc="2022-06-16T10:08:00Z"/>
  <w16cex:commentExtensible w16cex:durableId="26548390" w16cex:dateUtc="2022-06-13T14:42:00Z"/>
  <w16cex:commentExtensible w16cex:durableId="2651D974" w16cex:dateUtc="2022-06-13T14:42:00Z"/>
  <w16cex:commentExtensible w16cex:durableId="2655896E" w16cex:dateUtc="2022-06-16T09:50:00Z"/>
  <w16cex:commentExtensible w16cex:durableId="2651D918" w16cex:dateUtc="2022-06-13T14:41:00Z"/>
  <w16cex:commentExtensible w16cex:durableId="2651D8EA" w16cex:dateUtc="2022-06-13T14:40:00Z"/>
  <w16cex:commentExtensible w16cex:durableId="2655EBD6" w16cex:dateUtc="2022-06-16T16:49:00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58892" w16cex:dateUtc="2022-06-16T09:46:00Z"/>
  <w16cex:commentExtensible w16cex:durableId="6C605A38" w16cex:dateUtc="2022-06-16T11:56:00Z"/>
</w16cex:commentsExtensible>
</file>

<file path=word/commentsIds.xml><?xml version="1.0" encoding="utf-8"?>
<w16cid:commentsIds xmlns:mc="http://schemas.openxmlformats.org/markup-compatibility/2006" xmlns:w16cid="http://schemas.microsoft.com/office/word/2016/wordml/cid" mc:Ignorable="w16cid">
  <w16cid:commentId w16cid:paraId="00000002" w16cid:durableId="25C4CD02"/>
  <w16cid:commentId w16cid:paraId="00000003" w16cid:durableId="19AD7B6D"/>
  <w16cid:commentId w16cid:paraId="00000004" w16cid:durableId="26558E7D"/>
  <w16cid:commentId w16cid:paraId="00000005" w16cid:durableId="26846662"/>
  <w16cid:commentId w16cid:paraId="00000006" w16cid:durableId="26558DFD"/>
  <w16cid:commentId w16cid:paraId="00000007" w16cid:durableId="26558DB1"/>
  <w16cid:commentId w16cid:paraId="00000008" w16cid:durableId="26548390"/>
  <w16cid:commentId w16cid:paraId="00000009" w16cid:durableId="2651D974"/>
  <w16cid:commentId w16cid:paraId="0000000A" w16cid:durableId="2655896E"/>
  <w16cid:commentId w16cid:paraId="0000000B" w16cid:durableId="2651D918"/>
  <w16cid:commentId w16cid:paraId="0000000C" w16cid:durableId="2651D8EA"/>
  <w16cid:commentId w16cid:paraId="0000000D" w16cid:durableId="2655EBD6"/>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26558892"/>
  <w16cid:commentId w16cid:paraId="00000002" w16cid:durableId="6C605A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46C49E4" w14:textId="77777777">
      <w:pPr>
        <w:pBdr/>
        <w:spacing w:after="0" w:line="240" w:lineRule="auto"/>
        <w:ind/>
        <w:rPr/>
      </w:pPr>
      <w:r>
        <w:separator/>
      </w:r>
      <w:r/>
    </w:p>
  </w:endnote>
  <w:endnote w:type="continuationSeparator" w:id="0">
    <w:p w14:paraId="295E040B" w14:textId="77777777">
      <w:pPr>
        <w:pBdr/>
        <w:spacing w:after="0" w:line="240" w:lineRule="auto"/>
        <w:ind/>
        <w:rPr/>
      </w:pPr>
      <w:r>
        <w:continuationSeparator/>
      </w:r>
      <w:r/>
    </w:p>
  </w:endnote>
  <w:endnote w:type="continuationNotice" w:id="1">
    <w:p w14:paraId="72AEF157" w14:textId="77777777">
      <w:pPr>
        <w:pBdr/>
        <w:spacing w:after="0" w:line="240" w:lineRule="auto"/>
        <w:ind/>
        <w:rPr/>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20603020101020101"/>
  </w:font>
  <w:font w:name="Courier New">
    <w:panose1 w:val="02070309020205020404"/>
  </w:font>
  <w:font w:name="Symbol">
    <w:panose1 w:val="05010000000000000000"/>
  </w:font>
  <w:font w:name="Liberation Serif">
    <w:panose1 w:val="02020603050405020304"/>
  </w:font>
  <w:font w:name="Tahoma">
    <w:panose1 w:val="020B0604030504040204"/>
  </w:font>
  <w:font w:name="Verdana">
    <w:panose1 w:val="020B0604030504040204"/>
  </w:font>
  <w:font w:name="Cambria">
    <w:panose1 w:val="02040803050406030204"/>
  </w:font>
  <w:font w:name="Wingdings">
    <w:panose1 w:val="05010000000000000000"/>
  </w:font>
  <w:font w:name="Lucida Sans">
    <w:panose1 w:val="020B0603030804020204"/>
  </w:font>
  <w:font w:name="Arial Unicode MS">
    <w:panose1 w:val="020B0604020202020204"/>
  </w:font>
  <w:font w:name="Arial">
    <w:panose1 w:val="020B0604020202020204"/>
  </w:font>
  <w:font w:name="Times New Roman">
    <w:panose1 w:val="020206030504050203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7D6F4D5" w14:textId="77777777">
    <w:pPr>
      <w:pBdr/>
      <w:spacing/>
      <w:ind/>
      <w:jc w:val="center"/>
      <w:rPr/>
    </w:pPr>
    <w:r>
      <w:fldChar w:fldCharType="begin"/>
    </w:r>
    <w:r>
      <w:instrText xml:space="preserve">PAGE</w:instrText>
    </w:r>
    <w:r>
      <w:fldChar w:fldCharType="separate"/>
    </w:r>
    <w:r>
      <w:t xml:space="preserve">28</w:t>
    </w:r>
    <w:r>
      <w:fldChar w:fldCharType="end"/>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86BB964" w14:textId="77777777">
    <w:pPr>
      <w:pStyle w:val="1121"/>
      <w:pBdr/>
      <w:spacing/>
      <w:ind/>
      <w:jc w:val="right"/>
      <w:rPr/>
    </w:pPr>
    <w:r>
      <w:fldChar w:fldCharType="begin"/>
    </w:r>
    <w:r>
      <w:instrText xml:space="preserve">PAGE</w:instrText>
    </w:r>
    <w:r>
      <w:fldChar w:fldCharType="separate"/>
    </w:r>
    <w:r>
      <w:t xml:space="preserve">16</w:t>
    </w:r>
    <w:r>
      <w:fldChar w:fldCharType="end"/>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36EEEC0" w14:textId="77777777">
      <w:pPr>
        <w:pBdr/>
        <w:spacing w:after="0" w:line="240" w:lineRule="auto"/>
        <w:ind/>
        <w:rPr/>
      </w:pPr>
      <w:r>
        <w:separator/>
      </w:r>
      <w:r/>
    </w:p>
  </w:footnote>
  <w:footnote w:type="continuationSeparator" w:id="0">
    <w:p w14:paraId="6C21C7C6" w14:textId="77777777">
      <w:pPr>
        <w:pBdr/>
        <w:spacing w:after="0" w:line="240" w:lineRule="auto"/>
        <w:ind/>
        <w:rPr/>
      </w:pPr>
      <w:r>
        <w:continuationSeparator/>
      </w:r>
      <w:r/>
    </w:p>
  </w:footnote>
  <w:footnote w:type="continuationNotice" w:id="1">
    <w:p w14:paraId="1B09CD73" w14:textId="77777777">
      <w:pPr>
        <w:pBdr/>
        <w:spacing w:after="0" w:line="240" w:lineRule="auto"/>
        <w:ind/>
        <w:rPr/>
      </w:p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10F442" w14:textId="1324530E">
    <w:pPr>
      <w:pStyle w:val="1132"/>
      <w:pBdr/>
      <w:spacing/>
      <w:ind/>
      <w:rPr/>
    </w:pPr>
    <w:r>
      <w:t xml:space="preserve">V</w:t>
    </w:r>
    <w:r>
      <w:t xml:space="preserve">6</w:t>
    </w:r>
    <w:sdt>
      <w:sdtPr>
        <w15:appearance w15:val="boundingBox"/>
        <w:placeholder>
          <w:docPart w:val="DefaultPlaceholder_TEXT"/>
        </w:placeholder>
        <w:docPartObj>
          <w:docPartGallery w:val="Watermarks"/>
          <w:docPartUnique w:val="true"/>
        </w:docPartObj>
        <w:rPr/>
      </w:sdtPr>
      <w:sdtContent>
        <w:r>
          <mc:AlternateContent>
            <mc:Choice Requires="wpg">
              <w:drawing>
                <wp:anchor xmlns:wp="http://schemas.openxmlformats.org/drawingml/2006/wordprocessingDrawing" xmlns:wp14="http://schemas.microsoft.com/office/word/2010/wordprocessingDrawing" distT="0" distB="0" distL="115200" distR="115200" simplePos="0" relativeHeight="2048" behindDoc="1" locked="0" layoutInCell="1" allowOverlap="1">
                  <wp:simplePos x="0" y="0"/>
                  <wp:positionH relativeFrom="margin">
                    <wp:align>center</wp:align>
                  </wp:positionH>
                  <wp:positionV relativeFrom="margin">
                    <wp:align>center</wp:align>
                  </wp:positionV>
                  <wp:extent cx="6046023" cy="2068319"/>
                  <wp:effectExtent l="0" t="0" r="0" b="0"/>
                  <wp:wrapNone/>
                  <wp:docPr id="1" name="PowerPlusWaterMarkObject1001"/>
                  <wp:cNvGraphicFramePr/>
                  <a:graphic xmlns:a="http://schemas.openxmlformats.org/drawingml/2006/main">
                    <a:graphicData uri="http://schemas.microsoft.com/office/word/2010/wordprocessingShape">
                      <wps:wsp>
                        <wps:cNvPr id="0" name=""/>
                        <wps:cNvSpPr/>
                        <wps:spPr bwMode="auto">
                          <a:xfrm rot="18900000">
                            <a:off x="0" y="0"/>
                            <a:ext cx="6046022" cy="2068318"/>
                          </a:xfrm>
                          <a:prstGeom prst="rect">
                            <a:avLst/>
                          </a:prstGeom>
                          <a:noFill/>
                          <a:ln>
                            <a:noFill/>
                          </a:ln>
                        </wps:spPr>
                        <wps:txbx>
                          <w:txbxContent>
                            <w:p w14:paraId="2C56E4C9">
                              <w:pPr>
                                <w:pBdr/>
                                <w:spacing w:after="0" w:before="0" w:line="240" w:lineRule="auto"/>
                                <w:ind w:right="0" w:firstLine="0" w:left="0"/>
                                <w:jc w:val="center"/>
                                <w:rPr>
                                  <w:rFonts w:hint="default" w:ascii="Arial" w:hAnsi="Arial" w:eastAsia="Arial" w:cs="Arial"/>
                                  <w:b w:val="0"/>
                                  <w:bCs w:val="0"/>
                                  <w:i w:val="0"/>
                                  <w:strike w:val="0"/>
                                  <w:sz w:val="282"/>
                                  <w:szCs w:val="282"/>
                                  <w:highlight w:val="none"/>
                                  <w:u w:val="none"/>
                                  <w:lang w:val="en"/>
                                  <w14:textFill>
                                    <w14:solidFill>
                                      <w14:srgbClr w14:val="C0C0C0">
                                        <w14:alpha w14:val="49803"/>
                                      </w14:srgbClr>
                                    </w14:solidFill>
                                  </w14:textFill>
                                </w:rPr>
                              </w:pPr>
                              <w:r>
                                <w:rPr>
                                  <w:rFonts w:hint="default" w:ascii="Arial" w:hAnsi="Arial" w:eastAsia="Arial" w:cs="Arial"/>
                                  <w:b w:val="0"/>
                                  <w:bCs w:val="0"/>
                                  <w:i w:val="0"/>
                                  <w:iCs w:val="0"/>
                                  <w:strike w:val="0"/>
                                  <w:sz w:val="282"/>
                                  <w:szCs w:val="282"/>
                                  <w:highlight w:val="none"/>
                                  <w:u w:val="none"/>
                                  <w:lang w:val="en"/>
                                  <w14:textFill>
                                    <w14:solidFill>
                                      <w14:srgbClr w14:val="C0C0C0">
                                        <w14:alpha w14:val="49803"/>
                                      </w14:srgbClr>
                                    </w14:solidFill>
                                  </w14:textFill>
                                </w:rPr>
                                <w:t xml:space="preserve">DRAFT</w:t>
                              </w:r>
                              <w:r>
                                <w:rPr>
                                  <w:rFonts w:hint="default" w:ascii="Arial" w:hAnsi="Arial" w:eastAsia="Arial" w:cs="Arial"/>
                                  <w:b w:val="0"/>
                                  <w:bCs w:val="0"/>
                                  <w:i w:val="0"/>
                                  <w:iCs w:val="0"/>
                                  <w:strike w:val="0"/>
                                  <w:sz w:val="282"/>
                                  <w:szCs w:val="282"/>
                                  <w:highlight w:val="none"/>
                                  <w:u w:val="none"/>
                                  <w:lang w:val="en"/>
                                  <w14:textFill>
                                    <w14:solidFill>
                                      <w14:srgbClr w14:val="C0C0C0">
                                        <w14:alpha w14:val="49803"/>
                                      </w14:srgbClr>
                                    </w14:solidFill>
                                  </w14:textFill>
                                </w:rPr>
                              </w:r>
                              <w:r>
                                <w:rPr>
                                  <w:rFonts w:hint="default" w:ascii="Arial" w:hAnsi="Arial" w:eastAsia="Arial" w:cs="Arial"/>
                                  <w:b w:val="0"/>
                                  <w:bCs w:val="0"/>
                                  <w:i w:val="0"/>
                                  <w:strike w:val="0"/>
                                  <w:sz w:val="282"/>
                                  <w:szCs w:val="282"/>
                                  <w:highlight w:val="none"/>
                                  <w:u w:val="none"/>
                                  <w:lang w:val="en"/>
                                  <w14:textFill>
                                    <w14:solidFill>
                                      <w14:srgbClr w14:val="C0C0C0">
                                        <w14:alpha w14:val="49803"/>
                                      </w14:srgbClr>
                                    </w14:solidFill>
                                  </w14:textFill>
                                </w:rPr>
                              </w:r>
                            </w:p>
                          </w:txbxContent>
                        </wps:txbx>
                        <wps:bodyPr rot="0" spcFirstLastPara="0" vertOverflow="overflow" horzOverflow="overflow" vert="horz" wrap="square" lIns="0" tIns="0" rIns="0" bIns="0" numCol="1" spcCol="0" rtlCol="0" fromWordArt="0" anchor="ctr" anchorCtr="0" forceAA="0" upright="0" compatLnSpc="1"/>
                      </wps:wsp>
                    </a:graphicData>
                  </a:graphic>
                </wp:anchor>
              </w:drawing>
            </mc:Choice>
            <mc:Fallback>
              <w:pict>
                <v:shape id="PowerPlusWaterMarkObject1001" o:spid="_x0000_s0" o:spt="1" type="#_x0000_t1" style="position:absolute;z-index:-2048;o:allowoverlap:true;o:allowincell:true;mso-position-horizontal-relative:margin;mso-position-horizontal:center;mso-position-vertical-relative:margin;mso-position-vertical:center;width:476.06pt;height:162.86pt;mso-wrap-distance-left:9.07pt;mso-wrap-distance-top:0.00pt;mso-wrap-distance-right:9.07pt;mso-wrap-distance-bottom:0.00pt;rotation:315;v-text-anchor:middle;visibility:visible;" filled="f" stroked="f">
                  <v:textbox inset="0,0,0,0">
                    <w:txbxContent>
                      <w:p w14:paraId="2C56E4C9">
                        <w:pPr>
                          <w:pBdr/>
                          <w:spacing w:after="0" w:before="0" w:line="240" w:lineRule="auto"/>
                          <w:ind w:right="0" w:firstLine="0" w:left="0"/>
                          <w:jc w:val="center"/>
                          <w:rPr>
                            <w:rFonts w:hint="default" w:ascii="Arial" w:hAnsi="Arial" w:eastAsia="Arial" w:cs="Arial"/>
                            <w:b w:val="0"/>
                            <w:bCs w:val="0"/>
                            <w:i w:val="0"/>
                            <w:strike w:val="0"/>
                            <w:sz w:val="282"/>
                            <w:szCs w:val="282"/>
                            <w:highlight w:val="none"/>
                            <w:u w:val="none"/>
                            <w:lang w:val="en"/>
                            <w14:textFill>
                              <w14:solidFill>
                                <w14:srgbClr w14:val="C0C0C0">
                                  <w14:alpha w14:val="49803"/>
                                </w14:srgbClr>
                              </w14:solidFill>
                            </w14:textFill>
                          </w:rPr>
                        </w:pPr>
                        <w:r>
                          <w:rPr>
                            <w:rFonts w:hint="default" w:ascii="Arial" w:hAnsi="Arial" w:eastAsia="Arial" w:cs="Arial"/>
                            <w:b w:val="0"/>
                            <w:bCs w:val="0"/>
                            <w:i w:val="0"/>
                            <w:iCs w:val="0"/>
                            <w:strike w:val="0"/>
                            <w:sz w:val="282"/>
                            <w:szCs w:val="282"/>
                            <w:highlight w:val="none"/>
                            <w:u w:val="none"/>
                            <w:lang w:val="en"/>
                            <w14:textFill>
                              <w14:solidFill>
                                <w14:srgbClr w14:val="C0C0C0">
                                  <w14:alpha w14:val="49803"/>
                                </w14:srgbClr>
                              </w14:solidFill>
                            </w14:textFill>
                          </w:rPr>
                          <w:t xml:space="preserve">DRAFT</w:t>
                        </w:r>
                        <w:r>
                          <w:rPr>
                            <w:rFonts w:hint="default" w:ascii="Arial" w:hAnsi="Arial" w:eastAsia="Arial" w:cs="Arial"/>
                            <w:b w:val="0"/>
                            <w:bCs w:val="0"/>
                            <w:i w:val="0"/>
                            <w:iCs w:val="0"/>
                            <w:strike w:val="0"/>
                            <w:sz w:val="282"/>
                            <w:szCs w:val="282"/>
                            <w:highlight w:val="none"/>
                            <w:u w:val="none"/>
                            <w:lang w:val="en"/>
                            <w14:textFill>
                              <w14:solidFill>
                                <w14:srgbClr w14:val="C0C0C0">
                                  <w14:alpha w14:val="49803"/>
                                </w14:srgbClr>
                              </w14:solidFill>
                            </w14:textFill>
                          </w:rPr>
                        </w:r>
                        <w:r>
                          <w:rPr>
                            <w:rFonts w:hint="default" w:ascii="Arial" w:hAnsi="Arial" w:eastAsia="Arial" w:cs="Arial"/>
                            <w:b w:val="0"/>
                            <w:bCs w:val="0"/>
                            <w:i w:val="0"/>
                            <w:strike w:val="0"/>
                            <w:sz w:val="282"/>
                            <w:szCs w:val="282"/>
                            <w:highlight w:val="none"/>
                            <w:u w:val="none"/>
                            <w:lang w:val="en"/>
                            <w14:textFill>
                              <w14:solidFill>
                                <w14:srgbClr w14:val="C0C0C0">
                                  <w14:alpha w14:val="49803"/>
                                </w14:srgbClr>
                              </w14:solidFill>
                            </w14:textFill>
                          </w:rPr>
                        </w:r>
                      </w:p>
                    </w:txbxContent>
                  </v:textbox>
                </v:shape>
              </w:pict>
            </mc:Fallback>
          </mc:AlternateContent>
        </w:r>
      </w:sdtContent>
    </w:sd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lvl w:ilvl="0">
      <w:isLgl w:val="false"/>
      <w:lvlJc w:val="left"/>
      <w:lvlText w:val="%1."/>
      <w:numFmt w:val="decimal"/>
      <w:pPr>
        <w:pBdr/>
        <w:tabs>
          <w:tab w:val="num" w:leader="none" w:pos="1209"/>
        </w:tabs>
        <w:spacing/>
        <w:ind w:hanging="360" w:left="1209"/>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
    <w:nsid w:val="FFFFFF7F"/>
    <w:lvl w:ilvl="0">
      <w:isLgl w:val="false"/>
      <w:lvlJc w:val="left"/>
      <w:lvlText w:val="%1."/>
      <w:numFmt w:val="decimal"/>
      <w:pPr>
        <w:pBdr/>
        <w:tabs>
          <w:tab w:val="num" w:leader="none" w:pos="643"/>
        </w:tabs>
        <w:spacing/>
        <w:ind w:hanging="360" w:left="643"/>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nsid w:val="FFFFFF80"/>
    <w:lvl w:ilvl="0">
      <w:isLgl w:val="false"/>
      <w:lvlJc w:val="left"/>
      <w:lvlText w:val=""/>
      <w:numFmt w:val="bullet"/>
      <w:pPr>
        <w:pBdr/>
        <w:tabs>
          <w:tab w:val="num" w:leader="none" w:pos="1492"/>
        </w:tabs>
        <w:spacing/>
        <w:ind w:hanging="360" w:left="1492"/>
      </w:pPr>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
    <w:nsid w:val="FFFFFF81"/>
    <w:lvl w:ilvl="0">
      <w:isLgl w:val="false"/>
      <w:lvlJc w:val="left"/>
      <w:lvlText w:val=""/>
      <w:numFmt w:val="bullet"/>
      <w:pPr>
        <w:pBdr/>
        <w:tabs>
          <w:tab w:val="num" w:leader="none" w:pos="1209"/>
        </w:tabs>
        <w:spacing/>
        <w:ind w:hanging="360" w:left="1209"/>
      </w:pPr>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
    <w:nsid w:val="FFFFFF82"/>
    <w:lvl w:ilvl="0">
      <w:isLgl w:val="false"/>
      <w:lvlJc w:val="left"/>
      <w:lvlText w:val=""/>
      <w:numFmt w:val="bullet"/>
      <w:pPr>
        <w:pBdr/>
        <w:tabs>
          <w:tab w:val="num" w:leader="none" w:pos="926"/>
        </w:tabs>
        <w:spacing/>
        <w:ind w:hanging="360" w:left="926"/>
      </w:pPr>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
    <w:nsid w:val="FFFFFF83"/>
    <w:lvl w:ilvl="0">
      <w:isLgl w:val="false"/>
      <w:lvlJc w:val="left"/>
      <w:lvlText w:val=""/>
      <w:numFmt w:val="bullet"/>
      <w:pPr>
        <w:pBdr/>
        <w:tabs>
          <w:tab w:val="num" w:leader="none" w:pos="643"/>
        </w:tabs>
        <w:spacing/>
        <w:ind w:hanging="360" w:left="643"/>
      </w:pPr>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6">
    <w:nsid w:val="FFFFFF88"/>
    <w:lvl w:ilvl="0">
      <w:isLgl w:val="false"/>
      <w:lvlJc w:val="left"/>
      <w:lvlText w:val="%1."/>
      <w:numFmt w:val="decimal"/>
      <w:pPr>
        <w:pBdr/>
        <w:tabs>
          <w:tab w:val="num" w:leader="none" w:pos="360"/>
        </w:tabs>
        <w:spacing/>
        <w:ind w:hanging="360" w:left="36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7">
    <w:nsid w:val="FFFFFF89"/>
    <w:lvl w:ilvl="0">
      <w:isLgl w:val="false"/>
      <w:lvlJc w:val="left"/>
      <w:lvlText w:val=""/>
      <w:numFmt w:val="bullet"/>
      <w:pPr>
        <w:pBdr/>
        <w:tabs>
          <w:tab w:val="num" w:leader="none" w:pos="360"/>
        </w:tabs>
        <w:spacing/>
        <w:ind w:hanging="360" w:left="360"/>
      </w:pPr>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8">
    <w:nsid w:val="02814D04"/>
    <w:lvl w:ilvl="0">
      <w:isLgl w:val="false"/>
      <w:lvlJc w:val="left"/>
      <w:lvlText w:val="%1."/>
      <w:numFmt w:val="decimal"/>
      <w:pPr>
        <w:pBdr/>
        <w:tabs>
          <w:tab w:val="num" w:leader="none" w:pos="720"/>
        </w:tabs>
        <w:spacing/>
        <w:ind w:hanging="720" w:left="720"/>
      </w:pPr>
      <w:pStyle w:val="1046"/>
      <w:rPr>
        <w:rFonts w:hint="default"/>
        <w:color w:val="000000"/>
      </w:rPr>
      <w:start w:val="1"/>
      <w:suff w:val="tab"/>
    </w:lvl>
    <w:lvl w:ilvl="1">
      <w:isLgl w:val="false"/>
      <w:lvlJc w:val="left"/>
      <w:lvlText w:val="%1.%2"/>
      <w:numFmt w:val="decimal"/>
      <w:pPr>
        <w:pBdr/>
        <w:tabs>
          <w:tab w:val="num" w:leader="none" w:pos="720"/>
        </w:tabs>
        <w:spacing/>
        <w:ind w:hanging="720" w:left="720"/>
      </w:pPr>
      <w:pStyle w:val="1089"/>
      <w:rPr>
        <w:rFonts w:hint="default"/>
        <w:b w:val="0"/>
        <w:bCs/>
        <w:color w:val="000000"/>
      </w:rPr>
      <w:start w:val="1"/>
      <w:suff w:val="tab"/>
    </w:lvl>
    <w:lvl w:ilvl="2">
      <w:isLgl w:val="false"/>
      <w:lvlJc w:val="left"/>
      <w:lvlText w:val="(%3)"/>
      <w:numFmt w:val="lowerLetter"/>
      <w:pPr>
        <w:pBdr/>
        <w:tabs>
          <w:tab w:val="num" w:leader="none" w:pos="1555"/>
        </w:tabs>
        <w:spacing/>
        <w:ind w:hanging="561" w:left="1555"/>
      </w:pPr>
      <w:pStyle w:val="1091"/>
      <w:rPr>
        <w:rFonts w:hint="default"/>
        <w:color w:val="000000"/>
      </w:rPr>
      <w:start w:val="1"/>
      <w:suff w:val="tab"/>
    </w:lvl>
    <w:lvl w:ilvl="3">
      <w:isLgl w:val="false"/>
      <w:lvlJc w:val="left"/>
      <w:lvlText w:val="(%4)"/>
      <w:numFmt w:val="lowerRoman"/>
      <w:pPr>
        <w:pBdr/>
        <w:tabs>
          <w:tab w:val="num" w:leader="none" w:pos="2419"/>
        </w:tabs>
        <w:spacing/>
        <w:ind w:hanging="576" w:left="2275"/>
      </w:pPr>
      <w:pStyle w:val="1093"/>
      <w:rPr>
        <w:rFonts w:hint="default"/>
        <w:color w:val="000000"/>
        <w:sz w:val="20"/>
      </w:rPr>
      <w:start w:val="1"/>
      <w:suff w:val="tab"/>
    </w:lvl>
    <w:lvl w:ilvl="4">
      <w:isLgl w:val="false"/>
      <w:lvlJc w:val="left"/>
      <w:lvlText w:val="(%5)"/>
      <w:numFmt w:val="upperLetter"/>
      <w:pPr>
        <w:pBdr/>
        <w:tabs>
          <w:tab w:val="num" w:leader="none" w:pos="2880"/>
        </w:tabs>
        <w:spacing/>
        <w:ind w:hanging="720" w:left="2880"/>
      </w:pPr>
      <w:pStyle w:val="1095"/>
      <w:rPr>
        <w:rFonts w:hint="default"/>
      </w:rPr>
      <w:start w:val="1"/>
      <w:suff w:val="tab"/>
    </w:lvl>
    <w:lvl w:ilvl="5">
      <w:isLgl w:val="false"/>
      <w:lvlJc w:val="left"/>
      <w:lvlText w:val="(%6)"/>
      <w:numFmt w:val="lowerRoman"/>
      <w:pPr>
        <w:pBdr/>
        <w:spacing/>
        <w:ind w:hanging="360" w:left="2160"/>
      </w:pPr>
      <w:rPr>
        <w:rFonts w:hint="default"/>
      </w:rPr>
      <w:start w:val="1"/>
      <w:suff w:val="tab"/>
    </w:lvl>
    <w:lvl w:ilvl="6">
      <w:isLgl w:val="false"/>
      <w:lvlJc w:val="left"/>
      <w:lvlText w:val="%7."/>
      <w:numFmt w:val="decimal"/>
      <w:pPr>
        <w:pBdr/>
        <w:spacing/>
        <w:ind w:hanging="360" w:left="2520"/>
      </w:pPr>
      <w:rPr>
        <w:rFonts w:hint="default"/>
      </w:rPr>
      <w:start w:val="1"/>
      <w:suff w:val="tab"/>
    </w:lvl>
    <w:lvl w:ilvl="7">
      <w:isLgl w:val="false"/>
      <w:lvlJc w:val="left"/>
      <w:lvlText w:val="%8."/>
      <w:numFmt w:val="lowerLetter"/>
      <w:pPr>
        <w:pBdr/>
        <w:spacing/>
        <w:ind w:hanging="360" w:left="2880"/>
      </w:pPr>
      <w:rPr>
        <w:rFonts w:hint="default"/>
      </w:rPr>
      <w:start w:val="1"/>
      <w:suff w:val="tab"/>
    </w:lvl>
    <w:lvl w:ilvl="8">
      <w:isLgl w:val="false"/>
      <w:lvlJc w:val="left"/>
      <w:lvlText w:val="%9."/>
      <w:numFmt w:val="lowerRoman"/>
      <w:pPr>
        <w:pBdr/>
        <w:spacing/>
        <w:ind w:hanging="360" w:left="3240"/>
      </w:pPr>
      <w:rPr>
        <w:rFonts w:hint="default"/>
      </w:rPr>
      <w:start w:val="1"/>
      <w:suff w:val="tab"/>
    </w:lvl>
  </w:abstractNum>
  <w:abstractNum w:abstractNumId="9">
    <w:nsid w:val="07253412"/>
    <w:lvl w:ilvl="0">
      <w:isLgl w:val="false"/>
      <w:lvlJc w:val="left"/>
      <w:lvlText w:val=""/>
      <w:numFmt w:val="bullet"/>
      <w:pPr>
        <w:pBdr/>
        <w:spacing/>
        <w:ind w:hanging="360" w:left="1440"/>
      </w:pPr>
      <w:pStyle w:val="1217"/>
      <w:rPr>
        <w:rFonts w:hint="default" w:ascii="Symbol" w:hAnsi="Symbol"/>
        <w:color w:val="000000"/>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0">
    <w:nsid w:val="0BCC3535"/>
    <w:lvl w:ilvl="0">
      <w:isLgl w:val="false"/>
      <w:lvlJc w:val="left"/>
      <w:lvlText w:val="%1."/>
      <w:numFmt w:val="decimal"/>
      <w:pPr>
        <w:pBdr/>
        <w:tabs>
          <w:tab w:val="num" w:leader="none" w:pos="0"/>
        </w:tabs>
        <w:spacing/>
        <w:ind w:hanging="360" w:left="360"/>
      </w:pPr>
      <w:rPr>
        <w:rFonts w:ascii="Calibri" w:hAnsi="Calibri" w:eastAsia="Times New Roman" w:cs="Calibri"/>
      </w:rPr>
      <w:start w:val="1"/>
      <w:suff w:val="tab"/>
    </w:lvl>
    <w:lvl w:ilvl="1">
      <w:isLgl w:val="false"/>
      <w:lvlJc w:val="left"/>
      <w:lvlText w:val="%2."/>
      <w:numFmt w:val="lowerLetter"/>
      <w:pPr>
        <w:pBdr/>
        <w:tabs>
          <w:tab w:val="num" w:leader="none" w:pos="0"/>
        </w:tabs>
        <w:spacing/>
        <w:ind w:hanging="360" w:left="1080"/>
      </w:pPr>
      <w:rPr/>
      <w:start w:val="1"/>
      <w:suff w:val="tab"/>
    </w:lvl>
    <w:lvl w:ilvl="2">
      <w:isLgl w:val="false"/>
      <w:lvlJc w:val="right"/>
      <w:lvlText w:val="%3."/>
      <w:numFmt w:val="lowerRoman"/>
      <w:pPr>
        <w:pBdr/>
        <w:tabs>
          <w:tab w:val="num" w:leader="none" w:pos="0"/>
        </w:tabs>
        <w:spacing/>
        <w:ind w:hanging="180" w:left="1800"/>
      </w:pPr>
      <w:rPr/>
      <w:start w:val="1"/>
      <w:suff w:val="tab"/>
    </w:lvl>
    <w:lvl w:ilvl="3">
      <w:isLgl w:val="false"/>
      <w:lvlJc w:val="left"/>
      <w:lvlText w:val="%4."/>
      <w:numFmt w:val="decimal"/>
      <w:pPr>
        <w:pBdr/>
        <w:tabs>
          <w:tab w:val="num" w:leader="none" w:pos="0"/>
        </w:tabs>
        <w:spacing/>
        <w:ind w:hanging="360" w:left="2520"/>
      </w:pPr>
      <w:rPr/>
      <w:start w:val="1"/>
      <w:suff w:val="tab"/>
    </w:lvl>
    <w:lvl w:ilvl="4">
      <w:isLgl w:val="false"/>
      <w:lvlJc w:val="left"/>
      <w:lvlText w:val="%5."/>
      <w:numFmt w:val="lowerLetter"/>
      <w:pPr>
        <w:pBdr/>
        <w:tabs>
          <w:tab w:val="num" w:leader="none" w:pos="0"/>
        </w:tabs>
        <w:spacing/>
        <w:ind w:hanging="360" w:left="3240"/>
      </w:pPr>
      <w:rPr/>
      <w:start w:val="1"/>
      <w:suff w:val="tab"/>
    </w:lvl>
    <w:lvl w:ilvl="5">
      <w:isLgl w:val="false"/>
      <w:lvlJc w:val="right"/>
      <w:lvlText w:val="%6."/>
      <w:numFmt w:val="lowerRoman"/>
      <w:pPr>
        <w:pBdr/>
        <w:tabs>
          <w:tab w:val="num" w:leader="none" w:pos="0"/>
        </w:tabs>
        <w:spacing/>
        <w:ind w:hanging="180" w:left="3960"/>
      </w:pPr>
      <w:rPr/>
      <w:start w:val="1"/>
      <w:suff w:val="tab"/>
    </w:lvl>
    <w:lvl w:ilvl="6">
      <w:isLgl w:val="false"/>
      <w:lvlJc w:val="left"/>
      <w:lvlText w:val="%7."/>
      <w:numFmt w:val="decimal"/>
      <w:pPr>
        <w:pBdr/>
        <w:tabs>
          <w:tab w:val="num" w:leader="none" w:pos="0"/>
        </w:tabs>
        <w:spacing/>
        <w:ind w:hanging="360" w:left="4680"/>
      </w:pPr>
      <w:rPr/>
      <w:start w:val="1"/>
      <w:suff w:val="tab"/>
    </w:lvl>
    <w:lvl w:ilvl="7">
      <w:isLgl w:val="false"/>
      <w:lvlJc w:val="left"/>
      <w:lvlText w:val="%8."/>
      <w:numFmt w:val="lowerLetter"/>
      <w:pPr>
        <w:pBdr/>
        <w:tabs>
          <w:tab w:val="num" w:leader="none" w:pos="0"/>
        </w:tabs>
        <w:spacing/>
        <w:ind w:hanging="360" w:left="5400"/>
      </w:pPr>
      <w:rPr/>
      <w:start w:val="1"/>
      <w:suff w:val="tab"/>
    </w:lvl>
    <w:lvl w:ilvl="8">
      <w:isLgl w:val="false"/>
      <w:lvlJc w:val="right"/>
      <w:lvlText w:val="%9."/>
      <w:numFmt w:val="lowerRoman"/>
      <w:pPr>
        <w:pBdr/>
        <w:tabs>
          <w:tab w:val="num" w:leader="none" w:pos="0"/>
        </w:tabs>
        <w:spacing/>
        <w:ind w:hanging="180" w:left="6120"/>
      </w:pPr>
      <w:rPr/>
      <w:start w:val="1"/>
      <w:suff w:val="tab"/>
    </w:lvl>
  </w:abstractNum>
  <w:abstractNum w:abstractNumId="11">
    <w:nsid w:val="11825EA9"/>
    <w:lvl w:ilvl="0">
      <w:isLgl w:val="false"/>
      <w:lvlJc w:val="left"/>
      <w:lvlText w:val="Schedule %1"/>
      <w:numFmt w:val="decimal"/>
      <w:pPr>
        <w:pBdr/>
        <w:spacing/>
        <w:ind w:hanging="360" w:left="360"/>
      </w:pPr>
      <w:rPr>
        <w:rFonts w:hint="default"/>
        <w:color w:val="000000"/>
      </w:rPr>
      <w:start w:val="1"/>
      <w:suff w:val="tab"/>
    </w:lvl>
    <w:lvl w:ilvl="1">
      <w:isLgl w:val="false"/>
      <w:lvlJc w:val="left"/>
      <w:lvlText w:val="Part %2"/>
      <w:numFmt w:val="decimal"/>
      <w:pPr>
        <w:pBdr/>
        <w:spacing/>
        <w:ind w:hanging="357" w:left="357"/>
      </w:pPr>
      <w:pStyle w:val="1174"/>
      <w:rPr>
        <w:rFonts w:hint="default"/>
      </w:rPr>
      <w:start w:val="1"/>
      <w:suff w:val="tab"/>
    </w:lvl>
    <w:lvl w:ilvl="2">
      <w:isLgl w:val="false"/>
      <w:lvlJc w:val="left"/>
      <w:lvlText w:val="%3."/>
      <w:numFmt w:val="decimal"/>
      <w:pPr>
        <w:pBdr/>
        <w:tabs>
          <w:tab w:val="num" w:leader="none" w:pos="720"/>
        </w:tabs>
        <w:spacing/>
        <w:ind w:hanging="720" w:left="720"/>
      </w:pPr>
      <w:rPr>
        <w:rFonts w:hint="default"/>
        <w:color w:val="000000"/>
      </w:rPr>
      <w:start w:val="1"/>
      <w:suff w:val="tab"/>
    </w:lvl>
    <w:lvl w:ilvl="3">
      <w:isLgl w:val="false"/>
      <w:lvlJc w:val="left"/>
      <w:lvlText w:val="%3.%4"/>
      <w:numFmt w:val="decimal"/>
      <w:pPr>
        <w:pBdr/>
        <w:tabs>
          <w:tab w:val="num" w:leader="none" w:pos="720"/>
        </w:tabs>
        <w:spacing/>
        <w:ind w:hanging="720" w:left="720"/>
      </w:pPr>
      <w:rPr>
        <w:rFonts w:hint="default"/>
        <w:color w:val="000000"/>
      </w:rPr>
      <w:start w:val="1"/>
      <w:suff w:val="tab"/>
    </w:lvl>
    <w:lvl w:ilvl="4">
      <w:isLgl w:val="false"/>
      <w:lvlJc w:val="left"/>
      <w:lvlText w:val="(%5)"/>
      <w:numFmt w:val="lowerLetter"/>
      <w:pPr>
        <w:pBdr/>
        <w:tabs>
          <w:tab w:val="num" w:leader="none" w:pos="1555"/>
        </w:tabs>
        <w:spacing/>
        <w:ind w:hanging="561" w:left="1555"/>
      </w:pPr>
      <w:rPr>
        <w:rFonts w:hint="default"/>
        <w:color w:val="000000"/>
      </w:rPr>
      <w:start w:val="1"/>
      <w:suff w:val="tab"/>
    </w:lvl>
    <w:lvl w:ilvl="5">
      <w:isLgl w:val="false"/>
      <w:lvlJc w:val="left"/>
      <w:lvlText w:val="(%6)"/>
      <w:numFmt w:val="lowerRoman"/>
      <w:pPr>
        <w:pBdr/>
        <w:tabs>
          <w:tab w:val="num" w:leader="none" w:pos="2419"/>
        </w:tabs>
        <w:spacing/>
        <w:ind w:hanging="576" w:left="2275"/>
      </w:pPr>
      <w:rPr>
        <w:rFonts w:hint="default"/>
        <w:color w:val="000000"/>
      </w:rPr>
      <w:start w:val="1"/>
      <w:suff w:val="tab"/>
    </w:lvl>
    <w:lvl w:ilvl="6">
      <w:isLgl w:val="false"/>
      <w:lvlJc w:val="left"/>
      <w:lvlText w:val="%7."/>
      <w:numFmt w:val="decimal"/>
      <w:pPr>
        <w:pBdr/>
        <w:spacing/>
        <w:ind w:hanging="360" w:left="2520"/>
      </w:pPr>
      <w:rPr>
        <w:rFonts w:hint="default"/>
      </w:rPr>
      <w:start w:val="1"/>
      <w:suff w:val="tab"/>
    </w:lvl>
    <w:lvl w:ilvl="7">
      <w:isLgl w:val="false"/>
      <w:lvlJc w:val="left"/>
      <w:lvlText w:val="%8."/>
      <w:numFmt w:val="lowerLetter"/>
      <w:pPr>
        <w:pBdr/>
        <w:spacing/>
        <w:ind w:hanging="360" w:left="2880"/>
      </w:pPr>
      <w:rPr>
        <w:rFonts w:hint="default"/>
      </w:rPr>
      <w:start w:val="1"/>
      <w:suff w:val="tab"/>
    </w:lvl>
    <w:lvl w:ilvl="8">
      <w:isLgl w:val="false"/>
      <w:lvlJc w:val="left"/>
      <w:lvlText w:val="%9."/>
      <w:numFmt w:val="lowerRoman"/>
      <w:pPr>
        <w:pBdr/>
        <w:spacing/>
        <w:ind w:hanging="360" w:left="3240"/>
      </w:pPr>
      <w:rPr>
        <w:rFonts w:hint="default"/>
      </w:rPr>
      <w:start w:val="1"/>
      <w:suff w:val="tab"/>
    </w:lvl>
  </w:abstractNum>
  <w:abstractNum w:abstractNumId="12">
    <w:nsid w:val="19C42C59"/>
    <w:lvl w:ilvl="0">
      <w:isLgl w:val="false"/>
      <w:lvlJc w:val="left"/>
      <w:lvlText w:val="%1."/>
      <w:numFmt w:val="decimal"/>
      <w:pPr>
        <w:pBdr/>
        <w:tabs>
          <w:tab w:val="num" w:leader="none" w:pos="0"/>
        </w:tabs>
        <w:spacing/>
        <w:ind w:hanging="227" w:left="227"/>
      </w:pPr>
      <w:pStyle w:val="1258"/>
      <w:rPr/>
      <w:start w:val="1"/>
      <w:suff w:val="space"/>
    </w:lvl>
    <w:lvl w:ilvl="1">
      <w:isLgl w:val="false"/>
      <w:lvlJc w:val="left"/>
      <w:lvlText w:val="%1.%2."/>
      <w:numFmt w:val="decimal"/>
      <w:pPr>
        <w:pBdr/>
        <w:tabs>
          <w:tab w:val="num" w:leader="none" w:pos="0"/>
        </w:tabs>
        <w:spacing/>
        <w:ind w:hanging="454" w:left="709"/>
      </w:pPr>
      <w:rPr/>
      <w:start w:val="1"/>
      <w:suff w:val="space"/>
    </w:lvl>
    <w:lvl w:ilvl="2">
      <w:isLgl w:val="false"/>
      <w:lvlJc w:val="left"/>
      <w:lvlText w:val="%1.%2.%3"/>
      <w:numFmt w:val="decimal"/>
      <w:pPr>
        <w:pBdr/>
        <w:tabs>
          <w:tab w:val="num" w:leader="none" w:pos="0"/>
        </w:tabs>
        <w:spacing/>
        <w:ind w:hanging="510" w:left="1134"/>
      </w:pPr>
      <w:rPr/>
      <w:start w:val="1"/>
      <w:suff w:val="space"/>
    </w:lvl>
    <w:lvl w:ilvl="3">
      <w:isLgl w:val="false"/>
      <w:lvlJc w:val="left"/>
      <w:lvlText w:val="%1.%2.%3.%4"/>
      <w:numFmt w:val="decimal"/>
      <w:pPr>
        <w:pBdr/>
        <w:tabs>
          <w:tab w:val="num" w:leader="none" w:pos="0"/>
        </w:tabs>
        <w:spacing/>
        <w:ind w:hanging="224" w:left="1134"/>
      </w:pPr>
      <w:rPr/>
      <w:start w:val="1"/>
      <w:suff w:val="space"/>
    </w:lvl>
    <w:lvl w:ilvl="4">
      <w:isLgl w:val="false"/>
      <w:lvlJc w:val="left"/>
      <w:lvlText w:val="%1.%2.%3.%4.%5"/>
      <w:numFmt w:val="decimal"/>
      <w:pPr>
        <w:pBdr/>
        <w:tabs>
          <w:tab w:val="num" w:leader="none" w:pos="1358"/>
        </w:tabs>
        <w:spacing/>
        <w:ind w:hanging="224" w:left="1358"/>
      </w:pPr>
      <w:rPr/>
      <w:start w:val="1"/>
      <w:suff w:val="tab"/>
    </w:lvl>
    <w:lvl w:ilvl="5">
      <w:isLgl w:val="false"/>
      <w:lvlJc w:val="left"/>
      <w:lvlText w:val="%1.%2.%3.%4.%5.%6"/>
      <w:numFmt w:val="decimal"/>
      <w:pPr>
        <w:pBdr/>
        <w:tabs>
          <w:tab w:val="num" w:leader="none" w:pos="1582"/>
        </w:tabs>
        <w:spacing/>
        <w:ind w:hanging="224" w:left="1582"/>
      </w:pPr>
      <w:rPr/>
      <w:start w:val="1"/>
      <w:suff w:val="tab"/>
    </w:lvl>
    <w:lvl w:ilvl="6">
      <w:isLgl w:val="false"/>
      <w:lvlJc w:val="left"/>
      <w:lvlText w:val="%1.%2.%3.%4.%5.%6.%7"/>
      <w:numFmt w:val="decimal"/>
      <w:pPr>
        <w:pBdr/>
        <w:tabs>
          <w:tab w:val="num" w:leader="none" w:pos="1806"/>
        </w:tabs>
        <w:spacing/>
        <w:ind w:hanging="224" w:left="1806"/>
      </w:pPr>
      <w:rPr/>
      <w:start w:val="1"/>
      <w:suff w:val="tab"/>
    </w:lvl>
    <w:lvl w:ilvl="7">
      <w:isLgl w:val="false"/>
      <w:lvlJc w:val="left"/>
      <w:lvlText w:val="%1.%2.%3.%4.%5.%6.%7.%8"/>
      <w:numFmt w:val="decimal"/>
      <w:pPr>
        <w:pBdr/>
        <w:tabs>
          <w:tab w:val="num" w:leader="none" w:pos="2030"/>
        </w:tabs>
        <w:spacing/>
        <w:ind w:hanging="224" w:left="2030"/>
      </w:pPr>
      <w:rPr/>
      <w:start w:val="1"/>
      <w:suff w:val="tab"/>
    </w:lvl>
    <w:lvl w:ilvl="8">
      <w:isLgl w:val="false"/>
      <w:lvlJc w:val="left"/>
      <w:lvlText w:val="%1.%2.%3.%4.%5.%6.%7.%8.%9"/>
      <w:numFmt w:val="decimal"/>
      <w:pPr>
        <w:pBdr/>
        <w:tabs>
          <w:tab w:val="num" w:leader="none" w:pos="2254"/>
        </w:tabs>
        <w:spacing/>
        <w:ind w:hanging="224" w:left="2254"/>
      </w:pPr>
      <w:rPr/>
      <w:start w:val="1"/>
      <w:suff w:val="tab"/>
    </w:lvl>
  </w:abstractNum>
  <w:abstractNum w:abstractNumId="13">
    <w:nsid w:val="20E82F3A"/>
    <w:lvl w:ilvl="0">
      <w:isLgl w:val="false"/>
      <w:lvlJc w:val="left"/>
      <w:lvlText w:val="Schedule"/>
      <w:numFmt w:val="decimal"/>
      <w:pPr>
        <w:pBdr/>
        <w:tabs>
          <w:tab w:val="num" w:leader="none" w:pos="720"/>
        </w:tabs>
        <w:spacing/>
        <w:ind w:hanging="720" w:left="720"/>
      </w:pPr>
      <w:pStyle w:val="1108"/>
      <w:rPr>
        <w:color w:val="000000"/>
      </w:rPr>
      <w:start w:val="1"/>
      <w:suff w:val="tab"/>
    </w:lvl>
    <w:lvl w:ilvl="1">
      <w:isLgl w:val="false"/>
      <w:lvlJc w:val="left"/>
      <w:lvlText w:val="%2."/>
      <w:numFmt w:val="lowerLetter"/>
      <w:pPr>
        <w:pBdr/>
        <w:tabs>
          <w:tab w:val="num" w:leader="none" w:pos="1440"/>
        </w:tabs>
        <w:spacing/>
        <w:ind w:hanging="360" w:left="1440"/>
      </w:pPr>
      <w:rPr/>
      <w:start w:val="1"/>
      <w:suff w:val="tab"/>
    </w:lvl>
    <w:lvl w:ilvl="2">
      <w:isLgl w:val="false"/>
      <w:lvlJc w:val="right"/>
      <w:lvlText w:val="%3."/>
      <w:numFmt w:val="lowerRoman"/>
      <w:pPr>
        <w:pBdr/>
        <w:tabs>
          <w:tab w:val="num" w:leader="none" w:pos="2160"/>
        </w:tabs>
        <w:spacing/>
        <w:ind w:hanging="18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lowerLetter"/>
      <w:pPr>
        <w:pBdr/>
        <w:tabs>
          <w:tab w:val="num" w:leader="none" w:pos="3600"/>
        </w:tabs>
        <w:spacing/>
        <w:ind w:hanging="360" w:left="3600"/>
      </w:pPr>
      <w:rPr/>
      <w:start w:val="1"/>
      <w:suff w:val="tab"/>
    </w:lvl>
    <w:lvl w:ilvl="5">
      <w:isLgl w:val="false"/>
      <w:lvlJc w:val="right"/>
      <w:lvlText w:val="%6."/>
      <w:numFmt w:val="lowerRoman"/>
      <w:pPr>
        <w:pBdr/>
        <w:tabs>
          <w:tab w:val="num" w:leader="none" w:pos="4320"/>
        </w:tabs>
        <w:spacing/>
        <w:ind w:hanging="18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lowerLetter"/>
      <w:pPr>
        <w:pBdr/>
        <w:tabs>
          <w:tab w:val="num" w:leader="none" w:pos="5760"/>
        </w:tabs>
        <w:spacing/>
        <w:ind w:hanging="360" w:left="5760"/>
      </w:pPr>
      <w:rPr/>
      <w:start w:val="1"/>
      <w:suff w:val="tab"/>
    </w:lvl>
    <w:lvl w:ilvl="8">
      <w:isLgl w:val="false"/>
      <w:lvlJc w:val="right"/>
      <w:lvlText w:val="%9."/>
      <w:numFmt w:val="lowerRoman"/>
      <w:pPr>
        <w:pBdr/>
        <w:tabs>
          <w:tab w:val="num" w:leader="none" w:pos="6480"/>
        </w:tabs>
        <w:spacing/>
        <w:ind w:hanging="180" w:left="6480"/>
      </w:pPr>
      <w:rPr/>
      <w:start w:val="1"/>
      <w:suff w:val="tab"/>
    </w:lvl>
  </w:abstractNum>
  <w:abstractNum w:abstractNumId="14">
    <w:nsid w:val="25B00E4C"/>
    <w:lvl w:ilvl="0">
      <w:isLgl w:val="false"/>
      <w:lvlJc w:val="left"/>
      <w:lvlText w:val="ANNEX %1"/>
      <w:numFmt w:val="upperLetter"/>
      <w:pPr>
        <w:pBdr/>
        <w:spacing/>
        <w:ind w:hanging="360" w:left="720"/>
      </w:pPr>
      <w:pStyle w:val="1039"/>
      <w:rPr>
        <w:rFonts w:hint="default" w:cs="Times New Roman"/>
        <w:b/>
        <w:bCs w:val="0"/>
        <w:i w:val="0"/>
        <w:iCs w:val="0"/>
        <w:caps w:val="0"/>
        <w:strike w:val="0"/>
        <w:vanish w:val="0"/>
        <w:color w:val="000000"/>
        <w:spacing w:val="0"/>
        <w:position w:val="0"/>
        <w:u w:val="none"/>
        <w:vertAlign w:val="baseline"/>
        <w14:textOutline w14:w="0" w14:cap="rnd" w14:cmpd="sng" w14:algn="ctr">
          <w14:noFill/>
          <w14:prstDash w14:val="solid"/>
          <w14:bevel/>
        </w14:textOutline>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
    <w:nsid w:val="28F454B0"/>
    <w:lvl w:ilvl="0">
      <w:isLgl w:val="false"/>
      <w:lvlJc w:val="left"/>
      <w:lvlText w:val="%1."/>
      <w:numFmt w:val="decimal"/>
      <w:pPr>
        <w:pBdr/>
        <w:tabs>
          <w:tab w:val="num" w:leader="none" w:pos="0"/>
        </w:tabs>
        <w:spacing/>
        <w:ind w:hanging="227" w:left="227"/>
      </w:pPr>
      <w:rPr>
        <w:rFonts w:ascii="Times New Roman" w:hAnsi="Times New Roman"/>
      </w:rPr>
      <w:start w:val="1"/>
      <w:suff w:val="space"/>
    </w:lvl>
    <w:lvl w:ilvl="1">
      <w:isLgl w:val="false"/>
      <w:lvlJc w:val="left"/>
      <w:lvlText w:val="%1.%2."/>
      <w:numFmt w:val="decimal"/>
      <w:pPr>
        <w:pBdr/>
        <w:tabs>
          <w:tab w:val="num" w:leader="none" w:pos="0"/>
        </w:tabs>
        <w:spacing/>
        <w:ind w:hanging="454" w:left="709"/>
      </w:pPr>
      <w:rPr>
        <w:rFonts w:ascii="Times New Roman" w:hAnsi="Times New Roman"/>
      </w:rPr>
      <w:start w:val="1"/>
      <w:suff w:val="space"/>
    </w:lvl>
    <w:lvl w:ilvl="2">
      <w:isLgl w:val="false"/>
      <w:lvlJc w:val="left"/>
      <w:lvlText w:val="%1.%2.%3"/>
      <w:numFmt w:val="decimal"/>
      <w:pPr>
        <w:pBdr/>
        <w:tabs>
          <w:tab w:val="num" w:leader="none" w:pos="0"/>
        </w:tabs>
        <w:spacing/>
        <w:ind w:hanging="510" w:left="1134"/>
      </w:pPr>
      <w:rPr>
        <w:rFonts w:ascii="Times New Roman" w:hAnsi="Times New Roman"/>
      </w:rPr>
      <w:start w:val="1"/>
      <w:suff w:val="space"/>
    </w:lvl>
    <w:lvl w:ilvl="3">
      <w:isLgl w:val="false"/>
      <w:lvlJc w:val="left"/>
      <w:lvlText w:val="%1.%2.%3.%4"/>
      <w:numFmt w:val="decimal"/>
      <w:pPr>
        <w:pBdr/>
        <w:tabs>
          <w:tab w:val="num" w:leader="none" w:pos="0"/>
        </w:tabs>
        <w:spacing/>
        <w:ind w:hanging="224" w:left="1134"/>
      </w:pPr>
      <w:rPr>
        <w:rFonts w:ascii="Times New Roman" w:hAnsi="Times New Roman"/>
      </w:rPr>
      <w:start w:val="1"/>
      <w:suff w:val="space"/>
    </w:lvl>
    <w:lvl w:ilvl="4">
      <w:isLgl w:val="false"/>
      <w:lvlJc w:val="left"/>
      <w:lvlText w:val="%1.%2.%3.%4.%5"/>
      <w:numFmt w:val="decimal"/>
      <w:pPr>
        <w:pBdr/>
        <w:tabs>
          <w:tab w:val="num" w:leader="none" w:pos="1358"/>
        </w:tabs>
        <w:spacing/>
        <w:ind w:hanging="224" w:left="1358"/>
      </w:pPr>
      <w:rPr>
        <w:rFonts w:ascii="Times New Roman" w:hAnsi="Times New Roman"/>
      </w:rPr>
      <w:start w:val="1"/>
      <w:suff w:val="tab"/>
    </w:lvl>
    <w:lvl w:ilvl="5">
      <w:isLgl w:val="false"/>
      <w:lvlJc w:val="left"/>
      <w:lvlText w:val="%1.%2.%3.%4.%5.%6"/>
      <w:numFmt w:val="decimal"/>
      <w:pPr>
        <w:pBdr/>
        <w:tabs>
          <w:tab w:val="num" w:leader="none" w:pos="1582"/>
        </w:tabs>
        <w:spacing/>
        <w:ind w:hanging="224" w:left="1582"/>
      </w:pPr>
      <w:rPr>
        <w:rFonts w:ascii="Times New Roman" w:hAnsi="Times New Roman"/>
      </w:rPr>
      <w:start w:val="1"/>
      <w:suff w:val="tab"/>
    </w:lvl>
    <w:lvl w:ilvl="6">
      <w:isLgl w:val="false"/>
      <w:lvlJc w:val="left"/>
      <w:lvlText w:val="%1.%2.%3.%4.%5.%6.%7"/>
      <w:numFmt w:val="decimal"/>
      <w:pPr>
        <w:pBdr/>
        <w:tabs>
          <w:tab w:val="num" w:leader="none" w:pos="1806"/>
        </w:tabs>
        <w:spacing/>
        <w:ind w:hanging="224" w:left="1806"/>
      </w:pPr>
      <w:rPr>
        <w:rFonts w:ascii="Times New Roman" w:hAnsi="Times New Roman"/>
      </w:rPr>
      <w:start w:val="1"/>
      <w:suff w:val="tab"/>
    </w:lvl>
    <w:lvl w:ilvl="7">
      <w:isLgl w:val="false"/>
      <w:lvlJc w:val="left"/>
      <w:lvlText w:val="%1.%2.%3.%4.%5.%6.%7.%8"/>
      <w:numFmt w:val="decimal"/>
      <w:pPr>
        <w:pBdr/>
        <w:tabs>
          <w:tab w:val="num" w:leader="none" w:pos="2030"/>
        </w:tabs>
        <w:spacing/>
        <w:ind w:hanging="224" w:left="2030"/>
      </w:pPr>
      <w:rPr>
        <w:rFonts w:ascii="Times New Roman" w:hAnsi="Times New Roman"/>
      </w:rPr>
      <w:start w:val="1"/>
      <w:suff w:val="tab"/>
    </w:lvl>
    <w:lvl w:ilvl="8">
      <w:isLgl w:val="false"/>
      <w:lvlJc w:val="left"/>
      <w:lvlText w:val="%1.%2.%3.%4.%5.%6.%7.%8.%9"/>
      <w:numFmt w:val="decimal"/>
      <w:pPr>
        <w:pBdr/>
        <w:tabs>
          <w:tab w:val="num" w:leader="none" w:pos="2254"/>
        </w:tabs>
        <w:spacing/>
        <w:ind w:hanging="224" w:left="2254"/>
      </w:pPr>
      <w:rPr>
        <w:rFonts w:ascii="Times New Roman" w:hAnsi="Times New Roman"/>
      </w:rPr>
      <w:start w:val="1"/>
      <w:suff w:val="tab"/>
    </w:lvl>
  </w:abstractNum>
  <w:abstractNum w:abstractNumId="16">
    <w:nsid w:val="29C94F29"/>
    <w:lvl w:ilvl="0">
      <w:isLgl w:val="false"/>
      <w:lvlJc w:val="left"/>
      <w:lvlText w:val="%1."/>
      <w:numFmt w:val="decimal"/>
      <w:pPr>
        <w:pBdr/>
        <w:spacing/>
        <w:ind w:hanging="360" w:left="720"/>
      </w:pPr>
      <w:pStyle w:val="1152"/>
      <w:rPr>
        <w:color w:val="00000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2BFF087A"/>
    <w:lvl w:ilvl="0">
      <w:isLgl w:val="false"/>
      <w:lvlJc w:val="left"/>
      <w:lvlText w:val="%1."/>
      <w:numFmt w:val="decimal"/>
      <w:pPr>
        <w:pBdr/>
        <w:spacing/>
        <w:ind w:hanging="360" w:left="1440"/>
      </w:pPr>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18">
    <w:nsid w:val="310416CA"/>
    <w:lvl w:ilvl="0">
      <w:isLgl w:val="false"/>
      <w:lvlJc w:val="left"/>
      <w:lvlText w:val=""/>
      <w:numFmt w:val="bullet"/>
      <w:pPr>
        <w:pBdr/>
        <w:spacing/>
        <w:ind w:hanging="360" w:left="2279"/>
      </w:pPr>
      <w:pStyle w:val="1215"/>
      <w:rPr>
        <w:rFonts w:hint="default" w:ascii="Symbol" w:hAnsi="Symbol"/>
        <w:color w:val="000000"/>
      </w:rPr>
      <w:start w:val="1"/>
      <w:suff w:val="tab"/>
    </w:lvl>
    <w:lvl w:ilvl="1">
      <w:isLgl w:val="false"/>
      <w:lvlJc w:val="left"/>
      <w:lvlText w:val="o"/>
      <w:numFmt w:val="bullet"/>
      <w:pPr>
        <w:pBdr/>
        <w:spacing/>
        <w:ind w:hanging="360" w:left="2999"/>
      </w:pPr>
      <w:rPr>
        <w:rFonts w:hint="default" w:ascii="Courier New" w:hAnsi="Courier New" w:cs="Courier New"/>
      </w:rPr>
      <w:start w:val="1"/>
      <w:suff w:val="tab"/>
    </w:lvl>
    <w:lvl w:ilvl="2">
      <w:isLgl w:val="false"/>
      <w:lvlJc w:val="left"/>
      <w:lvlText w:val=""/>
      <w:numFmt w:val="bullet"/>
      <w:pPr>
        <w:pBdr/>
        <w:spacing/>
        <w:ind w:hanging="360" w:left="3719"/>
      </w:pPr>
      <w:rPr>
        <w:rFonts w:hint="default" w:ascii="Wingdings" w:hAnsi="Wingdings"/>
      </w:rPr>
      <w:start w:val="1"/>
      <w:suff w:val="tab"/>
    </w:lvl>
    <w:lvl w:ilvl="3">
      <w:isLgl w:val="false"/>
      <w:lvlJc w:val="left"/>
      <w:lvlText w:val=""/>
      <w:numFmt w:val="bullet"/>
      <w:pPr>
        <w:pBdr/>
        <w:spacing/>
        <w:ind w:hanging="360" w:left="4439"/>
      </w:pPr>
      <w:rPr>
        <w:rFonts w:hint="default" w:ascii="Symbol" w:hAnsi="Symbol"/>
      </w:rPr>
      <w:start w:val="1"/>
      <w:suff w:val="tab"/>
    </w:lvl>
    <w:lvl w:ilvl="4">
      <w:isLgl w:val="false"/>
      <w:lvlJc w:val="left"/>
      <w:lvlText w:val="o"/>
      <w:numFmt w:val="bullet"/>
      <w:pPr>
        <w:pBdr/>
        <w:spacing/>
        <w:ind w:hanging="360" w:left="5159"/>
      </w:pPr>
      <w:rPr>
        <w:rFonts w:hint="default" w:ascii="Courier New" w:hAnsi="Courier New" w:cs="Courier New"/>
      </w:rPr>
      <w:start w:val="1"/>
      <w:suff w:val="tab"/>
    </w:lvl>
    <w:lvl w:ilvl="5">
      <w:isLgl w:val="false"/>
      <w:lvlJc w:val="left"/>
      <w:lvlText w:val=""/>
      <w:numFmt w:val="bullet"/>
      <w:pPr>
        <w:pBdr/>
        <w:spacing/>
        <w:ind w:hanging="360" w:left="5879"/>
      </w:pPr>
      <w:rPr>
        <w:rFonts w:hint="default" w:ascii="Wingdings" w:hAnsi="Wingdings"/>
      </w:rPr>
      <w:start w:val="1"/>
      <w:suff w:val="tab"/>
    </w:lvl>
    <w:lvl w:ilvl="6">
      <w:isLgl w:val="false"/>
      <w:lvlJc w:val="left"/>
      <w:lvlText w:val=""/>
      <w:numFmt w:val="bullet"/>
      <w:pPr>
        <w:pBdr/>
        <w:spacing/>
        <w:ind w:hanging="360" w:left="6599"/>
      </w:pPr>
      <w:rPr>
        <w:rFonts w:hint="default" w:ascii="Symbol" w:hAnsi="Symbol"/>
      </w:rPr>
      <w:start w:val="1"/>
      <w:suff w:val="tab"/>
    </w:lvl>
    <w:lvl w:ilvl="7">
      <w:isLgl w:val="false"/>
      <w:lvlJc w:val="left"/>
      <w:lvlText w:val="o"/>
      <w:numFmt w:val="bullet"/>
      <w:pPr>
        <w:pBdr/>
        <w:spacing/>
        <w:ind w:hanging="360" w:left="7319"/>
      </w:pPr>
      <w:rPr>
        <w:rFonts w:hint="default" w:ascii="Courier New" w:hAnsi="Courier New" w:cs="Courier New"/>
      </w:rPr>
      <w:start w:val="1"/>
      <w:suff w:val="tab"/>
    </w:lvl>
    <w:lvl w:ilvl="8">
      <w:isLgl w:val="false"/>
      <w:lvlJc w:val="left"/>
      <w:lvlText w:val=""/>
      <w:numFmt w:val="bullet"/>
      <w:pPr>
        <w:pBdr/>
        <w:spacing/>
        <w:ind w:hanging="360" w:left="8039"/>
      </w:pPr>
      <w:rPr>
        <w:rFonts w:hint="default" w:ascii="Wingdings" w:hAnsi="Wingdings"/>
      </w:rPr>
      <w:start w:val="1"/>
      <w:suff w:val="tab"/>
    </w:lvl>
  </w:abstractNum>
  <w:abstractNum w:abstractNumId="19">
    <w:nsid w:val="31E9741F"/>
    <w:lvl w:ilvl="0">
      <w:isLgl w:val="false"/>
      <w:lvlJc w:val="left"/>
      <w:lvlText w:val=""/>
      <w:numFmt w:val="bullet"/>
      <w:pPr>
        <w:pBdr/>
        <w:tabs>
          <w:tab w:val="num" w:leader="none" w:pos="1077"/>
        </w:tabs>
        <w:spacing/>
        <w:ind w:hanging="357" w:left="1077"/>
      </w:pPr>
      <w:pStyle w:val="1044"/>
      <w:rPr>
        <w:rFonts w:hint="default" w:ascii="Symbol" w:hAnsi="Symbol"/>
        <w:color w:val="000000"/>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0">
    <w:nsid w:val="33CC668D"/>
    <w:lvl w:ilvl="0">
      <w:isLgl w:val="false"/>
      <w:lvlJc w:val="left"/>
      <w:lvlText w:val=""/>
      <w:numFmt w:val="bullet"/>
      <w:pPr>
        <w:pBdr/>
        <w:tabs>
          <w:tab w:val="num" w:leader="none" w:pos="2676"/>
        </w:tabs>
        <w:spacing/>
        <w:ind w:hanging="357" w:left="2676"/>
      </w:pPr>
      <w:pStyle w:val="1124"/>
      <w:rPr>
        <w:rFonts w:hint="default" w:ascii="Symbol" w:hAnsi="Symbol"/>
        <w:color w:val="000000"/>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1">
    <w:nsid w:val="36E3743B"/>
    <w:lvl w:ilvl="0">
      <w:isLgl w:val="false"/>
      <w:lvlJc w:val="left"/>
      <w:lvlText w:val="Schedule %1"/>
      <w:numFmt w:val="decimal"/>
      <w:pPr>
        <w:pBdr/>
        <w:tabs>
          <w:tab w:val="num" w:leader="none" w:pos="1080"/>
        </w:tabs>
        <w:spacing/>
        <w:ind w:hanging="360" w:left="360"/>
      </w:pPr>
      <w:pStyle w:val="1109"/>
      <w:rPr>
        <w:rFonts w:hint="default"/>
        <w:color w:val="000000"/>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2">
    <w:nsid w:val="38130038"/>
    <w:lvl w:ilvl="0">
      <w:isLgl w:val="false"/>
      <w:lvlJc w:val="left"/>
      <w:lvlText w:val=""/>
      <w:numFmt w:val="bullet"/>
      <w:pPr>
        <w:pBdr/>
        <w:spacing/>
        <w:ind w:hanging="360" w:left="1440"/>
      </w:pPr>
      <w:pStyle w:val="1210"/>
      <w:rPr>
        <w:rFonts w:hint="default" w:ascii="Symbol" w:hAnsi="Symbol"/>
        <w:color w:val="000000"/>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3">
    <w:nsid w:val="44D67987"/>
    <w:lvl w:ilvl="0">
      <w:isLgl w:val="false"/>
      <w:lvlJc w:val="left"/>
      <w:lvlText w:val=""/>
      <w:numFmt w:val="bullet"/>
      <w:pPr>
        <w:pBdr/>
        <w:spacing/>
        <w:ind w:hanging="360" w:left="1440"/>
      </w:pPr>
      <w:pStyle w:val="1214"/>
      <w:rPr>
        <w:rFonts w:hint="default" w:ascii="Symbol" w:hAnsi="Symbol"/>
        <w:color w:val="000000"/>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4">
    <w:nsid w:val="44E96665"/>
    <w:lvl w:ilvl="0">
      <w:isLgl w:val="false"/>
      <w:lvlJc w:val="left"/>
      <w:lvlText w:val=""/>
      <w:numFmt w:val="bullet"/>
      <w:pPr>
        <w:pBdr/>
        <w:spacing/>
        <w:ind w:hanging="360" w:left="2988"/>
      </w:pPr>
      <w:pStyle w:val="1213"/>
      <w:rPr>
        <w:rFonts w:hint="default" w:ascii="Symbol" w:hAnsi="Symbol"/>
        <w:color w:val="000000"/>
      </w:rPr>
      <w:start w:val="1"/>
      <w:suff w:val="tab"/>
    </w:lvl>
    <w:lvl w:ilvl="1">
      <w:isLgl w:val="false"/>
      <w:lvlJc w:val="left"/>
      <w:lvlText w:val="o"/>
      <w:numFmt w:val="bullet"/>
      <w:pPr>
        <w:pBdr/>
        <w:spacing/>
        <w:ind w:hanging="360" w:left="3708"/>
      </w:pPr>
      <w:rPr>
        <w:rFonts w:hint="default" w:ascii="Courier New" w:hAnsi="Courier New" w:cs="Courier New"/>
      </w:rPr>
      <w:start w:val="1"/>
      <w:suff w:val="tab"/>
    </w:lvl>
    <w:lvl w:ilvl="2">
      <w:isLgl w:val="false"/>
      <w:lvlJc w:val="left"/>
      <w:lvlText w:val=""/>
      <w:numFmt w:val="bullet"/>
      <w:pPr>
        <w:pBdr/>
        <w:spacing/>
        <w:ind w:hanging="360" w:left="4428"/>
      </w:pPr>
      <w:rPr>
        <w:rFonts w:hint="default" w:ascii="Wingdings" w:hAnsi="Wingdings"/>
      </w:rPr>
      <w:start w:val="1"/>
      <w:suff w:val="tab"/>
    </w:lvl>
    <w:lvl w:ilvl="3">
      <w:isLgl w:val="false"/>
      <w:lvlJc w:val="left"/>
      <w:lvlText w:val=""/>
      <w:numFmt w:val="bullet"/>
      <w:pPr>
        <w:pBdr/>
        <w:spacing/>
        <w:ind w:hanging="360" w:left="5148"/>
      </w:pPr>
      <w:rPr>
        <w:rFonts w:hint="default" w:ascii="Symbol" w:hAnsi="Symbol"/>
      </w:rPr>
      <w:start w:val="1"/>
      <w:suff w:val="tab"/>
    </w:lvl>
    <w:lvl w:ilvl="4">
      <w:isLgl w:val="false"/>
      <w:lvlJc w:val="left"/>
      <w:lvlText w:val="o"/>
      <w:numFmt w:val="bullet"/>
      <w:pPr>
        <w:pBdr/>
        <w:spacing/>
        <w:ind w:hanging="360" w:left="5868"/>
      </w:pPr>
      <w:rPr>
        <w:rFonts w:hint="default" w:ascii="Courier New" w:hAnsi="Courier New" w:cs="Courier New"/>
      </w:rPr>
      <w:start w:val="1"/>
      <w:suff w:val="tab"/>
    </w:lvl>
    <w:lvl w:ilvl="5">
      <w:isLgl w:val="false"/>
      <w:lvlJc w:val="left"/>
      <w:lvlText w:val=""/>
      <w:numFmt w:val="bullet"/>
      <w:pPr>
        <w:pBdr/>
        <w:spacing/>
        <w:ind w:hanging="360" w:left="6588"/>
      </w:pPr>
      <w:rPr>
        <w:rFonts w:hint="default" w:ascii="Wingdings" w:hAnsi="Wingdings"/>
      </w:rPr>
      <w:start w:val="1"/>
      <w:suff w:val="tab"/>
    </w:lvl>
    <w:lvl w:ilvl="6">
      <w:isLgl w:val="false"/>
      <w:lvlJc w:val="left"/>
      <w:lvlText w:val=""/>
      <w:numFmt w:val="bullet"/>
      <w:pPr>
        <w:pBdr/>
        <w:spacing/>
        <w:ind w:hanging="360" w:left="7308"/>
      </w:pPr>
      <w:rPr>
        <w:rFonts w:hint="default" w:ascii="Symbol" w:hAnsi="Symbol"/>
      </w:rPr>
      <w:start w:val="1"/>
      <w:suff w:val="tab"/>
    </w:lvl>
    <w:lvl w:ilvl="7">
      <w:isLgl w:val="false"/>
      <w:lvlJc w:val="left"/>
      <w:lvlText w:val="o"/>
      <w:numFmt w:val="bullet"/>
      <w:pPr>
        <w:pBdr/>
        <w:spacing/>
        <w:ind w:hanging="360" w:left="8028"/>
      </w:pPr>
      <w:rPr>
        <w:rFonts w:hint="default" w:ascii="Courier New" w:hAnsi="Courier New" w:cs="Courier New"/>
      </w:rPr>
      <w:start w:val="1"/>
      <w:suff w:val="tab"/>
    </w:lvl>
    <w:lvl w:ilvl="8">
      <w:isLgl w:val="false"/>
      <w:lvlJc w:val="left"/>
      <w:lvlText w:val=""/>
      <w:numFmt w:val="bullet"/>
      <w:pPr>
        <w:pBdr/>
        <w:spacing/>
        <w:ind w:hanging="360" w:left="8748"/>
      </w:pPr>
      <w:rPr>
        <w:rFonts w:hint="default" w:ascii="Wingdings" w:hAnsi="Wingdings"/>
      </w:rPr>
      <w:start w:val="1"/>
      <w:suff w:val="tab"/>
    </w:lvl>
  </w:abstractNum>
  <w:abstractNum w:abstractNumId="25">
    <w:nsid w:val="46AC04C6"/>
    <w:lvl w:ilvl="0">
      <w:isLgl w:val="false"/>
      <w:lvlJc w:val="left"/>
      <w:lvlText w:val=""/>
      <w:numFmt w:val="bullet"/>
      <w:pPr>
        <w:pBdr/>
        <w:spacing/>
        <w:ind w:hanging="360" w:left="2279"/>
      </w:pPr>
      <w:pStyle w:val="1212"/>
      <w:rPr>
        <w:rFonts w:hint="default" w:ascii="Symbol" w:hAnsi="Symbol"/>
        <w:color w:val="000000"/>
      </w:rPr>
      <w:start w:val="1"/>
      <w:suff w:val="tab"/>
    </w:lvl>
    <w:lvl w:ilvl="1">
      <w:isLgl w:val="false"/>
      <w:lvlJc w:val="left"/>
      <w:lvlText w:val="o"/>
      <w:numFmt w:val="bullet"/>
      <w:pPr>
        <w:pBdr/>
        <w:spacing/>
        <w:ind w:hanging="360" w:left="2999"/>
      </w:pPr>
      <w:rPr>
        <w:rFonts w:hint="default" w:ascii="Courier New" w:hAnsi="Courier New" w:cs="Courier New"/>
      </w:rPr>
      <w:start w:val="1"/>
      <w:suff w:val="tab"/>
    </w:lvl>
    <w:lvl w:ilvl="2">
      <w:isLgl w:val="false"/>
      <w:lvlJc w:val="left"/>
      <w:lvlText w:val=""/>
      <w:numFmt w:val="bullet"/>
      <w:pPr>
        <w:pBdr/>
        <w:spacing/>
        <w:ind w:hanging="360" w:left="3719"/>
      </w:pPr>
      <w:rPr>
        <w:rFonts w:hint="default" w:ascii="Wingdings" w:hAnsi="Wingdings"/>
      </w:rPr>
      <w:start w:val="1"/>
      <w:suff w:val="tab"/>
    </w:lvl>
    <w:lvl w:ilvl="3">
      <w:isLgl w:val="false"/>
      <w:lvlJc w:val="left"/>
      <w:lvlText w:val=""/>
      <w:numFmt w:val="bullet"/>
      <w:pPr>
        <w:pBdr/>
        <w:spacing/>
        <w:ind w:hanging="360" w:left="4439"/>
      </w:pPr>
      <w:rPr>
        <w:rFonts w:hint="default" w:ascii="Symbol" w:hAnsi="Symbol"/>
      </w:rPr>
      <w:start w:val="1"/>
      <w:suff w:val="tab"/>
    </w:lvl>
    <w:lvl w:ilvl="4">
      <w:isLgl w:val="false"/>
      <w:lvlJc w:val="left"/>
      <w:lvlText w:val="o"/>
      <w:numFmt w:val="bullet"/>
      <w:pPr>
        <w:pBdr/>
        <w:spacing/>
        <w:ind w:hanging="360" w:left="5159"/>
      </w:pPr>
      <w:rPr>
        <w:rFonts w:hint="default" w:ascii="Courier New" w:hAnsi="Courier New" w:cs="Courier New"/>
      </w:rPr>
      <w:start w:val="1"/>
      <w:suff w:val="tab"/>
    </w:lvl>
    <w:lvl w:ilvl="5">
      <w:isLgl w:val="false"/>
      <w:lvlJc w:val="left"/>
      <w:lvlText w:val=""/>
      <w:numFmt w:val="bullet"/>
      <w:pPr>
        <w:pBdr/>
        <w:spacing/>
        <w:ind w:hanging="360" w:left="5879"/>
      </w:pPr>
      <w:rPr>
        <w:rFonts w:hint="default" w:ascii="Wingdings" w:hAnsi="Wingdings"/>
      </w:rPr>
      <w:start w:val="1"/>
      <w:suff w:val="tab"/>
    </w:lvl>
    <w:lvl w:ilvl="6">
      <w:isLgl w:val="false"/>
      <w:lvlJc w:val="left"/>
      <w:lvlText w:val=""/>
      <w:numFmt w:val="bullet"/>
      <w:pPr>
        <w:pBdr/>
        <w:spacing/>
        <w:ind w:hanging="360" w:left="6599"/>
      </w:pPr>
      <w:rPr>
        <w:rFonts w:hint="default" w:ascii="Symbol" w:hAnsi="Symbol"/>
      </w:rPr>
      <w:start w:val="1"/>
      <w:suff w:val="tab"/>
    </w:lvl>
    <w:lvl w:ilvl="7">
      <w:isLgl w:val="false"/>
      <w:lvlJc w:val="left"/>
      <w:lvlText w:val="o"/>
      <w:numFmt w:val="bullet"/>
      <w:pPr>
        <w:pBdr/>
        <w:spacing/>
        <w:ind w:hanging="360" w:left="7319"/>
      </w:pPr>
      <w:rPr>
        <w:rFonts w:hint="default" w:ascii="Courier New" w:hAnsi="Courier New" w:cs="Courier New"/>
      </w:rPr>
      <w:start w:val="1"/>
      <w:suff w:val="tab"/>
    </w:lvl>
    <w:lvl w:ilvl="8">
      <w:isLgl w:val="false"/>
      <w:lvlJc w:val="left"/>
      <w:lvlText w:val=""/>
      <w:numFmt w:val="bullet"/>
      <w:pPr>
        <w:pBdr/>
        <w:spacing/>
        <w:ind w:hanging="360" w:left="8039"/>
      </w:pPr>
      <w:rPr>
        <w:rFonts w:hint="default" w:ascii="Wingdings" w:hAnsi="Wingdings"/>
      </w:rPr>
      <w:start w:val="1"/>
      <w:suff w:val="tab"/>
    </w:lvl>
  </w:abstractNum>
  <w:abstractNum w:abstractNumId="26">
    <w:nsid w:val="47F42723"/>
    <w:lvl w:ilvl="0">
      <w:isLgl w:val="false"/>
      <w:lvlJc w:val="left"/>
      <w:lvlText w:val=""/>
      <w:numFmt w:val="bullet"/>
      <w:pPr>
        <w:pBdr/>
        <w:spacing/>
        <w:ind w:hanging="360" w:left="1440"/>
      </w:pPr>
      <w:pStyle w:val="1211"/>
      <w:rPr>
        <w:rFonts w:hint="default" w:ascii="Symbol" w:hAnsi="Symbol"/>
        <w:color w:val="000000"/>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7">
    <w:nsid w:val="55CB0AF0"/>
    <w:lvl w:ilvl="0">
      <w:isLgl w:val="false"/>
      <w:lvlJc w:val="left"/>
      <w:lvlText w:val="%1."/>
      <w:numFmt w:val="decimal"/>
      <w:pPr>
        <w:pBdr/>
        <w:spacing/>
        <w:ind w:hanging="360" w:left="360"/>
      </w:pPr>
      <w:pStyle w:val="1190"/>
      <w:rPr>
        <w:rFonts w:hint="default"/>
        <w:b/>
        <w:i w:val="0"/>
        <w:color w:val="000000"/>
        <w:sz w:val="24"/>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573841A3"/>
    <w:lvl w:ilvl="0">
      <w:isLgl w:val="false"/>
      <w:lvlJc w:val="left"/>
      <w:lvlText w:val="Chapter %1"/>
      <w:numFmt w:val="decimal"/>
      <w:pPr>
        <w:pBdr/>
        <w:spacing/>
        <w:ind w:firstLine="0" w:left="0"/>
      </w:pPr>
      <w:pStyle w:val="1025"/>
      <w:rPr>
        <w:color w:val="000000"/>
      </w:rPr>
      <w:start w:val="1"/>
      <w:suff w:val="space"/>
    </w:lvl>
    <w:lvl w:ilvl="1">
      <w:isLgl w:val="false"/>
      <w:lvlJc w:val="left"/>
      <w:lvlText w:val=""/>
      <w:numFmt w:val="none"/>
      <w:pPr>
        <w:pBdr/>
        <w:spacing/>
        <w:ind w:firstLine="0" w:left="0"/>
      </w:pPr>
      <w:pStyle w:val="1026"/>
      <w:rPr/>
      <w:start w:val="1"/>
      <w:suff w:val="nothing"/>
    </w:lvl>
    <w:lvl w:ilvl="2">
      <w:isLgl w:val="false"/>
      <w:lvlJc w:val="left"/>
      <w:lvlText w:val=""/>
      <w:numFmt w:val="none"/>
      <w:pPr>
        <w:pBdr/>
        <w:spacing/>
        <w:ind w:firstLine="0" w:left="0"/>
      </w:pPr>
      <w:pStyle w:val="1027"/>
      <w:rPr/>
      <w:start w:val="1"/>
      <w:suff w:val="nothing"/>
    </w:lvl>
    <w:lvl w:ilvl="3">
      <w:isLgl w:val="false"/>
      <w:lvlJc w:val="left"/>
      <w:lvlText w:val=""/>
      <w:numFmt w:val="none"/>
      <w:pPr>
        <w:pBdr/>
        <w:spacing/>
        <w:ind w:firstLine="0" w:left="0"/>
      </w:pPr>
      <w:pStyle w:val="1028"/>
      <w:rPr/>
      <w:start w:val="1"/>
      <w:suff w:val="nothing"/>
    </w:lvl>
    <w:lvl w:ilvl="4">
      <w:isLgl w:val="false"/>
      <w:lvlJc w:val="left"/>
      <w:lvlText w:val=""/>
      <w:numFmt w:val="none"/>
      <w:pPr>
        <w:pBdr/>
        <w:spacing/>
        <w:ind w:firstLine="0" w:left="0"/>
      </w:pPr>
      <w:pStyle w:val="1029"/>
      <w:rPr/>
      <w:start w:val="1"/>
      <w:suff w:val="nothing"/>
    </w:lvl>
    <w:lvl w:ilvl="5">
      <w:isLgl w:val="false"/>
      <w:lvlJc w:val="left"/>
      <w:lvlText w:val=""/>
      <w:numFmt w:val="none"/>
      <w:pPr>
        <w:pBdr/>
        <w:spacing/>
        <w:ind w:firstLine="0" w:left="0"/>
      </w:pPr>
      <w:pStyle w:val="1030"/>
      <w:rPr/>
      <w:start w:val="1"/>
      <w:suff w:val="nothing"/>
    </w:lvl>
    <w:lvl w:ilvl="6">
      <w:isLgl w:val="false"/>
      <w:lvlJc w:val="left"/>
      <w:lvlText w:val=""/>
      <w:numFmt w:val="none"/>
      <w:pPr>
        <w:pBdr/>
        <w:spacing/>
        <w:ind w:firstLine="0" w:left="0"/>
      </w:pPr>
      <w:pStyle w:val="1031"/>
      <w:rPr/>
      <w:start w:val="1"/>
      <w:suff w:val="nothing"/>
    </w:lvl>
    <w:lvl w:ilvl="7">
      <w:isLgl w:val="false"/>
      <w:lvlJc w:val="left"/>
      <w:lvlText w:val=""/>
      <w:numFmt w:val="none"/>
      <w:pPr>
        <w:pBdr/>
        <w:spacing/>
        <w:ind w:firstLine="0" w:left="0"/>
      </w:pPr>
      <w:pStyle w:val="1032"/>
      <w:rPr/>
      <w:start w:val="1"/>
      <w:suff w:val="nothing"/>
    </w:lvl>
    <w:lvl w:ilvl="8">
      <w:isLgl w:val="false"/>
      <w:lvlJc w:val="left"/>
      <w:lvlText w:val=""/>
      <w:numFmt w:val="none"/>
      <w:pPr>
        <w:pBdr/>
        <w:spacing/>
        <w:ind w:firstLine="0" w:left="0"/>
      </w:pPr>
      <w:pStyle w:val="1033"/>
      <w:rPr/>
      <w:start w:val="1"/>
      <w:suff w:val="nothing"/>
    </w:lvl>
  </w:abstractNum>
  <w:abstractNum w:abstractNumId="29">
    <w:nsid w:val="61071422"/>
    <w:lvl w:ilvl="0">
      <w:isLgl w:val="false"/>
      <w:lvlJc w:val="left"/>
      <w:lvlText w:val=""/>
      <w:numFmt w:val="bullet"/>
      <w:pPr>
        <w:pBdr/>
        <w:spacing/>
        <w:ind w:hanging="360" w:left="1080"/>
      </w:pPr>
      <w:pStyle w:val="1209"/>
      <w:rPr>
        <w:rFonts w:hint="default" w:ascii="Symbol" w:hAnsi="Symbol"/>
        <w:color w:val="000000"/>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0">
    <w:nsid w:val="642371CD"/>
    <w:lvl w:ilvl="0">
      <w:isLgl w:val="false"/>
      <w:lvlJc w:val="left"/>
      <w:lvlText w:val=""/>
      <w:numFmt w:val="bullet"/>
      <w:pPr>
        <w:pBdr/>
        <w:spacing/>
        <w:ind w:hanging="360" w:left="3748"/>
      </w:pPr>
      <w:pStyle w:val="1216"/>
      <w:rPr>
        <w:rFonts w:hint="default" w:ascii="Symbol" w:hAnsi="Symbol"/>
        <w:color w:val="000000"/>
      </w:rPr>
      <w:start w:val="1"/>
      <w:suff w:val="tab"/>
    </w:lvl>
    <w:lvl w:ilvl="1">
      <w:isLgl w:val="false"/>
      <w:lvlJc w:val="left"/>
      <w:lvlText w:val="o"/>
      <w:numFmt w:val="bullet"/>
      <w:pPr>
        <w:pBdr/>
        <w:spacing/>
        <w:ind w:hanging="360" w:left="4468"/>
      </w:pPr>
      <w:rPr>
        <w:rFonts w:hint="default" w:ascii="Courier New" w:hAnsi="Courier New" w:cs="Courier New"/>
      </w:rPr>
      <w:start w:val="1"/>
      <w:suff w:val="tab"/>
    </w:lvl>
    <w:lvl w:ilvl="2">
      <w:isLgl w:val="false"/>
      <w:lvlJc w:val="left"/>
      <w:lvlText w:val=""/>
      <w:numFmt w:val="bullet"/>
      <w:pPr>
        <w:pBdr/>
        <w:spacing/>
        <w:ind w:hanging="360" w:left="5188"/>
      </w:pPr>
      <w:rPr>
        <w:rFonts w:hint="default" w:ascii="Wingdings" w:hAnsi="Wingdings"/>
      </w:rPr>
      <w:start w:val="1"/>
      <w:suff w:val="tab"/>
    </w:lvl>
    <w:lvl w:ilvl="3">
      <w:isLgl w:val="false"/>
      <w:lvlJc w:val="left"/>
      <w:lvlText w:val=""/>
      <w:numFmt w:val="bullet"/>
      <w:pPr>
        <w:pBdr/>
        <w:spacing/>
        <w:ind w:hanging="360" w:left="5908"/>
      </w:pPr>
      <w:rPr>
        <w:rFonts w:hint="default" w:ascii="Symbol" w:hAnsi="Symbol"/>
      </w:rPr>
      <w:start w:val="1"/>
      <w:suff w:val="tab"/>
    </w:lvl>
    <w:lvl w:ilvl="4">
      <w:isLgl w:val="false"/>
      <w:lvlJc w:val="left"/>
      <w:lvlText w:val="o"/>
      <w:numFmt w:val="bullet"/>
      <w:pPr>
        <w:pBdr/>
        <w:spacing/>
        <w:ind w:hanging="360" w:left="6628"/>
      </w:pPr>
      <w:rPr>
        <w:rFonts w:hint="default" w:ascii="Courier New" w:hAnsi="Courier New" w:cs="Courier New"/>
      </w:rPr>
      <w:start w:val="1"/>
      <w:suff w:val="tab"/>
    </w:lvl>
    <w:lvl w:ilvl="5">
      <w:isLgl w:val="false"/>
      <w:lvlJc w:val="left"/>
      <w:lvlText w:val=""/>
      <w:numFmt w:val="bullet"/>
      <w:pPr>
        <w:pBdr/>
        <w:spacing/>
        <w:ind w:hanging="360" w:left="7348"/>
      </w:pPr>
      <w:rPr>
        <w:rFonts w:hint="default" w:ascii="Wingdings" w:hAnsi="Wingdings"/>
      </w:rPr>
      <w:start w:val="1"/>
      <w:suff w:val="tab"/>
    </w:lvl>
    <w:lvl w:ilvl="6">
      <w:isLgl w:val="false"/>
      <w:lvlJc w:val="left"/>
      <w:lvlText w:val=""/>
      <w:numFmt w:val="bullet"/>
      <w:pPr>
        <w:pBdr/>
        <w:spacing/>
        <w:ind w:hanging="360" w:left="8068"/>
      </w:pPr>
      <w:rPr>
        <w:rFonts w:hint="default" w:ascii="Symbol" w:hAnsi="Symbol"/>
      </w:rPr>
      <w:start w:val="1"/>
      <w:suff w:val="tab"/>
    </w:lvl>
    <w:lvl w:ilvl="7">
      <w:isLgl w:val="false"/>
      <w:lvlJc w:val="left"/>
      <w:lvlText w:val="o"/>
      <w:numFmt w:val="bullet"/>
      <w:pPr>
        <w:pBdr/>
        <w:spacing/>
        <w:ind w:hanging="360" w:left="8788"/>
      </w:pPr>
      <w:rPr>
        <w:rFonts w:hint="default" w:ascii="Courier New" w:hAnsi="Courier New" w:cs="Courier New"/>
      </w:rPr>
      <w:start w:val="1"/>
      <w:suff w:val="tab"/>
    </w:lvl>
    <w:lvl w:ilvl="8">
      <w:isLgl w:val="false"/>
      <w:lvlJc w:val="left"/>
      <w:lvlText w:val=""/>
      <w:numFmt w:val="bullet"/>
      <w:pPr>
        <w:pBdr/>
        <w:spacing/>
        <w:ind w:hanging="360" w:left="9508"/>
      </w:pPr>
      <w:rPr>
        <w:rFonts w:hint="default" w:ascii="Wingdings" w:hAnsi="Wingdings"/>
      </w:rPr>
      <w:start w:val="1"/>
      <w:suff w:val="tab"/>
    </w:lvl>
  </w:abstractNum>
  <w:abstractNum w:abstractNumId="31">
    <w:nsid w:val="66966731"/>
    <w:lvl w:ilvl="0">
      <w:isLgl w:val="false"/>
      <w:lvlJc w:val="left"/>
      <w:lvlText w:val="(%1)"/>
      <w:numFmt w:val="upperLetter"/>
      <w:pPr>
        <w:pBdr/>
        <w:tabs>
          <w:tab w:val="num" w:leader="none" w:pos="720"/>
        </w:tabs>
        <w:spacing/>
        <w:ind w:hanging="720" w:left="720"/>
      </w:pPr>
      <w:pStyle w:val="1042"/>
      <w:rPr>
        <w:b w:val="0"/>
        <w:i w:val="0"/>
        <w:caps/>
        <w:color w:val="000000"/>
        <w:sz w:val="20"/>
      </w:rPr>
      <w:start w:val="1"/>
      <w:suff w:val="tab"/>
    </w:lvl>
    <w:lvl w:ilvl="1">
      <w:isLgl w:val="false"/>
      <w:lvlJc w:val="left"/>
      <w:lvlText w:val="(%2)"/>
      <w:numFmt w:val="lowerLetter"/>
      <w:pPr>
        <w:pBdr/>
        <w:tabs>
          <w:tab w:val="num" w:leader="none" w:pos="1555"/>
        </w:tabs>
        <w:spacing/>
        <w:ind w:hanging="561" w:left="1555"/>
      </w:pPr>
      <w:pStyle w:val="1206"/>
      <w:rPr>
        <w:b w:val="0"/>
        <w:i w:val="0"/>
        <w:caps w:val="0"/>
        <w:sz w:val="20"/>
      </w:rPr>
      <w:start w:val="1"/>
      <w:suff w:val="tab"/>
    </w:lvl>
    <w:lvl w:ilvl="2">
      <w:isLgl w:val="false"/>
      <w:lvlJc w:val="left"/>
      <w:lvlText w:val="(%3)"/>
      <w:numFmt w:val="lowerLetter"/>
      <w:pPr>
        <w:pBdr/>
        <w:tabs>
          <w:tab w:val="num" w:leader="none" w:pos="1559"/>
        </w:tabs>
        <w:spacing/>
        <w:ind w:hanging="567" w:left="1559"/>
      </w:pPr>
      <w:rPr>
        <w:b w:val="0"/>
        <w:i w:val="0"/>
        <w:sz w:val="20"/>
      </w:rPr>
      <w:start w:val="1"/>
      <w:suff w:val="tab"/>
    </w:lvl>
    <w:lvl w:ilvl="3">
      <w:isLgl w:val="false"/>
      <w:lvlJc w:val="left"/>
      <w:lvlText w:val="(%4)"/>
      <w:numFmt w:val="lowerRoman"/>
      <w:pPr>
        <w:pBdr/>
        <w:tabs>
          <w:tab w:val="num" w:leader="none" w:pos="2421"/>
        </w:tabs>
        <w:spacing/>
        <w:ind w:hanging="567" w:left="2268"/>
      </w:pPr>
      <w:pStyle w:val="1207"/>
      <w:rPr>
        <w:b w:val="0"/>
        <w:i w:val="0"/>
        <w:sz w:val="20"/>
      </w:rPr>
      <w:start w:val="1"/>
      <w:suff w:val="tab"/>
    </w:lvl>
    <w:lvl w:ilvl="4">
      <w:isLgl w:val="false"/>
      <w:lvlJc w:val="left"/>
      <w:lvlText w:val="(%5)"/>
      <w:numFmt w:val="upperLetter"/>
      <w:pPr>
        <w:pBdr/>
        <w:tabs>
          <w:tab w:val="num" w:leader="none" w:pos="2880"/>
        </w:tabs>
        <w:spacing/>
        <w:ind w:hanging="720" w:left="2880"/>
      </w:pPr>
      <w:rPr>
        <w:b w:val="0"/>
        <w:i w:val="0"/>
        <w:sz w:val="22"/>
      </w:rPr>
      <w:start w:val="1"/>
      <w:suff w:val="tab"/>
    </w:lvl>
    <w:lvl w:ilvl="5">
      <w:isLgl w:val="false"/>
      <w:lvlJc w:val="left"/>
      <w:lvlText w:val="%6."/>
      <w:numFmt w:val="decimal"/>
      <w:pPr>
        <w:pBdr/>
        <w:tabs>
          <w:tab w:val="num" w:leader="none" w:pos="3600"/>
        </w:tabs>
        <w:spacing/>
        <w:ind w:hanging="720" w:left="3600"/>
      </w:pPr>
      <w:rPr>
        <w:b w:val="0"/>
        <w:i w:val="0"/>
        <w:sz w:val="22"/>
      </w:rPr>
      <w:start w:val="1"/>
      <w:suff w:val="tab"/>
    </w:lvl>
    <w:lvl w:ilvl="6">
      <w:isLgl w:val="false"/>
      <w:lvlJc w:val="left"/>
      <w:lvlText w:val="%7."/>
      <w:numFmt w:val="decimal"/>
      <w:pPr>
        <w:pBdr/>
        <w:tabs>
          <w:tab w:val="num" w:leader="none" w:pos="4320"/>
        </w:tabs>
        <w:spacing/>
        <w:ind w:hanging="720" w:left="4320"/>
      </w:pPr>
      <w:rPr>
        <w:rFonts w:hint="default"/>
      </w:rPr>
      <w:start w:val="1"/>
      <w:suff w:val="tab"/>
    </w:lvl>
    <w:lvl w:ilvl="7">
      <w:isLgl w:val="false"/>
      <w:lvlJc w:val="left"/>
      <w:lvlText w:val="%8."/>
      <w:numFmt w:val="decimal"/>
      <w:pPr>
        <w:pBdr/>
        <w:tabs>
          <w:tab w:val="num" w:leader="none" w:pos="5040"/>
        </w:tabs>
        <w:spacing/>
        <w:ind w:hanging="720" w:left="5040"/>
      </w:pPr>
      <w:rPr>
        <w:b w:val="0"/>
        <w:i w:val="0"/>
        <w:sz w:val="22"/>
      </w:rPr>
      <w:start w:val="1"/>
      <w:suff w:val="tab"/>
    </w:lvl>
    <w:lvl w:ilvl="8">
      <w:isLgl w:val="false"/>
      <w:lvlJc w:val="left"/>
      <w:lvlText w:val="%9."/>
      <w:numFmt w:val="decimal"/>
      <w:pPr>
        <w:pBdr/>
        <w:tabs>
          <w:tab w:val="num" w:leader="none" w:pos="5760"/>
        </w:tabs>
        <w:spacing/>
        <w:ind w:hanging="720" w:left="5760"/>
      </w:pPr>
      <w:rPr>
        <w:b w:val="0"/>
        <w:i w:val="0"/>
        <w:sz w:val="22"/>
      </w:rPr>
      <w:start w:val="1"/>
      <w:suff w:val="tab"/>
    </w:lvl>
  </w:abstractNum>
  <w:abstractNum w:abstractNumId="32">
    <w:nsid w:val="6A14466B"/>
    <w:lvl w:ilvl="0">
      <w:isLgl w:val="false"/>
      <w:lvlJc w:val="left"/>
      <w:lvlText w:val="·"/>
      <w:numFmt w:val="bullet"/>
      <w:pPr>
        <w:pBdr/>
        <w:tabs>
          <w:tab w:val="num" w:leader="none" w:pos="360"/>
        </w:tabs>
        <w:spacing/>
        <w:ind w:hanging="360" w:left="360"/>
      </w:pPr>
      <w:pStyle w:val="1043"/>
      <w:rPr>
        <w:rFonts w:hint="default" w:ascii="Symbol" w:hAnsi="Symbol"/>
        <w:color w:val="000000"/>
      </w:rPr>
      <w:start w:val="1"/>
      <w:suff w:val="tab"/>
    </w:lvl>
    <w:lvl w:ilvl="1">
      <w:isLgl w:val="false"/>
      <w:lvlJc w:val="left"/>
      <w:lvlText w:val="·"/>
      <w:numFmt w:val="bullet"/>
      <w:pPr>
        <w:pBdr/>
        <w:tabs>
          <w:tab w:val="num" w:leader="none" w:pos="1440"/>
        </w:tabs>
        <w:spacing/>
        <w:ind w:hanging="360" w:left="1440"/>
      </w:pPr>
      <w:rPr>
        <w:rFonts w:hint="default" w:ascii="Symbol" w:hAnsi="Symbol"/>
      </w:rPr>
      <w:start w:val="1"/>
      <w:suff w:val="tab"/>
    </w:lvl>
    <w:lvl w:ilvl="2">
      <w:isLgl w:val="false"/>
      <w:lvlJc w:val="left"/>
      <w:lvlText w:val="·"/>
      <w:numFmt w:val="bullet"/>
      <w:pPr>
        <w:pBdr/>
        <w:tabs>
          <w:tab w:val="num" w:leader="none" w:pos="2160"/>
        </w:tabs>
        <w:spacing/>
        <w:ind w:hanging="360" w:left="2160"/>
      </w:pPr>
      <w:rPr>
        <w:rFonts w:hint="default" w:ascii="Symbol" w:hAnsi="Symbol"/>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3">
    <w:nsid w:val="6ADF4683"/>
    <w:lvl w:ilvl="0">
      <w:isLgl w:val="false"/>
      <w:lvlJc w:val="left"/>
      <w:lvlText w:val="%1"/>
      <w:numFmt w:val="none"/>
      <w:pPr>
        <w:pBdr/>
        <w:tabs>
          <w:tab w:val="num" w:leader="none" w:pos="720"/>
        </w:tabs>
        <w:spacing/>
        <w:ind w:hanging="720" w:left="720"/>
      </w:pPr>
      <w:pStyle w:val="1054"/>
      <w:rPr>
        <w:rFonts w:hint="default"/>
        <w:color w:val="000000"/>
      </w:rPr>
      <w:start w:val="1"/>
      <w:suff w:val="tab"/>
    </w:lvl>
    <w:lvl w:ilvl="1">
      <w:isLgl w:val="false"/>
      <w:lvlJc w:val="left"/>
      <w:lvlText w:val="%1%2)"/>
      <w:numFmt w:val="lowerLetter"/>
      <w:pPr>
        <w:pBdr/>
        <w:tabs>
          <w:tab w:val="num" w:leader="none" w:pos="1554"/>
        </w:tabs>
        <w:spacing/>
        <w:ind w:firstLine="0" w:left="1554"/>
      </w:pPr>
      <w:pStyle w:val="1218"/>
      <w:rPr>
        <w:rFonts w:hint="default"/>
        <w:color w:val="000000"/>
      </w:rPr>
      <w:start w:val="1"/>
      <w:suff w:val="tab"/>
    </w:lvl>
    <w:lvl w:ilvl="2">
      <w:isLgl w:val="false"/>
      <w:lvlJc w:val="left"/>
      <w:lvlText w:val=""/>
      <w:numFmt w:val="none"/>
      <w:pPr>
        <w:pBdr/>
        <w:tabs>
          <w:tab w:val="num" w:leader="none" w:pos="1555"/>
        </w:tabs>
        <w:spacing/>
        <w:ind w:hanging="561" w:left="1555"/>
      </w:pPr>
      <w:rPr>
        <w:rFonts w:hint="default"/>
      </w:rPr>
      <w:start w:val="1"/>
      <w:suff w:val="tab"/>
    </w:lvl>
    <w:lvl w:ilvl="3">
      <w:isLgl w:val="false"/>
      <w:lvlJc w:val="left"/>
      <w:lvlText w:val="(%4)"/>
      <w:numFmt w:val="lowerRoman"/>
      <w:pPr>
        <w:pBdr/>
        <w:tabs>
          <w:tab w:val="num" w:leader="none" w:pos="2419"/>
        </w:tabs>
        <w:spacing/>
        <w:ind w:hanging="576" w:left="2275"/>
      </w:pPr>
      <w:rPr>
        <w:rFonts w:hint="default"/>
        <w:sz w:val="20"/>
      </w:rPr>
      <w:start w:val="1"/>
      <w:suff w:val="tab"/>
    </w:lvl>
    <w:lvl w:ilvl="4">
      <w:isLgl w:val="false"/>
      <w:lvlJc w:val="left"/>
      <w:lvlText w:val="(%5)"/>
      <w:numFmt w:val="upperLetter"/>
      <w:pPr>
        <w:pBdr/>
        <w:tabs>
          <w:tab w:val="num" w:leader="none" w:pos="2880"/>
        </w:tabs>
        <w:spacing/>
        <w:ind w:hanging="720" w:left="2880"/>
      </w:pPr>
      <w:rPr>
        <w:rFonts w:hint="default"/>
      </w:rPr>
      <w:start w:val="1"/>
      <w:suff w:val="tab"/>
    </w:lvl>
    <w:lvl w:ilvl="5">
      <w:isLgl w:val="false"/>
      <w:lvlJc w:val="left"/>
      <w:lvlText w:val="(%6)"/>
      <w:numFmt w:val="lowerRoman"/>
      <w:pPr>
        <w:pBdr/>
        <w:spacing/>
        <w:ind w:hanging="360" w:left="2160"/>
      </w:pPr>
      <w:rPr>
        <w:rFonts w:hint="default"/>
      </w:rPr>
      <w:start w:val="1"/>
      <w:suff w:val="tab"/>
    </w:lvl>
    <w:lvl w:ilvl="6">
      <w:isLgl w:val="false"/>
      <w:lvlJc w:val="left"/>
      <w:lvlText w:val="%7."/>
      <w:numFmt w:val="decimal"/>
      <w:pPr>
        <w:pBdr/>
        <w:spacing/>
        <w:ind w:hanging="360" w:left="2520"/>
      </w:pPr>
      <w:rPr>
        <w:rFonts w:hint="default"/>
      </w:rPr>
      <w:start w:val="1"/>
      <w:suff w:val="tab"/>
    </w:lvl>
    <w:lvl w:ilvl="7">
      <w:isLgl w:val="false"/>
      <w:lvlJc w:val="left"/>
      <w:lvlText w:val="%8."/>
      <w:numFmt w:val="lowerLetter"/>
      <w:pPr>
        <w:pBdr/>
        <w:spacing/>
        <w:ind w:hanging="360" w:left="2880"/>
      </w:pPr>
      <w:rPr>
        <w:rFonts w:hint="default"/>
      </w:rPr>
      <w:start w:val="1"/>
      <w:suff w:val="tab"/>
    </w:lvl>
    <w:lvl w:ilvl="8">
      <w:isLgl w:val="false"/>
      <w:lvlJc w:val="left"/>
      <w:lvlText w:val="%9."/>
      <w:numFmt w:val="lowerRoman"/>
      <w:pPr>
        <w:pBdr/>
        <w:spacing/>
        <w:ind w:hanging="360" w:left="3240"/>
      </w:pPr>
      <w:rPr>
        <w:rFonts w:hint="default"/>
      </w:rPr>
      <w:start w:val="1"/>
      <w:suff w:val="tab"/>
    </w:lvl>
  </w:abstractNum>
  <w:abstractNum w:abstractNumId="34">
    <w:nsid w:val="6CC166E6"/>
    <w:lvl w:ilvl="0">
      <w:isLgl w:val="false"/>
      <w:lvlJc w:val="left"/>
      <w:lvlText w:val="%1."/>
      <w:numFmt w:val="decimal"/>
      <w:pPr>
        <w:pBdr/>
        <w:tabs>
          <w:tab w:val="num" w:leader="none" w:pos="0"/>
        </w:tabs>
        <w:spacing/>
        <w:ind w:hanging="360" w:left="360"/>
      </w:pPr>
      <w:rPr/>
      <w:start w:val="20"/>
      <w:suff w:val="tab"/>
    </w:lvl>
    <w:lvl w:ilvl="1">
      <w:isLgl w:val="false"/>
      <w:lvlJc w:val="left"/>
      <w:lvlText w:val="%2."/>
      <w:numFmt w:val="lowerLetter"/>
      <w:pPr>
        <w:pBdr/>
        <w:tabs>
          <w:tab w:val="num" w:leader="none" w:pos="0"/>
        </w:tabs>
        <w:spacing/>
        <w:ind w:hanging="360" w:left="1080"/>
      </w:pPr>
      <w:rPr/>
      <w:start w:val="1"/>
      <w:suff w:val="tab"/>
    </w:lvl>
    <w:lvl w:ilvl="2">
      <w:isLgl w:val="false"/>
      <w:lvlJc w:val="right"/>
      <w:lvlText w:val="%3."/>
      <w:numFmt w:val="lowerRoman"/>
      <w:pPr>
        <w:pBdr/>
        <w:tabs>
          <w:tab w:val="num" w:leader="none" w:pos="0"/>
        </w:tabs>
        <w:spacing/>
        <w:ind w:hanging="180" w:left="1800"/>
      </w:pPr>
      <w:rPr/>
      <w:start w:val="1"/>
      <w:suff w:val="tab"/>
    </w:lvl>
    <w:lvl w:ilvl="3">
      <w:isLgl w:val="false"/>
      <w:lvlJc w:val="left"/>
      <w:lvlText w:val="%4."/>
      <w:numFmt w:val="decimal"/>
      <w:pPr>
        <w:pBdr/>
        <w:tabs>
          <w:tab w:val="num" w:leader="none" w:pos="0"/>
        </w:tabs>
        <w:spacing/>
        <w:ind w:hanging="360" w:left="2520"/>
      </w:pPr>
      <w:rPr/>
      <w:start w:val="1"/>
      <w:suff w:val="tab"/>
    </w:lvl>
    <w:lvl w:ilvl="4">
      <w:isLgl w:val="false"/>
      <w:lvlJc w:val="left"/>
      <w:lvlText w:val="%5."/>
      <w:numFmt w:val="lowerLetter"/>
      <w:pPr>
        <w:pBdr/>
        <w:tabs>
          <w:tab w:val="num" w:leader="none" w:pos="0"/>
        </w:tabs>
        <w:spacing/>
        <w:ind w:hanging="360" w:left="3240"/>
      </w:pPr>
      <w:rPr/>
      <w:start w:val="1"/>
      <w:suff w:val="tab"/>
    </w:lvl>
    <w:lvl w:ilvl="5">
      <w:isLgl w:val="false"/>
      <w:lvlJc w:val="right"/>
      <w:lvlText w:val="%6."/>
      <w:numFmt w:val="lowerRoman"/>
      <w:pPr>
        <w:pBdr/>
        <w:tabs>
          <w:tab w:val="num" w:leader="none" w:pos="0"/>
        </w:tabs>
        <w:spacing/>
        <w:ind w:hanging="180" w:left="3960"/>
      </w:pPr>
      <w:rPr/>
      <w:start w:val="1"/>
      <w:suff w:val="tab"/>
    </w:lvl>
    <w:lvl w:ilvl="6">
      <w:isLgl w:val="false"/>
      <w:lvlJc w:val="left"/>
      <w:lvlText w:val="%7."/>
      <w:numFmt w:val="decimal"/>
      <w:pPr>
        <w:pBdr/>
        <w:tabs>
          <w:tab w:val="num" w:leader="none" w:pos="0"/>
        </w:tabs>
        <w:spacing/>
        <w:ind w:hanging="360" w:left="4680"/>
      </w:pPr>
      <w:rPr/>
      <w:start w:val="1"/>
      <w:suff w:val="tab"/>
    </w:lvl>
    <w:lvl w:ilvl="7">
      <w:isLgl w:val="false"/>
      <w:lvlJc w:val="left"/>
      <w:lvlText w:val="%8."/>
      <w:numFmt w:val="lowerLetter"/>
      <w:pPr>
        <w:pBdr/>
        <w:tabs>
          <w:tab w:val="num" w:leader="none" w:pos="0"/>
        </w:tabs>
        <w:spacing/>
        <w:ind w:hanging="360" w:left="5400"/>
      </w:pPr>
      <w:rPr/>
      <w:start w:val="1"/>
      <w:suff w:val="tab"/>
    </w:lvl>
    <w:lvl w:ilvl="8">
      <w:isLgl w:val="false"/>
      <w:lvlJc w:val="right"/>
      <w:lvlText w:val="%9."/>
      <w:numFmt w:val="lowerRoman"/>
      <w:pPr>
        <w:pBdr/>
        <w:tabs>
          <w:tab w:val="num" w:leader="none" w:pos="0"/>
        </w:tabs>
        <w:spacing/>
        <w:ind w:hanging="180" w:left="6120"/>
      </w:pPr>
      <w:rPr/>
      <w:start w:val="1"/>
      <w:suff w:val="tab"/>
    </w:lvl>
  </w:abstractNum>
  <w:abstractNum w:abstractNumId="35">
    <w:nsid w:val="72F164E7"/>
    <w:lvl w:ilvl="0">
      <w:isLgl w:val="false"/>
      <w:lvlJc w:val="left"/>
      <w:lvlText w:val="%1."/>
      <w:numFmt w:val="decimal"/>
      <w:pPr>
        <w:pBdr/>
        <w:tabs>
          <w:tab w:val="num" w:leader="none" w:pos="0"/>
        </w:tabs>
        <w:spacing/>
        <w:ind w:hanging="360" w:left="720"/>
      </w:pPr>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36">
    <w:nsid w:val="771777AD"/>
    <w:lvl w:ilvl="0">
      <w:isLgl w:val="false"/>
      <w:lvlJc w:val="left"/>
      <w:lvlText w:val="(%1)"/>
      <w:numFmt w:val="decimal"/>
      <w:pPr>
        <w:pBdr/>
        <w:tabs>
          <w:tab w:val="num" w:leader="none" w:pos="720"/>
        </w:tabs>
        <w:spacing/>
        <w:ind w:hanging="720" w:left="720"/>
      </w:pPr>
      <w:pStyle w:val="1097"/>
      <w:rPr>
        <w:color w:val="000000"/>
      </w:rPr>
      <w:start w:val="1"/>
      <w:suff w:val="tab"/>
    </w:lvl>
    <w:lvl w:ilvl="1">
      <w:isLgl w:val="false"/>
      <w:lvlJc w:val="left"/>
      <w:lvlText w:val="(%2)"/>
      <w:numFmt w:val="lowerLetter"/>
      <w:pPr>
        <w:pBdr/>
        <w:tabs>
          <w:tab w:val="num" w:leader="none" w:pos="720"/>
        </w:tabs>
        <w:spacing/>
        <w:ind w:hanging="360" w:left="720"/>
      </w:pPr>
      <w:rPr/>
      <w:start w:val="1"/>
      <w:suff w:val="tab"/>
    </w:lvl>
    <w:lvl w:ilvl="2">
      <w:isLgl w:val="false"/>
      <w:lvlJc w:val="left"/>
      <w:lvlText w:val="%3)"/>
      <w:numFmt w:val="lowerRoman"/>
      <w:pPr>
        <w:pBdr/>
        <w:tabs>
          <w:tab w:val="num" w:leader="none" w:pos="1080"/>
        </w:tabs>
        <w:spacing/>
        <w:ind w:hanging="360" w:left="1080"/>
      </w:pPr>
      <w:rPr/>
      <w:start w:val="1"/>
      <w:suff w:val="tab"/>
    </w:lvl>
    <w:lvl w:ilvl="3">
      <w:isLgl w:val="false"/>
      <w:lvlJc w:val="left"/>
      <w:lvlText w:val="(%4)"/>
      <w:numFmt w:val="decimal"/>
      <w:pPr>
        <w:pBdr/>
        <w:tabs>
          <w:tab w:val="num" w:leader="none" w:pos="1440"/>
        </w:tabs>
        <w:spacing/>
        <w:ind w:hanging="360" w:left="1440"/>
      </w:pPr>
      <w:rPr/>
      <w:start w:val="1"/>
      <w:suff w:val="tab"/>
    </w:lvl>
    <w:lvl w:ilvl="4">
      <w:isLgl w:val="false"/>
      <w:lvlJc w:val="left"/>
      <w:lvlText w:val="(%5)"/>
      <w:numFmt w:val="lowerLetter"/>
      <w:pPr>
        <w:pBdr/>
        <w:tabs>
          <w:tab w:val="num" w:leader="none" w:pos="1800"/>
        </w:tabs>
        <w:spacing/>
        <w:ind w:hanging="360" w:left="1800"/>
      </w:pPr>
      <w:rPr/>
      <w:start w:val="1"/>
      <w:suff w:val="tab"/>
    </w:lvl>
    <w:lvl w:ilvl="5">
      <w:isLgl w:val="false"/>
      <w:lvlJc w:val="left"/>
      <w:lvlText w:val="(%6)"/>
      <w:numFmt w:val="lowerRoman"/>
      <w:pPr>
        <w:pBdr/>
        <w:tabs>
          <w:tab w:val="num" w:leader="none" w:pos="2160"/>
        </w:tabs>
        <w:spacing/>
        <w:ind w:hanging="360" w:left="2160"/>
      </w:pPr>
      <w:rPr/>
      <w:start w:val="1"/>
      <w:suff w:val="tab"/>
    </w:lvl>
    <w:lvl w:ilvl="6">
      <w:isLgl w:val="false"/>
      <w:lvlJc w:val="left"/>
      <w:lvlText w:val="%7."/>
      <w:numFmt w:val="decimal"/>
      <w:pPr>
        <w:pBdr/>
        <w:tabs>
          <w:tab w:val="num" w:leader="none" w:pos="2520"/>
        </w:tabs>
        <w:spacing/>
        <w:ind w:hanging="360" w:left="2520"/>
      </w:pPr>
      <w:rPr/>
      <w:start w:val="1"/>
      <w:suff w:val="tab"/>
    </w:lvl>
    <w:lvl w:ilvl="7">
      <w:isLgl w:val="false"/>
      <w:lvlJc w:val="left"/>
      <w:lvlText w:val="%8."/>
      <w:numFmt w:val="lowerLetter"/>
      <w:pPr>
        <w:pBdr/>
        <w:tabs>
          <w:tab w:val="num" w:leader="none" w:pos="2880"/>
        </w:tabs>
        <w:spacing/>
        <w:ind w:hanging="360" w:left="2880"/>
      </w:pPr>
      <w:rPr/>
      <w:start w:val="1"/>
      <w:suff w:val="tab"/>
    </w:lvl>
    <w:lvl w:ilvl="8">
      <w:isLgl w:val="false"/>
      <w:lvlJc w:val="left"/>
      <w:lvlText w:val="%9."/>
      <w:numFmt w:val="lowerRoman"/>
      <w:pPr>
        <w:pBdr/>
        <w:tabs>
          <w:tab w:val="num" w:leader="none" w:pos="3240"/>
        </w:tabs>
        <w:spacing/>
        <w:ind w:hanging="360" w:left="3240"/>
      </w:pPr>
      <w:rPr/>
      <w:start w:val="1"/>
      <w:suff w:val="tab"/>
    </w:lvl>
  </w:abstractNum>
  <w:abstractNum w:abstractNumId="37">
    <w:nsid w:val="7DB5644F"/>
    <w:lvl w:ilvl="0">
      <w:isLgl w:val="false"/>
      <w:lvlJc w:val="left"/>
      <w:lvlText w:val=""/>
      <w:numFmt w:val="bullet"/>
      <w:pPr>
        <w:pBdr/>
        <w:tabs>
          <w:tab w:val="num" w:leader="none" w:pos="1945"/>
        </w:tabs>
        <w:spacing/>
        <w:ind w:hanging="357" w:left="1945"/>
      </w:pPr>
      <w:pStyle w:val="1045"/>
      <w:rPr>
        <w:rFonts w:hint="default" w:ascii="Symbol" w:hAnsi="Symbol"/>
        <w:color w:val="000000"/>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8">
    <w:nsid w:val="7DB56453"/>
    <w:styleLink w:val="1252"/>
    <w:lvl w:ilvl="0">
      <w:isLgl w:val="false"/>
      <w:lvlJc w:val="left"/>
      <w:lvlText w:val="Schedule %1"/>
      <w:numFmt w:val="decimal"/>
      <w:pPr>
        <w:pBdr/>
        <w:tabs>
          <w:tab w:val="num" w:leader="none" w:pos="0"/>
        </w:tabs>
        <w:spacing/>
        <w:ind w:hanging="360" w:left="360"/>
      </w:pPr>
      <w:pStyle w:val="1163"/>
      <w:rPr>
        <w:rFonts w:hint="default"/>
        <w:color w:val="000000"/>
      </w:rPr>
      <w:start w:val="1"/>
      <w:suff w:val="tab"/>
    </w:lvl>
    <w:lvl w:ilvl="1">
      <w:isLgl w:val="false"/>
      <w:lvlJc w:val="left"/>
      <w:lvlRestart w:val="0"/>
      <w:lvlText w:val=""/>
      <w:numFmt w:val="none"/>
      <w:pPr>
        <w:pBdr/>
        <w:tabs>
          <w:tab w:val="num" w:leader="none" w:pos="0"/>
        </w:tabs>
        <w:spacing/>
        <w:ind w:firstLine="0" w:left="0"/>
      </w:pPr>
      <w:rPr/>
      <w:start w:val="0"/>
      <w:suff w:val="nothing"/>
    </w:lvl>
    <w:lvl w:ilvl="2">
      <w:isLgl w:val="false"/>
      <w:lvlJc w:val="left"/>
      <w:lvlRestart w:val="0"/>
      <w:lvlText w:val=""/>
      <w:numFmt w:val="none"/>
      <w:pPr>
        <w:pBdr/>
        <w:tabs>
          <w:tab w:val="num" w:leader="none" w:pos="0"/>
        </w:tabs>
        <w:spacing/>
        <w:ind w:firstLine="0" w:left="0"/>
      </w:pPr>
      <w:rPr/>
      <w:start w:val="0"/>
      <w:suff w:val="nothing"/>
    </w:lvl>
    <w:lvl w:ilvl="3">
      <w:isLgl w:val="false"/>
      <w:lvlJc w:val="left"/>
      <w:lvlRestart w:val="0"/>
      <w:lvlText w:val=""/>
      <w:numFmt w:val="none"/>
      <w:pPr>
        <w:pBdr/>
        <w:tabs>
          <w:tab w:val="num" w:leader="none" w:pos="0"/>
        </w:tabs>
        <w:spacing/>
        <w:ind w:firstLine="0" w:left="0"/>
      </w:pPr>
      <w:rPr/>
      <w:start w:val="0"/>
      <w:suff w:val="nothing"/>
    </w:lvl>
    <w:lvl w:ilvl="4">
      <w:isLgl w:val="false"/>
      <w:lvlJc w:val="left"/>
      <w:lvlRestart w:val="0"/>
      <w:lvlText w:val=""/>
      <w:numFmt w:val="none"/>
      <w:pPr>
        <w:pBdr/>
        <w:tabs>
          <w:tab w:val="num" w:leader="none" w:pos="0"/>
        </w:tabs>
        <w:spacing/>
        <w:ind w:firstLine="0" w:left="0"/>
      </w:pPr>
      <w:rPr/>
      <w:start w:val="0"/>
      <w:suff w:val="nothing"/>
    </w:lvl>
    <w:lvl w:ilvl="5">
      <w:isLgl w:val="false"/>
      <w:lvlJc w:val="left"/>
      <w:lvlRestart w:val="0"/>
      <w:lvlText w:val=""/>
      <w:numFmt w:val="none"/>
      <w:pPr>
        <w:pBdr/>
        <w:tabs>
          <w:tab w:val="num" w:leader="none" w:pos="0"/>
        </w:tabs>
        <w:spacing/>
        <w:ind w:firstLine="0" w:left="0"/>
      </w:pPr>
      <w:rPr/>
      <w:start w:val="0"/>
      <w:suff w:val="nothing"/>
    </w:lvl>
    <w:lvl w:ilvl="6">
      <w:isLgl w:val="false"/>
      <w:lvlJc w:val="left"/>
      <w:lvlRestart w:val="0"/>
      <w:lvlText w:val=""/>
      <w:numFmt w:val="none"/>
      <w:pPr>
        <w:pBdr/>
        <w:tabs>
          <w:tab w:val="num" w:leader="none" w:pos="0"/>
        </w:tabs>
        <w:spacing/>
        <w:ind w:firstLine="0" w:left="0"/>
      </w:pPr>
      <w:rPr/>
      <w:start w:val="0"/>
      <w:suff w:val="nothing"/>
    </w:lvl>
    <w:lvl w:ilvl="7">
      <w:isLgl w:val="false"/>
      <w:lvlJc w:val="left"/>
      <w:lvlRestart w:val="0"/>
      <w:lvlText w:val=""/>
      <w:numFmt w:val="none"/>
      <w:pPr>
        <w:pBdr/>
        <w:tabs>
          <w:tab w:val="num" w:leader="none" w:pos="0"/>
        </w:tabs>
        <w:spacing/>
        <w:ind w:firstLine="0" w:left="0"/>
      </w:pPr>
      <w:rPr/>
      <w:start w:val="0"/>
      <w:suff w:val="nothing"/>
    </w:lvl>
    <w:lvl w:ilvl="8">
      <w:isLgl w:val="false"/>
      <w:lvlJc w:val="left"/>
      <w:lvlRestart w:val="0"/>
      <w:lvlText w:val=""/>
      <w:numFmt w:val="none"/>
      <w:pPr>
        <w:pBdr/>
        <w:tabs>
          <w:tab w:val="num" w:leader="none" w:pos="0"/>
        </w:tabs>
        <w:spacing/>
        <w:ind w:firstLine="0" w:left="0"/>
      </w:pPr>
      <w:rPr/>
      <w:start w:val="0"/>
      <w:suff w:val="nothing"/>
    </w:lvl>
  </w:abstractNum>
  <w:abstractNum w:abstractNumId="39">
    <w:nsid w:val="7DB56454"/>
    <w:numStyleLink w:val="1252"/>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7DB56455"/>
    <w:numStyleLink w:val="1252"/>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nsid w:val="7DB56457"/>
    <w:styleLink w:val="1253"/>
    <w:lvl w:ilvl="0">
      <w:isLgl w:val="false"/>
      <w:lvlJc w:val="left"/>
      <w:lvlText w:val="%1."/>
      <w:numFmt w:val="decimal"/>
      <w:pPr>
        <w:pBdr/>
        <w:tabs>
          <w:tab w:val="num" w:leader="none" w:pos="720"/>
        </w:tabs>
        <w:spacing/>
        <w:ind w:hanging="720" w:left="720"/>
      </w:pPr>
      <w:pStyle w:val="1229"/>
      <w:rPr>
        <w:rFonts w:hint="default"/>
        <w:color w:val="000000"/>
      </w:rPr>
      <w:start w:val="1"/>
      <w:suff w:val="tab"/>
    </w:lvl>
    <w:lvl w:ilvl="1">
      <w:isLgl w:val="false"/>
      <w:lvlJc w:val="left"/>
      <w:lvlText w:val="%1.%2"/>
      <w:numFmt w:val="decimal"/>
      <w:pPr>
        <w:pBdr/>
        <w:tabs>
          <w:tab w:val="num" w:leader="none" w:pos="720"/>
        </w:tabs>
        <w:spacing/>
        <w:ind w:hanging="720" w:left="720"/>
      </w:pPr>
      <w:pStyle w:val="1230"/>
      <w:rPr>
        <w:rFonts w:hint="default"/>
        <w:color w:val="000000"/>
      </w:rPr>
      <w:start w:val="1"/>
      <w:suff w:val="tab"/>
    </w:lvl>
    <w:lvl w:ilvl="2">
      <w:isLgl w:val="false"/>
      <w:lvlJc w:val="left"/>
      <w:lvlText w:val="(%3)"/>
      <w:numFmt w:val="lowerLetter"/>
      <w:pPr>
        <w:pBdr/>
        <w:tabs>
          <w:tab w:val="num" w:leader="none" w:pos="1555"/>
        </w:tabs>
        <w:spacing/>
        <w:ind w:hanging="561" w:left="1555"/>
      </w:pPr>
      <w:pStyle w:val="1231"/>
      <w:rPr>
        <w:rFonts w:hint="default"/>
        <w:color w:val="000000"/>
      </w:rPr>
      <w:start w:val="1"/>
      <w:suff w:val="tab"/>
    </w:lvl>
    <w:lvl w:ilvl="3">
      <w:isLgl w:val="false"/>
      <w:lvlJc w:val="left"/>
      <w:lvlText w:val="(%4)"/>
      <w:numFmt w:val="lowerRoman"/>
      <w:pPr>
        <w:pBdr/>
        <w:tabs>
          <w:tab w:val="num" w:leader="none" w:pos="2419"/>
        </w:tabs>
        <w:spacing/>
        <w:ind w:hanging="576" w:left="2275"/>
      </w:pPr>
      <w:pStyle w:val="1232"/>
      <w:rPr>
        <w:rFonts w:hint="default"/>
        <w:color w:val="000000"/>
      </w:rPr>
      <w:start w:val="1"/>
      <w:suff w:val="tab"/>
    </w:lvl>
    <w:lvl w:ilvl="4">
      <w:isLgl w:val="false"/>
      <w:lvlJc w:val="left"/>
      <w:lvlText w:val="%5."/>
      <w:numFmt w:val="decimal"/>
      <w:pPr>
        <w:pBdr/>
        <w:tabs>
          <w:tab w:val="num" w:leader="none" w:pos="0"/>
        </w:tabs>
        <w:spacing/>
        <w:ind w:hanging="360" w:left="2520"/>
      </w:pPr>
      <w:rPr>
        <w:rFonts w:hint="default"/>
      </w:rPr>
      <w:start w:val="1"/>
      <w:suff w:val="tab"/>
    </w:lvl>
    <w:lvl w:ilvl="5">
      <w:isLgl w:val="false"/>
      <w:lvlJc w:val="left"/>
      <w:lvlText w:val="%6."/>
      <w:numFmt w:val="lowerLetter"/>
      <w:pPr>
        <w:pBdr/>
        <w:tabs>
          <w:tab w:val="num" w:leader="none" w:pos="0"/>
        </w:tabs>
        <w:spacing/>
        <w:ind w:hanging="360" w:left="2880"/>
      </w:pPr>
      <w:rPr>
        <w:rFonts w:hint="default"/>
      </w:rPr>
      <w:start w:val="1"/>
      <w:suff w:val="tab"/>
    </w:lvl>
    <w:lvl w:ilvl="6">
      <w:isLgl w:val="false"/>
      <w:lvlJc w:val="left"/>
      <w:lvlText w:val="%7."/>
      <w:numFmt w:val="lowerRoman"/>
      <w:pPr>
        <w:pBdr/>
        <w:tabs>
          <w:tab w:val="num" w:leader="none" w:pos="0"/>
        </w:tabs>
        <w:spacing/>
        <w:ind w:hanging="360" w:left="3240"/>
      </w:pPr>
      <w:rPr>
        <w:rFonts w:hint="default"/>
      </w:rPr>
      <w:start w:val="1"/>
      <w:suff w:val="tab"/>
    </w:lvl>
    <w:lvl w:ilvl="7">
      <w:isLgl w:val="false"/>
      <w:lvlJc w:val="left"/>
      <w:lvlRestart w:val="0"/>
      <w:lvlText w:val=""/>
      <w:numFmt w:val="none"/>
      <w:pPr>
        <w:pBdr/>
        <w:tabs>
          <w:tab w:val="num" w:leader="none" w:pos="0"/>
        </w:tabs>
        <w:spacing/>
        <w:ind w:firstLine="0" w:left="0"/>
      </w:pPr>
      <w:rPr/>
      <w:start w:val="0"/>
      <w:suff w:val="nothing"/>
    </w:lvl>
    <w:lvl w:ilvl="8">
      <w:isLgl w:val="false"/>
      <w:lvlJc w:val="left"/>
      <w:lvlRestart w:val="0"/>
      <w:lvlText w:val=""/>
      <w:numFmt w:val="none"/>
      <w:pPr>
        <w:pBdr/>
        <w:tabs>
          <w:tab w:val="num" w:leader="none" w:pos="0"/>
        </w:tabs>
        <w:spacing/>
        <w:ind w:firstLine="0" w:left="0"/>
      </w:pPr>
      <w:rPr/>
      <w:start w:val="0"/>
      <w:suff w:val="nothing"/>
    </w:lvl>
  </w:abstractNum>
  <w:abstractNum w:abstractNumId="42">
    <w:nsid w:val="7DB56458"/>
    <w:numStyleLink w:val="1253"/>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3">
    <w:nsid w:val="7DB56459"/>
    <w:numStyleLink w:val="1253"/>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4">
    <w:nsid w:val="7DB5645A"/>
    <w:lvl w:ilvl="0">
      <w:isLgl w:val="false"/>
      <w:lvlJc w:val="left"/>
      <w:lvlText w:val="%1."/>
      <w:numFmt w:val="decimal"/>
      <w:pPr>
        <w:pBdr/>
        <w:tabs>
          <w:tab w:val="num" w:leader="none" w:pos="720"/>
        </w:tabs>
        <w:spacing/>
        <w:ind w:hanging="720" w:left="720"/>
      </w:pPr>
      <w:rPr>
        <w:rFonts w:hint="default"/>
        <w:color w:val="000000"/>
      </w:rPr>
      <w:start w:val="1"/>
      <w:suff w:val="tab"/>
    </w:lvl>
    <w:lvl w:ilvl="1">
      <w:isLgl w:val="false"/>
      <w:lvlJc w:val="left"/>
      <w:lvlText w:val="%1.%2"/>
      <w:numFmt w:val="decimal"/>
      <w:pPr>
        <w:pBdr/>
        <w:tabs>
          <w:tab w:val="num" w:leader="none" w:pos="720"/>
        </w:tabs>
        <w:spacing/>
        <w:ind w:hanging="720" w:left="720"/>
      </w:pPr>
      <w:rPr>
        <w:rFonts w:hint="default"/>
        <w:color w:val="000000"/>
      </w:rPr>
      <w:start w:val="1"/>
      <w:suff w:val="tab"/>
    </w:lvl>
    <w:lvl w:ilvl="2">
      <w:isLgl w:val="false"/>
      <w:lvlJc w:val="left"/>
      <w:lvlText w:val="(%3)"/>
      <w:numFmt w:val="lowerLetter"/>
      <w:pPr>
        <w:pBdr/>
        <w:tabs>
          <w:tab w:val="num" w:leader="none" w:pos="1555"/>
        </w:tabs>
        <w:spacing/>
        <w:ind w:hanging="561" w:left="1555"/>
      </w:pPr>
      <w:rPr>
        <w:rFonts w:hint="default"/>
        <w:color w:val="000000"/>
      </w:rPr>
      <w:start w:val="1"/>
      <w:suff w:val="tab"/>
    </w:lvl>
    <w:lvl w:ilvl="3">
      <w:isLgl w:val="false"/>
      <w:lvlJc w:val="left"/>
      <w:lvlText w:val="(%4)"/>
      <w:numFmt w:val="lowerRoman"/>
      <w:pPr>
        <w:pBdr/>
        <w:tabs>
          <w:tab w:val="num" w:leader="none" w:pos="2419"/>
        </w:tabs>
        <w:spacing/>
        <w:ind w:hanging="576" w:left="2275"/>
      </w:pPr>
      <w:rPr>
        <w:rFonts w:hint="default"/>
        <w:color w:val="000000"/>
      </w:rPr>
      <w:start w:val="1"/>
      <w:suff w:val="tab"/>
    </w:lvl>
    <w:lvl w:ilvl="4">
      <w:isLgl w:val="false"/>
      <w:lvlJc w:val="left"/>
      <w:lvlText w:val="%5."/>
      <w:numFmt w:val="decimal"/>
      <w:pPr>
        <w:pBdr/>
        <w:tabs>
          <w:tab w:val="num" w:leader="none" w:pos="0"/>
        </w:tabs>
        <w:spacing/>
        <w:ind w:hanging="360" w:left="2520"/>
      </w:pPr>
      <w:rPr>
        <w:rFonts w:hint="default"/>
      </w:rPr>
      <w:start w:val="1"/>
      <w:suff w:val="tab"/>
    </w:lvl>
    <w:lvl w:ilvl="5">
      <w:isLgl w:val="false"/>
      <w:lvlJc w:val="left"/>
      <w:lvlText w:val="%6."/>
      <w:numFmt w:val="lowerLetter"/>
      <w:pPr>
        <w:pBdr/>
        <w:tabs>
          <w:tab w:val="num" w:leader="none" w:pos="0"/>
        </w:tabs>
        <w:spacing/>
        <w:ind w:hanging="360" w:left="2880"/>
      </w:pPr>
      <w:rPr>
        <w:rFonts w:hint="default"/>
      </w:rPr>
      <w:start w:val="1"/>
      <w:suff w:val="tab"/>
    </w:lvl>
    <w:lvl w:ilvl="6">
      <w:isLgl w:val="false"/>
      <w:lvlJc w:val="left"/>
      <w:lvlText w:val="%7."/>
      <w:numFmt w:val="lowerRoman"/>
      <w:pPr>
        <w:pBdr/>
        <w:tabs>
          <w:tab w:val="num" w:leader="none" w:pos="0"/>
        </w:tabs>
        <w:spacing/>
        <w:ind w:hanging="360" w:left="3240"/>
      </w:pPr>
      <w:rPr>
        <w:rFonts w:hint="default"/>
      </w:rPr>
      <w:start w:val="1"/>
      <w:suff w:val="tab"/>
    </w:lvl>
    <w:lvl w:ilvl="7">
      <w:isLgl w:val="false"/>
      <w:lvlJc w:val="left"/>
      <w:lvlRestart w:val="0"/>
      <w:lvlText w:val=""/>
      <w:numFmt w:val="none"/>
      <w:pPr>
        <w:pBdr/>
        <w:tabs>
          <w:tab w:val="num" w:leader="none" w:pos="0"/>
        </w:tabs>
        <w:spacing/>
        <w:ind w:firstLine="0" w:left="0"/>
      </w:pPr>
      <w:rPr/>
      <w:start w:val="0"/>
      <w:suff w:val="nothing"/>
    </w:lvl>
    <w:lvl w:ilvl="8">
      <w:isLgl w:val="false"/>
      <w:lvlJc w:val="left"/>
      <w:lvlRestart w:val="0"/>
      <w:lvlText w:val=""/>
      <w:numFmt w:val="none"/>
      <w:pPr>
        <w:pBdr/>
        <w:tabs>
          <w:tab w:val="num" w:leader="none" w:pos="0"/>
        </w:tabs>
        <w:spacing/>
        <w:ind w:firstLine="0" w:left="0"/>
      </w:pPr>
      <w:rPr/>
      <w:start w:val="0"/>
      <w:suff w:val="nothing"/>
    </w:lvl>
  </w:abstractNum>
  <w:num w:numId="1">
    <w:abstractNumId w:val="31"/>
  </w:num>
  <w:num w:numId="2">
    <w:abstractNumId w:val="32"/>
  </w:num>
  <w:num w:numId="3">
    <w:abstractNumId w:val="19"/>
  </w:num>
  <w:num w:numId="4">
    <w:abstractNumId w:val="37"/>
  </w:num>
  <w:num w:numId="5">
    <w:abstractNumId w:val="36"/>
  </w:num>
  <w:num w:numId="6">
    <w:abstractNumId w:val="13"/>
  </w:num>
  <w:num w:numId="7">
    <w:abstractNumId w:val="21"/>
  </w:num>
  <w:num w:numId="8">
    <w:abstractNumId w:val="20"/>
  </w:num>
  <w:num w:numId="9">
    <w:abstractNumId w:val="16"/>
  </w:num>
  <w:num w:numId="10">
    <w:abstractNumId w:val="28"/>
  </w:num>
  <w:num w:numId="11">
    <w:abstractNumId w:val="14"/>
  </w:num>
  <w:num w:numId="12">
    <w:abstractNumId w:val="27"/>
  </w:num>
  <w:num w:numId="13">
    <w:abstractNumId w:val="29"/>
  </w:num>
  <w:num w:numId="14">
    <w:abstractNumId w:val="22"/>
  </w:num>
  <w:num w:numId="15">
    <w:abstractNumId w:val="26"/>
  </w:num>
  <w:num w:numId="16">
    <w:abstractNumId w:val="24"/>
  </w:num>
  <w:num w:numId="17">
    <w:abstractNumId w:val="25"/>
  </w:num>
  <w:num w:numId="18">
    <w:abstractNumId w:val="23"/>
  </w:num>
  <w:num w:numId="19">
    <w:abstractNumId w:val="18"/>
  </w:num>
  <w:num w:numId="20">
    <w:abstractNumId w:val="30"/>
  </w:num>
  <w:num w:numId="21">
    <w:abstractNumId w:val="9"/>
  </w:num>
  <w:num w:numId="22">
    <w:abstractNumId w:val="11"/>
  </w:num>
  <w:num w:numId="23">
    <w:abstractNumId w:val="33"/>
  </w:num>
  <w:num w:numId="24">
    <w:abstractNumId w:val="8"/>
  </w:num>
  <w:num w:numId="25">
    <w:abstractNumId w:val="38"/>
  </w:num>
  <w:num w:numId="26">
    <w:abstractNumId w:val="39"/>
  </w:num>
  <w:num w:numId="27">
    <w:abstractNumId w:val="40"/>
  </w:num>
  <w:num w:numId="28">
    <w:abstractNumId w:val="41"/>
  </w:num>
  <w:num w:numId="29">
    <w:abstractNumId w:val="42"/>
  </w:num>
  <w:num w:numId="30">
    <w:abstractNumId w:val="43"/>
  </w:num>
  <w:num w:numId="31">
    <w:abstractNumId w:val="44"/>
  </w:num>
  <w:num w:numId="32">
    <w:abstractNumId w:val="12"/>
  </w:num>
  <w:num w:numId="33">
    <w:abstractNumId w:val="35"/>
  </w:num>
  <w:num w:numId="34">
    <w:abstractNumId w:val="34"/>
  </w:num>
  <w:num w:numId="35">
    <w:abstractNumId w:val="10"/>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0"/>
  </w:num>
  <w:num w:numId="39">
    <w:abstractNumId w:val="1"/>
  </w:num>
  <w:num w:numId="40">
    <w:abstractNumId w:val="6"/>
  </w:num>
  <w:num w:numId="41">
    <w:abstractNumId w:val="2"/>
  </w:num>
  <w:num w:numId="42">
    <w:abstractNumId w:val="3"/>
  </w:num>
  <w:num w:numId="43">
    <w:abstractNumId w:val="4"/>
  </w:num>
  <w:num w:numId="44">
    <w:abstractNumId w:val="5"/>
  </w:num>
  <w:num w:numId="45">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lla">
    <w15:presenceInfo w15:providerId="Teamlab" w15:userId="Stella"/>
  </w15:person>
</w15:people>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lla">
    <w15:presenceInfo w15:providerId="Teamlab" w15:userId="Ste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Right m:val="true"/>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Times New Roman" w:cs="Times New Roman"/>
        <w:lang w:val="en-IE" w:eastAsia="en-IE"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72">
    <w:name w:val="Table Grid Light"/>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Plain Table 1"/>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Plain Table 2"/>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Plain Table 3"/>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Plain Table 4"/>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Plain Table 5"/>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1 Light"/>
    <w:basedOn w:val="103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 Accent 1"/>
    <w:basedOn w:val="10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1 Light - Accent 2"/>
    <w:basedOn w:val="10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1 Light - Accent 3"/>
    <w:basedOn w:val="10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1 Light - Accent 4"/>
    <w:basedOn w:val="10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1 Light - Accent 5"/>
    <w:basedOn w:val="10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1 Light - Accent 6"/>
    <w:basedOn w:val="10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2"/>
    <w:basedOn w:val="10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 Accent 1"/>
    <w:basedOn w:val="10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2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2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2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2 - Accent 5"/>
    <w:basedOn w:val="10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2 - Accent 6"/>
    <w:basedOn w:val="10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3"/>
    <w:basedOn w:val="10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 Accent 1"/>
    <w:basedOn w:val="10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3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3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3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3 - Accent 5"/>
    <w:basedOn w:val="10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3 - Accent 6"/>
    <w:basedOn w:val="10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4"/>
    <w:basedOn w:val="103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 Accent 1"/>
    <w:basedOn w:val="103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4 - Accent 2"/>
    <w:basedOn w:val="103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4 - Accent 3"/>
    <w:basedOn w:val="103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4 - Accent 4"/>
    <w:basedOn w:val="103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4 - Accent 5"/>
    <w:basedOn w:val="103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4 - Accent 6"/>
    <w:basedOn w:val="103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5 Dark"/>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Accent 1"/>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5 Dark - Accent 2"/>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5 Dark - Accent 3"/>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5 Dark- Accent 4"/>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5 Dark - Accent 5"/>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5 Dark - Accent 6"/>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6 Colorful"/>
    <w:basedOn w:val="103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4">
    <w:name w:val="Grid Table 6 Colorful - Accent 1"/>
    <w:basedOn w:val="103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5">
    <w:name w:val="Grid Table 6 Colorful - Accent 2"/>
    <w:basedOn w:val="10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6">
    <w:name w:val="Grid Table 6 Colorful - Accent 3"/>
    <w:basedOn w:val="103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7">
    <w:name w:val="Grid Table 6 Colorful - Accent 4"/>
    <w:basedOn w:val="10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8">
    <w:name w:val="Grid Table 6 Colorful - Accent 5"/>
    <w:basedOn w:val="103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9">
    <w:name w:val="Grid Table 6 Colorful - Accent 6"/>
    <w:basedOn w:val="103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0">
    <w:name w:val="Grid Table 7 Colorful"/>
    <w:basedOn w:val="103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7 Colorful - Accent 1"/>
    <w:basedOn w:val="103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7 Colorful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7 Colorful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7 Colorful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7 Colorful - Accent 5"/>
    <w:basedOn w:val="103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7 Colorful - Accent 6"/>
    <w:basedOn w:val="103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1 Light"/>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 Accent 1"/>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1 Light - Accent 2"/>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1 Light - Accent 3"/>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1 Light - Accent 4"/>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1 Light - Accent 5"/>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1 Light - Accent 6"/>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2"/>
    <w:basedOn w:val="103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 Accent 1"/>
    <w:basedOn w:val="103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2 - Accent 2"/>
    <w:basedOn w:val="103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2 - Accent 3"/>
    <w:basedOn w:val="103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2 - Accent 4"/>
    <w:basedOn w:val="103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2 - Accent 5"/>
    <w:basedOn w:val="103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2 - Accent 6"/>
    <w:basedOn w:val="103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3"/>
    <w:basedOn w:val="10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 Accent 1"/>
    <w:basedOn w:val="103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3 - Accent 2"/>
    <w:basedOn w:val="10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3 - Accent 3"/>
    <w:basedOn w:val="103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3 - Accent 4"/>
    <w:basedOn w:val="10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3 - Accent 5"/>
    <w:basedOn w:val="103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3 - Accent 6"/>
    <w:basedOn w:val="103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4"/>
    <w:basedOn w:val="10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 Accent 1"/>
    <w:basedOn w:val="103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4 - Accent 2"/>
    <w:basedOn w:val="103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4 - Accent 3"/>
    <w:basedOn w:val="103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4 - Accent 4"/>
    <w:basedOn w:val="103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 Accent 5"/>
    <w:basedOn w:val="103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4 - Accent 6"/>
    <w:basedOn w:val="103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5 Dark"/>
    <w:basedOn w:val="103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6">
    <w:name w:val="List Table 5 Dark - Accent 1"/>
    <w:basedOn w:val="103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5 Dark - Accent 2"/>
    <w:basedOn w:val="103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8">
    <w:name w:val="List Table 5 Dark - Accent 3"/>
    <w:basedOn w:val="103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9">
    <w:name w:val="List Table 5 Dark - Accent 4"/>
    <w:basedOn w:val="103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0">
    <w:name w:val="List Table 5 Dark - Accent 5"/>
    <w:basedOn w:val="103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5 Dark - Accent 6"/>
    <w:basedOn w:val="103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2">
    <w:name w:val="List Table 6 Colorful"/>
    <w:basedOn w:val="103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6 Colorful - Accent 1"/>
    <w:basedOn w:val="103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6 Colorful - Accent 2"/>
    <w:basedOn w:val="103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6 Colorful - Accent 3"/>
    <w:basedOn w:val="103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6 Colorful - Accent 4"/>
    <w:basedOn w:val="103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6 Colorful - Accent 5"/>
    <w:basedOn w:val="103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6 Colorful - Accent 6"/>
    <w:basedOn w:val="103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7 Colorful"/>
    <w:basedOn w:val="103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70">
    <w:name w:val="List Table 7 Colorful - Accent 1"/>
    <w:basedOn w:val="103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971">
    <w:name w:val="List Table 7 Colorful - Accent 2"/>
    <w:basedOn w:val="103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972">
    <w:name w:val="List Table 7 Colorful - Accent 3"/>
    <w:basedOn w:val="103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973">
    <w:name w:val="List Table 7 Colorful - Accent 4"/>
    <w:basedOn w:val="103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974">
    <w:name w:val="List Table 7 Colorful - Accent 5"/>
    <w:basedOn w:val="103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975">
    <w:name w:val="List Table 7 Colorful - Accent 6"/>
    <w:basedOn w:val="103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976">
    <w:name w:val="Lined - Accent"/>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ned - Accent 1"/>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ned - Accent 2"/>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Lined - Accent 3"/>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Lined - Accent 4"/>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ned - Accent 5"/>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ned - Accent 6"/>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amp; Lined - Accent"/>
    <w:basedOn w:val="103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1"/>
    <w:basedOn w:val="103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amp; Lined - Accent 2"/>
    <w:basedOn w:val="103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amp; Lined - Accent 3"/>
    <w:basedOn w:val="103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amp; Lined - Accent 4"/>
    <w:basedOn w:val="103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amp; Lined - Accent 5"/>
    <w:basedOn w:val="103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amp; Lined - Accent 6"/>
    <w:basedOn w:val="103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w:basedOn w:val="103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 Accent 1"/>
    <w:basedOn w:val="10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 Accent 2"/>
    <w:basedOn w:val="10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 Accent 3"/>
    <w:basedOn w:val="10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 Accent 4"/>
    <w:basedOn w:val="10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 Accent 5"/>
    <w:basedOn w:val="10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Bordered - Accent 6"/>
    <w:basedOn w:val="10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7">
    <w:name w:val="Subtitle"/>
    <w:basedOn w:val="1024"/>
    <w:next w:val="1024"/>
    <w:link w:val="998"/>
    <w:uiPriority w:val="11"/>
    <w:qFormat/>
    <w:pPr>
      <w:numPr>
        <w:ilvl w:val="1"/>
      </w:numPr>
      <w:pBdr/>
      <w:spacing/>
      <w:ind/>
    </w:pPr>
    <w:rPr>
      <w:color w:val="595959" w:themeColor="text1" w:themeTint="A6"/>
      <w:spacing w:val="15"/>
      <w:sz w:val="28"/>
      <w:szCs w:val="28"/>
    </w:rPr>
  </w:style>
  <w:style w:type="character" w:styleId="998">
    <w:name w:val="Subtitle Char"/>
    <w:basedOn w:val="1034"/>
    <w:link w:val="997"/>
    <w:uiPriority w:val="11"/>
    <w:pPr>
      <w:pBdr/>
      <w:spacing/>
      <w:ind/>
    </w:pPr>
    <w:rPr>
      <w:color w:val="595959" w:themeColor="text1" w:themeTint="A6"/>
      <w:spacing w:val="15"/>
      <w:sz w:val="28"/>
      <w:szCs w:val="28"/>
    </w:rPr>
  </w:style>
  <w:style w:type="paragraph" w:styleId="999">
    <w:name w:val="Quote"/>
    <w:basedOn w:val="1024"/>
    <w:next w:val="1024"/>
    <w:link w:val="1000"/>
    <w:uiPriority w:val="29"/>
    <w:qFormat/>
    <w:pPr>
      <w:pBdr/>
      <w:spacing w:before="160"/>
      <w:ind/>
      <w:jc w:val="center"/>
    </w:pPr>
    <w:rPr>
      <w:i/>
      <w:iCs/>
      <w:color w:val="404040" w:themeColor="text1" w:themeTint="BF"/>
    </w:rPr>
  </w:style>
  <w:style w:type="character" w:styleId="1000">
    <w:name w:val="Quote Char"/>
    <w:basedOn w:val="1034"/>
    <w:link w:val="999"/>
    <w:uiPriority w:val="29"/>
    <w:pPr>
      <w:pBdr/>
      <w:spacing/>
      <w:ind/>
    </w:pPr>
    <w:rPr>
      <w:i/>
      <w:iCs/>
      <w:color w:val="404040" w:themeColor="text1" w:themeTint="BF"/>
    </w:rPr>
  </w:style>
  <w:style w:type="character" w:styleId="1001">
    <w:name w:val="Intense Emphasis"/>
    <w:basedOn w:val="1034"/>
    <w:uiPriority w:val="21"/>
    <w:qFormat/>
    <w:pPr>
      <w:pBdr/>
      <w:spacing/>
      <w:ind/>
    </w:pPr>
    <w:rPr>
      <w:i/>
      <w:iCs/>
      <w:color w:val="0f4761" w:themeColor="accent1" w:themeShade="BF"/>
    </w:rPr>
  </w:style>
  <w:style w:type="paragraph" w:styleId="1002">
    <w:name w:val="Intense Quote"/>
    <w:basedOn w:val="1024"/>
    <w:next w:val="1024"/>
    <w:link w:val="100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3">
    <w:name w:val="Intense Quote Char"/>
    <w:basedOn w:val="1034"/>
    <w:link w:val="1002"/>
    <w:uiPriority w:val="30"/>
    <w:pPr>
      <w:pBdr/>
      <w:spacing/>
      <w:ind/>
    </w:pPr>
    <w:rPr>
      <w:i/>
      <w:iCs/>
      <w:color w:val="0f4761" w:themeColor="accent1" w:themeShade="BF"/>
    </w:rPr>
  </w:style>
  <w:style w:type="character" w:styleId="1004">
    <w:name w:val="Intense Reference"/>
    <w:basedOn w:val="1034"/>
    <w:uiPriority w:val="32"/>
    <w:qFormat/>
    <w:pPr>
      <w:pBdr/>
      <w:spacing/>
      <w:ind/>
    </w:pPr>
    <w:rPr>
      <w:b/>
      <w:bCs/>
      <w:smallCaps/>
      <w:color w:val="0f4761" w:themeColor="accent1" w:themeShade="BF"/>
      <w:spacing w:val="5"/>
    </w:rPr>
  </w:style>
  <w:style w:type="paragraph" w:styleId="1005">
    <w:name w:val="No Spacing"/>
    <w:basedOn w:val="1024"/>
    <w:uiPriority w:val="1"/>
    <w:qFormat/>
    <w:pPr>
      <w:pBdr/>
      <w:spacing w:after="0" w:line="240" w:lineRule="auto"/>
      <w:ind/>
    </w:pPr>
  </w:style>
  <w:style w:type="character" w:styleId="1006">
    <w:name w:val="Subtle Emphasis"/>
    <w:basedOn w:val="1034"/>
    <w:uiPriority w:val="19"/>
    <w:qFormat/>
    <w:pPr>
      <w:pBdr/>
      <w:spacing/>
      <w:ind/>
    </w:pPr>
    <w:rPr>
      <w:i/>
      <w:iCs/>
      <w:color w:val="404040" w:themeColor="text1" w:themeTint="BF"/>
    </w:rPr>
  </w:style>
  <w:style w:type="character" w:styleId="1007">
    <w:name w:val="Strong"/>
    <w:basedOn w:val="1034"/>
    <w:uiPriority w:val="22"/>
    <w:qFormat/>
    <w:pPr>
      <w:pBdr/>
      <w:spacing/>
      <w:ind/>
    </w:pPr>
    <w:rPr>
      <w:b/>
      <w:bCs/>
    </w:rPr>
  </w:style>
  <w:style w:type="character" w:styleId="1008">
    <w:name w:val="Subtle Reference"/>
    <w:basedOn w:val="1034"/>
    <w:uiPriority w:val="31"/>
    <w:qFormat/>
    <w:pPr>
      <w:pBdr/>
      <w:spacing/>
      <w:ind/>
    </w:pPr>
    <w:rPr>
      <w:smallCaps/>
      <w:color w:val="5a5a5a" w:themeColor="text1" w:themeTint="A5"/>
    </w:rPr>
  </w:style>
  <w:style w:type="character" w:styleId="1009">
    <w:name w:val="Book Title"/>
    <w:basedOn w:val="1034"/>
    <w:uiPriority w:val="33"/>
    <w:qFormat/>
    <w:pPr>
      <w:pBdr/>
      <w:spacing/>
      <w:ind/>
    </w:pPr>
    <w:rPr>
      <w:b/>
      <w:bCs/>
      <w:i/>
      <w:iCs/>
      <w:spacing w:val="5"/>
    </w:rPr>
  </w:style>
  <w:style w:type="paragraph" w:styleId="1010">
    <w:name w:val="Caption"/>
    <w:basedOn w:val="1024"/>
    <w:next w:val="1024"/>
    <w:uiPriority w:val="35"/>
    <w:unhideWhenUsed/>
    <w:qFormat/>
    <w:pPr>
      <w:pBdr/>
      <w:spacing w:after="200" w:line="240" w:lineRule="auto"/>
      <w:ind/>
    </w:pPr>
    <w:rPr>
      <w:i/>
      <w:iCs/>
      <w:color w:val="0e2841" w:themeColor="text2"/>
      <w:sz w:val="18"/>
      <w:szCs w:val="18"/>
    </w:rPr>
  </w:style>
  <w:style w:type="paragraph" w:styleId="1011">
    <w:name w:val="endnote text"/>
    <w:basedOn w:val="1024"/>
    <w:link w:val="1012"/>
    <w:uiPriority w:val="99"/>
    <w:semiHidden/>
    <w:unhideWhenUsed/>
    <w:pPr>
      <w:pBdr/>
      <w:spacing w:after="0" w:line="240" w:lineRule="auto"/>
      <w:ind/>
    </w:pPr>
    <w:rPr>
      <w:sz w:val="20"/>
      <w:szCs w:val="20"/>
    </w:rPr>
  </w:style>
  <w:style w:type="character" w:styleId="1012">
    <w:name w:val="Endnote Text Char"/>
    <w:basedOn w:val="1034"/>
    <w:link w:val="1011"/>
    <w:uiPriority w:val="99"/>
    <w:semiHidden/>
    <w:pPr>
      <w:pBdr/>
      <w:spacing/>
      <w:ind/>
    </w:pPr>
    <w:rPr>
      <w:sz w:val="20"/>
      <w:szCs w:val="20"/>
    </w:rPr>
  </w:style>
  <w:style w:type="character" w:styleId="1013">
    <w:name w:val="endnote reference"/>
    <w:basedOn w:val="1034"/>
    <w:uiPriority w:val="99"/>
    <w:semiHidden/>
    <w:unhideWhenUsed/>
    <w:pPr>
      <w:pBdr/>
      <w:spacing/>
      <w:ind/>
    </w:pPr>
    <w:rPr>
      <w:vertAlign w:val="superscript"/>
    </w:rPr>
  </w:style>
  <w:style w:type="paragraph" w:styleId="1014">
    <w:name w:val="toc 2"/>
    <w:basedOn w:val="1024"/>
    <w:next w:val="1024"/>
    <w:uiPriority w:val="39"/>
    <w:unhideWhenUsed/>
    <w:pPr>
      <w:pBdr/>
      <w:spacing w:after="100"/>
      <w:ind w:left="220"/>
    </w:pPr>
  </w:style>
  <w:style w:type="paragraph" w:styleId="1015">
    <w:name w:val="toc 3"/>
    <w:basedOn w:val="1024"/>
    <w:next w:val="1024"/>
    <w:uiPriority w:val="39"/>
    <w:unhideWhenUsed/>
    <w:pPr>
      <w:pBdr/>
      <w:spacing w:after="100"/>
      <w:ind w:left="440"/>
    </w:pPr>
  </w:style>
  <w:style w:type="paragraph" w:styleId="1016">
    <w:name w:val="toc 4"/>
    <w:basedOn w:val="1024"/>
    <w:next w:val="1024"/>
    <w:uiPriority w:val="39"/>
    <w:unhideWhenUsed/>
    <w:pPr>
      <w:pBdr/>
      <w:spacing w:after="100"/>
      <w:ind w:left="660"/>
    </w:pPr>
  </w:style>
  <w:style w:type="paragraph" w:styleId="1017">
    <w:name w:val="toc 5"/>
    <w:basedOn w:val="1024"/>
    <w:next w:val="1024"/>
    <w:uiPriority w:val="39"/>
    <w:unhideWhenUsed/>
    <w:pPr>
      <w:pBdr/>
      <w:spacing w:after="100"/>
      <w:ind w:left="880"/>
    </w:pPr>
  </w:style>
  <w:style w:type="paragraph" w:styleId="1018">
    <w:name w:val="toc 6"/>
    <w:basedOn w:val="1024"/>
    <w:next w:val="1024"/>
    <w:uiPriority w:val="39"/>
    <w:unhideWhenUsed/>
    <w:pPr>
      <w:pBdr/>
      <w:spacing w:after="100"/>
      <w:ind w:left="1100"/>
    </w:pPr>
  </w:style>
  <w:style w:type="paragraph" w:styleId="1019">
    <w:name w:val="toc 7"/>
    <w:basedOn w:val="1024"/>
    <w:next w:val="1024"/>
    <w:uiPriority w:val="39"/>
    <w:unhideWhenUsed/>
    <w:pPr>
      <w:pBdr/>
      <w:spacing w:after="100"/>
      <w:ind w:left="1320"/>
    </w:pPr>
  </w:style>
  <w:style w:type="paragraph" w:styleId="1020">
    <w:name w:val="toc 8"/>
    <w:basedOn w:val="1024"/>
    <w:next w:val="1024"/>
    <w:uiPriority w:val="39"/>
    <w:unhideWhenUsed/>
    <w:pPr>
      <w:pBdr/>
      <w:spacing w:after="100"/>
      <w:ind w:left="1540"/>
    </w:pPr>
  </w:style>
  <w:style w:type="paragraph" w:styleId="1021">
    <w:name w:val="toc 9"/>
    <w:basedOn w:val="1024"/>
    <w:next w:val="1024"/>
    <w:uiPriority w:val="39"/>
    <w:unhideWhenUsed/>
    <w:pPr>
      <w:pBdr/>
      <w:spacing w:after="100"/>
      <w:ind w:left="1760"/>
    </w:pPr>
  </w:style>
  <w:style w:type="paragraph" w:styleId="1022">
    <w:name w:val="TOC Heading"/>
    <w:uiPriority w:val="39"/>
    <w:unhideWhenUsed/>
    <w:pPr>
      <w:pBdr/>
      <w:spacing/>
      <w:ind/>
    </w:pPr>
  </w:style>
  <w:style w:type="paragraph" w:styleId="1023">
    <w:name w:val="table of figures"/>
    <w:basedOn w:val="1024"/>
    <w:next w:val="1024"/>
    <w:uiPriority w:val="99"/>
    <w:unhideWhenUsed/>
    <w:pPr>
      <w:pBdr/>
      <w:spacing w:after="0" w:afterAutospacing="0"/>
      <w:ind/>
    </w:pPr>
  </w:style>
  <w:style w:type="paragraph" w:styleId="1024" w:default="1">
    <w:name w:val="Normal"/>
    <w:qFormat/>
    <w:pPr>
      <w:pBdr/>
      <w:spacing w:after="280" w:line="276" w:lineRule="auto"/>
      <w:ind/>
    </w:pPr>
    <w:rPr>
      <w:rFonts w:ascii="Arial" w:hAnsi="Arial" w:cs="Lucida Sans" w:eastAsiaTheme="minorHAnsi"/>
      <w:color w:val="000000"/>
      <w:sz w:val="22"/>
      <w:szCs w:val="24"/>
      <w:lang w:eastAsia="en-US"/>
    </w:rPr>
  </w:style>
  <w:style w:type="paragraph" w:styleId="1025">
    <w:name w:val="Heading 1"/>
    <w:basedOn w:val="1024"/>
    <w:next w:val="1024"/>
    <w:link w:val="1164"/>
    <w:uiPriority w:val="9"/>
    <w:qFormat/>
    <w:pPr>
      <w:keepNext w:val="true"/>
      <w:keepLines w:val="true"/>
      <w:numPr>
        <w:numId w:val="10"/>
      </w:numPr>
      <w:pBdr/>
      <w:spacing w:after="0" w:before="480"/>
      <w:ind/>
      <w:outlineLvl w:val="0"/>
    </w:pPr>
    <w:rPr>
      <w:rFonts w:ascii="Cambria" w:hAnsi="Cambria" w:eastAsia="Times New Roman" w:cs="Times New Roman"/>
      <w:b/>
      <w:bCs/>
      <w:sz w:val="28"/>
      <w:szCs w:val="28"/>
    </w:rPr>
  </w:style>
  <w:style w:type="paragraph" w:styleId="1026">
    <w:name w:val="Heading 2"/>
    <w:basedOn w:val="1024"/>
    <w:next w:val="1024"/>
    <w:link w:val="1165"/>
    <w:uiPriority w:val="9"/>
    <w:qFormat/>
    <w:pPr>
      <w:keepNext w:val="true"/>
      <w:keepLines w:val="true"/>
      <w:numPr>
        <w:ilvl w:val="1"/>
        <w:numId w:val="10"/>
      </w:numPr>
      <w:pBdr/>
      <w:spacing w:after="0" w:before="200"/>
      <w:ind/>
      <w:outlineLvl w:val="1"/>
    </w:pPr>
    <w:rPr>
      <w:rFonts w:ascii="Cambria" w:hAnsi="Cambria" w:eastAsia="Times New Roman" w:cs="Times New Roman"/>
      <w:b/>
      <w:bCs/>
      <w:sz w:val="26"/>
      <w:szCs w:val="26"/>
    </w:rPr>
  </w:style>
  <w:style w:type="paragraph" w:styleId="1027">
    <w:name w:val="Heading 3"/>
    <w:basedOn w:val="1024"/>
    <w:next w:val="1024"/>
    <w:link w:val="1166"/>
    <w:uiPriority w:val="9"/>
    <w:qFormat/>
    <w:pPr>
      <w:keepNext w:val="true"/>
      <w:keepLines w:val="true"/>
      <w:numPr>
        <w:ilvl w:val="2"/>
        <w:numId w:val="10"/>
      </w:numPr>
      <w:pBdr/>
      <w:spacing w:after="0" w:before="200"/>
      <w:ind/>
      <w:outlineLvl w:val="2"/>
    </w:pPr>
    <w:rPr>
      <w:rFonts w:ascii="Cambria" w:hAnsi="Cambria" w:eastAsia="Times New Roman" w:cs="Times New Roman"/>
      <w:b/>
      <w:bCs/>
    </w:rPr>
  </w:style>
  <w:style w:type="paragraph" w:styleId="1028">
    <w:name w:val="Heading 4"/>
    <w:basedOn w:val="1024"/>
    <w:next w:val="1024"/>
    <w:link w:val="1167"/>
    <w:uiPriority w:val="9"/>
    <w:qFormat/>
    <w:pPr>
      <w:keepNext w:val="true"/>
      <w:keepLines w:val="true"/>
      <w:numPr>
        <w:ilvl w:val="3"/>
        <w:numId w:val="10"/>
      </w:numPr>
      <w:pBdr/>
      <w:spacing w:after="0" w:before="200"/>
      <w:ind/>
      <w:outlineLvl w:val="3"/>
    </w:pPr>
    <w:rPr>
      <w:rFonts w:ascii="Cambria" w:hAnsi="Cambria" w:eastAsia="Times New Roman" w:cs="Times New Roman"/>
      <w:b/>
      <w:bCs/>
      <w:i/>
      <w:iCs/>
    </w:rPr>
  </w:style>
  <w:style w:type="paragraph" w:styleId="1029">
    <w:name w:val="Heading 5"/>
    <w:basedOn w:val="1024"/>
    <w:next w:val="1024"/>
    <w:link w:val="1168"/>
    <w:uiPriority w:val="9"/>
    <w:qFormat/>
    <w:pPr>
      <w:keepNext w:val="true"/>
      <w:keepLines w:val="true"/>
      <w:numPr>
        <w:ilvl w:val="4"/>
        <w:numId w:val="10"/>
      </w:numPr>
      <w:pBdr/>
      <w:spacing w:after="0" w:before="200"/>
      <w:ind/>
      <w:outlineLvl w:val="4"/>
    </w:pPr>
    <w:rPr>
      <w:rFonts w:ascii="Cambria" w:hAnsi="Cambria" w:eastAsia="Times New Roman" w:cs="Times New Roman"/>
    </w:rPr>
  </w:style>
  <w:style w:type="paragraph" w:styleId="1030">
    <w:name w:val="Heading 6"/>
    <w:basedOn w:val="1024"/>
    <w:next w:val="1024"/>
    <w:link w:val="1169"/>
    <w:uiPriority w:val="9"/>
    <w:qFormat/>
    <w:pPr>
      <w:keepNext w:val="true"/>
      <w:keepLines w:val="true"/>
      <w:numPr>
        <w:ilvl w:val="5"/>
        <w:numId w:val="10"/>
      </w:numPr>
      <w:pBdr/>
      <w:spacing w:after="0" w:before="200"/>
      <w:ind/>
      <w:outlineLvl w:val="5"/>
    </w:pPr>
    <w:rPr>
      <w:rFonts w:ascii="Cambria" w:hAnsi="Cambria" w:eastAsia="Times New Roman" w:cs="Times New Roman"/>
      <w:i/>
      <w:iCs/>
    </w:rPr>
  </w:style>
  <w:style w:type="paragraph" w:styleId="1031">
    <w:name w:val="Heading 7"/>
    <w:basedOn w:val="1024"/>
    <w:next w:val="1024"/>
    <w:link w:val="1170"/>
    <w:uiPriority w:val="9"/>
    <w:qFormat/>
    <w:pPr>
      <w:keepNext w:val="true"/>
      <w:keepLines w:val="true"/>
      <w:numPr>
        <w:ilvl w:val="6"/>
        <w:numId w:val="10"/>
      </w:numPr>
      <w:pBdr/>
      <w:spacing w:after="0" w:before="200"/>
      <w:ind/>
      <w:outlineLvl w:val="6"/>
    </w:pPr>
    <w:rPr>
      <w:rFonts w:ascii="Cambria" w:hAnsi="Cambria" w:eastAsia="Times New Roman" w:cs="Times New Roman"/>
      <w:i/>
      <w:iCs/>
    </w:rPr>
  </w:style>
  <w:style w:type="paragraph" w:styleId="1032">
    <w:name w:val="Heading 8"/>
    <w:basedOn w:val="1024"/>
    <w:next w:val="1024"/>
    <w:link w:val="1171"/>
    <w:uiPriority w:val="9"/>
    <w:qFormat/>
    <w:pPr>
      <w:keepNext w:val="true"/>
      <w:keepLines w:val="true"/>
      <w:numPr>
        <w:ilvl w:val="7"/>
        <w:numId w:val="10"/>
      </w:numPr>
      <w:pBdr/>
      <w:spacing w:after="0" w:before="200"/>
      <w:ind/>
      <w:outlineLvl w:val="7"/>
    </w:pPr>
    <w:rPr>
      <w:rFonts w:ascii="Cambria" w:hAnsi="Cambria" w:eastAsia="Times New Roman" w:cs="Times New Roman"/>
      <w:sz w:val="20"/>
      <w:szCs w:val="20"/>
    </w:rPr>
  </w:style>
  <w:style w:type="paragraph" w:styleId="1033">
    <w:name w:val="Heading 9"/>
    <w:basedOn w:val="1024"/>
    <w:next w:val="1024"/>
    <w:link w:val="1172"/>
    <w:uiPriority w:val="9"/>
    <w:qFormat/>
    <w:pPr>
      <w:keepNext w:val="true"/>
      <w:keepLines w:val="true"/>
      <w:numPr>
        <w:ilvl w:val="8"/>
        <w:numId w:val="10"/>
      </w:numPr>
      <w:pBdr/>
      <w:spacing w:after="0" w:before="200"/>
      <w:ind/>
      <w:outlineLvl w:val="8"/>
    </w:pPr>
    <w:rPr>
      <w:rFonts w:ascii="Cambria" w:hAnsi="Cambria" w:eastAsia="Times New Roman" w:cs="Times New Roman"/>
      <w:i/>
      <w:iCs/>
      <w:sz w:val="20"/>
      <w:szCs w:val="20"/>
    </w:rPr>
  </w:style>
  <w:style w:type="character" w:styleId="1034" w:default="1">
    <w:name w:val="Default Paragraph Font"/>
    <w:uiPriority w:val="1"/>
    <w:semiHidden/>
    <w:unhideWhenUsed/>
    <w:pPr>
      <w:pBdr/>
      <w:spacing/>
      <w:ind/>
    </w:pPr>
  </w:style>
  <w:style w:type="table" w:styleId="103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6" w:default="1">
    <w:name w:val="No List"/>
    <w:uiPriority w:val="99"/>
    <w:semiHidden/>
    <w:unhideWhenUsed/>
    <w:pPr>
      <w:pBdr/>
      <w:spacing/>
      <w:ind/>
    </w:pPr>
  </w:style>
  <w:style w:type="paragraph" w:styleId="1037" w:customStyle="1">
    <w:name w:val="Abstract"/>
    <w:link w:val="1038"/>
    <w:pPr>
      <w:pBdr/>
      <w:spacing w:after="120"/>
      <w:ind/>
    </w:pPr>
    <w:rPr>
      <w:rFonts w:ascii="Arial" w:hAnsi="Arial" w:eastAsia="Arial Unicode MS" w:cs="Arial"/>
      <w:color w:val="000000"/>
      <w:sz w:val="24"/>
      <w:szCs w:val="24"/>
      <w:lang w:val="en-US" w:eastAsia="en-US"/>
    </w:rPr>
  </w:style>
  <w:style w:type="character" w:styleId="1038" w:customStyle="1">
    <w:name w:val="Abstract Char"/>
    <w:link w:val="1037"/>
    <w:pPr>
      <w:pBdr/>
      <w:spacing/>
      <w:ind/>
    </w:pPr>
    <w:rPr>
      <w:rFonts w:ascii="Arial" w:hAnsi="Arial" w:eastAsia="Arial Unicode MS" w:cs="Arial"/>
      <w:color w:val="000000"/>
      <w:sz w:val="24"/>
      <w:szCs w:val="24"/>
      <w:lang w:val="en-US" w:eastAsia="en-US"/>
    </w:rPr>
  </w:style>
  <w:style w:type="paragraph" w:styleId="1039" w:customStyle="1">
    <w:name w:val="Annex"/>
    <w:basedOn w:val="1125"/>
    <w:next w:val="1125"/>
    <w:qFormat/>
    <w:pPr>
      <w:numPr>
        <w:numId w:val="11"/>
      </w:numPr>
      <w:pBdr/>
      <w:spacing w:after="240" w:before="240"/>
      <w:ind w:firstLine="0" w:left="0"/>
    </w:pPr>
    <w:rPr>
      <w:b/>
    </w:rPr>
  </w:style>
  <w:style w:type="paragraph" w:styleId="1040" w:customStyle="1">
    <w:name w:val="Authoring Group"/>
    <w:link w:val="1041"/>
    <w:pPr>
      <w:pBdr/>
      <w:spacing w:after="120"/>
      <w:ind/>
    </w:pPr>
    <w:rPr>
      <w:rFonts w:ascii="Arial" w:hAnsi="Arial" w:eastAsia="Arial Unicode MS" w:cs="Arial"/>
      <w:color w:val="000000"/>
      <w:sz w:val="24"/>
      <w:szCs w:val="22"/>
      <w:lang w:val="en-US" w:eastAsia="en-US"/>
    </w:rPr>
  </w:style>
  <w:style w:type="character" w:styleId="1041" w:customStyle="1">
    <w:name w:val="Authoring Group Char"/>
    <w:link w:val="1040"/>
    <w:pPr>
      <w:pBdr/>
      <w:spacing/>
      <w:ind/>
    </w:pPr>
    <w:rPr>
      <w:rFonts w:ascii="Arial" w:hAnsi="Arial" w:eastAsia="Arial Unicode MS" w:cs="Arial"/>
      <w:color w:val="000000"/>
      <w:sz w:val="24"/>
      <w:lang w:val="en-US" w:eastAsia="en-US"/>
    </w:rPr>
  </w:style>
  <w:style w:type="paragraph" w:styleId="1042" w:customStyle="1">
    <w:name w:val="Background"/>
    <w:basedOn w:val="1024"/>
    <w:pPr>
      <w:numPr>
        <w:numId w:val="1"/>
      </w:numPr>
      <w:pBdr/>
      <w:spacing w:after="120" w:before="120" w:line="300" w:lineRule="atLeast"/>
      <w:ind/>
      <w:jc w:val="both"/>
    </w:pPr>
    <w:rPr>
      <w:rFonts w:eastAsia="Arial Unicode MS"/>
      <w:szCs w:val="20"/>
    </w:rPr>
  </w:style>
  <w:style w:type="paragraph" w:styleId="1043" w:customStyle="1">
    <w:name w:val="Bullet List 1"/>
    <w:basedOn w:val="1024"/>
    <w:pPr>
      <w:numPr>
        <w:numId w:val="2"/>
      </w:numPr>
      <w:pBdr/>
      <w:spacing w:after="240" w:line="300" w:lineRule="atLeast"/>
      <w:ind/>
      <w:jc w:val="both"/>
    </w:pPr>
    <w:rPr>
      <w:rFonts w:eastAsia="Arial Unicode MS"/>
      <w:szCs w:val="20"/>
    </w:rPr>
  </w:style>
  <w:style w:type="paragraph" w:styleId="1044" w:customStyle="1">
    <w:name w:val="Bullet List 2"/>
    <w:basedOn w:val="1024"/>
    <w:pPr>
      <w:numPr>
        <w:numId w:val="3"/>
      </w:numPr>
      <w:pBdr/>
      <w:spacing w:after="120" w:line="240" w:lineRule="auto"/>
      <w:ind w:hanging="720" w:left="1080"/>
      <w:jc w:val="both"/>
    </w:pPr>
    <w:rPr>
      <w:rFonts w:eastAsia="Arial Unicode MS"/>
      <w:szCs w:val="20"/>
    </w:rPr>
  </w:style>
  <w:style w:type="paragraph" w:styleId="1045" w:customStyle="1">
    <w:name w:val="Bullet List 3"/>
    <w:basedOn w:val="1024"/>
    <w:pPr>
      <w:numPr>
        <w:numId w:val="4"/>
      </w:numPr>
      <w:pBdr/>
      <w:spacing w:after="240" w:line="240" w:lineRule="auto"/>
      <w:ind/>
      <w:jc w:val="both"/>
    </w:pPr>
    <w:rPr>
      <w:rFonts w:eastAsia="Arial Unicode MS"/>
      <w:szCs w:val="20"/>
    </w:rPr>
  </w:style>
  <w:style w:type="paragraph" w:styleId="1046" w:customStyle="1">
    <w:name w:val="Title Clause"/>
    <w:basedOn w:val="1024"/>
    <w:pPr>
      <w:keepNext w:val="true"/>
      <w:numPr>
        <w:numId w:val="24"/>
      </w:numPr>
      <w:pBdr/>
      <w:spacing w:after="240" w:before="240" w:line="300" w:lineRule="atLeast"/>
      <w:ind/>
      <w:jc w:val="both"/>
      <w:outlineLvl w:val="0"/>
    </w:pPr>
    <w:rPr>
      <w:rFonts w:eastAsia="Arial Unicode MS"/>
      <w:b/>
      <w:szCs w:val="20"/>
    </w:rPr>
  </w:style>
  <w:style w:type="paragraph" w:styleId="1047" w:customStyle="1">
    <w:name w:val="Clause No Title"/>
    <w:basedOn w:val="1046"/>
    <w:pPr>
      <w:pBdr/>
      <w:spacing/>
      <w:ind/>
    </w:pPr>
    <w:rPr>
      <w:b w:val="0"/>
      <w:smallCaps/>
    </w:rPr>
  </w:style>
  <w:style w:type="paragraph" w:styleId="1048" w:customStyle="1">
    <w:name w:val="Closing Para"/>
    <w:basedOn w:val="1024"/>
    <w:pPr>
      <w:pBdr/>
      <w:spacing w:after="240" w:before="120" w:line="300" w:lineRule="atLeast"/>
      <w:ind/>
      <w:jc w:val="both"/>
    </w:pPr>
    <w:rPr>
      <w:rFonts w:eastAsia="Arial Unicode MS"/>
      <w:szCs w:val="20"/>
    </w:rPr>
  </w:style>
  <w:style w:type="paragraph" w:styleId="1049" w:customStyle="1">
    <w:name w:val="Closing SignOff"/>
    <w:basedOn w:val="1024"/>
    <w:pPr>
      <w:pBdr/>
      <w:spacing w:after="120" w:line="300" w:lineRule="atLeast"/>
      <w:ind/>
      <w:jc w:val="both"/>
    </w:pPr>
    <w:rPr>
      <w:rFonts w:eastAsia="Arial Unicode MS"/>
      <w:szCs w:val="20"/>
    </w:rPr>
  </w:style>
  <w:style w:type="paragraph" w:styleId="1050" w:customStyle="1">
    <w:name w:val="Coversheet Title"/>
    <w:basedOn w:val="1024"/>
    <w:pPr>
      <w:pBdr/>
      <w:spacing w:after="480" w:before="480" w:line="300" w:lineRule="atLeast"/>
      <w:ind/>
      <w:jc w:val="center"/>
    </w:pPr>
    <w:rPr>
      <w:rFonts w:eastAsia="Arial Unicode MS"/>
      <w:b/>
      <w:smallCaps/>
      <w:sz w:val="28"/>
      <w:szCs w:val="20"/>
    </w:rPr>
  </w:style>
  <w:style w:type="paragraph" w:styleId="1051" w:customStyle="1">
    <w:name w:val="Cover Sheet Heading"/>
    <w:basedOn w:val="1050"/>
    <w:pPr>
      <w:pBdr/>
      <w:spacing/>
      <w:ind/>
    </w:pPr>
  </w:style>
  <w:style w:type="paragraph" w:styleId="1052" w:customStyle="1">
    <w:name w:val="Cover Sheet Subject Text"/>
    <w:basedOn w:val="1024"/>
    <w:pPr>
      <w:pBdr/>
      <w:spacing w:after="0" w:line="300" w:lineRule="atLeast"/>
      <w:ind/>
      <w:jc w:val="center"/>
    </w:pPr>
    <w:rPr>
      <w:rFonts w:eastAsia="Arial Unicode MS"/>
      <w:szCs w:val="20"/>
    </w:rPr>
  </w:style>
  <w:style w:type="paragraph" w:styleId="1053" w:customStyle="1">
    <w:name w:val="Cover Sheet Subject Title"/>
    <w:basedOn w:val="1024"/>
    <w:pPr>
      <w:pBdr/>
      <w:spacing w:after="0" w:line="300" w:lineRule="atLeast"/>
      <w:ind/>
      <w:jc w:val="center"/>
    </w:pPr>
    <w:rPr>
      <w:rFonts w:eastAsia="Arial Unicode MS"/>
      <w:szCs w:val="20"/>
    </w:rPr>
  </w:style>
  <w:style w:type="paragraph" w:styleId="1054" w:customStyle="1">
    <w:name w:val="Defined Term Para"/>
    <w:basedOn w:val="1125"/>
    <w:qFormat/>
    <w:pPr>
      <w:numPr>
        <w:numId w:val="23"/>
      </w:numPr>
      <w:pBdr/>
      <w:spacing/>
      <w:ind/>
    </w:pPr>
  </w:style>
  <w:style w:type="paragraph" w:styleId="1055" w:customStyle="1">
    <w:name w:val="DescriptiveHeading"/>
    <w:next w:val="1125"/>
    <w:link w:val="1056"/>
    <w:pPr>
      <w:pBdr/>
      <w:spacing w:after="360" w:before="360"/>
      <w:ind/>
      <w:outlineLvl w:val="0"/>
    </w:pPr>
    <w:rPr>
      <w:rFonts w:ascii="Arial" w:hAnsi="Arial" w:eastAsia="Arial Unicode MS" w:cs="Arial"/>
      <w:b/>
      <w:color w:val="000000"/>
      <w:sz w:val="22"/>
      <w:szCs w:val="22"/>
      <w:lang w:val="en-US" w:eastAsia="en-US"/>
    </w:rPr>
  </w:style>
  <w:style w:type="character" w:styleId="1056" w:customStyle="1">
    <w:name w:val="DescriptiveHeading Char"/>
    <w:link w:val="1055"/>
    <w:pPr>
      <w:pBdr/>
      <w:spacing/>
      <w:ind/>
    </w:pPr>
    <w:rPr>
      <w:rFonts w:ascii="Arial" w:hAnsi="Arial" w:eastAsia="Arial Unicode MS" w:cs="Arial"/>
      <w:b/>
      <w:color w:val="000000"/>
      <w:lang w:val="en-US" w:eastAsia="en-US"/>
    </w:rPr>
  </w:style>
  <w:style w:type="paragraph" w:styleId="1057" w:customStyle="1">
    <w:name w:val="Draftingnote Section1 Para"/>
    <w:basedOn w:val="1024"/>
    <w:pPr>
      <w:pBdr/>
      <w:spacing w:after="120" w:line="300" w:lineRule="atLeast"/>
      <w:ind/>
      <w:jc w:val="both"/>
    </w:pPr>
    <w:rPr>
      <w:rFonts w:eastAsia="Arial Unicode MS"/>
      <w:szCs w:val="20"/>
    </w:rPr>
  </w:style>
  <w:style w:type="paragraph" w:styleId="1058" w:customStyle="1">
    <w:name w:val="Draftingnote Section1 Title"/>
    <w:basedOn w:val="1024"/>
    <w:pPr>
      <w:pBdr/>
      <w:spacing w:after="120" w:line="300" w:lineRule="atLeast"/>
      <w:ind/>
      <w:jc w:val="both"/>
    </w:pPr>
    <w:rPr>
      <w:rFonts w:eastAsia="Arial Unicode MS"/>
      <w:b/>
      <w:sz w:val="36"/>
      <w:szCs w:val="20"/>
    </w:rPr>
  </w:style>
  <w:style w:type="paragraph" w:styleId="1059" w:customStyle="1">
    <w:name w:val="Draftingnote Section2 Para"/>
    <w:basedOn w:val="1024"/>
    <w:pPr>
      <w:pBdr/>
      <w:spacing w:after="120" w:line="300" w:lineRule="atLeast"/>
      <w:ind/>
      <w:jc w:val="both"/>
    </w:pPr>
    <w:rPr>
      <w:rFonts w:eastAsia="Arial Unicode MS"/>
      <w:szCs w:val="20"/>
    </w:rPr>
  </w:style>
  <w:style w:type="paragraph" w:styleId="1060" w:customStyle="1">
    <w:name w:val="Draftingnote Section2 Title"/>
    <w:basedOn w:val="1024"/>
    <w:pPr>
      <w:pBdr/>
      <w:spacing w:after="120" w:line="300" w:lineRule="atLeast"/>
      <w:ind/>
      <w:jc w:val="both"/>
    </w:pPr>
    <w:rPr>
      <w:rFonts w:eastAsia="Arial Unicode MS"/>
      <w:b/>
      <w:sz w:val="28"/>
      <w:szCs w:val="20"/>
    </w:rPr>
  </w:style>
  <w:style w:type="paragraph" w:styleId="1061" w:customStyle="1">
    <w:name w:val="Draftingnote Section3 Para"/>
    <w:basedOn w:val="1024"/>
    <w:pPr>
      <w:pBdr/>
      <w:spacing w:after="120" w:line="300" w:lineRule="atLeast"/>
      <w:ind/>
      <w:jc w:val="both"/>
    </w:pPr>
    <w:rPr>
      <w:rFonts w:eastAsia="Arial Unicode MS"/>
      <w:szCs w:val="20"/>
    </w:rPr>
  </w:style>
  <w:style w:type="paragraph" w:styleId="1062" w:customStyle="1">
    <w:name w:val="Draftingnote Section3 Title"/>
    <w:basedOn w:val="1024"/>
    <w:pPr>
      <w:pBdr/>
      <w:spacing w:after="120" w:line="300" w:lineRule="atLeast"/>
      <w:ind/>
      <w:jc w:val="both"/>
    </w:pPr>
    <w:rPr>
      <w:rFonts w:eastAsia="Arial Unicode MS"/>
      <w:b/>
      <w:i/>
      <w:sz w:val="28"/>
      <w:szCs w:val="20"/>
    </w:rPr>
  </w:style>
  <w:style w:type="paragraph" w:styleId="1063" w:customStyle="1">
    <w:name w:val="Draftingnote Section4 Para"/>
    <w:basedOn w:val="1024"/>
    <w:pPr>
      <w:pBdr/>
      <w:spacing w:after="120" w:line="300" w:lineRule="atLeast"/>
      <w:ind/>
      <w:jc w:val="both"/>
    </w:pPr>
    <w:rPr>
      <w:rFonts w:eastAsia="Arial Unicode MS"/>
      <w:szCs w:val="20"/>
    </w:rPr>
  </w:style>
  <w:style w:type="paragraph" w:styleId="1064" w:customStyle="1">
    <w:name w:val="Draftingnote Section4 Title"/>
    <w:basedOn w:val="1024"/>
    <w:pPr>
      <w:pBdr/>
      <w:spacing w:after="120" w:line="300" w:lineRule="atLeast"/>
      <w:ind/>
      <w:jc w:val="both"/>
    </w:pPr>
    <w:rPr>
      <w:rFonts w:eastAsia="Arial Unicode MS"/>
      <w:b/>
      <w:i/>
      <w:sz w:val="28"/>
      <w:szCs w:val="20"/>
    </w:rPr>
  </w:style>
  <w:style w:type="paragraph" w:styleId="1065" w:customStyle="1">
    <w:name w:val="Draftingnote Title"/>
    <w:basedOn w:val="1024"/>
    <w:pPr>
      <w:pBdr/>
      <w:spacing w:after="120" w:line="300" w:lineRule="atLeast"/>
      <w:ind/>
      <w:jc w:val="both"/>
    </w:pPr>
    <w:rPr>
      <w:rFonts w:eastAsia="Arial Unicode MS"/>
      <w:b/>
      <w:sz w:val="28"/>
      <w:szCs w:val="20"/>
    </w:rPr>
  </w:style>
  <w:style w:type="paragraph" w:styleId="1066" w:customStyle="1">
    <w:name w:val="Fulltext Bridgehead"/>
    <w:basedOn w:val="1024"/>
    <w:pPr>
      <w:pBdr/>
      <w:spacing w:after="120" w:line="300" w:lineRule="atLeast"/>
      <w:ind/>
      <w:jc w:val="both"/>
    </w:pPr>
    <w:rPr>
      <w:rFonts w:eastAsia="Arial Unicode MS"/>
      <w:b/>
      <w:sz w:val="48"/>
      <w:szCs w:val="20"/>
    </w:rPr>
  </w:style>
  <w:style w:type="paragraph" w:styleId="1067" w:customStyle="1">
    <w:name w:val="Fulltext Section1 Para"/>
    <w:basedOn w:val="1024"/>
    <w:pPr>
      <w:pBdr/>
      <w:spacing w:after="120" w:line="300" w:lineRule="atLeast"/>
      <w:ind/>
      <w:jc w:val="both"/>
    </w:pPr>
    <w:rPr>
      <w:rFonts w:eastAsia="Arial Unicode MS"/>
      <w:szCs w:val="20"/>
    </w:rPr>
  </w:style>
  <w:style w:type="paragraph" w:styleId="1068" w:customStyle="1">
    <w:name w:val="Fulltext Section1 Title"/>
    <w:basedOn w:val="1024"/>
    <w:pPr>
      <w:pBdr/>
      <w:spacing w:after="120" w:line="300" w:lineRule="atLeast"/>
      <w:ind/>
      <w:jc w:val="both"/>
    </w:pPr>
    <w:rPr>
      <w:rFonts w:eastAsia="Arial Unicode MS"/>
      <w:b/>
      <w:sz w:val="36"/>
      <w:szCs w:val="20"/>
    </w:rPr>
  </w:style>
  <w:style w:type="paragraph" w:styleId="1069" w:customStyle="1">
    <w:name w:val="Fulltext Section2 Para"/>
    <w:basedOn w:val="1024"/>
    <w:pPr>
      <w:pBdr/>
      <w:spacing w:after="120" w:line="300" w:lineRule="atLeast"/>
      <w:ind/>
      <w:jc w:val="both"/>
    </w:pPr>
    <w:rPr>
      <w:rFonts w:eastAsia="Arial Unicode MS"/>
      <w:szCs w:val="20"/>
    </w:rPr>
  </w:style>
  <w:style w:type="paragraph" w:styleId="1070" w:customStyle="1">
    <w:name w:val="Fulltext Section2 Title"/>
    <w:basedOn w:val="1024"/>
    <w:pPr>
      <w:pBdr/>
      <w:spacing w:after="120" w:line="300" w:lineRule="atLeast"/>
      <w:ind/>
      <w:jc w:val="both"/>
    </w:pPr>
    <w:rPr>
      <w:rFonts w:eastAsia="Arial Unicode MS"/>
      <w:b/>
      <w:sz w:val="28"/>
      <w:szCs w:val="20"/>
    </w:rPr>
  </w:style>
  <w:style w:type="paragraph" w:styleId="1071" w:customStyle="1">
    <w:name w:val="Fulltext Section3 Para"/>
    <w:basedOn w:val="1024"/>
    <w:pPr>
      <w:pBdr/>
      <w:spacing w:after="120" w:line="300" w:lineRule="atLeast"/>
      <w:ind/>
      <w:jc w:val="both"/>
    </w:pPr>
    <w:rPr>
      <w:rFonts w:eastAsia="Arial Unicode MS"/>
      <w:szCs w:val="20"/>
    </w:rPr>
  </w:style>
  <w:style w:type="paragraph" w:styleId="1072" w:customStyle="1">
    <w:name w:val="Fulltext Section3 Title"/>
    <w:basedOn w:val="1024"/>
    <w:pPr>
      <w:pBdr/>
      <w:spacing w:after="120" w:line="300" w:lineRule="atLeast"/>
      <w:ind/>
      <w:jc w:val="both"/>
    </w:pPr>
    <w:rPr>
      <w:rFonts w:eastAsia="Arial Unicode MS"/>
      <w:b/>
      <w:i/>
      <w:sz w:val="28"/>
      <w:szCs w:val="20"/>
    </w:rPr>
  </w:style>
  <w:style w:type="paragraph" w:styleId="1073" w:customStyle="1">
    <w:name w:val="Fulltext Section4 Para"/>
    <w:basedOn w:val="1024"/>
    <w:pPr>
      <w:pBdr/>
      <w:spacing w:after="120" w:line="300" w:lineRule="atLeast"/>
      <w:ind/>
      <w:jc w:val="both"/>
    </w:pPr>
    <w:rPr>
      <w:rFonts w:eastAsia="Arial Unicode MS"/>
      <w:szCs w:val="20"/>
    </w:rPr>
  </w:style>
  <w:style w:type="paragraph" w:styleId="1074" w:customStyle="1">
    <w:name w:val="Fulltext Section4 Title"/>
    <w:basedOn w:val="1024"/>
    <w:pPr>
      <w:pBdr/>
      <w:spacing w:after="120" w:line="300" w:lineRule="atLeast"/>
      <w:ind/>
      <w:jc w:val="both"/>
    </w:pPr>
    <w:rPr>
      <w:rFonts w:eastAsia="Arial Unicode MS"/>
      <w:b/>
      <w:i/>
      <w:sz w:val="28"/>
      <w:szCs w:val="20"/>
    </w:rPr>
  </w:style>
  <w:style w:type="paragraph" w:styleId="1075" w:customStyle="1">
    <w:name w:val="GlossItem Glossdef Para"/>
    <w:basedOn w:val="1024"/>
    <w:pPr>
      <w:pBdr/>
      <w:spacing w:after="120" w:line="300" w:lineRule="atLeast"/>
      <w:ind/>
      <w:jc w:val="both"/>
    </w:pPr>
    <w:rPr>
      <w:rFonts w:eastAsia="Arial Unicode MS"/>
      <w:szCs w:val="20"/>
    </w:rPr>
  </w:style>
  <w:style w:type="paragraph" w:styleId="1076" w:customStyle="1">
    <w:name w:val="GlossItem Glossterm"/>
    <w:basedOn w:val="1024"/>
    <w:pPr>
      <w:pBdr/>
      <w:spacing w:after="120" w:line="300" w:lineRule="atLeast"/>
      <w:ind/>
      <w:jc w:val="both"/>
    </w:pPr>
    <w:rPr>
      <w:rFonts w:eastAsia="Arial Unicode MS"/>
      <w:b/>
      <w:sz w:val="48"/>
      <w:szCs w:val="20"/>
    </w:rPr>
  </w:style>
  <w:style w:type="paragraph" w:styleId="1077" w:customStyle="1">
    <w:name w:val="Heading Address Line"/>
    <w:basedOn w:val="1024"/>
    <w:pPr>
      <w:pBdr/>
      <w:spacing w:after="120" w:line="300" w:lineRule="atLeast"/>
      <w:ind/>
      <w:jc w:val="both"/>
    </w:pPr>
    <w:rPr>
      <w:rFonts w:eastAsia="Arial Unicode MS"/>
      <w:szCs w:val="20"/>
    </w:rPr>
  </w:style>
  <w:style w:type="paragraph" w:styleId="1078" w:customStyle="1">
    <w:name w:val="Heading Date"/>
    <w:basedOn w:val="1024"/>
    <w:pPr>
      <w:pBdr/>
      <w:spacing w:after="120" w:line="300" w:lineRule="atLeast"/>
      <w:ind/>
      <w:jc w:val="both"/>
    </w:pPr>
    <w:rPr>
      <w:rFonts w:eastAsia="Arial Unicode MS"/>
      <w:szCs w:val="20"/>
    </w:rPr>
  </w:style>
  <w:style w:type="paragraph" w:styleId="1079" w:customStyle="1">
    <w:name w:val="Heading Letterhead Based On Attribute"/>
    <w:basedOn w:val="1024"/>
    <w:pPr>
      <w:pBdr/>
      <w:spacing w:after="120" w:line="300" w:lineRule="atLeast"/>
      <w:ind/>
      <w:jc w:val="both"/>
    </w:pPr>
    <w:rPr>
      <w:rFonts w:eastAsia="Arial Unicode MS"/>
      <w:szCs w:val="20"/>
    </w:rPr>
  </w:style>
  <w:style w:type="paragraph" w:styleId="1080" w:customStyle="1">
    <w:name w:val="Heading Salutation"/>
    <w:basedOn w:val="1024"/>
    <w:pPr>
      <w:pBdr/>
      <w:spacing w:after="120" w:line="300" w:lineRule="atLeast"/>
      <w:ind/>
      <w:jc w:val="both"/>
    </w:pPr>
    <w:rPr>
      <w:rFonts w:eastAsia="Arial Unicode MS"/>
      <w:szCs w:val="20"/>
    </w:rPr>
  </w:style>
  <w:style w:type="paragraph" w:styleId="1081" w:customStyle="1">
    <w:name w:val="Ignored Spacing"/>
    <w:link w:val="1082"/>
    <w:pPr>
      <w:pBdr/>
      <w:spacing w:after="120"/>
      <w:ind/>
    </w:pPr>
    <w:rPr>
      <w:rFonts w:ascii="Arial" w:hAnsi="Arial" w:eastAsia="Arial Unicode MS" w:cs="Arial"/>
      <w:color w:val="000000"/>
      <w:sz w:val="24"/>
      <w:szCs w:val="24"/>
      <w:lang w:val="en-US" w:eastAsia="en-US"/>
    </w:rPr>
  </w:style>
  <w:style w:type="character" w:styleId="1082" w:customStyle="1">
    <w:name w:val="Ignored Spacing Char"/>
    <w:link w:val="1081"/>
    <w:pPr>
      <w:pBdr/>
      <w:spacing/>
      <w:ind/>
    </w:pPr>
    <w:rPr>
      <w:rFonts w:ascii="Arial" w:hAnsi="Arial" w:eastAsia="Arial Unicode MS" w:cs="Arial"/>
      <w:color w:val="000000"/>
      <w:sz w:val="24"/>
      <w:szCs w:val="24"/>
      <w:lang w:val="en-US" w:eastAsia="en-US"/>
    </w:rPr>
  </w:style>
  <w:style w:type="paragraph" w:styleId="1083" w:customStyle="1">
    <w:name w:val="Internal Author"/>
    <w:link w:val="1084"/>
    <w:pPr>
      <w:pBdr/>
      <w:spacing w:after="120"/>
      <w:ind/>
    </w:pPr>
    <w:rPr>
      <w:rFonts w:ascii="Arial" w:hAnsi="Arial" w:eastAsia="Arial Unicode MS" w:cs="Arial"/>
      <w:color w:val="000000"/>
      <w:sz w:val="24"/>
      <w:szCs w:val="22"/>
      <w:lang w:val="en-US" w:eastAsia="en-US"/>
    </w:rPr>
  </w:style>
  <w:style w:type="character" w:styleId="1084" w:customStyle="1">
    <w:name w:val="Internal Author Char"/>
    <w:link w:val="1083"/>
    <w:pPr>
      <w:pBdr/>
      <w:spacing/>
      <w:ind/>
    </w:pPr>
    <w:rPr>
      <w:rFonts w:ascii="Arial" w:hAnsi="Arial" w:eastAsia="Arial Unicode MS" w:cs="Arial"/>
      <w:color w:val="000000"/>
      <w:sz w:val="24"/>
      <w:lang w:val="en-US" w:eastAsia="en-US"/>
    </w:rPr>
  </w:style>
  <w:style w:type="paragraph" w:styleId="1085" w:customStyle="1">
    <w:name w:val="Maintenance Editor"/>
    <w:link w:val="1086"/>
    <w:pPr>
      <w:pBdr/>
      <w:spacing w:after="120"/>
      <w:ind/>
    </w:pPr>
    <w:rPr>
      <w:rFonts w:ascii="Arial" w:hAnsi="Arial" w:eastAsia="Arial Unicode MS" w:cs="Arial"/>
      <w:color w:val="000000"/>
      <w:sz w:val="24"/>
      <w:szCs w:val="22"/>
      <w:lang w:val="en-US" w:eastAsia="en-US"/>
    </w:rPr>
  </w:style>
  <w:style w:type="character" w:styleId="1086" w:customStyle="1">
    <w:name w:val="Maintenance Editor Char"/>
    <w:link w:val="1085"/>
    <w:pPr>
      <w:pBdr/>
      <w:spacing/>
      <w:ind/>
    </w:pPr>
    <w:rPr>
      <w:rFonts w:ascii="Arial" w:hAnsi="Arial" w:eastAsia="Arial Unicode MS" w:cs="Arial"/>
      <w:color w:val="000000"/>
      <w:sz w:val="24"/>
      <w:lang w:val="en-US" w:eastAsia="en-US"/>
    </w:rPr>
  </w:style>
  <w:style w:type="paragraph" w:styleId="1087" w:customStyle="1">
    <w:name w:val="Para Clause"/>
    <w:basedOn w:val="1024"/>
    <w:pPr>
      <w:pBdr/>
      <w:spacing w:after="120" w:before="120" w:line="300" w:lineRule="atLeast"/>
      <w:ind w:left="720"/>
      <w:jc w:val="both"/>
    </w:pPr>
    <w:rPr>
      <w:rFonts w:eastAsia="Arial Unicode MS"/>
      <w:szCs w:val="20"/>
    </w:rPr>
  </w:style>
  <w:style w:type="paragraph" w:styleId="1088" w:customStyle="1">
    <w:name w:val="Para subclause 1"/>
    <w:basedOn w:val="1024"/>
    <w:pPr>
      <w:pBdr/>
      <w:spacing w:after="120" w:before="240" w:line="300" w:lineRule="atLeast"/>
      <w:ind w:left="720"/>
      <w:jc w:val="both"/>
    </w:pPr>
    <w:rPr>
      <w:rFonts w:eastAsia="Arial Unicode MS"/>
      <w:szCs w:val="20"/>
    </w:rPr>
  </w:style>
  <w:style w:type="paragraph" w:styleId="1089" w:customStyle="1">
    <w:name w:val="Untitled subclause 1"/>
    <w:basedOn w:val="1024"/>
    <w:pPr>
      <w:numPr>
        <w:ilvl w:val="1"/>
        <w:numId w:val="24"/>
      </w:numPr>
      <w:pBdr/>
      <w:spacing w:after="120" w:before="280" w:line="300" w:lineRule="atLeast"/>
      <w:ind/>
      <w:jc w:val="both"/>
      <w:outlineLvl w:val="1"/>
    </w:pPr>
    <w:rPr>
      <w:rFonts w:eastAsia="Arial Unicode MS"/>
      <w:szCs w:val="20"/>
    </w:rPr>
  </w:style>
  <w:style w:type="paragraph" w:styleId="1090" w:customStyle="1">
    <w:name w:val="Para subclause 2"/>
    <w:basedOn w:val="1024"/>
    <w:pPr>
      <w:pBdr/>
      <w:spacing w:after="240" w:line="300" w:lineRule="atLeast"/>
      <w:ind w:left="1559"/>
      <w:jc w:val="both"/>
    </w:pPr>
    <w:rPr>
      <w:rFonts w:eastAsia="Arial Unicode MS"/>
      <w:szCs w:val="20"/>
    </w:rPr>
  </w:style>
  <w:style w:type="paragraph" w:styleId="1091" w:customStyle="1">
    <w:name w:val="Untitled subclause 2"/>
    <w:basedOn w:val="1024"/>
    <w:pPr>
      <w:numPr>
        <w:ilvl w:val="2"/>
        <w:numId w:val="24"/>
      </w:numPr>
      <w:pBdr/>
      <w:spacing w:after="120" w:line="300" w:lineRule="atLeast"/>
      <w:ind/>
      <w:jc w:val="both"/>
      <w:outlineLvl w:val="2"/>
    </w:pPr>
    <w:rPr>
      <w:rFonts w:eastAsia="Arial Unicode MS"/>
      <w:szCs w:val="20"/>
    </w:rPr>
  </w:style>
  <w:style w:type="paragraph" w:styleId="1092" w:customStyle="1">
    <w:name w:val="Para subclause 3"/>
    <w:basedOn w:val="1024"/>
    <w:next w:val="1091"/>
    <w:pPr>
      <w:pBdr/>
      <w:spacing w:after="120" w:line="300" w:lineRule="atLeast"/>
      <w:ind w:left="2268"/>
      <w:jc w:val="both"/>
    </w:pPr>
    <w:rPr>
      <w:rFonts w:eastAsia="Arial Unicode MS"/>
      <w:szCs w:val="20"/>
    </w:rPr>
  </w:style>
  <w:style w:type="paragraph" w:styleId="1093" w:customStyle="1">
    <w:name w:val="Untitled subclause 3"/>
    <w:basedOn w:val="1024"/>
    <w:pPr>
      <w:numPr>
        <w:ilvl w:val="3"/>
        <w:numId w:val="24"/>
      </w:numPr>
      <w:pBdr/>
      <w:tabs>
        <w:tab w:val="left" w:leader="none" w:pos="2261"/>
      </w:tabs>
      <w:spacing w:after="120" w:line="300" w:lineRule="atLeast"/>
      <w:ind/>
      <w:jc w:val="both"/>
      <w:outlineLvl w:val="3"/>
    </w:pPr>
    <w:rPr>
      <w:rFonts w:eastAsia="Arial Unicode MS"/>
      <w:szCs w:val="20"/>
    </w:rPr>
  </w:style>
  <w:style w:type="paragraph" w:styleId="1094" w:customStyle="1">
    <w:name w:val="Para subclause 4"/>
    <w:basedOn w:val="1092"/>
    <w:pPr>
      <w:pBdr/>
      <w:spacing w:after="240"/>
      <w:ind w:left="3028"/>
    </w:pPr>
  </w:style>
  <w:style w:type="paragraph" w:styleId="1095" w:customStyle="1">
    <w:name w:val="Untitled subclause 4"/>
    <w:basedOn w:val="1024"/>
    <w:pPr>
      <w:numPr>
        <w:ilvl w:val="4"/>
        <w:numId w:val="24"/>
      </w:numPr>
      <w:pBdr/>
      <w:spacing w:after="120" w:line="300" w:lineRule="atLeast"/>
      <w:ind/>
      <w:jc w:val="both"/>
      <w:outlineLvl w:val="4"/>
    </w:pPr>
    <w:rPr>
      <w:rFonts w:eastAsia="Arial Unicode MS"/>
      <w:szCs w:val="20"/>
    </w:rPr>
  </w:style>
  <w:style w:type="paragraph" w:styleId="1096" w:customStyle="1">
    <w:name w:val="Para"/>
    <w:basedOn w:val="1024"/>
    <w:pPr>
      <w:pBdr/>
      <w:spacing w:after="120" w:line="300" w:lineRule="atLeast"/>
      <w:ind/>
      <w:jc w:val="both"/>
    </w:pPr>
    <w:rPr>
      <w:rFonts w:eastAsia="Arial Unicode MS"/>
      <w:szCs w:val="20"/>
    </w:rPr>
  </w:style>
  <w:style w:type="paragraph" w:styleId="1097" w:customStyle="1">
    <w:name w:val="Parties"/>
    <w:basedOn w:val="1024"/>
    <w:pPr>
      <w:numPr>
        <w:numId w:val="5"/>
      </w:numPr>
      <w:pBdr/>
      <w:spacing w:after="120" w:before="120" w:line="300" w:lineRule="atLeast"/>
      <w:ind/>
      <w:jc w:val="both"/>
    </w:pPr>
    <w:rPr>
      <w:rFonts w:eastAsia="Arial Unicode MS"/>
      <w:szCs w:val="20"/>
    </w:rPr>
  </w:style>
  <w:style w:type="paragraph" w:styleId="1098" w:customStyle="1">
    <w:name w:val="Resource History Author"/>
    <w:link w:val="1099"/>
    <w:pPr>
      <w:pBdr/>
      <w:spacing w:after="120"/>
      <w:ind/>
    </w:pPr>
    <w:rPr>
      <w:rFonts w:ascii="Arial" w:hAnsi="Arial" w:eastAsia="Arial Unicode MS" w:cs="Arial"/>
      <w:color w:val="000000"/>
      <w:sz w:val="24"/>
      <w:szCs w:val="24"/>
      <w:lang w:val="en-US" w:eastAsia="en-US"/>
    </w:rPr>
  </w:style>
  <w:style w:type="character" w:styleId="1099" w:customStyle="1">
    <w:name w:val="Resource History Author Char"/>
    <w:link w:val="1098"/>
    <w:pPr>
      <w:pBdr/>
      <w:spacing/>
      <w:ind/>
    </w:pPr>
    <w:rPr>
      <w:rFonts w:ascii="Arial" w:hAnsi="Arial" w:eastAsia="Arial Unicode MS" w:cs="Arial"/>
      <w:color w:val="000000"/>
      <w:sz w:val="24"/>
      <w:szCs w:val="24"/>
      <w:lang w:val="en-US" w:eastAsia="en-US"/>
    </w:rPr>
  </w:style>
  <w:style w:type="paragraph" w:styleId="1100" w:customStyle="1">
    <w:name w:val="Resource History Date"/>
    <w:link w:val="1101"/>
    <w:pPr>
      <w:pBdr/>
      <w:spacing w:after="120"/>
      <w:ind/>
    </w:pPr>
    <w:rPr>
      <w:rFonts w:ascii="Arial" w:hAnsi="Arial" w:eastAsia="Arial Unicode MS" w:cs="Arial"/>
      <w:color w:val="000000"/>
      <w:sz w:val="24"/>
      <w:szCs w:val="24"/>
      <w:lang w:val="en-US" w:eastAsia="en-US"/>
    </w:rPr>
  </w:style>
  <w:style w:type="character" w:styleId="1101" w:customStyle="1">
    <w:name w:val="Resource History Date Char"/>
    <w:link w:val="1100"/>
    <w:pPr>
      <w:pBdr/>
      <w:spacing/>
      <w:ind/>
    </w:pPr>
    <w:rPr>
      <w:rFonts w:ascii="Arial" w:hAnsi="Arial" w:eastAsia="Arial Unicode MS" w:cs="Arial"/>
      <w:color w:val="000000"/>
      <w:sz w:val="24"/>
      <w:szCs w:val="24"/>
      <w:lang w:val="en-US" w:eastAsia="en-US"/>
    </w:rPr>
  </w:style>
  <w:style w:type="paragraph" w:styleId="1102" w:customStyle="1">
    <w:name w:val="Resource History Desc"/>
    <w:link w:val="1103"/>
    <w:pPr>
      <w:pBdr/>
      <w:spacing w:after="120"/>
      <w:ind/>
    </w:pPr>
    <w:rPr>
      <w:rFonts w:ascii="Verdana" w:hAnsi="Verdana" w:cs="Verdana"/>
      <w:color w:val="000000"/>
      <w:sz w:val="18"/>
      <w:szCs w:val="24"/>
      <w:lang w:val="en-US" w:eastAsia="en-US"/>
    </w:rPr>
  </w:style>
  <w:style w:type="character" w:styleId="1103" w:customStyle="1">
    <w:name w:val="Resource History Desc Char"/>
    <w:link w:val="1102"/>
    <w:pPr>
      <w:pBdr/>
      <w:spacing/>
      <w:ind/>
    </w:pPr>
    <w:rPr>
      <w:rFonts w:ascii="Verdana" w:hAnsi="Verdana" w:eastAsia="Times New Roman" w:cs="Verdana"/>
      <w:color w:val="000000"/>
      <w:sz w:val="18"/>
      <w:szCs w:val="24"/>
      <w:lang w:val="en-US" w:eastAsia="en-US"/>
    </w:rPr>
  </w:style>
  <w:style w:type="paragraph" w:styleId="1104" w:customStyle="1">
    <w:name w:val="Resource History Title"/>
    <w:link w:val="1105"/>
    <w:pPr>
      <w:pBdr/>
      <w:spacing w:after="120"/>
      <w:ind/>
    </w:pPr>
    <w:rPr>
      <w:rFonts w:ascii="Arial" w:hAnsi="Arial" w:eastAsia="Arial Unicode MS" w:cs="Arial"/>
      <w:b/>
      <w:bCs/>
      <w:color w:val="000000"/>
      <w:sz w:val="24"/>
      <w:szCs w:val="22"/>
      <w:lang w:val="en-US" w:eastAsia="en-US"/>
    </w:rPr>
  </w:style>
  <w:style w:type="character" w:styleId="1105" w:customStyle="1">
    <w:name w:val="Resource History Title Char"/>
    <w:link w:val="1104"/>
    <w:pPr>
      <w:pBdr/>
      <w:spacing/>
      <w:ind/>
    </w:pPr>
    <w:rPr>
      <w:rFonts w:ascii="Arial" w:hAnsi="Arial" w:eastAsia="Arial Unicode MS" w:cs="Arial"/>
      <w:b/>
      <w:bCs/>
      <w:color w:val="000000"/>
      <w:sz w:val="24"/>
      <w:lang w:val="en-US" w:eastAsia="en-US"/>
    </w:rPr>
  </w:style>
  <w:style w:type="paragraph" w:styleId="1106" w:customStyle="1">
    <w:name w:val="Resource Type"/>
    <w:link w:val="1107"/>
    <w:pPr>
      <w:pBdr/>
      <w:spacing w:after="120"/>
      <w:ind/>
    </w:pPr>
    <w:rPr>
      <w:rFonts w:ascii="Arial" w:hAnsi="Arial" w:eastAsia="Arial Unicode MS" w:cs="Arial"/>
      <w:color w:val="000000"/>
      <w:sz w:val="24"/>
      <w:szCs w:val="24"/>
      <w:lang w:val="en-US" w:eastAsia="en-US"/>
    </w:rPr>
  </w:style>
  <w:style w:type="character" w:styleId="1107" w:customStyle="1">
    <w:name w:val="Resource Type Char"/>
    <w:link w:val="1106"/>
    <w:pPr>
      <w:pBdr/>
      <w:spacing/>
      <w:ind/>
    </w:pPr>
    <w:rPr>
      <w:rFonts w:ascii="Arial" w:hAnsi="Arial" w:eastAsia="Arial Unicode MS" w:cs="Arial"/>
      <w:color w:val="000000"/>
      <w:sz w:val="24"/>
      <w:szCs w:val="24"/>
      <w:lang w:val="en-US" w:eastAsia="en-US"/>
    </w:rPr>
  </w:style>
  <w:style w:type="paragraph" w:styleId="1108" w:customStyle="1">
    <w:name w:val="Schedule Heading - Single"/>
    <w:basedOn w:val="1024"/>
    <w:next w:val="1024"/>
    <w:pPr>
      <w:numPr>
        <w:numId w:val="6"/>
      </w:numPr>
      <w:pBdr/>
      <w:spacing w:after="360" w:before="240" w:line="300" w:lineRule="atLeast"/>
      <w:ind/>
      <w:jc w:val="both"/>
    </w:pPr>
    <w:rPr>
      <w:rFonts w:eastAsia="Arial Unicode MS"/>
      <w:b/>
      <w:szCs w:val="20"/>
    </w:rPr>
  </w:style>
  <w:style w:type="paragraph" w:styleId="1109" w:customStyle="1">
    <w:name w:val="Schedule Heading"/>
    <w:basedOn w:val="1024"/>
    <w:next w:val="1024"/>
    <w:pPr>
      <w:keepNext w:val="true"/>
      <w:pageBreakBefore w:val="true"/>
      <w:numPr>
        <w:numId w:val="7"/>
      </w:numPr>
      <w:pBdr/>
      <w:spacing w:after="360" w:before="240" w:line="300" w:lineRule="atLeast"/>
      <w:ind/>
      <w:jc w:val="center"/>
      <w:outlineLvl w:val="0"/>
    </w:pPr>
    <w:rPr>
      <w:rFonts w:eastAsia="Arial Unicode MS"/>
      <w:b/>
      <w:szCs w:val="20"/>
    </w:rPr>
  </w:style>
  <w:style w:type="paragraph" w:styleId="1110" w:customStyle="1">
    <w:name w:val="Section Heading"/>
    <w:basedOn w:val="1024"/>
    <w:next w:val="1024"/>
    <w:pPr>
      <w:pBdr/>
      <w:tabs>
        <w:tab w:val="left" w:leader="none" w:pos="709"/>
      </w:tabs>
      <w:spacing w:after="120" w:before="120" w:line="300" w:lineRule="atLeast"/>
      <w:ind/>
      <w:jc w:val="both"/>
    </w:pPr>
    <w:rPr>
      <w:rFonts w:eastAsia="Arial Unicode MS"/>
      <w:b/>
      <w:smallCaps/>
      <w:szCs w:val="20"/>
    </w:rPr>
  </w:style>
  <w:style w:type="paragraph" w:styleId="1111" w:customStyle="1">
    <w:name w:val="Shortquestion"/>
    <w:basedOn w:val="1024"/>
    <w:pPr>
      <w:pBdr/>
      <w:spacing w:after="120" w:line="300" w:lineRule="atLeast"/>
      <w:ind/>
      <w:jc w:val="both"/>
    </w:pPr>
    <w:rPr>
      <w:rFonts w:eastAsia="Arial Unicode MS"/>
      <w:szCs w:val="20"/>
    </w:rPr>
  </w:style>
  <w:style w:type="paragraph" w:styleId="1112" w:customStyle="1">
    <w:name w:val="Speedread Para"/>
    <w:basedOn w:val="1024"/>
    <w:pPr>
      <w:pBdr/>
      <w:spacing w:after="120" w:line="300" w:lineRule="atLeast"/>
      <w:ind/>
      <w:jc w:val="both"/>
    </w:pPr>
    <w:rPr>
      <w:rFonts w:eastAsia="Arial Unicode MS"/>
      <w:szCs w:val="20"/>
    </w:rPr>
  </w:style>
  <w:style w:type="paragraph" w:styleId="1113" w:customStyle="1">
    <w:name w:val="Speedread Section1 Para"/>
    <w:basedOn w:val="1024"/>
    <w:pPr>
      <w:pBdr/>
      <w:spacing w:after="120" w:line="300" w:lineRule="atLeast"/>
      <w:ind/>
      <w:jc w:val="both"/>
    </w:pPr>
    <w:rPr>
      <w:rFonts w:eastAsia="Arial Unicode MS"/>
      <w:szCs w:val="20"/>
    </w:rPr>
  </w:style>
  <w:style w:type="paragraph" w:styleId="1114" w:customStyle="1">
    <w:name w:val="Speedread Section1 Text"/>
    <w:basedOn w:val="1024"/>
    <w:pPr>
      <w:pBdr/>
      <w:spacing w:after="120" w:line="300" w:lineRule="atLeast"/>
      <w:ind/>
      <w:jc w:val="both"/>
    </w:pPr>
    <w:rPr>
      <w:rFonts w:eastAsia="Arial Unicode MS"/>
      <w:szCs w:val="20"/>
    </w:rPr>
  </w:style>
  <w:style w:type="paragraph" w:styleId="1115" w:customStyle="1">
    <w:name w:val="Speedread Text"/>
    <w:basedOn w:val="1024"/>
    <w:pPr>
      <w:pBdr/>
      <w:spacing w:after="120" w:line="300" w:lineRule="atLeast"/>
      <w:ind/>
      <w:jc w:val="both"/>
    </w:pPr>
    <w:rPr>
      <w:rFonts w:eastAsia="Arial Unicode MS"/>
      <w:szCs w:val="20"/>
    </w:rPr>
  </w:style>
  <w:style w:type="paragraph" w:styleId="1116" w:customStyle="1">
    <w:name w:val="Speedread Title"/>
    <w:basedOn w:val="1024"/>
    <w:pPr>
      <w:pBdr/>
      <w:spacing w:after="120" w:line="300" w:lineRule="atLeast"/>
      <w:ind/>
      <w:jc w:val="both"/>
    </w:pPr>
    <w:rPr>
      <w:rFonts w:eastAsia="Arial Unicode MS"/>
      <w:b/>
      <w:sz w:val="36"/>
      <w:szCs w:val="20"/>
    </w:rPr>
  </w:style>
  <w:style w:type="paragraph" w:styleId="1117" w:customStyle="1">
    <w:name w:val="Template Type"/>
    <w:link w:val="1118"/>
    <w:pPr>
      <w:pBdr/>
      <w:spacing w:after="120"/>
      <w:ind/>
    </w:pPr>
    <w:rPr>
      <w:rFonts w:ascii="Arial" w:hAnsi="Arial" w:eastAsia="Arial Unicode MS" w:cs="Arial"/>
      <w:color w:val="000000"/>
      <w:sz w:val="24"/>
      <w:szCs w:val="24"/>
      <w:lang w:val="en-US" w:eastAsia="en-US"/>
    </w:rPr>
  </w:style>
  <w:style w:type="character" w:styleId="1118" w:customStyle="1">
    <w:name w:val="Template Type Char"/>
    <w:link w:val="1117"/>
    <w:pPr>
      <w:pBdr/>
      <w:spacing/>
      <w:ind/>
    </w:pPr>
    <w:rPr>
      <w:rFonts w:ascii="Arial" w:hAnsi="Arial" w:eastAsia="Arial Unicode MS" w:cs="Arial"/>
      <w:color w:val="000000"/>
      <w:sz w:val="24"/>
      <w:szCs w:val="24"/>
      <w:lang w:val="en-US" w:eastAsia="en-US"/>
    </w:rPr>
  </w:style>
  <w:style w:type="paragraph" w:styleId="1119">
    <w:name w:val="Title"/>
    <w:link w:val="1120"/>
    <w:qFormat/>
    <w:pPr>
      <w:pBdr/>
      <w:spacing w:after="120"/>
      <w:ind/>
    </w:pPr>
    <w:rPr>
      <w:rFonts w:ascii="Arial" w:hAnsi="Arial" w:eastAsia="Arial Unicode MS" w:cs="Arial"/>
      <w:color w:val="000000"/>
      <w:sz w:val="24"/>
      <w:szCs w:val="22"/>
      <w:lang w:val="en-US" w:eastAsia="en-US"/>
    </w:rPr>
  </w:style>
  <w:style w:type="character" w:styleId="1120" w:customStyle="1">
    <w:name w:val="Title Char"/>
    <w:link w:val="1119"/>
    <w:pPr>
      <w:pBdr/>
      <w:spacing/>
      <w:ind/>
    </w:pPr>
    <w:rPr>
      <w:rFonts w:ascii="Arial" w:hAnsi="Arial" w:eastAsia="Arial Unicode MS" w:cs="Arial"/>
      <w:color w:val="000000"/>
      <w:sz w:val="24"/>
      <w:lang w:val="en-US" w:eastAsia="en-US"/>
    </w:rPr>
  </w:style>
  <w:style w:type="paragraph" w:styleId="1121">
    <w:name w:val="Footer"/>
    <w:basedOn w:val="1024"/>
    <w:link w:val="1122"/>
    <w:pPr>
      <w:pBdr/>
      <w:tabs>
        <w:tab w:val="center" w:leader="none" w:pos="4153"/>
        <w:tab w:val="right" w:leader="none" w:pos="8306"/>
      </w:tabs>
      <w:spacing w:after="240" w:line="300" w:lineRule="atLeast"/>
      <w:ind/>
      <w:jc w:val="both"/>
    </w:pPr>
    <w:rPr>
      <w:rFonts w:ascii="Times New Roman" w:hAnsi="Times New Roman" w:eastAsia="Times New Roman" w:cs="Times New Roman"/>
      <w:szCs w:val="20"/>
    </w:rPr>
  </w:style>
  <w:style w:type="character" w:styleId="1122" w:customStyle="1">
    <w:name w:val="Footer Char"/>
    <w:link w:val="1121"/>
    <w:pPr>
      <w:pBdr/>
      <w:spacing/>
      <w:ind/>
    </w:pPr>
    <w:rPr>
      <w:rFonts w:ascii="Times New Roman" w:hAnsi="Times New Roman" w:eastAsia="Times New Roman" w:cs="Times New Roman"/>
      <w:color w:val="000000"/>
      <w:szCs w:val="20"/>
      <w:lang w:eastAsia="en-US"/>
    </w:rPr>
  </w:style>
  <w:style w:type="character" w:styleId="1123">
    <w:name w:val="Hyperlink"/>
    <w:uiPriority w:val="99"/>
    <w:pPr>
      <w:pBdr/>
      <w:spacing/>
      <w:ind/>
    </w:pPr>
    <w:rPr>
      <w:rFonts w:ascii="Arial" w:hAnsi="Arial" w:eastAsia="Arial" w:cs="Arial"/>
      <w:i/>
      <w:color w:val="000000"/>
      <w:u w:val="single"/>
    </w:rPr>
  </w:style>
  <w:style w:type="paragraph" w:styleId="1124" w:customStyle="1">
    <w:name w:val="Bullet4"/>
    <w:basedOn w:val="1024"/>
    <w:pPr>
      <w:numPr>
        <w:numId w:val="8"/>
      </w:numPr>
      <w:pBdr/>
      <w:spacing w:after="240" w:line="240" w:lineRule="auto"/>
      <w:ind/>
      <w:jc w:val="both"/>
    </w:pPr>
    <w:rPr>
      <w:rFonts w:ascii="Times New Roman" w:hAnsi="Times New Roman" w:eastAsia="Times New Roman" w:cs="Times New Roman"/>
      <w:szCs w:val="20"/>
    </w:rPr>
  </w:style>
  <w:style w:type="paragraph" w:styleId="1125" w:customStyle="1">
    <w:name w:val="Paragraph"/>
    <w:basedOn w:val="1024"/>
    <w:link w:val="1194"/>
    <w:qFormat/>
    <w:pPr>
      <w:pBdr/>
      <w:spacing w:after="120" w:line="300" w:lineRule="atLeast"/>
      <w:ind/>
      <w:jc w:val="both"/>
    </w:pPr>
    <w:rPr>
      <w:rFonts w:eastAsia="Arial Unicode MS"/>
      <w:szCs w:val="20"/>
    </w:rPr>
  </w:style>
  <w:style w:type="paragraph" w:styleId="1126" w:customStyle="1">
    <w:name w:val="Ignored Template Text"/>
    <w:link w:val="1127"/>
    <w:pPr>
      <w:pBdr>
        <w:top w:val="single" w:color="000000" w:sz="4" w:space="1"/>
        <w:left w:val="single" w:color="000000" w:sz="4" w:space="4"/>
        <w:bottom w:val="single" w:color="000000" w:sz="4" w:space="1"/>
        <w:right w:val="single" w:color="000000" w:sz="4" w:space="4"/>
      </w:pBdr>
      <w:shd w:val="pct15" w:color="auto" w:fill="fbd4b4"/>
      <w:spacing w:after="120"/>
      <w:ind/>
    </w:pPr>
    <w:rPr>
      <w:rFonts w:ascii="Arial" w:hAnsi="Arial" w:eastAsia="Arial Unicode MS" w:cs="Arial"/>
      <w:b/>
      <w:i/>
      <w:color w:val="000000"/>
      <w:sz w:val="22"/>
      <w:szCs w:val="18"/>
      <w:lang w:val="en-US" w:eastAsia="en-US"/>
    </w:rPr>
  </w:style>
  <w:style w:type="character" w:styleId="1127" w:customStyle="1">
    <w:name w:val="Ignored Template Text Char"/>
    <w:link w:val="1126"/>
    <w:pPr>
      <w:pBdr/>
      <w:spacing/>
      <w:ind/>
    </w:pPr>
    <w:rPr>
      <w:rFonts w:ascii="Arial" w:hAnsi="Arial" w:eastAsia="Arial Unicode MS" w:cs="Arial"/>
      <w:b/>
      <w:i/>
      <w:color w:val="000000"/>
      <w:szCs w:val="18"/>
      <w:shd w:val="pct15" w:color="auto" w:fill="fbd4b4"/>
      <w:lang w:val="en-US" w:eastAsia="en-US"/>
    </w:rPr>
  </w:style>
  <w:style w:type="paragraph" w:styleId="1128" w:customStyle="1">
    <w:name w:val="Internal TOC"/>
    <w:pPr>
      <w:pBdr/>
      <w:spacing w:after="120"/>
      <w:ind/>
    </w:pPr>
    <w:rPr>
      <w:rFonts w:ascii="Arial" w:hAnsi="Arial" w:eastAsia="Arial Unicode MS" w:cs="Arial"/>
      <w:color w:val="000000"/>
      <w:sz w:val="22"/>
      <w:szCs w:val="22"/>
      <w:lang w:val="en-US" w:eastAsia="en-US"/>
    </w:rPr>
  </w:style>
  <w:style w:type="paragraph" w:styleId="1129" w:customStyle="1">
    <w:name w:val="Heading Level 1"/>
    <w:basedOn w:val="1024"/>
    <w:next w:val="1125"/>
    <w:pPr>
      <w:keepNext w:val="true"/>
      <w:pBdr/>
      <w:spacing w:after="120" w:line="300" w:lineRule="atLeast"/>
      <w:ind/>
      <w:jc w:val="both"/>
      <w:outlineLvl w:val="1"/>
    </w:pPr>
    <w:rPr>
      <w:rFonts w:eastAsia="Arial Unicode MS"/>
      <w:b/>
      <w:sz w:val="36"/>
      <w:szCs w:val="20"/>
    </w:rPr>
  </w:style>
  <w:style w:type="paragraph" w:styleId="1130" w:customStyle="1">
    <w:name w:val="Heading Level 2"/>
    <w:basedOn w:val="1024"/>
    <w:next w:val="1125"/>
    <w:pPr>
      <w:keepNext w:val="true"/>
      <w:pBdr/>
      <w:spacing w:after="120" w:line="300" w:lineRule="atLeast"/>
      <w:ind/>
      <w:jc w:val="both"/>
      <w:outlineLvl w:val="2"/>
    </w:pPr>
    <w:rPr>
      <w:rFonts w:eastAsia="Arial Unicode MS"/>
      <w:b/>
      <w:sz w:val="28"/>
      <w:szCs w:val="20"/>
    </w:rPr>
  </w:style>
  <w:style w:type="paragraph" w:styleId="1131" w:customStyle="1">
    <w:name w:val="Heading Level 3"/>
    <w:basedOn w:val="1024"/>
    <w:next w:val="1125"/>
    <w:pPr>
      <w:keepNext w:val="true"/>
      <w:pBdr/>
      <w:spacing w:after="120" w:line="300" w:lineRule="atLeast"/>
      <w:ind/>
      <w:jc w:val="both"/>
      <w:outlineLvl w:val="3"/>
    </w:pPr>
    <w:rPr>
      <w:rFonts w:eastAsia="Arial Unicode MS"/>
      <w:b/>
      <w:i/>
      <w:sz w:val="28"/>
      <w:szCs w:val="20"/>
    </w:rPr>
  </w:style>
  <w:style w:type="paragraph" w:styleId="1132">
    <w:name w:val="Header"/>
    <w:basedOn w:val="1024"/>
    <w:link w:val="1133"/>
    <w:uiPriority w:val="99"/>
    <w:unhideWhenUsed/>
    <w:pPr>
      <w:pBdr/>
      <w:tabs>
        <w:tab w:val="center" w:leader="none" w:pos="4513"/>
        <w:tab w:val="right" w:leader="none" w:pos="9026"/>
      </w:tabs>
      <w:spacing w:after="0" w:line="240" w:lineRule="auto"/>
      <w:ind/>
    </w:pPr>
  </w:style>
  <w:style w:type="character" w:styleId="1133" w:customStyle="1">
    <w:name w:val="Header Char"/>
    <w:link w:val="1132"/>
    <w:uiPriority w:val="99"/>
    <w:pPr>
      <w:pBdr/>
      <w:spacing/>
      <w:ind/>
    </w:pPr>
    <w:rPr>
      <w:rFonts w:ascii="Arial" w:hAnsi="Arial" w:eastAsia="Arial" w:cs="Arial"/>
      <w:color w:val="000000"/>
    </w:rPr>
  </w:style>
  <w:style w:type="character" w:styleId="1134">
    <w:name w:val="Placeholder Text"/>
    <w:uiPriority w:val="99"/>
    <w:pPr>
      <w:pBdr/>
      <w:spacing/>
      <w:ind/>
    </w:pPr>
    <w:rPr>
      <w:rFonts w:ascii="Arial" w:hAnsi="Arial" w:eastAsia="Arial" w:cs="Arial"/>
      <w:color w:val="000000"/>
    </w:rPr>
  </w:style>
  <w:style w:type="paragraph" w:styleId="1135">
    <w:name w:val="Balloon Text"/>
    <w:basedOn w:val="1024"/>
    <w:link w:val="1136"/>
    <w:uiPriority w:val="99"/>
    <w:semiHidden/>
    <w:unhideWhenUsed/>
    <w:pPr>
      <w:pBdr/>
      <w:spacing w:after="0" w:line="240" w:lineRule="auto"/>
      <w:ind/>
    </w:pPr>
    <w:rPr>
      <w:rFonts w:ascii="Tahoma" w:hAnsi="Tahoma" w:cs="Tahoma"/>
      <w:sz w:val="16"/>
      <w:szCs w:val="16"/>
    </w:rPr>
  </w:style>
  <w:style w:type="character" w:styleId="1136" w:customStyle="1">
    <w:name w:val="Balloon Text Char"/>
    <w:link w:val="1135"/>
    <w:uiPriority w:val="99"/>
    <w:semiHidden/>
    <w:pPr>
      <w:pBdr/>
      <w:spacing/>
      <w:ind/>
    </w:pPr>
    <w:rPr>
      <w:rFonts w:ascii="Tahoma" w:hAnsi="Tahoma" w:eastAsia="Arial" w:cs="Tahoma"/>
      <w:color w:val="000000"/>
      <w:sz w:val="16"/>
      <w:szCs w:val="16"/>
    </w:rPr>
  </w:style>
  <w:style w:type="paragraph" w:styleId="1137" w:customStyle="1">
    <w:name w:val="PinPoint Ref"/>
    <w:link w:val="1138"/>
    <w:qFormat/>
    <w:pPr>
      <w:pBdr/>
      <w:spacing/>
      <w:ind/>
    </w:pPr>
    <w:rPr>
      <w:rFonts w:ascii="Times New Roman" w:hAnsi="Times New Roman"/>
      <w:b/>
      <w:vanish/>
      <w:color w:val="000000"/>
      <w:sz w:val="18"/>
      <w:lang w:eastAsia="en-US"/>
    </w:rPr>
  </w:style>
  <w:style w:type="character" w:styleId="1138" w:customStyle="1">
    <w:name w:val="PinPoint Ref Char"/>
    <w:link w:val="1137"/>
    <w:pPr>
      <w:pBdr/>
      <w:spacing/>
      <w:ind/>
    </w:pPr>
    <w:rPr>
      <w:rFonts w:ascii="Times New Roman" w:hAnsi="Times New Roman" w:eastAsia="Times New Roman" w:cs="Times New Roman"/>
      <w:b/>
      <w:vanish/>
      <w:color w:val="000000"/>
      <w:sz w:val="18"/>
      <w:szCs w:val="20"/>
      <w:lang w:eastAsia="en-US"/>
    </w:rPr>
  </w:style>
  <w:style w:type="paragraph" w:styleId="1139" w:customStyle="1">
    <w:name w:val="Block Quote"/>
    <w:link w:val="1140"/>
    <w:qFormat/>
    <w:pPr>
      <w:pBdr/>
      <w:spacing w:before="120"/>
      <w:ind w:left="720"/>
    </w:pPr>
    <w:rPr>
      <w:rFonts w:ascii="Arial" w:hAnsi="Arial" w:eastAsia="Arial Unicode MS" w:cs="Arial"/>
      <w:color w:val="000000"/>
      <w:sz w:val="18"/>
      <w:lang w:eastAsia="en-US"/>
    </w:rPr>
  </w:style>
  <w:style w:type="character" w:styleId="1140" w:customStyle="1">
    <w:name w:val="Block Quote Char"/>
    <w:link w:val="1139"/>
    <w:pPr>
      <w:pBdr/>
      <w:spacing/>
      <w:ind/>
    </w:pPr>
    <w:rPr>
      <w:rFonts w:ascii="Arial" w:hAnsi="Arial" w:eastAsia="Arial Unicode MS" w:cs="Arial"/>
      <w:color w:val="000000"/>
      <w:sz w:val="18"/>
      <w:szCs w:val="20"/>
      <w:lang w:eastAsia="en-US"/>
    </w:rPr>
  </w:style>
  <w:style w:type="paragraph" w:styleId="1141" w:customStyle="1">
    <w:name w:val="List Paragraph Level 1"/>
    <w:link w:val="1143"/>
    <w:pPr>
      <w:pBdr/>
      <w:spacing w:after="120"/>
      <w:ind w:left="357"/>
      <w:jc w:val="both"/>
    </w:pPr>
    <w:rPr>
      <w:rFonts w:ascii="Arial" w:hAnsi="Arial" w:eastAsia="Arial Unicode MS" w:cs="Arial"/>
      <w:color w:val="000000"/>
      <w:sz w:val="22"/>
      <w:szCs w:val="24"/>
      <w:lang w:val="en-US" w:eastAsia="en-US"/>
    </w:rPr>
  </w:style>
  <w:style w:type="paragraph" w:styleId="1142" w:customStyle="1">
    <w:name w:val="List Paragraph Level 2"/>
    <w:link w:val="1144"/>
    <w:qFormat/>
    <w:pPr>
      <w:pBdr/>
      <w:spacing w:after="120"/>
      <w:ind w:left="1077"/>
      <w:jc w:val="both"/>
    </w:pPr>
    <w:rPr>
      <w:rFonts w:ascii="Arial" w:hAnsi="Arial" w:eastAsia="Arial Unicode MS" w:cs="Arial"/>
      <w:color w:val="000000"/>
      <w:sz w:val="22"/>
      <w:szCs w:val="24"/>
      <w:lang w:val="en-US" w:eastAsia="en-US"/>
    </w:rPr>
  </w:style>
  <w:style w:type="character" w:styleId="1143" w:customStyle="1">
    <w:name w:val="List Paragraph Level 1 Char"/>
    <w:link w:val="1141"/>
    <w:pPr>
      <w:pBdr/>
      <w:spacing/>
      <w:ind/>
    </w:pPr>
    <w:rPr>
      <w:rFonts w:ascii="Arial" w:hAnsi="Arial" w:eastAsia="Arial Unicode MS" w:cs="Arial"/>
      <w:color w:val="000000"/>
      <w:szCs w:val="24"/>
      <w:lang w:val="en-US" w:eastAsia="en-US"/>
    </w:rPr>
  </w:style>
  <w:style w:type="character" w:styleId="1144" w:customStyle="1">
    <w:name w:val="List Paragraph Level 2 Char"/>
    <w:link w:val="1142"/>
    <w:pPr>
      <w:pBdr/>
      <w:spacing/>
      <w:ind/>
    </w:pPr>
    <w:rPr>
      <w:rFonts w:ascii="Arial" w:hAnsi="Arial" w:eastAsia="Arial Unicode MS" w:cs="Arial"/>
      <w:color w:val="000000"/>
      <w:szCs w:val="24"/>
      <w:lang w:val="en-US" w:eastAsia="en-US"/>
    </w:rPr>
  </w:style>
  <w:style w:type="paragraph" w:styleId="1145" w:customStyle="1">
    <w:name w:val="Intro Default"/>
    <w:basedOn w:val="1125"/>
    <w:qFormat/>
    <w:pPr>
      <w:pBdr/>
      <w:spacing/>
      <w:ind/>
    </w:pPr>
  </w:style>
  <w:style w:type="paragraph" w:styleId="1146" w:customStyle="1">
    <w:name w:val="Intro Custom"/>
    <w:basedOn w:val="1125"/>
    <w:qFormat/>
    <w:pPr>
      <w:pBdr/>
      <w:spacing/>
      <w:ind/>
    </w:pPr>
  </w:style>
  <w:style w:type="paragraph" w:styleId="1147" w:customStyle="1">
    <w:name w:val="Precedent Type"/>
    <w:basedOn w:val="1081"/>
    <w:qFormat/>
    <w:pPr>
      <w:pBdr/>
      <w:spacing/>
      <w:ind/>
    </w:pPr>
  </w:style>
  <w:style w:type="paragraph" w:styleId="1148" w:customStyle="1">
    <w:name w:val="Operative"/>
    <w:basedOn w:val="1081"/>
    <w:qFormat/>
    <w:pPr>
      <w:pBdr/>
      <w:spacing/>
      <w:ind/>
    </w:pPr>
    <w:rPr>
      <w:vanish/>
    </w:rPr>
  </w:style>
  <w:style w:type="paragraph" w:styleId="1149" w:customStyle="1">
    <w:name w:val="Speedread Bullet List 1"/>
    <w:basedOn w:val="1043"/>
    <w:qFormat/>
    <w:pPr>
      <w:pBdr/>
      <w:spacing/>
      <w:ind/>
    </w:pPr>
  </w:style>
  <w:style w:type="paragraph" w:styleId="1150" w:customStyle="1">
    <w:name w:val="Parties Title"/>
    <w:basedOn w:val="1125"/>
    <w:qFormat/>
    <w:pPr>
      <w:pBdr/>
      <w:spacing/>
      <w:ind/>
    </w:pPr>
    <w:rPr>
      <w:b/>
    </w:rPr>
  </w:style>
  <w:style w:type="table" w:styleId="1151">
    <w:name w:val="Table Grid"/>
    <w:basedOn w:val="1035"/>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52" w:customStyle="1">
    <w:name w:val="Question Paragraph"/>
    <w:link w:val="1154"/>
    <w:qFormat/>
    <w:pPr>
      <w:numPr>
        <w:numId w:val="9"/>
      </w:numPr>
      <w:pBdr/>
      <w:shd w:val="clear" w:color="auto" w:fill="d9d9d9"/>
      <w:spacing w:after="120"/>
      <w:ind w:hanging="357" w:left="357"/>
      <w:outlineLvl w:val="0"/>
    </w:pPr>
    <w:rPr>
      <w:rFonts w:ascii="Arial" w:hAnsi="Arial" w:eastAsia="Arial Unicode MS" w:cs="Arial"/>
      <w:color w:val="000000"/>
      <w:sz w:val="22"/>
      <w:szCs w:val="22"/>
      <w:lang w:val="en-US" w:eastAsia="en-US"/>
    </w:rPr>
  </w:style>
  <w:style w:type="paragraph" w:styleId="1153" w:customStyle="1">
    <w:name w:val="Bullet List 1 + Pattern"/>
    <w:basedOn w:val="1043"/>
    <w:qFormat/>
    <w:pPr>
      <w:pBdr/>
      <w:shd w:val="clear" w:color="auto" w:fill="d9d9d9"/>
      <w:spacing w:after="120" w:line="240" w:lineRule="auto"/>
      <w:ind w:hanging="357" w:left="714"/>
    </w:pPr>
  </w:style>
  <w:style w:type="character" w:styleId="1154" w:customStyle="1">
    <w:name w:val="Question Paragraph Char"/>
    <w:link w:val="1152"/>
    <w:pPr>
      <w:pBdr/>
      <w:spacing/>
      <w:ind/>
    </w:pPr>
    <w:rPr>
      <w:rFonts w:ascii="Arial" w:hAnsi="Arial" w:eastAsia="Arial Unicode MS" w:cs="Arial"/>
      <w:color w:val="000000"/>
      <w:sz w:val="22"/>
      <w:szCs w:val="22"/>
      <w:shd w:val="clear" w:color="auto" w:fill="d9d9d9"/>
      <w:lang w:val="en-US" w:eastAsia="en-US"/>
    </w:rPr>
  </w:style>
  <w:style w:type="paragraph" w:styleId="1155" w:customStyle="1">
    <w:name w:val="Bullet List 2 + Pattern"/>
    <w:basedOn w:val="1044"/>
    <w:qFormat/>
    <w:pPr>
      <w:pBdr/>
      <w:shd w:val="clear" w:color="auto" w:fill="d9d9d9"/>
      <w:spacing/>
      <w:ind w:left="1077"/>
    </w:pPr>
  </w:style>
  <w:style w:type="paragraph" w:styleId="1156" w:customStyle="1">
    <w:name w:val="Testimonium Contract"/>
    <w:basedOn w:val="1125"/>
    <w:qFormat/>
    <w:pPr>
      <w:pBdr/>
      <w:spacing/>
      <w:ind/>
    </w:pPr>
  </w:style>
  <w:style w:type="paragraph" w:styleId="1157" w:customStyle="1">
    <w:name w:val="Testimonium Deed"/>
    <w:basedOn w:val="1125"/>
    <w:qFormat/>
    <w:pPr>
      <w:pBdr/>
      <w:spacing/>
      <w:ind/>
    </w:pPr>
  </w:style>
  <w:style w:type="paragraph" w:styleId="1158" w:customStyle="1">
    <w:name w:val="Title subclause2"/>
    <w:basedOn w:val="1091"/>
    <w:qFormat/>
    <w:pPr>
      <w:pBdr/>
      <w:spacing/>
      <w:ind/>
    </w:pPr>
    <w:rPr>
      <w:b/>
    </w:rPr>
  </w:style>
  <w:style w:type="paragraph" w:styleId="1159" w:customStyle="1">
    <w:name w:val="Title subclause3"/>
    <w:basedOn w:val="1093"/>
    <w:qFormat/>
    <w:pPr>
      <w:pBdr/>
      <w:spacing/>
      <w:ind/>
    </w:pPr>
    <w:rPr>
      <w:b/>
    </w:rPr>
  </w:style>
  <w:style w:type="paragraph" w:styleId="1160" w:customStyle="1">
    <w:name w:val="Title subclause4"/>
    <w:basedOn w:val="1095"/>
    <w:qFormat/>
    <w:pPr>
      <w:pBdr/>
      <w:spacing/>
      <w:ind/>
    </w:pPr>
    <w:rPr>
      <w:b/>
    </w:rPr>
  </w:style>
  <w:style w:type="paragraph" w:styleId="1161" w:customStyle="1">
    <w:name w:val="Untitled Clause"/>
    <w:basedOn w:val="1046"/>
    <w:qFormat/>
    <w:pPr>
      <w:pBdr/>
      <w:spacing w:before="120"/>
      <w:ind/>
    </w:pPr>
    <w:rPr>
      <w:b w:val="0"/>
    </w:rPr>
  </w:style>
  <w:style w:type="paragraph" w:styleId="1162" w:customStyle="1">
    <w:name w:val="Title subclause1"/>
    <w:basedOn w:val="1089"/>
    <w:qFormat/>
    <w:pPr>
      <w:pBdr/>
      <w:spacing w:before="120"/>
      <w:ind/>
    </w:pPr>
    <w:rPr>
      <w:b/>
    </w:rPr>
  </w:style>
  <w:style w:type="paragraph" w:styleId="1163" w:customStyle="1">
    <w:name w:val="Schedule"/>
    <w:qFormat/>
    <w:pPr>
      <w:numPr>
        <w:numId w:val="26"/>
      </w:numPr>
      <w:pBdr/>
      <w:spacing w:after="240" w:before="240" w:line="240" w:lineRule="atLeast"/>
      <w:ind/>
    </w:pPr>
    <w:rPr>
      <w:rFonts w:ascii="Arial" w:hAnsi="Arial" w:eastAsia="Arial Unicode MS" w:cs="Arial"/>
      <w:b/>
      <w:color w:val="000000"/>
      <w:sz w:val="28"/>
      <w:szCs w:val="22"/>
      <w:lang w:val="en-US" w:eastAsia="en-US"/>
    </w:rPr>
  </w:style>
  <w:style w:type="character" w:styleId="1164" w:customStyle="1">
    <w:name w:val="Heading 1 Char"/>
    <w:link w:val="1025"/>
    <w:uiPriority w:val="9"/>
    <w:pPr>
      <w:pBdr/>
      <w:spacing/>
      <w:ind/>
    </w:pPr>
    <w:rPr>
      <w:rFonts w:ascii="Cambria" w:hAnsi="Cambria"/>
      <w:b/>
      <w:bCs/>
      <w:color w:val="000000"/>
      <w:sz w:val="28"/>
      <w:szCs w:val="28"/>
    </w:rPr>
  </w:style>
  <w:style w:type="character" w:styleId="1165" w:customStyle="1">
    <w:name w:val="Heading 2 Char"/>
    <w:link w:val="1026"/>
    <w:uiPriority w:val="9"/>
    <w:pPr>
      <w:pBdr/>
      <w:spacing/>
      <w:ind/>
    </w:pPr>
    <w:rPr>
      <w:rFonts w:ascii="Cambria" w:hAnsi="Cambria"/>
      <w:b/>
      <w:bCs/>
      <w:color w:val="000000"/>
      <w:sz w:val="26"/>
      <w:szCs w:val="26"/>
    </w:rPr>
  </w:style>
  <w:style w:type="character" w:styleId="1166" w:customStyle="1">
    <w:name w:val="Heading 3 Char"/>
    <w:link w:val="1027"/>
    <w:uiPriority w:val="9"/>
    <w:pPr>
      <w:pBdr/>
      <w:spacing/>
      <w:ind/>
    </w:pPr>
    <w:rPr>
      <w:rFonts w:ascii="Cambria" w:hAnsi="Cambria"/>
      <w:b/>
      <w:bCs/>
      <w:color w:val="000000"/>
      <w:sz w:val="22"/>
      <w:szCs w:val="22"/>
    </w:rPr>
  </w:style>
  <w:style w:type="character" w:styleId="1167" w:customStyle="1">
    <w:name w:val="Heading 4 Char"/>
    <w:link w:val="1028"/>
    <w:uiPriority w:val="9"/>
    <w:pPr>
      <w:pBdr/>
      <w:spacing/>
      <w:ind/>
    </w:pPr>
    <w:rPr>
      <w:rFonts w:ascii="Cambria" w:hAnsi="Cambria"/>
      <w:b/>
      <w:bCs/>
      <w:i/>
      <w:iCs/>
      <w:color w:val="000000"/>
      <w:sz w:val="22"/>
      <w:szCs w:val="22"/>
    </w:rPr>
  </w:style>
  <w:style w:type="character" w:styleId="1168" w:customStyle="1">
    <w:name w:val="Heading 5 Char"/>
    <w:link w:val="1029"/>
    <w:uiPriority w:val="9"/>
    <w:pPr>
      <w:pBdr/>
      <w:spacing/>
      <w:ind/>
    </w:pPr>
    <w:rPr>
      <w:rFonts w:ascii="Cambria" w:hAnsi="Cambria"/>
      <w:color w:val="000000"/>
      <w:sz w:val="22"/>
      <w:szCs w:val="22"/>
    </w:rPr>
  </w:style>
  <w:style w:type="character" w:styleId="1169" w:customStyle="1">
    <w:name w:val="Heading 6 Char"/>
    <w:link w:val="1030"/>
    <w:uiPriority w:val="9"/>
    <w:pPr>
      <w:pBdr/>
      <w:spacing/>
      <w:ind/>
    </w:pPr>
    <w:rPr>
      <w:rFonts w:ascii="Cambria" w:hAnsi="Cambria"/>
      <w:i/>
      <w:iCs/>
      <w:color w:val="000000"/>
      <w:sz w:val="22"/>
      <w:szCs w:val="22"/>
    </w:rPr>
  </w:style>
  <w:style w:type="character" w:styleId="1170" w:customStyle="1">
    <w:name w:val="Heading 7 Char"/>
    <w:link w:val="1031"/>
    <w:uiPriority w:val="9"/>
    <w:pPr>
      <w:pBdr/>
      <w:spacing/>
      <w:ind/>
    </w:pPr>
    <w:rPr>
      <w:rFonts w:ascii="Cambria" w:hAnsi="Cambria"/>
      <w:i/>
      <w:iCs/>
      <w:color w:val="000000"/>
      <w:sz w:val="22"/>
      <w:szCs w:val="22"/>
    </w:rPr>
  </w:style>
  <w:style w:type="character" w:styleId="1171" w:customStyle="1">
    <w:name w:val="Heading 8 Char"/>
    <w:link w:val="1032"/>
    <w:uiPriority w:val="9"/>
    <w:pPr>
      <w:pBdr/>
      <w:spacing/>
      <w:ind/>
    </w:pPr>
    <w:rPr>
      <w:rFonts w:ascii="Cambria" w:hAnsi="Cambria"/>
      <w:color w:val="000000"/>
    </w:rPr>
  </w:style>
  <w:style w:type="character" w:styleId="1172" w:customStyle="1">
    <w:name w:val="Heading 9 Char"/>
    <w:link w:val="1033"/>
    <w:uiPriority w:val="9"/>
    <w:pPr>
      <w:pBdr/>
      <w:spacing/>
      <w:ind/>
    </w:pPr>
    <w:rPr>
      <w:rFonts w:ascii="Cambria" w:hAnsi="Cambria"/>
      <w:i/>
      <w:iCs/>
      <w:color w:val="000000"/>
    </w:rPr>
  </w:style>
  <w:style w:type="paragraph" w:styleId="1173" w:customStyle="1">
    <w:name w:val="Schedule Title"/>
    <w:basedOn w:val="1125"/>
    <w:qFormat/>
    <w:pPr>
      <w:pBdr/>
      <w:spacing/>
      <w:ind/>
    </w:pPr>
    <w:rPr>
      <w:b/>
    </w:rPr>
  </w:style>
  <w:style w:type="paragraph" w:styleId="1174" w:customStyle="1">
    <w:name w:val="Part"/>
    <w:basedOn w:val="1125"/>
    <w:qFormat/>
    <w:pPr>
      <w:numPr>
        <w:ilvl w:val="1"/>
        <w:numId w:val="22"/>
      </w:numPr>
      <w:pBdr/>
      <w:spacing w:after="240" w:before="240"/>
      <w:ind/>
      <w:jc w:val="left"/>
    </w:pPr>
    <w:rPr>
      <w:b/>
    </w:rPr>
  </w:style>
  <w:style w:type="paragraph" w:styleId="1175" w:customStyle="1">
    <w:name w:val="Annex Title"/>
    <w:basedOn w:val="1125"/>
    <w:next w:val="1125"/>
    <w:qFormat/>
    <w:pPr>
      <w:pBdr/>
      <w:spacing w:after="240" w:before="240"/>
      <w:ind/>
    </w:pPr>
    <w:rPr>
      <w:b/>
    </w:rPr>
  </w:style>
  <w:style w:type="paragraph" w:styleId="1176" w:customStyle="1">
    <w:name w:val="Part Title"/>
    <w:basedOn w:val="1125"/>
    <w:qFormat/>
    <w:pPr>
      <w:pBdr/>
      <w:spacing/>
      <w:ind/>
    </w:pPr>
    <w:rPr>
      <w:b/>
    </w:rPr>
  </w:style>
  <w:style w:type="paragraph" w:styleId="1177" w:customStyle="1">
    <w:name w:val="Testimonium"/>
    <w:basedOn w:val="1125"/>
    <w:qFormat/>
    <w:pPr>
      <w:pBdr/>
      <w:spacing/>
      <w:ind/>
    </w:pPr>
  </w:style>
  <w:style w:type="character" w:styleId="1178" w:customStyle="1">
    <w:name w:val="apple-converted-space"/>
    <w:pPr>
      <w:pBdr/>
      <w:spacing/>
      <w:ind/>
    </w:pPr>
    <w:rPr>
      <w:rFonts w:ascii="Arial" w:hAnsi="Arial" w:eastAsia="Arial" w:cs="Arial"/>
      <w:color w:val="000000"/>
    </w:rPr>
  </w:style>
  <w:style w:type="character" w:styleId="1179">
    <w:name w:val="Emphasis"/>
    <w:uiPriority w:val="20"/>
    <w:qFormat/>
    <w:pPr>
      <w:pBdr/>
      <w:spacing/>
      <w:ind/>
    </w:pPr>
    <w:rPr>
      <w:rFonts w:ascii="Arial" w:hAnsi="Arial" w:eastAsia="Arial" w:cs="Arial"/>
      <w:i/>
      <w:iCs/>
      <w:color w:val="000000"/>
    </w:rPr>
  </w:style>
  <w:style w:type="paragraph" w:styleId="1180" w:customStyle="1">
    <w:name w:val="No Num Title - Clause"/>
    <w:basedOn w:val="1046"/>
    <w:qFormat/>
    <w:pPr>
      <w:numPr>
        <w:numId w:val="0"/>
      </w:numPr>
      <w:pBdr/>
      <w:spacing/>
      <w:ind w:left="720"/>
    </w:pPr>
  </w:style>
  <w:style w:type="paragraph" w:styleId="1181" w:customStyle="1">
    <w:name w:val="No Num Title subclause1"/>
    <w:basedOn w:val="1162"/>
    <w:qFormat/>
    <w:pPr>
      <w:numPr>
        <w:ilvl w:val="0"/>
        <w:numId w:val="0"/>
      </w:numPr>
      <w:pBdr/>
      <w:spacing/>
      <w:ind w:left="720"/>
    </w:pPr>
  </w:style>
  <w:style w:type="paragraph" w:styleId="1182" w:customStyle="1">
    <w:name w:val="Address Line"/>
    <w:basedOn w:val="1125"/>
    <w:qFormat/>
    <w:pPr>
      <w:pBdr/>
      <w:spacing/>
      <w:ind/>
    </w:pPr>
  </w:style>
  <w:style w:type="paragraph" w:styleId="1183">
    <w:name w:val="Date"/>
    <w:basedOn w:val="1125"/>
    <w:qFormat/>
    <w:pPr>
      <w:pBdr/>
      <w:spacing/>
      <w:ind/>
    </w:pPr>
  </w:style>
  <w:style w:type="paragraph" w:styleId="1184" w:customStyle="1">
    <w:name w:val="Salutation Para"/>
    <w:basedOn w:val="1125"/>
    <w:next w:val="1125"/>
    <w:qFormat/>
    <w:pPr>
      <w:pBdr/>
      <w:spacing w:before="240"/>
      <w:ind/>
    </w:pPr>
  </w:style>
  <w:style w:type="character" w:styleId="1185">
    <w:name w:val="FollowedHyperlink"/>
    <w:uiPriority w:val="99"/>
    <w:semiHidden/>
    <w:unhideWhenUsed/>
    <w:pPr>
      <w:pBdr/>
      <w:spacing/>
      <w:ind/>
    </w:pPr>
    <w:rPr>
      <w:rFonts w:ascii="Arial" w:hAnsi="Arial" w:eastAsia="Arial" w:cs="Arial"/>
      <w:i/>
      <w:color w:val="000000"/>
      <w:u w:val="single"/>
    </w:rPr>
  </w:style>
  <w:style w:type="character" w:styleId="1186" w:customStyle="1">
    <w:name w:val="DefTerm"/>
    <w:uiPriority w:val="1"/>
    <w:qFormat/>
    <w:pPr>
      <w:pBdr/>
      <w:spacing/>
      <w:ind/>
    </w:pPr>
    <w:rPr>
      <w:rFonts w:ascii="Arial" w:hAnsi="Arial" w:eastAsia="Arial" w:cs="Arial"/>
      <w:b/>
      <w:color w:val="000000"/>
    </w:rPr>
  </w:style>
  <w:style w:type="table" w:styleId="1187" w:customStyle="1">
    <w:name w:val="Shaded Table"/>
    <w:basedOn w:val="1035"/>
    <w:uiPriority w:val="99"/>
    <w:pPr>
      <w:pBdr/>
      <w:spacing/>
      <w:ind/>
    </w:pPr>
    <w:tblPr>
      <w:tblBorders>
        <w:top w:val="single" w:color="000000" w:sz="4" w:space="0"/>
        <w:left w:val="single" w:color="000000" w:sz="4" w:space="0"/>
        <w:bottom w:val="single" w:color="000000" w:sz="4" w:space="0"/>
        <w:right w:val="single" w:color="000000" w:sz="4" w:space="0"/>
        <w:insideH w:val="none" w:color="000000" w:sz="4" w:space="0"/>
        <w:insideV w:val="none" w:color="000000" w:sz="4" w:space="0"/>
      </w:tblBorders>
    </w:tblPr>
    <w:tcPr>
      <w:shd w:val="clear" w:color="auto" w:fill="eeece1"/>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188" w:customStyle="1">
    <w:name w:val="Letterhead"/>
    <w:basedOn w:val="1125"/>
    <w:qFormat/>
    <w:pPr>
      <w:pBdr/>
      <w:spacing/>
      <w:ind/>
    </w:pPr>
    <w:rPr>
      <w:i/>
    </w:rPr>
  </w:style>
  <w:style w:type="paragraph" w:styleId="1189" w:customStyle="1">
    <w:name w:val="Letter Title"/>
    <w:basedOn w:val="1125"/>
    <w:qFormat/>
    <w:pPr>
      <w:pBdr/>
      <w:spacing/>
      <w:ind/>
    </w:pPr>
    <w:rPr>
      <w:b/>
    </w:rPr>
  </w:style>
  <w:style w:type="paragraph" w:styleId="1190" w:customStyle="1">
    <w:name w:val="Long Question Para"/>
    <w:basedOn w:val="1125"/>
    <w:link w:val="1191"/>
    <w:pPr>
      <w:numPr>
        <w:numId w:val="12"/>
      </w:numPr>
      <w:pBdr/>
      <w:spacing w:after="240" w:before="240" w:line="240" w:lineRule="auto"/>
      <w:ind/>
      <w:outlineLvl w:val="1"/>
    </w:pPr>
    <w:rPr>
      <w:sz w:val="20"/>
      <w:lang w:val="en-US"/>
    </w:rPr>
  </w:style>
  <w:style w:type="character" w:styleId="1191" w:customStyle="1">
    <w:name w:val="Long Question Para Char"/>
    <w:link w:val="1190"/>
    <w:pPr>
      <w:pBdr/>
      <w:spacing/>
      <w:ind/>
    </w:pPr>
    <w:rPr>
      <w:rFonts w:ascii="Arial" w:hAnsi="Arial" w:eastAsia="Arial Unicode MS" w:cs="Arial"/>
      <w:color w:val="000000"/>
      <w:lang w:val="en-US" w:eastAsia="en-US"/>
    </w:rPr>
  </w:style>
  <w:style w:type="paragraph" w:styleId="1192" w:customStyle="1">
    <w:name w:val="Short Question Para"/>
    <w:basedOn w:val="1125"/>
    <w:link w:val="1193"/>
    <w:pPr>
      <w:pBdr/>
      <w:shd w:val="clear" w:color="auto" w:fill="d9d9d9"/>
      <w:tabs>
        <w:tab w:val="left" w:leader="none" w:pos="270"/>
      </w:tabs>
      <w:spacing w:after="40" w:line="240" w:lineRule="auto"/>
      <w:ind/>
      <w:outlineLvl w:val="1"/>
    </w:pPr>
    <w:rPr>
      <w:bCs/>
      <w:sz w:val="20"/>
      <w:lang w:val="en-US"/>
    </w:rPr>
  </w:style>
  <w:style w:type="character" w:styleId="1193" w:customStyle="1">
    <w:name w:val="Short Question Para Char"/>
    <w:link w:val="1192"/>
    <w:pPr>
      <w:pBdr/>
      <w:spacing/>
      <w:ind/>
    </w:pPr>
    <w:rPr>
      <w:rFonts w:ascii="Arial" w:hAnsi="Arial" w:eastAsia="Arial Unicode MS" w:cs="Arial"/>
      <w:bCs/>
      <w:color w:val="000000"/>
      <w:sz w:val="20"/>
      <w:szCs w:val="20"/>
      <w:shd w:val="clear" w:color="auto" w:fill="d9d9d9"/>
      <w:lang w:val="en-US" w:eastAsia="en-US"/>
    </w:rPr>
  </w:style>
  <w:style w:type="character" w:styleId="1194" w:customStyle="1">
    <w:name w:val="Paragraph Char"/>
    <w:link w:val="1125"/>
    <w:pPr>
      <w:pBdr/>
      <w:spacing/>
      <w:ind/>
    </w:pPr>
    <w:rPr>
      <w:rFonts w:ascii="Arial" w:hAnsi="Arial" w:eastAsia="Arial Unicode MS" w:cs="Arial"/>
      <w:color w:val="000000"/>
      <w:szCs w:val="20"/>
      <w:lang w:eastAsia="en-US"/>
    </w:rPr>
  </w:style>
  <w:style w:type="paragraph" w:styleId="1195" w:customStyle="1">
    <w:name w:val="811D3A974D454A258B71E3C4DE24C4F210"/>
    <w:pPr>
      <w:pBdr/>
      <w:spacing w:after="120"/>
      <w:ind/>
    </w:pPr>
    <w:rPr>
      <w:rFonts w:ascii="Arial" w:hAnsi="Arial" w:eastAsia="Arial Unicode MS" w:cs="Arial"/>
      <w:color w:val="000000"/>
      <w:sz w:val="24"/>
      <w:szCs w:val="22"/>
      <w:lang w:val="en-US" w:eastAsia="en-US"/>
    </w:rPr>
  </w:style>
  <w:style w:type="paragraph" w:styleId="1196" w:customStyle="1">
    <w:name w:val="List Paragraph Level 3"/>
    <w:qFormat/>
    <w:pPr>
      <w:pBdr/>
      <w:spacing w:after="120"/>
      <w:ind w:left="2160"/>
    </w:pPr>
    <w:rPr>
      <w:rFonts w:ascii="Times New Roman" w:hAnsi="Times New Roman"/>
      <w:color w:val="000000"/>
      <w:sz w:val="24"/>
      <w:lang w:eastAsia="en-US"/>
    </w:rPr>
  </w:style>
  <w:style w:type="paragraph" w:styleId="1197" w:customStyle="1">
    <w:name w:val="Document Title"/>
    <w:basedOn w:val="1125"/>
    <w:qFormat/>
    <w:pPr>
      <w:pBdr/>
      <w:spacing/>
      <w:ind/>
      <w:jc w:val="center"/>
    </w:pPr>
    <w:rPr>
      <w:sz w:val="28"/>
    </w:rPr>
  </w:style>
  <w:style w:type="paragraph" w:styleId="1198" w:customStyle="1">
    <w:name w:val="Title - Clause"/>
    <w:basedOn w:val="1024"/>
    <w:pPr>
      <w:keepNext w:val="true"/>
      <w:pBdr/>
      <w:tabs>
        <w:tab w:val="num" w:leader="none" w:pos="720"/>
      </w:tabs>
      <w:spacing w:after="240" w:before="240" w:line="300" w:lineRule="atLeast"/>
      <w:ind w:hanging="720" w:left="720"/>
      <w:jc w:val="both"/>
      <w:outlineLvl w:val="0"/>
    </w:pPr>
    <w:rPr>
      <w:rFonts w:eastAsia="Arial Unicode MS"/>
      <w:b/>
      <w:szCs w:val="20"/>
    </w:rPr>
  </w:style>
  <w:style w:type="paragraph" w:styleId="1199" w:customStyle="1">
    <w:name w:val="Para - Clause - no num"/>
    <w:basedOn w:val="1024"/>
    <w:next w:val="1198"/>
    <w:pPr>
      <w:pBdr/>
      <w:spacing w:after="120" w:before="120" w:line="300" w:lineRule="atLeast"/>
      <w:ind w:left="720"/>
      <w:jc w:val="both"/>
    </w:pPr>
    <w:rPr>
      <w:rFonts w:eastAsia="Arial Unicode MS"/>
      <w:szCs w:val="20"/>
    </w:rPr>
  </w:style>
  <w:style w:type="paragraph" w:styleId="1200" w:customStyle="1">
    <w:name w:val="Para - Clause"/>
    <w:basedOn w:val="1198"/>
    <w:qFormat/>
    <w:pPr>
      <w:pBdr/>
      <w:spacing w:before="120"/>
      <w:ind/>
    </w:pPr>
    <w:rPr>
      <w:b w:val="0"/>
    </w:rPr>
  </w:style>
  <w:style w:type="paragraph" w:styleId="1201" w:customStyle="1">
    <w:name w:val="Coversheet Paragraph"/>
    <w:basedOn w:val="1024"/>
    <w:pPr>
      <w:pBdr/>
      <w:spacing w:after="0" w:line="300" w:lineRule="atLeast"/>
      <w:ind/>
      <w:jc w:val="center"/>
    </w:pPr>
    <w:rPr>
      <w:rFonts w:ascii="Times New Roman" w:hAnsi="Times New Roman" w:eastAsia="Times New Roman" w:cs="Times New Roman"/>
      <w:szCs w:val="20"/>
    </w:rPr>
  </w:style>
  <w:style w:type="paragraph" w:styleId="1202" w:customStyle="1">
    <w:name w:val="Coversheet Intro"/>
    <w:basedOn w:val="1050"/>
    <w:qFormat/>
    <w:pPr>
      <w:pBdr/>
      <w:spacing/>
      <w:ind/>
    </w:pPr>
    <w:rPr>
      <w:smallCaps w:val="0"/>
      <w:sz w:val="22"/>
    </w:rPr>
  </w:style>
  <w:style w:type="paragraph" w:styleId="1203" w:customStyle="1">
    <w:name w:val="Coversheet Static Text"/>
    <w:basedOn w:val="1202"/>
    <w:qFormat/>
    <w:pPr>
      <w:pBdr/>
      <w:spacing/>
      <w:ind/>
    </w:pPr>
    <w:rPr>
      <w:b w:val="0"/>
    </w:rPr>
  </w:style>
  <w:style w:type="paragraph" w:styleId="1204" w:customStyle="1">
    <w:name w:val="Coversheet Party"/>
    <w:basedOn w:val="1202"/>
    <w:qFormat/>
    <w:pPr>
      <w:pBdr/>
      <w:spacing/>
      <w:ind/>
    </w:pPr>
  </w:style>
  <w:style w:type="paragraph" w:styleId="1205" w:customStyle="1">
    <w:name w:val="No Num Untitled Clause"/>
    <w:basedOn w:val="1161"/>
    <w:qFormat/>
    <w:pPr>
      <w:numPr>
        <w:numId w:val="0"/>
      </w:numPr>
      <w:pBdr/>
      <w:spacing/>
      <w:ind w:left="720"/>
    </w:pPr>
  </w:style>
  <w:style w:type="paragraph" w:styleId="1206" w:customStyle="1">
    <w:name w:val="Background Subclause1"/>
    <w:basedOn w:val="1042"/>
    <w:qFormat/>
    <w:pPr>
      <w:numPr>
        <w:ilvl w:val="1"/>
      </w:numPr>
      <w:pBdr/>
      <w:spacing/>
      <w:ind/>
    </w:pPr>
  </w:style>
  <w:style w:type="paragraph" w:styleId="1207" w:customStyle="1">
    <w:name w:val="Background Subclause2"/>
    <w:basedOn w:val="1042"/>
    <w:qFormat/>
    <w:pPr>
      <w:numPr>
        <w:ilvl w:val="3"/>
      </w:numPr>
      <w:pBdr/>
      <w:spacing/>
      <w:ind/>
    </w:pPr>
  </w:style>
  <w:style w:type="paragraph" w:styleId="1208" w:customStyle="1">
    <w:name w:val="Heading Level 2 CQA"/>
    <w:basedOn w:val="1130"/>
    <w:qFormat/>
    <w:pPr>
      <w:pBdr/>
      <w:spacing/>
      <w:ind/>
    </w:pPr>
  </w:style>
  <w:style w:type="paragraph" w:styleId="1209" w:customStyle="1">
    <w:name w:val="Clause Bullet 1"/>
    <w:basedOn w:val="1087"/>
    <w:qFormat/>
    <w:pPr>
      <w:numPr>
        <w:numId w:val="13"/>
      </w:numPr>
      <w:pBdr/>
      <w:spacing/>
      <w:ind w:hanging="357" w:left="1077"/>
      <w:outlineLvl w:val="0"/>
    </w:pPr>
  </w:style>
  <w:style w:type="paragraph" w:styleId="1210" w:customStyle="1">
    <w:name w:val="Clause Bullet 2"/>
    <w:basedOn w:val="1087"/>
    <w:qFormat/>
    <w:pPr>
      <w:numPr>
        <w:numId w:val="14"/>
      </w:numPr>
      <w:pBdr/>
      <w:spacing/>
      <w:ind w:hanging="357" w:left="1434"/>
      <w:outlineLvl w:val="1"/>
    </w:pPr>
  </w:style>
  <w:style w:type="paragraph" w:styleId="1211" w:customStyle="1">
    <w:name w:val="subclause 1 Bullet 1"/>
    <w:basedOn w:val="1088"/>
    <w:qFormat/>
    <w:pPr>
      <w:numPr>
        <w:numId w:val="15"/>
      </w:numPr>
      <w:pBdr/>
      <w:spacing/>
      <w:ind w:hanging="357" w:left="1077"/>
    </w:pPr>
  </w:style>
  <w:style w:type="paragraph" w:styleId="1212" w:customStyle="1">
    <w:name w:val="subclause 2 Bullet 1"/>
    <w:basedOn w:val="1090"/>
    <w:qFormat/>
    <w:pPr>
      <w:numPr>
        <w:numId w:val="17"/>
      </w:numPr>
      <w:pBdr/>
      <w:spacing/>
      <w:ind w:hanging="357" w:left="1434"/>
    </w:pPr>
  </w:style>
  <w:style w:type="paragraph" w:styleId="1213" w:customStyle="1">
    <w:name w:val="subclause 3 Bullet 1"/>
    <w:basedOn w:val="1092"/>
    <w:qFormat/>
    <w:pPr>
      <w:numPr>
        <w:numId w:val="16"/>
      </w:numPr>
      <w:pBdr/>
      <w:spacing/>
      <w:ind w:hanging="357" w:left="2273"/>
    </w:pPr>
  </w:style>
  <w:style w:type="paragraph" w:styleId="1214" w:customStyle="1">
    <w:name w:val="subclause 1 Bullet 2"/>
    <w:basedOn w:val="1088"/>
    <w:qFormat/>
    <w:pPr>
      <w:numPr>
        <w:numId w:val="18"/>
      </w:numPr>
      <w:pBdr/>
      <w:spacing/>
      <w:ind w:hanging="357" w:left="1434"/>
    </w:pPr>
  </w:style>
  <w:style w:type="paragraph" w:styleId="1215" w:customStyle="1">
    <w:name w:val="subclause 2 Bullet 2"/>
    <w:basedOn w:val="1090"/>
    <w:qFormat/>
    <w:pPr>
      <w:numPr>
        <w:numId w:val="19"/>
      </w:numPr>
      <w:pBdr/>
      <w:spacing/>
      <w:ind w:hanging="357" w:left="2273"/>
    </w:pPr>
  </w:style>
  <w:style w:type="paragraph" w:styleId="1216" w:customStyle="1">
    <w:name w:val="subclause 3 Bullet 2"/>
    <w:basedOn w:val="1092"/>
    <w:qFormat/>
    <w:pPr>
      <w:numPr>
        <w:numId w:val="20"/>
      </w:numPr>
      <w:pBdr/>
      <w:spacing/>
      <w:ind w:hanging="357" w:left="2982"/>
    </w:pPr>
  </w:style>
  <w:style w:type="paragraph" w:styleId="1217" w:customStyle="1">
    <w:name w:val="Defined Term Bullet"/>
    <w:basedOn w:val="1054"/>
    <w:qFormat/>
    <w:pPr>
      <w:numPr>
        <w:numId w:val="21"/>
      </w:numPr>
      <w:pBdr/>
      <w:spacing/>
      <w:ind/>
    </w:pPr>
  </w:style>
  <w:style w:type="paragraph" w:styleId="1218" w:customStyle="1">
    <w:name w:val="Defined Term Number"/>
    <w:basedOn w:val="1054"/>
    <w:qFormat/>
    <w:pPr>
      <w:numPr>
        <w:ilvl w:val="1"/>
      </w:numPr>
      <w:pBdr/>
      <w:spacing/>
      <w:ind/>
    </w:pPr>
  </w:style>
  <w:style w:type="paragraph" w:styleId="1219" w:customStyle="1">
    <w:name w:val="Additional Title"/>
    <w:basedOn w:val="1125"/>
    <w:qFormat/>
    <w:pPr>
      <w:pBdr/>
      <w:spacing/>
      <w:ind/>
      <w:jc w:val="left"/>
    </w:pPr>
    <w:rPr>
      <w:b/>
    </w:rPr>
  </w:style>
  <w:style w:type="character" w:styleId="1220" w:customStyle="1">
    <w:name w:val="error"/>
    <w:pPr>
      <w:pBdr/>
      <w:spacing/>
      <w:ind/>
    </w:pPr>
    <w:rPr>
      <w:rFonts w:ascii="Arial" w:hAnsi="Arial" w:eastAsia="Arial" w:cs="Arial"/>
      <w:color w:val="000000"/>
    </w:rPr>
  </w:style>
  <w:style w:type="paragraph" w:styleId="1221" w:customStyle="1">
    <w:name w:val="No Num Untitled subclause 1"/>
    <w:basedOn w:val="1089"/>
    <w:qFormat/>
    <w:pPr>
      <w:numPr>
        <w:ilvl w:val="0"/>
        <w:numId w:val="0"/>
      </w:numPr>
      <w:pBdr/>
      <w:spacing/>
      <w:ind w:left="720"/>
    </w:pPr>
  </w:style>
  <w:style w:type="paragraph" w:styleId="1222" w:customStyle="1">
    <w:name w:val="Background Para Clause"/>
    <w:basedOn w:val="1042"/>
    <w:qFormat/>
    <w:pPr>
      <w:numPr>
        <w:numId w:val="0"/>
      </w:numPr>
      <w:pBdr/>
      <w:spacing/>
      <w:ind/>
    </w:pPr>
  </w:style>
  <w:style w:type="paragraph" w:styleId="1223" w:customStyle="1">
    <w:name w:val="Background Para Subclause1"/>
    <w:basedOn w:val="1206"/>
    <w:qFormat/>
    <w:pPr>
      <w:numPr>
        <w:ilvl w:val="0"/>
        <w:numId w:val="0"/>
      </w:numPr>
      <w:pBdr/>
      <w:spacing/>
      <w:ind w:left="994"/>
    </w:pPr>
    <w:rPr>
      <w:lang w:val="en-US"/>
    </w:rPr>
  </w:style>
  <w:style w:type="paragraph" w:styleId="1224" w:customStyle="1">
    <w:name w:val="Background Para Subclause2"/>
    <w:basedOn w:val="1207"/>
    <w:qFormat/>
    <w:pPr>
      <w:numPr>
        <w:ilvl w:val="0"/>
        <w:numId w:val="0"/>
      </w:numPr>
      <w:pBdr/>
      <w:spacing/>
      <w:ind w:left="1701"/>
    </w:pPr>
    <w:rPr>
      <w:lang w:val="en-US"/>
    </w:rPr>
  </w:style>
  <w:style w:type="paragraph" w:styleId="1225" w:customStyle="1">
    <w:name w:val="Clause Bullet Para"/>
    <w:basedOn w:val="1209"/>
    <w:qFormat/>
    <w:pPr>
      <w:numPr>
        <w:numId w:val="0"/>
      </w:numPr>
      <w:pBdr/>
      <w:spacing/>
      <w:ind w:left="1080"/>
    </w:pPr>
    <w:rPr>
      <w:lang w:val="en-US"/>
    </w:rPr>
  </w:style>
  <w:style w:type="paragraph" w:styleId="1226" w:customStyle="1">
    <w:name w:val="Clause Bullet 2 Para"/>
    <w:basedOn w:val="1210"/>
    <w:qFormat/>
    <w:pPr>
      <w:numPr>
        <w:numId w:val="0"/>
      </w:numPr>
      <w:pBdr/>
      <w:spacing/>
      <w:ind w:left="1440"/>
    </w:pPr>
    <w:rPr>
      <w:lang w:val="en-US"/>
    </w:rPr>
  </w:style>
  <w:style w:type="paragraph" w:styleId="1227" w:customStyle="1">
    <w:name w:val="ACTJurisdictionCheckList"/>
    <w:basedOn w:val="1024"/>
    <w:pPr>
      <w:pBdr/>
      <w:spacing w:after="120" w:line="300" w:lineRule="atLeast"/>
      <w:ind/>
    </w:pPr>
    <w:rPr>
      <w:rFonts w:eastAsia="Arial Unicode MS"/>
      <w:b/>
      <w:sz w:val="28"/>
    </w:rPr>
  </w:style>
  <w:style w:type="paragraph" w:styleId="1228" w:customStyle="1">
    <w:name w:val="Jurisdiction Draftingnote Title"/>
    <w:basedOn w:val="1065"/>
    <w:qFormat/>
    <w:pPr>
      <w:pBdr/>
      <w:spacing/>
      <w:ind/>
    </w:pPr>
  </w:style>
  <w:style w:type="paragraph" w:styleId="1229" w:customStyle="1">
    <w:name w:val="Schedule Title Clause"/>
    <w:basedOn w:val="1024"/>
    <w:pPr>
      <w:keepNext w:val="true"/>
      <w:numPr>
        <w:numId w:val="29"/>
      </w:numPr>
      <w:pBdr/>
      <w:spacing w:after="240" w:before="240" w:line="300" w:lineRule="atLeast"/>
      <w:ind/>
      <w:jc w:val="both"/>
      <w:outlineLvl w:val="0"/>
    </w:pPr>
    <w:rPr>
      <w:rFonts w:eastAsia="Arial Unicode MS"/>
      <w:b/>
      <w:szCs w:val="20"/>
    </w:rPr>
  </w:style>
  <w:style w:type="paragraph" w:styleId="1230" w:customStyle="1">
    <w:name w:val="Schedule Untitled subclause 1"/>
    <w:basedOn w:val="1024"/>
    <w:pPr>
      <w:numPr>
        <w:ilvl w:val="1"/>
        <w:numId w:val="29"/>
      </w:numPr>
      <w:pBdr/>
      <w:spacing w:after="120" w:before="280" w:line="300" w:lineRule="atLeast"/>
      <w:ind/>
      <w:jc w:val="both"/>
      <w:outlineLvl w:val="1"/>
    </w:pPr>
    <w:rPr>
      <w:rFonts w:eastAsia="Arial Unicode MS"/>
      <w:szCs w:val="20"/>
    </w:rPr>
  </w:style>
  <w:style w:type="paragraph" w:styleId="1231" w:customStyle="1">
    <w:name w:val="Schedule Untitled subclause 2"/>
    <w:basedOn w:val="1024"/>
    <w:pPr>
      <w:numPr>
        <w:ilvl w:val="2"/>
        <w:numId w:val="29"/>
      </w:numPr>
      <w:pBdr/>
      <w:spacing w:after="120" w:line="300" w:lineRule="atLeast"/>
      <w:ind/>
      <w:jc w:val="both"/>
      <w:outlineLvl w:val="2"/>
    </w:pPr>
    <w:rPr>
      <w:rFonts w:eastAsia="Arial Unicode MS"/>
      <w:szCs w:val="20"/>
    </w:rPr>
  </w:style>
  <w:style w:type="paragraph" w:styleId="1232" w:customStyle="1">
    <w:name w:val="Schedule Untitled subclause 3"/>
    <w:basedOn w:val="1024"/>
    <w:pPr>
      <w:numPr>
        <w:ilvl w:val="3"/>
        <w:numId w:val="29"/>
      </w:numPr>
      <w:pBdr/>
      <w:tabs>
        <w:tab w:val="left" w:leader="none" w:pos="2261"/>
      </w:tabs>
      <w:spacing w:after="120" w:line="300" w:lineRule="atLeast"/>
      <w:ind/>
      <w:jc w:val="both"/>
      <w:outlineLvl w:val="3"/>
    </w:pPr>
    <w:rPr>
      <w:rFonts w:eastAsia="Arial Unicode MS"/>
      <w:szCs w:val="20"/>
    </w:rPr>
  </w:style>
  <w:style w:type="paragraph" w:styleId="1233" w:customStyle="1">
    <w:name w:val="Schedule Untitled subclause 4"/>
    <w:basedOn w:val="1024"/>
    <w:pPr>
      <w:pBdr/>
      <w:spacing w:after="120" w:line="300" w:lineRule="atLeast"/>
      <w:ind/>
      <w:jc w:val="both"/>
      <w:outlineLvl w:val="4"/>
    </w:pPr>
    <w:rPr>
      <w:rFonts w:eastAsia="Arial Unicode MS"/>
      <w:szCs w:val="20"/>
    </w:rPr>
  </w:style>
  <w:style w:type="paragraph" w:styleId="1234" w:customStyle="1">
    <w:name w:val="Bullet List Pattern 1"/>
    <w:basedOn w:val="1043"/>
    <w:qFormat/>
    <w:pPr>
      <w:pBdr/>
      <w:shd w:val="clear" w:color="auto" w:fill="d9d9d9"/>
      <w:spacing w:after="120" w:line="240" w:lineRule="auto"/>
      <w:ind w:hanging="357" w:left="714"/>
    </w:pPr>
  </w:style>
  <w:style w:type="paragraph" w:styleId="1235" w:customStyle="1">
    <w:name w:val="Bullet List Pattern 2"/>
    <w:basedOn w:val="1044"/>
    <w:qFormat/>
    <w:pPr>
      <w:pBdr/>
      <w:shd w:val="clear" w:color="auto" w:fill="d9d9d9"/>
      <w:spacing/>
      <w:ind w:left="1077"/>
    </w:pPr>
  </w:style>
  <w:style w:type="paragraph" w:styleId="1236" w:customStyle="1">
    <w:name w:val="Schedule Untitled Clause"/>
    <w:basedOn w:val="1229"/>
    <w:qFormat/>
    <w:pPr>
      <w:pBdr/>
      <w:spacing w:before="120"/>
      <w:ind/>
    </w:pPr>
    <w:rPr>
      <w:b w:val="0"/>
    </w:rPr>
  </w:style>
  <w:style w:type="paragraph" w:styleId="1237" w:customStyle="1">
    <w:name w:val="Empty Clause Para"/>
    <w:basedOn w:val="1081"/>
    <w:qFormat/>
    <w:pPr>
      <w:pBdr/>
      <w:spacing/>
      <w:ind/>
    </w:pPr>
  </w:style>
  <w:style w:type="paragraph" w:styleId="1238">
    <w:name w:val="List Paragraph"/>
    <w:basedOn w:val="1024"/>
    <w:uiPriority w:val="34"/>
    <w:qFormat/>
    <w:pPr>
      <w:pBdr/>
      <w:spacing/>
      <w:ind w:left="720"/>
      <w:contextualSpacing w:val="true"/>
    </w:pPr>
  </w:style>
  <w:style w:type="paragraph" w:styleId="1239" w:customStyle="1">
    <w:name w:val="Schedule Title subclause1"/>
    <w:basedOn w:val="1230"/>
    <w:qFormat/>
    <w:pPr>
      <w:pBdr/>
      <w:spacing w:before="120"/>
      <w:ind/>
    </w:pPr>
    <w:rPr>
      <w:b/>
    </w:rPr>
  </w:style>
  <w:style w:type="paragraph" w:styleId="1240" w:customStyle="1">
    <w:name w:val="835FF0B0D5344FE4A8EE41F54AA7E17C16"/>
    <w:pPr>
      <w:pBdr/>
      <w:spacing w:after="120"/>
      <w:ind/>
    </w:pPr>
    <w:rPr>
      <w:rFonts w:ascii="Arial" w:hAnsi="Arial"/>
      <w:color w:val="000000"/>
      <w:sz w:val="24"/>
      <w:szCs w:val="24"/>
      <w:lang w:val="en-US" w:eastAsia="en-US"/>
    </w:rPr>
  </w:style>
  <w:style w:type="character" w:styleId="1241" w:customStyle="1">
    <w:name w:val="Unresolved Mention1"/>
    <w:uiPriority w:val="99"/>
    <w:semiHidden/>
    <w:unhideWhenUsed/>
    <w:pPr>
      <w:pBdr/>
      <w:spacing/>
      <w:ind/>
    </w:pPr>
    <w:rPr>
      <w:rFonts w:ascii="Arial" w:hAnsi="Arial" w:eastAsia="Arial" w:cs="Arial"/>
      <w:color w:val="000000"/>
      <w:shd w:val="clear" w:color="auto" w:fill="e6e6e6"/>
    </w:rPr>
  </w:style>
  <w:style w:type="character" w:styleId="1242">
    <w:name w:val="Unresolved Mention"/>
    <w:uiPriority w:val="99"/>
    <w:semiHidden/>
    <w:unhideWhenUsed/>
    <w:pPr>
      <w:pBdr/>
      <w:spacing/>
      <w:ind/>
    </w:pPr>
    <w:rPr>
      <w:rFonts w:ascii="Arial" w:hAnsi="Arial" w:eastAsia="Arial" w:cs="Arial"/>
      <w:color w:val="000000"/>
      <w:shd w:val="clear" w:color="auto" w:fill="e6e6e6"/>
    </w:rPr>
  </w:style>
  <w:style w:type="paragraph" w:styleId="1243" w:customStyle="1">
    <w:name w:val="Sector Specific Note Title"/>
    <w:basedOn w:val="1228"/>
    <w:qFormat/>
    <w:pPr>
      <w:pBdr/>
      <w:spacing/>
      <w:ind/>
    </w:pPr>
  </w:style>
  <w:style w:type="table" w:styleId="1244" w:customStyle="1">
    <w:name w:val="Shaded Table1"/>
    <w:basedOn w:val="1035"/>
    <w:uiPriority w:val="99"/>
    <w:pPr>
      <w:pBdr/>
      <w:spacing/>
      <w:ind/>
    </w:pPr>
    <w:tblPr>
      <w:tblBorders>
        <w:top w:val="single" w:color="000000" w:sz="4" w:space="0"/>
        <w:left w:val="single" w:color="000000" w:sz="4" w:space="0"/>
        <w:bottom w:val="single" w:color="000000" w:sz="4" w:space="0"/>
        <w:right w:val="single" w:color="000000" w:sz="4" w:space="0"/>
        <w:insideH w:val="none" w:color="000000" w:sz="4" w:space="0"/>
        <w:insideV w:val="none" w:color="000000" w:sz="4" w:space="0"/>
      </w:tblBorders>
    </w:tblPr>
    <w:tcPr>
      <w:shd w:val="clear" w:color="auto" w:fill="eeece1"/>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245" w:customStyle="1">
    <w:name w:val="Ignored Empty subclause"/>
    <w:basedOn w:val="1024"/>
    <w:link w:val="1246"/>
    <w:qFormat/>
    <w:pPr>
      <w:pBdr/>
      <w:spacing/>
      <w:ind/>
    </w:pPr>
  </w:style>
  <w:style w:type="character" w:styleId="1246" w:customStyle="1">
    <w:name w:val="Ignored Empty subclause Char"/>
    <w:link w:val="1245"/>
    <w:pPr>
      <w:pBdr/>
      <w:spacing/>
      <w:ind/>
    </w:pPr>
    <w:rPr>
      <w:rFonts w:ascii="Arial" w:hAnsi="Arial" w:eastAsia="Arial" w:cs="Arial"/>
      <w:color w:val="000000"/>
    </w:rPr>
  </w:style>
  <w:style w:type="character" w:styleId="1247">
    <w:name w:val="annotation reference"/>
    <w:uiPriority w:val="99"/>
    <w:semiHidden/>
    <w:unhideWhenUsed/>
    <w:pPr>
      <w:pBdr/>
      <w:spacing/>
      <w:ind/>
    </w:pPr>
    <w:rPr>
      <w:rFonts w:ascii="Arial" w:hAnsi="Arial" w:eastAsia="Arial" w:cs="Arial"/>
      <w:color w:val="000000"/>
      <w:sz w:val="16"/>
      <w:szCs w:val="16"/>
    </w:rPr>
  </w:style>
  <w:style w:type="paragraph" w:styleId="1248">
    <w:name w:val="annotation text"/>
    <w:basedOn w:val="1024"/>
    <w:link w:val="1249"/>
    <w:uiPriority w:val="99"/>
    <w:semiHidden/>
    <w:unhideWhenUsed/>
    <w:pPr>
      <w:pBdr/>
      <w:spacing w:line="240" w:lineRule="auto"/>
      <w:ind/>
    </w:pPr>
    <w:rPr>
      <w:sz w:val="20"/>
      <w:szCs w:val="20"/>
    </w:rPr>
  </w:style>
  <w:style w:type="character" w:styleId="1249" w:customStyle="1">
    <w:name w:val="Comment Text Char"/>
    <w:link w:val="1248"/>
    <w:uiPriority w:val="99"/>
    <w:semiHidden/>
    <w:pPr>
      <w:pBdr/>
      <w:spacing/>
      <w:ind/>
    </w:pPr>
    <w:rPr>
      <w:rFonts w:ascii="Arial" w:hAnsi="Arial" w:eastAsia="Arial" w:cs="Arial"/>
      <w:color w:val="000000"/>
      <w:sz w:val="20"/>
      <w:szCs w:val="20"/>
    </w:rPr>
  </w:style>
  <w:style w:type="paragraph" w:styleId="1250">
    <w:name w:val="annotation subject"/>
    <w:basedOn w:val="1248"/>
    <w:next w:val="1248"/>
    <w:link w:val="1251"/>
    <w:uiPriority w:val="99"/>
    <w:semiHidden/>
    <w:unhideWhenUsed/>
    <w:pPr>
      <w:pBdr/>
      <w:spacing/>
      <w:ind/>
    </w:pPr>
    <w:rPr>
      <w:b/>
      <w:bCs/>
    </w:rPr>
  </w:style>
  <w:style w:type="character" w:styleId="1251" w:customStyle="1">
    <w:name w:val="Comment Subject Char"/>
    <w:link w:val="1250"/>
    <w:uiPriority w:val="99"/>
    <w:semiHidden/>
    <w:pPr>
      <w:pBdr/>
      <w:spacing/>
      <w:ind/>
    </w:pPr>
    <w:rPr>
      <w:rFonts w:ascii="Arial" w:hAnsi="Arial" w:eastAsia="Arial" w:cs="Arial"/>
      <w:b/>
      <w:bCs/>
      <w:color w:val="000000"/>
      <w:sz w:val="20"/>
      <w:szCs w:val="20"/>
    </w:rPr>
  </w:style>
  <w:style w:type="numbering" w:styleId="1252" w:customStyle="1">
    <w:name w:val="ScheduleListStyle"/>
    <w:pPr>
      <w:numPr>
        <w:numId w:val="25"/>
      </w:numPr>
      <w:pBdr/>
      <w:spacing/>
      <w:ind/>
    </w:pPr>
  </w:style>
  <w:style w:type="numbering" w:styleId="1253" w:customStyle="1">
    <w:name w:val="ClauseListStyle"/>
    <w:pPr>
      <w:numPr>
        <w:numId w:val="28"/>
      </w:numPr>
      <w:pBdr/>
      <w:spacing/>
      <w:ind/>
    </w:pPr>
  </w:style>
  <w:style w:type="paragraph" w:styleId="1254">
    <w:name w:val="toc 1"/>
    <w:basedOn w:val="1024"/>
    <w:next w:val="1024"/>
    <w:uiPriority w:val="39"/>
    <w:pPr>
      <w:pBdr/>
      <w:tabs>
        <w:tab w:val="left" w:leader="none" w:pos="480"/>
        <w:tab w:val="right" w:leader="dot" w:pos="9010"/>
      </w:tabs>
      <w:spacing w:after="100" w:line="240" w:lineRule="auto"/>
      <w:ind/>
    </w:pPr>
  </w:style>
  <w:style w:type="paragraph" w:styleId="1255">
    <w:name w:val="List Number 5"/>
    <w:basedOn w:val="1256"/>
    <w:pPr>
      <w:widowControl w:val="false"/>
      <w:pBdr/>
      <w:tabs>
        <w:tab w:val="num" w:leader="none" w:pos="0"/>
      </w:tabs>
      <w:spacing w:after="120" w:line="288" w:lineRule="auto"/>
      <w:ind w:hanging="624" w:left="624"/>
      <w:contextualSpacing w:val="false"/>
      <w:jc w:val="both"/>
    </w:pPr>
    <w:rPr>
      <w:rFonts w:ascii="Times New Roman" w:hAnsi="Times New Roman" w:eastAsia="Arial Unicode MS" w:cs="Arial Unicode MS"/>
      <w:lang w:eastAsia="zh-CN" w:bidi="hi-IN"/>
    </w:rPr>
  </w:style>
  <w:style w:type="paragraph" w:styleId="1256">
    <w:name w:val="List"/>
    <w:basedOn w:val="1024"/>
    <w:uiPriority w:val="99"/>
    <w:semiHidden/>
    <w:unhideWhenUsed/>
    <w:pPr>
      <w:pBdr/>
      <w:spacing/>
      <w:ind w:hanging="283" w:left="283"/>
      <w:contextualSpacing w:val="true"/>
    </w:pPr>
  </w:style>
  <w:style w:type="character" w:styleId="1257" w:customStyle="1">
    <w:name w:val="Character_20_style"/>
    <w:qFormat/>
    <w:pPr>
      <w:pBdr/>
      <w:spacing/>
      <w:ind/>
    </w:pPr>
  </w:style>
  <w:style w:type="paragraph" w:styleId="1258" w:customStyle="1">
    <w:name w:val="Numbering 3 End"/>
    <w:basedOn w:val="1256"/>
    <w:next w:val="1259"/>
    <w:qFormat/>
    <w:pPr>
      <w:widowControl w:val="false"/>
      <w:numPr>
        <w:numId w:val="32"/>
      </w:numPr>
      <w:pBdr/>
      <w:spacing w:after="240" w:line="288" w:lineRule="auto"/>
      <w:ind/>
      <w:contextualSpacing w:val="false"/>
    </w:pPr>
    <w:rPr>
      <w:rFonts w:ascii="Times New Roman" w:hAnsi="Times New Roman" w:eastAsia="Arial Unicode MS" w:cs="Arial Unicode MS"/>
      <w:lang w:eastAsia="zh-CN" w:bidi="hi-IN"/>
    </w:rPr>
  </w:style>
  <w:style w:type="paragraph" w:styleId="1259">
    <w:name w:val="List Number 3"/>
    <w:basedOn w:val="1024"/>
    <w:uiPriority w:val="99"/>
    <w:semiHidden/>
    <w:unhideWhenUsed/>
    <w:pPr>
      <w:pBdr/>
      <w:tabs>
        <w:tab w:val="num" w:leader="none" w:pos="0"/>
      </w:tabs>
      <w:spacing/>
      <w:ind w:hanging="227" w:left="227"/>
      <w:contextualSpacing w:val="true"/>
    </w:pPr>
  </w:style>
  <w:style w:type="paragraph" w:styleId="1260">
    <w:name w:val="footnote text"/>
    <w:basedOn w:val="1024"/>
    <w:link w:val="1261"/>
    <w:uiPriority w:val="99"/>
    <w:semiHidden/>
    <w:unhideWhenUsed/>
    <w:pPr>
      <w:pBdr/>
      <w:spacing w:after="0" w:line="240" w:lineRule="auto"/>
      <w:ind/>
    </w:pPr>
    <w:rPr>
      <w:sz w:val="20"/>
      <w:szCs w:val="20"/>
    </w:rPr>
  </w:style>
  <w:style w:type="character" w:styleId="1261" w:customStyle="1">
    <w:name w:val="Footnote Text Char"/>
    <w:basedOn w:val="1034"/>
    <w:link w:val="1260"/>
    <w:uiPriority w:val="99"/>
    <w:semiHidden/>
    <w:pPr>
      <w:pBdr/>
      <w:spacing/>
      <w:ind/>
    </w:pPr>
    <w:rPr>
      <w:rFonts w:asciiTheme="minorHAnsi" w:hAnsiTheme="minorHAnsi" w:eastAsiaTheme="minorHAnsi" w:cstheme="minorBidi"/>
      <w:lang w:eastAsia="en-US"/>
    </w:rPr>
  </w:style>
  <w:style w:type="character" w:styleId="1262">
    <w:name w:val="footnote reference"/>
    <w:basedOn w:val="1034"/>
    <w:uiPriority w:val="99"/>
    <w:semiHidden/>
    <w:unhideWhenUsed/>
    <w:pPr>
      <w:pBdr/>
      <w:spacing/>
      <w:ind/>
    </w:pPr>
    <w:rPr>
      <w:vertAlign w:val="superscript"/>
    </w:rPr>
  </w:style>
  <w:style w:type="paragraph" w:styleId="1263">
    <w:name w:val="Revision"/>
    <w:hidden/>
    <w:uiPriority w:val="99"/>
    <w:semiHidden/>
    <w:pPr>
      <w:pBdr/>
      <w:spacing/>
      <w:ind/>
    </w:pPr>
    <w:rPr>
      <w:rFonts w:ascii="Arial" w:hAnsi="Arial" w:eastAsiaTheme="minorHAnsi" w:cstheme="minorBidi"/>
      <w:sz w:val="24"/>
      <w:szCs w:val="24"/>
      <w:lang w:val="en-GB" w:eastAsia="en-US"/>
    </w:rPr>
  </w:style>
  <w:style w:type="paragraph" w:styleId="1264">
    <w:name w:val="Body Text"/>
    <w:basedOn w:val="1024"/>
    <w:link w:val="1265"/>
    <w:uiPriority w:val="99"/>
    <w:unhideWhenUsed/>
    <w:pPr>
      <w:pBdr/>
      <w:spacing w:after="120"/>
      <w:ind/>
    </w:pPr>
  </w:style>
  <w:style w:type="character" w:styleId="1265" w:customStyle="1">
    <w:name w:val="Body Text Char"/>
    <w:basedOn w:val="1034"/>
    <w:link w:val="1264"/>
    <w:uiPriority w:val="99"/>
    <w:pPr>
      <w:pBdr/>
      <w:spacing/>
      <w:ind/>
    </w:pPr>
    <w:rPr>
      <w:rFonts w:ascii="Arial" w:hAnsi="Arial" w:eastAsiaTheme="minorHAnsi" w:cstheme="minorBidi"/>
      <w:sz w:val="24"/>
      <w:szCs w:val="24"/>
      <w:lang w:val="en-GB" w:eastAsia="en-US"/>
    </w:rPr>
  </w:style>
  <w:style w:type="paragraph" w:styleId="1266" w:customStyle="1">
    <w:name w:val="Table Contents"/>
    <w:basedOn w:val="1024"/>
    <w:qFormat/>
    <w:pPr>
      <w:widowControl w:val="false"/>
      <w:suppressLineNumbers w:val="true"/>
      <w:pBdr/>
      <w:spacing w:after="0" w:line="240" w:lineRule="auto"/>
      <w:ind/>
    </w:pPr>
    <w:rPr>
      <w:rFonts w:ascii="Liberation Serif" w:hAnsi="Liberation Serif" w:eastAsia="Arial Unicode MS" w:cs="Arial Unicode MS"/>
      <w:lang w:eastAsia="zh-CN" w:bidi="hi-IN"/>
    </w:rPr>
  </w:style>
  <w:style w:type="paragraph" w:styleId="1267" w:customStyle="1">
    <w:name w:val="Table Heading"/>
    <w:basedOn w:val="1266"/>
    <w:qFormat/>
    <w:pPr>
      <w:pBdr/>
      <w:spacing/>
      <w:ind/>
      <w:jc w:val="center"/>
    </w:pPr>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customXml" Target="../customXml/item1.xml" /><Relationship Id="rId14" Type="http://schemas.openxmlformats.org/officeDocument/2006/relationships/customXml" Target="../customXml/item2.xml" /><Relationship Id="rId15" Type="http://schemas.openxmlformats.org/officeDocument/2006/relationships/customXml" Target="../customXml/item3.xml" /><Relationship Id="rId16" Type="http://schemas.openxmlformats.org/officeDocument/2006/relationships/customXml" Target="../customXml/item4.xml" /><Relationship Id="rId17" Type="http://schemas.openxmlformats.org/officeDocument/2006/relationships/hyperlink" Target="https://www.skillnetmmcaccelerate.ie/en" TargetMode="External"/><Relationship Id="rId18" Type="http://schemas.openxmlformats.org/officeDocument/2006/relationships/hyperlink" Target="mailto:maeve@annertech.com" TargetMode="External"/><Relationship Id="rId19" Type="http://schemas.openxmlformats.org/officeDocument/2006/relationships/comments" Target="comments.xml" /><Relationship Id="rId20" Type="http://schemas.microsoft.com/office/2011/relationships/commentsExtended" Target="commentsExtended.xml" /><Relationship Id="rId21" Type="http://schemas.microsoft.com/office/2018/08/relationships/commentsExtensible" Target="commentsExtensible.xml" /><Relationship Id="rId22" Type="http://schemas.microsoft.com/office/2016/09/relationships/commentsIds" Target="commentsIds.xml" /><Relationship Id="rId23" Type="http://schemas.microsoft.com/office/2011/relationships/people" Target="people.xml" /><Relationship Id="rId24" Type="http://schemas.onlyoffice.com/commentsDocument" Target="commentsDocument.xml" /><Relationship Id="rId25" Type="http://schemas.onlyoffice.com/commentsExtendedDocument" Target="commentsExtendedDocument.xml" /><Relationship Id="rId26" Type="http://schemas.onlyoffice.com/commentsExtensibleDocument" Target="commentsExtensibleDocument.xml" /><Relationship Id="rId27" Type="http://schemas.onlyoffice.com/commentsIdsDocument" Target="commentsIdsDocument.xml" /><Relationship Id="rId28" Type="http://schemas.onlyoffice.com/peopleDocument" Target="peopleDocument.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Parts>
    <w:docPart>
      <w:docPartPr>
        <w:name w:val="DefaultPlaceholder_TEXT"/>
        <w:category>
          <w:name w:val="Common"/>
          <w:gallery w:val="placeholder"/>
        </w:category>
        <w:types>
          <w:type w:val="bbPlcHdr"/>
        </w:types>
        <w:behaviors>
          <w:behavior w:val="content"/>
        </w:behaviors>
      </w:docPartPr>
      <w:docPartBody>
        <w:p>
          <w:pPr>
            <w:pBdr/>
            <w:spacing/>
            <w:ind/>
            <w:rPr/>
          </w:pPr>
          <w:r>
            <w:rPr>
              <w:rStyle w:val="1134"/>
            </w:rPr>
            <w:t xml:space="preserve">Your text here</w:t>
          </w:r>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8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Right m:val="true"/>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73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9">
    <w:name w:val="Table Grid"/>
    <w:basedOn w:val="1738"/>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0">
    <w:name w:val="Table Grid Light"/>
    <w:basedOn w:val="173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1">
    <w:name w:val="Plain Table 1"/>
    <w:basedOn w:val="173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2">
    <w:name w:val="Plain Table 2"/>
    <w:basedOn w:val="173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3">
    <w:name w:val="Plain Table 3"/>
    <w:basedOn w:val="173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4">
    <w:name w:val="Plain Table 4"/>
    <w:basedOn w:val="173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5">
    <w:name w:val="Plain Table 5"/>
    <w:basedOn w:val="173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6">
    <w:name w:val="Grid Table 1 Light"/>
    <w:basedOn w:val="173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7">
    <w:name w:val="Grid Table 1 Light - Accent 1"/>
    <w:basedOn w:val="173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8">
    <w:name w:val="Grid Table 1 Light - Accent 2"/>
    <w:basedOn w:val="173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49">
    <w:name w:val="Grid Table 1 Light - Accent 3"/>
    <w:basedOn w:val="173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0">
    <w:name w:val="Grid Table 1 Light - Accent 4"/>
    <w:basedOn w:val="173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1">
    <w:name w:val="Grid Table 1 Light - Accent 5"/>
    <w:basedOn w:val="173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2">
    <w:name w:val="Grid Table 1 Light - Accent 6"/>
    <w:basedOn w:val="173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3">
    <w:name w:val="Grid Table 2"/>
    <w:basedOn w:val="173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4">
    <w:name w:val="Grid Table 2 - Accent 1"/>
    <w:basedOn w:val="173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5">
    <w:name w:val="Grid Table 2 - Accent 2"/>
    <w:basedOn w:val="173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6">
    <w:name w:val="Grid Table 2 - Accent 3"/>
    <w:basedOn w:val="173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7">
    <w:name w:val="Grid Table 2 - Accent 4"/>
    <w:basedOn w:val="173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8">
    <w:name w:val="Grid Table 2 - Accent 5"/>
    <w:basedOn w:val="173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59">
    <w:name w:val="Grid Table 2 - Accent 6"/>
    <w:basedOn w:val="173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0">
    <w:name w:val="Grid Table 3"/>
    <w:basedOn w:val="173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1">
    <w:name w:val="Grid Table 3 - Accent 1"/>
    <w:basedOn w:val="173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2">
    <w:name w:val="Grid Table 3 - Accent 2"/>
    <w:basedOn w:val="173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3">
    <w:name w:val="Grid Table 3 - Accent 3"/>
    <w:basedOn w:val="173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4">
    <w:name w:val="Grid Table 3 - Accent 4"/>
    <w:basedOn w:val="173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5">
    <w:name w:val="Grid Table 3 - Accent 5"/>
    <w:basedOn w:val="173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6">
    <w:name w:val="Grid Table 3 - Accent 6"/>
    <w:basedOn w:val="173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7">
    <w:name w:val="Grid Table 4"/>
    <w:basedOn w:val="173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8">
    <w:name w:val="Grid Table 4 - Accent 1"/>
    <w:basedOn w:val="173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69">
    <w:name w:val="Grid Table 4 - Accent 2"/>
    <w:basedOn w:val="173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0">
    <w:name w:val="Grid Table 4 - Accent 3"/>
    <w:basedOn w:val="173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1">
    <w:name w:val="Grid Table 4 - Accent 4"/>
    <w:basedOn w:val="173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2">
    <w:name w:val="Grid Table 4 - Accent 5"/>
    <w:basedOn w:val="173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3">
    <w:name w:val="Grid Table 4 - Accent 6"/>
    <w:basedOn w:val="173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4">
    <w:name w:val="Grid Table 5 Dark"/>
    <w:basedOn w:val="173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5">
    <w:name w:val="Grid Table 5 Dark- Accent 1"/>
    <w:basedOn w:val="173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6">
    <w:name w:val="Grid Table 5 Dark - Accent 2"/>
    <w:basedOn w:val="173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7">
    <w:name w:val="Grid Table 5 Dark - Accent 3"/>
    <w:basedOn w:val="173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8">
    <w:name w:val="Grid Table 5 Dark- Accent 4"/>
    <w:basedOn w:val="173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79">
    <w:name w:val="Grid Table 5 Dark - Accent 5"/>
    <w:basedOn w:val="173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0">
    <w:name w:val="Grid Table 5 Dark - Accent 6"/>
    <w:basedOn w:val="173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1">
    <w:name w:val="Grid Table 6 Colorful"/>
    <w:basedOn w:val="173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1782">
    <w:name w:val="Grid Table 6 Colorful - Accent 1"/>
    <w:basedOn w:val="173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1783">
    <w:name w:val="Grid Table 6 Colorful - Accent 2"/>
    <w:basedOn w:val="173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1784">
    <w:name w:val="Grid Table 6 Colorful - Accent 3"/>
    <w:basedOn w:val="173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1785">
    <w:name w:val="Grid Table 6 Colorful - Accent 4"/>
    <w:basedOn w:val="173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1786">
    <w:name w:val="Grid Table 6 Colorful - Accent 5"/>
    <w:basedOn w:val="173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787">
    <w:name w:val="Grid Table 6 Colorful - Accent 6"/>
    <w:basedOn w:val="173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788">
    <w:name w:val="Grid Table 7 Colorful"/>
    <w:basedOn w:val="173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89">
    <w:name w:val="Grid Table 7 Colorful - Accent 1"/>
    <w:basedOn w:val="173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0">
    <w:name w:val="Grid Table 7 Colorful - Accent 2"/>
    <w:basedOn w:val="173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1">
    <w:name w:val="Grid Table 7 Colorful - Accent 3"/>
    <w:basedOn w:val="173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2">
    <w:name w:val="Grid Table 7 Colorful - Accent 4"/>
    <w:basedOn w:val="173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3">
    <w:name w:val="Grid Table 7 Colorful - Accent 5"/>
    <w:basedOn w:val="173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4">
    <w:name w:val="Grid Table 7 Colorful - Accent 6"/>
    <w:basedOn w:val="173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5">
    <w:name w:val="List Table 1 Light"/>
    <w:basedOn w:val="173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6">
    <w:name w:val="List Table 1 Light - Accent 1"/>
    <w:basedOn w:val="173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7">
    <w:name w:val="List Table 1 Light - Accent 2"/>
    <w:basedOn w:val="173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8">
    <w:name w:val="List Table 1 Light - Accent 3"/>
    <w:basedOn w:val="173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99">
    <w:name w:val="List Table 1 Light - Accent 4"/>
    <w:basedOn w:val="173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0">
    <w:name w:val="List Table 1 Light - Accent 5"/>
    <w:basedOn w:val="173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1">
    <w:name w:val="List Table 1 Light - Accent 6"/>
    <w:basedOn w:val="173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2">
    <w:name w:val="List Table 2"/>
    <w:basedOn w:val="173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3">
    <w:name w:val="List Table 2 - Accent 1"/>
    <w:basedOn w:val="173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4">
    <w:name w:val="List Table 2 - Accent 2"/>
    <w:basedOn w:val="173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5">
    <w:name w:val="List Table 2 - Accent 3"/>
    <w:basedOn w:val="173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6">
    <w:name w:val="List Table 2 - Accent 4"/>
    <w:basedOn w:val="173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7">
    <w:name w:val="List Table 2 - Accent 5"/>
    <w:basedOn w:val="173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8">
    <w:name w:val="List Table 2 - Accent 6"/>
    <w:basedOn w:val="173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09">
    <w:name w:val="List Table 3"/>
    <w:basedOn w:val="173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0">
    <w:name w:val="List Table 3 - Accent 1"/>
    <w:basedOn w:val="173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1">
    <w:name w:val="List Table 3 - Accent 2"/>
    <w:basedOn w:val="173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2">
    <w:name w:val="List Table 3 - Accent 3"/>
    <w:basedOn w:val="173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3">
    <w:name w:val="List Table 3 - Accent 4"/>
    <w:basedOn w:val="173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4">
    <w:name w:val="List Table 3 - Accent 5"/>
    <w:basedOn w:val="173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5">
    <w:name w:val="List Table 3 - Accent 6"/>
    <w:basedOn w:val="173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6">
    <w:name w:val="List Table 4"/>
    <w:basedOn w:val="173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7">
    <w:name w:val="List Table 4 - Accent 1"/>
    <w:basedOn w:val="173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8">
    <w:name w:val="List Table 4 - Accent 2"/>
    <w:basedOn w:val="173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19">
    <w:name w:val="List Table 4 - Accent 3"/>
    <w:basedOn w:val="173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0">
    <w:name w:val="List Table 4 - Accent 4"/>
    <w:basedOn w:val="173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1">
    <w:name w:val="List Table 4 - Accent 5"/>
    <w:basedOn w:val="173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2">
    <w:name w:val="List Table 4 - Accent 6"/>
    <w:basedOn w:val="173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23">
    <w:name w:val="List Table 5 Dark"/>
    <w:basedOn w:val="173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824">
    <w:name w:val="List Table 5 Dark - Accent 1"/>
    <w:basedOn w:val="173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825">
    <w:name w:val="List Table 5 Dark - Accent 2"/>
    <w:basedOn w:val="173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826">
    <w:name w:val="List Table 5 Dark - Accent 3"/>
    <w:basedOn w:val="173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827">
    <w:name w:val="List Table 5 Dark - Accent 4"/>
    <w:basedOn w:val="173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828">
    <w:name w:val="List Table 5 Dark - Accent 5"/>
    <w:basedOn w:val="173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829">
    <w:name w:val="List Table 5 Dark - Accent 6"/>
    <w:basedOn w:val="173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830">
    <w:name w:val="List Table 6 Colorful"/>
    <w:basedOn w:val="173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1">
    <w:name w:val="List Table 6 Colorful - Accent 1"/>
    <w:basedOn w:val="173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2">
    <w:name w:val="List Table 6 Colorful - Accent 2"/>
    <w:basedOn w:val="173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3">
    <w:name w:val="List Table 6 Colorful - Accent 3"/>
    <w:basedOn w:val="173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4">
    <w:name w:val="List Table 6 Colorful - Accent 4"/>
    <w:basedOn w:val="173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5">
    <w:name w:val="List Table 6 Colorful - Accent 5"/>
    <w:basedOn w:val="173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6">
    <w:name w:val="List Table 6 Colorful - Accent 6"/>
    <w:basedOn w:val="173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37">
    <w:name w:val="List Table 7 Colorful"/>
    <w:basedOn w:val="173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838">
    <w:name w:val="List Table 7 Colorful - Accent 1"/>
    <w:basedOn w:val="173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839">
    <w:name w:val="List Table 7 Colorful - Accent 2"/>
    <w:basedOn w:val="173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840">
    <w:name w:val="List Table 7 Colorful - Accent 3"/>
    <w:basedOn w:val="173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841">
    <w:name w:val="List Table 7 Colorful - Accent 4"/>
    <w:basedOn w:val="173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842">
    <w:name w:val="List Table 7 Colorful - Accent 5"/>
    <w:basedOn w:val="173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843">
    <w:name w:val="List Table 7 Colorful - Accent 6"/>
    <w:basedOn w:val="173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844">
    <w:name w:val="Lined - Accent"/>
    <w:basedOn w:val="173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45">
    <w:name w:val="Lined - Accent 1"/>
    <w:basedOn w:val="173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46">
    <w:name w:val="Lined - Accent 2"/>
    <w:basedOn w:val="173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47">
    <w:name w:val="Lined - Accent 3"/>
    <w:basedOn w:val="173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48">
    <w:name w:val="Lined - Accent 4"/>
    <w:basedOn w:val="173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49">
    <w:name w:val="Lined - Accent 5"/>
    <w:basedOn w:val="173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0">
    <w:name w:val="Lined - Accent 6"/>
    <w:basedOn w:val="173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1">
    <w:name w:val="Bordered &amp; Lined - Accent"/>
    <w:basedOn w:val="173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2">
    <w:name w:val="Bordered &amp; Lined - Accent 1"/>
    <w:basedOn w:val="173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3">
    <w:name w:val="Bordered &amp; Lined - Accent 2"/>
    <w:basedOn w:val="173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4">
    <w:name w:val="Bordered &amp; Lined - Accent 3"/>
    <w:basedOn w:val="173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5">
    <w:name w:val="Bordered &amp; Lined - Accent 4"/>
    <w:basedOn w:val="173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6">
    <w:name w:val="Bordered &amp; Lined - Accent 5"/>
    <w:basedOn w:val="173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7">
    <w:name w:val="Bordered &amp; Lined - Accent 6"/>
    <w:basedOn w:val="173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8">
    <w:name w:val="Bordered"/>
    <w:basedOn w:val="173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59">
    <w:name w:val="Bordered - Accent 1"/>
    <w:basedOn w:val="173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60">
    <w:name w:val="Bordered - Accent 2"/>
    <w:basedOn w:val="173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61">
    <w:name w:val="Bordered - Accent 3"/>
    <w:basedOn w:val="173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62">
    <w:name w:val="Bordered - Accent 4"/>
    <w:basedOn w:val="173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63">
    <w:name w:val="Bordered - Accent 5"/>
    <w:basedOn w:val="173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64">
    <w:name w:val="Bordered - Accent 6"/>
    <w:basedOn w:val="173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865" w:default="1">
    <w:name w:val="Normal"/>
    <w:qFormat/>
    <w:pPr>
      <w:pBdr/>
      <w:spacing/>
      <w:ind/>
    </w:pPr>
  </w:style>
  <w:style w:type="paragraph" w:styleId="1866">
    <w:name w:val="Heading 1"/>
    <w:basedOn w:val="1865"/>
    <w:next w:val="1865"/>
    <w:link w:val="187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867">
    <w:name w:val="Heading 2"/>
    <w:basedOn w:val="1865"/>
    <w:next w:val="1865"/>
    <w:link w:val="187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868">
    <w:name w:val="Heading 3"/>
    <w:basedOn w:val="1865"/>
    <w:next w:val="1865"/>
    <w:link w:val="187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869">
    <w:name w:val="Heading 4"/>
    <w:basedOn w:val="1865"/>
    <w:next w:val="1865"/>
    <w:link w:val="188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870">
    <w:name w:val="Heading 5"/>
    <w:basedOn w:val="1865"/>
    <w:next w:val="1865"/>
    <w:link w:val="18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871">
    <w:name w:val="Heading 6"/>
    <w:basedOn w:val="1865"/>
    <w:next w:val="1865"/>
    <w:link w:val="18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872">
    <w:name w:val="Heading 7"/>
    <w:basedOn w:val="1865"/>
    <w:next w:val="1865"/>
    <w:link w:val="18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873">
    <w:name w:val="Heading 8"/>
    <w:basedOn w:val="1865"/>
    <w:next w:val="1865"/>
    <w:link w:val="18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874">
    <w:name w:val="Heading 9"/>
    <w:basedOn w:val="1865"/>
    <w:next w:val="1865"/>
    <w:link w:val="18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875" w:default="1">
    <w:name w:val="Default Paragraph Font"/>
    <w:uiPriority w:val="1"/>
    <w:semiHidden/>
    <w:unhideWhenUsed/>
    <w:pPr>
      <w:pBdr/>
      <w:spacing/>
      <w:ind/>
    </w:pPr>
  </w:style>
  <w:style w:type="numbering" w:styleId="1876" w:default="1">
    <w:name w:val="No List"/>
    <w:uiPriority w:val="99"/>
    <w:semiHidden/>
    <w:unhideWhenUsed/>
    <w:pPr>
      <w:pBdr/>
      <w:spacing/>
      <w:ind/>
    </w:pPr>
  </w:style>
  <w:style w:type="character" w:styleId="1877">
    <w:name w:val="Heading 1 Char"/>
    <w:basedOn w:val="1875"/>
    <w:link w:val="1866"/>
    <w:uiPriority w:val="9"/>
    <w:pPr>
      <w:pBdr/>
      <w:spacing/>
      <w:ind/>
    </w:pPr>
    <w:rPr>
      <w:rFonts w:ascii="Arial" w:hAnsi="Arial" w:eastAsia="Arial" w:cs="Arial"/>
      <w:color w:val="0f4761" w:themeColor="accent1" w:themeShade="BF"/>
      <w:sz w:val="40"/>
      <w:szCs w:val="40"/>
    </w:rPr>
  </w:style>
  <w:style w:type="character" w:styleId="1878">
    <w:name w:val="Heading 2 Char"/>
    <w:basedOn w:val="1875"/>
    <w:link w:val="1867"/>
    <w:uiPriority w:val="9"/>
    <w:pPr>
      <w:pBdr/>
      <w:spacing/>
      <w:ind/>
    </w:pPr>
    <w:rPr>
      <w:rFonts w:ascii="Arial" w:hAnsi="Arial" w:eastAsia="Arial" w:cs="Arial"/>
      <w:color w:val="0f4761" w:themeColor="accent1" w:themeShade="BF"/>
      <w:sz w:val="32"/>
      <w:szCs w:val="32"/>
    </w:rPr>
  </w:style>
  <w:style w:type="character" w:styleId="1879">
    <w:name w:val="Heading 3 Char"/>
    <w:basedOn w:val="1875"/>
    <w:link w:val="1868"/>
    <w:uiPriority w:val="9"/>
    <w:pPr>
      <w:pBdr/>
      <w:spacing/>
      <w:ind/>
    </w:pPr>
    <w:rPr>
      <w:rFonts w:ascii="Arial" w:hAnsi="Arial" w:eastAsia="Arial" w:cs="Arial"/>
      <w:color w:val="0f4761" w:themeColor="accent1" w:themeShade="BF"/>
      <w:sz w:val="28"/>
      <w:szCs w:val="28"/>
    </w:rPr>
  </w:style>
  <w:style w:type="character" w:styleId="1880">
    <w:name w:val="Heading 4 Char"/>
    <w:basedOn w:val="1875"/>
    <w:link w:val="1869"/>
    <w:uiPriority w:val="9"/>
    <w:pPr>
      <w:pBdr/>
      <w:spacing/>
      <w:ind/>
    </w:pPr>
    <w:rPr>
      <w:rFonts w:ascii="Arial" w:hAnsi="Arial" w:eastAsia="Arial" w:cs="Arial"/>
      <w:i/>
      <w:iCs/>
      <w:color w:val="0f4761" w:themeColor="accent1" w:themeShade="BF"/>
    </w:rPr>
  </w:style>
  <w:style w:type="character" w:styleId="1881">
    <w:name w:val="Heading 5 Char"/>
    <w:basedOn w:val="1875"/>
    <w:link w:val="1870"/>
    <w:uiPriority w:val="9"/>
    <w:pPr>
      <w:pBdr/>
      <w:spacing/>
      <w:ind/>
    </w:pPr>
    <w:rPr>
      <w:rFonts w:ascii="Arial" w:hAnsi="Arial" w:eastAsia="Arial" w:cs="Arial"/>
      <w:color w:val="0f4761" w:themeColor="accent1" w:themeShade="BF"/>
    </w:rPr>
  </w:style>
  <w:style w:type="character" w:styleId="1882">
    <w:name w:val="Heading 6 Char"/>
    <w:basedOn w:val="1875"/>
    <w:link w:val="1871"/>
    <w:uiPriority w:val="9"/>
    <w:pPr>
      <w:pBdr/>
      <w:spacing/>
      <w:ind/>
    </w:pPr>
    <w:rPr>
      <w:rFonts w:ascii="Arial" w:hAnsi="Arial" w:eastAsia="Arial" w:cs="Arial"/>
      <w:i/>
      <w:iCs/>
      <w:color w:val="595959" w:themeColor="text1" w:themeTint="A6"/>
    </w:rPr>
  </w:style>
  <w:style w:type="character" w:styleId="1883">
    <w:name w:val="Heading 7 Char"/>
    <w:basedOn w:val="1875"/>
    <w:link w:val="1872"/>
    <w:uiPriority w:val="9"/>
    <w:pPr>
      <w:pBdr/>
      <w:spacing/>
      <w:ind/>
    </w:pPr>
    <w:rPr>
      <w:rFonts w:ascii="Arial" w:hAnsi="Arial" w:eastAsia="Arial" w:cs="Arial"/>
      <w:color w:val="595959" w:themeColor="text1" w:themeTint="A6"/>
    </w:rPr>
  </w:style>
  <w:style w:type="character" w:styleId="1884">
    <w:name w:val="Heading 8 Char"/>
    <w:basedOn w:val="1875"/>
    <w:link w:val="1873"/>
    <w:uiPriority w:val="9"/>
    <w:pPr>
      <w:pBdr/>
      <w:spacing/>
      <w:ind/>
    </w:pPr>
    <w:rPr>
      <w:rFonts w:ascii="Arial" w:hAnsi="Arial" w:eastAsia="Arial" w:cs="Arial"/>
      <w:i/>
      <w:iCs/>
      <w:color w:val="272727" w:themeColor="text1" w:themeTint="D8"/>
    </w:rPr>
  </w:style>
  <w:style w:type="character" w:styleId="1885">
    <w:name w:val="Heading 9 Char"/>
    <w:basedOn w:val="1875"/>
    <w:link w:val="1874"/>
    <w:uiPriority w:val="9"/>
    <w:pPr>
      <w:pBdr/>
      <w:spacing/>
      <w:ind/>
    </w:pPr>
    <w:rPr>
      <w:rFonts w:ascii="Arial" w:hAnsi="Arial" w:eastAsia="Arial" w:cs="Arial"/>
      <w:i/>
      <w:iCs/>
      <w:color w:val="272727" w:themeColor="text1" w:themeTint="D8"/>
    </w:rPr>
  </w:style>
  <w:style w:type="paragraph" w:styleId="1886">
    <w:name w:val="Title"/>
    <w:basedOn w:val="1865"/>
    <w:next w:val="1865"/>
    <w:link w:val="1887"/>
    <w:uiPriority w:val="10"/>
    <w:qFormat/>
    <w:pPr>
      <w:pBdr/>
      <w:spacing w:after="80" w:line="240" w:lineRule="auto"/>
      <w:ind/>
      <w:contextualSpacing w:val="true"/>
    </w:pPr>
    <w:rPr>
      <w:rFonts w:ascii="Arial" w:hAnsi="Arial" w:eastAsia="Arial" w:cs="Arial"/>
      <w:spacing w:val="-10"/>
      <w:sz w:val="56"/>
      <w:szCs w:val="56"/>
    </w:rPr>
  </w:style>
  <w:style w:type="character" w:styleId="1887">
    <w:name w:val="Title Char"/>
    <w:basedOn w:val="1875"/>
    <w:link w:val="1886"/>
    <w:uiPriority w:val="10"/>
    <w:pPr>
      <w:pBdr/>
      <w:spacing/>
      <w:ind/>
    </w:pPr>
    <w:rPr>
      <w:rFonts w:ascii="Arial" w:hAnsi="Arial" w:eastAsia="Arial" w:cs="Arial"/>
      <w:spacing w:val="-10"/>
      <w:sz w:val="56"/>
      <w:szCs w:val="56"/>
    </w:rPr>
  </w:style>
  <w:style w:type="paragraph" w:styleId="1888">
    <w:name w:val="Subtitle"/>
    <w:basedOn w:val="1865"/>
    <w:next w:val="1865"/>
    <w:link w:val="1889"/>
    <w:uiPriority w:val="11"/>
    <w:qFormat/>
    <w:pPr>
      <w:numPr>
        <w:ilvl w:val="1"/>
      </w:numPr>
      <w:pBdr/>
      <w:spacing/>
      <w:ind/>
    </w:pPr>
    <w:rPr>
      <w:color w:val="595959" w:themeColor="text1" w:themeTint="A6"/>
      <w:spacing w:val="15"/>
      <w:sz w:val="28"/>
      <w:szCs w:val="28"/>
    </w:rPr>
  </w:style>
  <w:style w:type="character" w:styleId="1889">
    <w:name w:val="Subtitle Char"/>
    <w:basedOn w:val="1875"/>
    <w:link w:val="1888"/>
    <w:uiPriority w:val="11"/>
    <w:pPr>
      <w:pBdr/>
      <w:spacing/>
      <w:ind/>
    </w:pPr>
    <w:rPr>
      <w:color w:val="595959" w:themeColor="text1" w:themeTint="A6"/>
      <w:spacing w:val="15"/>
      <w:sz w:val="28"/>
      <w:szCs w:val="28"/>
    </w:rPr>
  </w:style>
  <w:style w:type="paragraph" w:styleId="1890">
    <w:name w:val="Quote"/>
    <w:basedOn w:val="1865"/>
    <w:next w:val="1865"/>
    <w:link w:val="1891"/>
    <w:uiPriority w:val="29"/>
    <w:qFormat/>
    <w:pPr>
      <w:pBdr/>
      <w:spacing w:before="160"/>
      <w:ind/>
      <w:jc w:val="center"/>
    </w:pPr>
    <w:rPr>
      <w:i/>
      <w:iCs/>
      <w:color w:val="404040" w:themeColor="text1" w:themeTint="BF"/>
    </w:rPr>
  </w:style>
  <w:style w:type="character" w:styleId="1891">
    <w:name w:val="Quote Char"/>
    <w:basedOn w:val="1875"/>
    <w:link w:val="1890"/>
    <w:uiPriority w:val="29"/>
    <w:pPr>
      <w:pBdr/>
      <w:spacing/>
      <w:ind/>
    </w:pPr>
    <w:rPr>
      <w:i/>
      <w:iCs/>
      <w:color w:val="404040" w:themeColor="text1" w:themeTint="BF"/>
    </w:rPr>
  </w:style>
  <w:style w:type="paragraph" w:styleId="1892">
    <w:name w:val="List Paragraph"/>
    <w:basedOn w:val="1865"/>
    <w:uiPriority w:val="34"/>
    <w:qFormat/>
    <w:pPr>
      <w:pBdr/>
      <w:spacing/>
      <w:ind w:left="720"/>
      <w:contextualSpacing w:val="true"/>
    </w:pPr>
  </w:style>
  <w:style w:type="character" w:styleId="1893">
    <w:name w:val="Intense Emphasis"/>
    <w:basedOn w:val="1875"/>
    <w:uiPriority w:val="21"/>
    <w:qFormat/>
    <w:pPr>
      <w:pBdr/>
      <w:spacing/>
      <w:ind/>
    </w:pPr>
    <w:rPr>
      <w:i/>
      <w:iCs/>
      <w:color w:val="0f4761" w:themeColor="accent1" w:themeShade="BF"/>
    </w:rPr>
  </w:style>
  <w:style w:type="paragraph" w:styleId="1894">
    <w:name w:val="Intense Quote"/>
    <w:basedOn w:val="1865"/>
    <w:next w:val="1865"/>
    <w:link w:val="189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895">
    <w:name w:val="Intense Quote Char"/>
    <w:basedOn w:val="1875"/>
    <w:link w:val="1894"/>
    <w:uiPriority w:val="30"/>
    <w:pPr>
      <w:pBdr/>
      <w:spacing/>
      <w:ind/>
    </w:pPr>
    <w:rPr>
      <w:i/>
      <w:iCs/>
      <w:color w:val="0f4761" w:themeColor="accent1" w:themeShade="BF"/>
    </w:rPr>
  </w:style>
  <w:style w:type="character" w:styleId="1896">
    <w:name w:val="Intense Reference"/>
    <w:basedOn w:val="1875"/>
    <w:uiPriority w:val="32"/>
    <w:qFormat/>
    <w:pPr>
      <w:pBdr/>
      <w:spacing/>
      <w:ind/>
    </w:pPr>
    <w:rPr>
      <w:b/>
      <w:bCs/>
      <w:smallCaps/>
      <w:color w:val="0f4761" w:themeColor="accent1" w:themeShade="BF"/>
      <w:spacing w:val="5"/>
    </w:rPr>
  </w:style>
  <w:style w:type="paragraph" w:styleId="1897">
    <w:name w:val="No Spacing"/>
    <w:basedOn w:val="1865"/>
    <w:uiPriority w:val="1"/>
    <w:qFormat/>
    <w:pPr>
      <w:pBdr/>
      <w:spacing w:after="0" w:line="240" w:lineRule="auto"/>
      <w:ind/>
    </w:pPr>
  </w:style>
  <w:style w:type="character" w:styleId="1898">
    <w:name w:val="Subtle Emphasis"/>
    <w:basedOn w:val="1875"/>
    <w:uiPriority w:val="19"/>
    <w:qFormat/>
    <w:pPr>
      <w:pBdr/>
      <w:spacing/>
      <w:ind/>
    </w:pPr>
    <w:rPr>
      <w:i/>
      <w:iCs/>
      <w:color w:val="404040" w:themeColor="text1" w:themeTint="BF"/>
    </w:rPr>
  </w:style>
  <w:style w:type="character" w:styleId="1899">
    <w:name w:val="Emphasis"/>
    <w:basedOn w:val="1875"/>
    <w:uiPriority w:val="20"/>
    <w:qFormat/>
    <w:pPr>
      <w:pBdr/>
      <w:spacing/>
      <w:ind/>
    </w:pPr>
    <w:rPr>
      <w:i/>
      <w:iCs/>
    </w:rPr>
  </w:style>
  <w:style w:type="character" w:styleId="1900">
    <w:name w:val="Strong"/>
    <w:basedOn w:val="1875"/>
    <w:uiPriority w:val="22"/>
    <w:qFormat/>
    <w:pPr>
      <w:pBdr/>
      <w:spacing/>
      <w:ind/>
    </w:pPr>
    <w:rPr>
      <w:b/>
      <w:bCs/>
    </w:rPr>
  </w:style>
  <w:style w:type="character" w:styleId="1901">
    <w:name w:val="Subtle Reference"/>
    <w:basedOn w:val="1875"/>
    <w:uiPriority w:val="31"/>
    <w:qFormat/>
    <w:pPr>
      <w:pBdr/>
      <w:spacing/>
      <w:ind/>
    </w:pPr>
    <w:rPr>
      <w:smallCaps/>
      <w:color w:val="5a5a5a" w:themeColor="text1" w:themeTint="A5"/>
    </w:rPr>
  </w:style>
  <w:style w:type="character" w:styleId="1902">
    <w:name w:val="Book Title"/>
    <w:basedOn w:val="1875"/>
    <w:uiPriority w:val="33"/>
    <w:qFormat/>
    <w:pPr>
      <w:pBdr/>
      <w:spacing/>
      <w:ind/>
    </w:pPr>
    <w:rPr>
      <w:b/>
      <w:bCs/>
      <w:i/>
      <w:iCs/>
      <w:spacing w:val="5"/>
    </w:rPr>
  </w:style>
  <w:style w:type="paragraph" w:styleId="1903">
    <w:name w:val="Header"/>
    <w:basedOn w:val="1865"/>
    <w:link w:val="1904"/>
    <w:uiPriority w:val="99"/>
    <w:unhideWhenUsed/>
    <w:pPr>
      <w:pBdr/>
      <w:tabs>
        <w:tab w:val="center" w:leader="none" w:pos="4844"/>
        <w:tab w:val="right" w:leader="none" w:pos="9689"/>
      </w:tabs>
      <w:spacing w:after="0" w:line="240" w:lineRule="auto"/>
      <w:ind/>
    </w:pPr>
  </w:style>
  <w:style w:type="character" w:styleId="1904">
    <w:name w:val="Header Char"/>
    <w:basedOn w:val="1875"/>
    <w:link w:val="1903"/>
    <w:uiPriority w:val="99"/>
    <w:pPr>
      <w:pBdr/>
      <w:spacing/>
      <w:ind/>
    </w:pPr>
  </w:style>
  <w:style w:type="paragraph" w:styleId="1905">
    <w:name w:val="Footer"/>
    <w:basedOn w:val="1865"/>
    <w:link w:val="1906"/>
    <w:uiPriority w:val="99"/>
    <w:unhideWhenUsed/>
    <w:pPr>
      <w:pBdr/>
      <w:tabs>
        <w:tab w:val="center" w:leader="none" w:pos="4844"/>
        <w:tab w:val="right" w:leader="none" w:pos="9689"/>
      </w:tabs>
      <w:spacing w:after="0" w:line="240" w:lineRule="auto"/>
      <w:ind/>
    </w:pPr>
  </w:style>
  <w:style w:type="character" w:styleId="1906">
    <w:name w:val="Footer Char"/>
    <w:basedOn w:val="1875"/>
    <w:link w:val="1905"/>
    <w:uiPriority w:val="99"/>
    <w:pPr>
      <w:pBdr/>
      <w:spacing/>
      <w:ind/>
    </w:pPr>
  </w:style>
  <w:style w:type="paragraph" w:styleId="1907">
    <w:name w:val="Caption"/>
    <w:basedOn w:val="1865"/>
    <w:next w:val="1865"/>
    <w:uiPriority w:val="35"/>
    <w:unhideWhenUsed/>
    <w:qFormat/>
    <w:pPr>
      <w:pBdr/>
      <w:spacing w:after="200" w:line="240" w:lineRule="auto"/>
      <w:ind/>
    </w:pPr>
    <w:rPr>
      <w:i/>
      <w:iCs/>
      <w:color w:val="0e2841" w:themeColor="text2"/>
      <w:sz w:val="18"/>
      <w:szCs w:val="18"/>
    </w:rPr>
  </w:style>
  <w:style w:type="paragraph" w:styleId="1908">
    <w:name w:val="footnote text"/>
    <w:basedOn w:val="1865"/>
    <w:link w:val="1909"/>
    <w:uiPriority w:val="99"/>
    <w:semiHidden/>
    <w:unhideWhenUsed/>
    <w:pPr>
      <w:pBdr/>
      <w:spacing w:after="0" w:line="240" w:lineRule="auto"/>
      <w:ind/>
    </w:pPr>
    <w:rPr>
      <w:sz w:val="20"/>
      <w:szCs w:val="20"/>
    </w:rPr>
  </w:style>
  <w:style w:type="character" w:styleId="1909">
    <w:name w:val="Footnote Text Char"/>
    <w:basedOn w:val="1875"/>
    <w:link w:val="1908"/>
    <w:uiPriority w:val="99"/>
    <w:semiHidden/>
    <w:pPr>
      <w:pBdr/>
      <w:spacing/>
      <w:ind/>
    </w:pPr>
    <w:rPr>
      <w:sz w:val="20"/>
      <w:szCs w:val="20"/>
    </w:rPr>
  </w:style>
  <w:style w:type="character" w:styleId="1910">
    <w:name w:val="footnote reference"/>
    <w:basedOn w:val="1875"/>
    <w:uiPriority w:val="99"/>
    <w:semiHidden/>
    <w:unhideWhenUsed/>
    <w:pPr>
      <w:pBdr/>
      <w:spacing/>
      <w:ind/>
    </w:pPr>
    <w:rPr>
      <w:vertAlign w:val="superscript"/>
    </w:rPr>
  </w:style>
  <w:style w:type="paragraph" w:styleId="1911">
    <w:name w:val="endnote text"/>
    <w:basedOn w:val="1865"/>
    <w:link w:val="1912"/>
    <w:uiPriority w:val="99"/>
    <w:semiHidden/>
    <w:unhideWhenUsed/>
    <w:pPr>
      <w:pBdr/>
      <w:spacing w:after="0" w:line="240" w:lineRule="auto"/>
      <w:ind/>
    </w:pPr>
    <w:rPr>
      <w:sz w:val="20"/>
      <w:szCs w:val="20"/>
    </w:rPr>
  </w:style>
  <w:style w:type="character" w:styleId="1912">
    <w:name w:val="Endnote Text Char"/>
    <w:basedOn w:val="1875"/>
    <w:link w:val="1911"/>
    <w:uiPriority w:val="99"/>
    <w:semiHidden/>
    <w:pPr>
      <w:pBdr/>
      <w:spacing/>
      <w:ind/>
    </w:pPr>
    <w:rPr>
      <w:sz w:val="20"/>
      <w:szCs w:val="20"/>
    </w:rPr>
  </w:style>
  <w:style w:type="character" w:styleId="1913">
    <w:name w:val="endnote reference"/>
    <w:basedOn w:val="1875"/>
    <w:uiPriority w:val="99"/>
    <w:semiHidden/>
    <w:unhideWhenUsed/>
    <w:pPr>
      <w:pBdr/>
      <w:spacing/>
      <w:ind/>
    </w:pPr>
    <w:rPr>
      <w:vertAlign w:val="superscript"/>
    </w:rPr>
  </w:style>
  <w:style w:type="character" w:styleId="1914">
    <w:name w:val="Hyperlink"/>
    <w:basedOn w:val="1875"/>
    <w:uiPriority w:val="99"/>
    <w:unhideWhenUsed/>
    <w:pPr>
      <w:pBdr/>
      <w:spacing/>
      <w:ind/>
    </w:pPr>
    <w:rPr>
      <w:color w:val="0563c1" w:themeColor="hyperlink"/>
      <w:u w:val="single"/>
    </w:rPr>
  </w:style>
  <w:style w:type="character" w:styleId="1915">
    <w:name w:val="FollowedHyperlink"/>
    <w:basedOn w:val="1875"/>
    <w:uiPriority w:val="99"/>
    <w:semiHidden/>
    <w:unhideWhenUsed/>
    <w:pPr>
      <w:pBdr/>
      <w:spacing/>
      <w:ind/>
    </w:pPr>
    <w:rPr>
      <w:color w:val="954f72" w:themeColor="followedHyperlink"/>
      <w:u w:val="single"/>
    </w:rPr>
  </w:style>
  <w:style w:type="paragraph" w:styleId="1916">
    <w:name w:val="toc 1"/>
    <w:basedOn w:val="1865"/>
    <w:next w:val="1865"/>
    <w:uiPriority w:val="39"/>
    <w:unhideWhenUsed/>
    <w:pPr>
      <w:pBdr/>
      <w:spacing w:after="100"/>
      <w:ind/>
    </w:pPr>
  </w:style>
  <w:style w:type="paragraph" w:styleId="1917">
    <w:name w:val="toc 2"/>
    <w:basedOn w:val="1865"/>
    <w:next w:val="1865"/>
    <w:uiPriority w:val="39"/>
    <w:unhideWhenUsed/>
    <w:pPr>
      <w:pBdr/>
      <w:spacing w:after="100"/>
      <w:ind w:left="220"/>
    </w:pPr>
  </w:style>
  <w:style w:type="paragraph" w:styleId="1918">
    <w:name w:val="toc 3"/>
    <w:basedOn w:val="1865"/>
    <w:next w:val="1865"/>
    <w:uiPriority w:val="39"/>
    <w:unhideWhenUsed/>
    <w:pPr>
      <w:pBdr/>
      <w:spacing w:after="100"/>
      <w:ind w:left="440"/>
    </w:pPr>
  </w:style>
  <w:style w:type="paragraph" w:styleId="1919">
    <w:name w:val="toc 4"/>
    <w:basedOn w:val="1865"/>
    <w:next w:val="1865"/>
    <w:uiPriority w:val="39"/>
    <w:unhideWhenUsed/>
    <w:pPr>
      <w:pBdr/>
      <w:spacing w:after="100"/>
      <w:ind w:left="660"/>
    </w:pPr>
  </w:style>
  <w:style w:type="paragraph" w:styleId="1920">
    <w:name w:val="toc 5"/>
    <w:basedOn w:val="1865"/>
    <w:next w:val="1865"/>
    <w:uiPriority w:val="39"/>
    <w:unhideWhenUsed/>
    <w:pPr>
      <w:pBdr/>
      <w:spacing w:after="100"/>
      <w:ind w:left="880"/>
    </w:pPr>
  </w:style>
  <w:style w:type="paragraph" w:styleId="1921">
    <w:name w:val="toc 6"/>
    <w:basedOn w:val="1865"/>
    <w:next w:val="1865"/>
    <w:uiPriority w:val="39"/>
    <w:unhideWhenUsed/>
    <w:pPr>
      <w:pBdr/>
      <w:spacing w:after="100"/>
      <w:ind w:left="1100"/>
    </w:pPr>
  </w:style>
  <w:style w:type="paragraph" w:styleId="1922">
    <w:name w:val="toc 7"/>
    <w:basedOn w:val="1865"/>
    <w:next w:val="1865"/>
    <w:uiPriority w:val="39"/>
    <w:unhideWhenUsed/>
    <w:pPr>
      <w:pBdr/>
      <w:spacing w:after="100"/>
      <w:ind w:left="1320"/>
    </w:pPr>
  </w:style>
  <w:style w:type="paragraph" w:styleId="1923">
    <w:name w:val="toc 8"/>
    <w:basedOn w:val="1865"/>
    <w:next w:val="1865"/>
    <w:uiPriority w:val="39"/>
    <w:unhideWhenUsed/>
    <w:pPr>
      <w:pBdr/>
      <w:spacing w:after="100"/>
      <w:ind w:left="1540"/>
    </w:pPr>
  </w:style>
  <w:style w:type="paragraph" w:styleId="1924">
    <w:name w:val="toc 9"/>
    <w:basedOn w:val="1865"/>
    <w:next w:val="1865"/>
    <w:uiPriority w:val="39"/>
    <w:unhideWhenUsed/>
    <w:pPr>
      <w:pBdr/>
      <w:spacing w:after="100"/>
      <w:ind w:left="1760"/>
    </w:pPr>
  </w:style>
  <w:style w:type="character" w:styleId="1925">
    <w:name w:val="Placeholder Text"/>
    <w:basedOn w:val="1875"/>
    <w:uiPriority w:val="99"/>
    <w:semiHidden/>
    <w:pPr>
      <w:pBdr/>
      <w:spacing/>
      <w:ind/>
    </w:pPr>
    <w:rPr>
      <w:color w:val="666666"/>
    </w:rPr>
  </w:style>
  <w:style w:type="paragraph" w:styleId="1926">
    <w:name w:val="TOC Heading"/>
    <w:uiPriority w:val="39"/>
    <w:unhideWhenUsed/>
    <w:pPr>
      <w:pBdr/>
      <w:spacing/>
      <w:ind/>
    </w:pPr>
  </w:style>
  <w:style w:type="paragraph" w:styleId="1927">
    <w:name w:val="table of figures"/>
    <w:basedOn w:val="1865"/>
    <w:next w:val="1865"/>
    <w:uiPriority w:val="99"/>
    <w:unhideWhenUsed/>
    <w:pPr>
      <w:pBdr/>
      <w:spacing w:after="0" w:afterAutospacing="0"/>
      <w:ind/>
    </w:pPr>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cdm:cachedDataManifest xmlns:cdm="http://schemas.microsoft.com/2004/VisualStudio/Tools/Applications/CachedDataManifest.xsd" cdm:revision="1"/>
</file>

<file path=customXml/item3.xml><?xml version="1.0" encoding="utf-8"?>
<n-document xmlns:xsd="http://www.w3.org/2001/XMLSchema" xmlns:xsi="http://www.w3.org/2001/XMLSchema-instance" guid="0" synced="true" validated="true">
  <n-docbody>
    <standard.doc precedenttype="agreement">
      <prelim>
        <product.name>product.name0</product.name>
        <title>Website design and development agreement (pro-supplier) (UK)</title>
        <author>Practical Law Media &amp; Telecoms, with thanks to Richard Kemp and Deirdre Moynihan, Kemp IT Law in relation to the data protection clauses</author>
        <resource.type>Standard documents</resource.type>
        <juris>juris0</juris>
        <juris>juris1</juris>
      </prelim>
      <abstract>
        <para>
          <paratext>An agreement for the provision of website design and development and related services (including optional provisions for where the supplier of such services also provides hosting services) in a business-to-business context, drafted from the perspective of the supplier of such services and on the assumption that English law applies.</paratext>
        </para>
      </abstract>
      <toc.identifier hasToc="true"/>
      <body>
        <drafting.note id="a645433" jurisdiction="">
          <head align="left" preservecase="true">
            <headtext>About this document</headtext>
          </head>
          <division id="a000007" level="1">
            <para>
              <paratext>
                <link href="9-107-4769#a450535" style="ACTLinkPLCtoPLC">
                  <ital>Practice note, Website contracts (UK): Website design and development agreements</ital>
                </link>
                The issues which should be considered when drafting a website design and development agreement are highlighted in , to which reference should be made before using the standard document.
              </paratext>
            </para>
            <para>
              <paratext>
                <link href="2-107-4800" style="ACTLinkPLCtoPLC">
                  <ital>Standard document, Website design and development agreement (pro-customer) (UK)</ital>
                </link>
                The standard document is drafted from the perspective of the supplier.  Nevertheless, it adopts a reasonably balanced approach to the relevant issues on the basis that an agreement which is drafted too much in favour of either party serves only to increase the time and cost of negotiations.  A separate standard document is available for use when acting for the customer (see ).
              </paratext>
            </para>
            <para>
              <paratext>
                <link href="w-022-3748" style="ACTLinkPLCtoPLC">
                  <ital>Practice notes, Consumer contracts: which rules apply?</ital>
                </link>
                <link href="4-544-1807" style="ACTLinkPLCtoPLC">
                  <ital>Supply of digital content to consumers: changes made by the Consumer Rights Act 2015</ital>
                </link>
                This agreement is drafted on the assumption that the parties are dealing with each other in the course of their respective businesses. This means that the UK rules protecting consumers will not apply. (For more information on those rules, see  and ). Note that this agreement should not be used in a business-to-consumer transaction.
              </paratext>
            </para>
          </division>
          <division id="a853125" level="1">
            <head align="left" preservecase="true">
              <headtext>Legal issues</headtext>
            </head>
            <division id="a844898" level="2">
              <head align="left" preservecase="true">
                <headtext>Intellectual property issues</headtext>
              </head>
              <para>
                <paratext>
                  <link href="0-107-4801" style="ACTLinkPLCtoPLC">
                    <ital>Standard document, Website content licence (pro-customer) (UK)</ital>
                  </link>
                  <link href="D-016-1271" style="ACTLinkURL">
                    <ital>Antiquesportfolio.com plc v Rodney Fitch and Co Ltd, TLR, 21 July 2000</ital>
                  </link>
                  <internal.reference refid="a663722">clause 10.2</internal.reference>
                  One of the most significant issues in a website development agreement is the apportionment of liability for potential claims by third parties that the site content or software developed by the supplier infringes their intellectual property rights (IPRs).  The two most important IPRs arising in respect of the development of a website are likely to be copyright and database rights, but patents, rights in designs, trade marks and confidential information might also be relevant.  Since, for the most part, the development is in the hands of the supplier, this is a particular issue for the customer who will want to be protected if any content or software created or used by the supplier in the site turns out to be infringing.  This could easily arise, for example, where the supplier inadvertently re-uses material it has developed for (and assigned to) another customer.  Further, website designers might also seek to incorporate third party materials in their designs (such as photographs, video clips or music) either at their own instigation or at the customer's request.  In most cases, it will be necessary to seek either the transfer of the IPRs in those works or a licence to use them on the customer's site and the parties will have to decide who is responsible for obtaining the necessary rights to use that content (see ). The supplier may prefer to take responsibility for seeking such consents since the liability arising from using third party material without permission can be significant.  However, where it does assume this responsibility, the customer will want some contractual protection in case the supplier has failed to obtain the necessary rights. In a case concerning the development of a website for buying and selling antiques, the High Court confirmed that, in a contract to supply design and consultancy services, there is an implied term that the consultant will not infringe a third party's copyright (). However, the customer will almost certainly want to address the matter expressly and will usually seek protection in the form of an indemnity from the supplier.  Since the standard document favours the supplier, such an indemnity has not been included but it is likely that the customer will request it.  From a supplier's perspective, the issue of IPRs infringement is also relevant where the customer provides content to the supplier for incorporation into the site, and the supplier should always seek an indemnity in respect of that material (see ).
                </paratext>
              </para>
              <para>
                <paratext>
                  <bold>supplier</bold>
                  <internal.reference refid="a934800">clause 10.1</internal.reference>
                  There is also the question of who will own the IPRs in the website as developed and it is often difficult to resolve the parties' competing interests in this respect. As mentioned above, the two most important rights arising in respect of the development of a website are likely to be copyright and database rights.  By law, these rights will vest automatically in the  as the creator of the relevant works even though the customer is paying for their creation.  The standard document grants a licence of the IPRs in the site to the customer so that it may operate the site (see ). However, the customer is likely to seek an outright transfer of those rights and, in many cases, there is no reason why the supplier should not agree to this provided such transfers are made subject to any third party IPRs in works which make up the site.
                </paratext>
              </para>
            </division>
            <division id="a253755" level="2">
              <head align="left" preservecase="true">
                <headtext>GDPR</headtext>
              </head>
              <para>
                <paratext>
                  <internal.reference refid="a788747">Drafting note, Data protection</internal.reference>
                  See .
                </paratext>
              </para>
            </division>
            <division id="a107479" level="2">
              <head align="left" preservecase="true">
                <headtext>Network and Information Security Regulations 2018</headtext>
              </head>
              <para>
                <paratext>If the supplier is going to provide hosting services, the customer is likely to ask for a warranty in relation to the supplier's network security levels, and in relation to its cooperation in relation to the customer's regulatory obligations and any security incident (see further below).</paratext>
              </para>
              <para>
                <paratext>
                  <link href="w-010-2436" style="ACTLinkPLCtoPLC">
                    <ital>Cybersecurity Directive</ital>
                  </link>
                  <ital>(EU)2016/1148</ital>
                  The NIS Regulations came into effect on 10 May 2018 pursuant to the  () (also known as the Network and Information Security or NIS Directive). They have potential impact on any operator of essential services (OES) in businesses that rely on IT systems in the following sectors: energy, transport, health, drinking water supply and distribution, digital infrastructure; and on relevant providers of online marketplaces, online search engines and cloud computing services (Relevant Digital Service Providers (RDSPs)). Like the GDPR, the NIS Regulations impose security and incident reporting requirements and provide for high penalties (up to £17 million in the case of the NIS Regulations), but their focus is on security of IT systems, rather than security of the personal data processed by those systems; in practice the two regimes are inextricably linked.
                </paratext>
              </para>
              <para>
                <paratext>
                  <link anchor="a873370" href="w-013-8329" style="ACTLinkPLCtoPLC">
                    <ital>Practice note, Cybersecurity Directive: UK implementation: Identification or Designation as an OES</ital>
                  </link>
                  <link anchor="a375008" href="w-013-8329" style="ACTLinkPLCtoPLC">
                    <ital>Practice note, Cybersecurity Directive: UK implementation: Identification as an RDSP</ital>
                  </link>
                  For a definition of OES see  and for a definition of RDSPs see .
                </paratext>
              </para>
              <para>
                <paratext>OESs and RDSPs have obligations to maintain the security of the systems on which their services rely and to report security incidents to their respective regulators (the ICO is the regulator for RDSPs and Schedule 1 of the NIS Regulations lists the regulators for OES).</paratext>
              </para>
              <para>
                <paratext>If the customer is an OES or a RDSP, the supplier's system might be implicated in the customer's obligations under the NIS Regulations and the customer will in particular want to ensure that the supplier cooperates in the event of a security incident.</paratext>
              </para>
              <para>
                <paratext>
                  <link anchor="a514735" href="2-107-4800" style="ACTLinkPLCtoPLC">
                    <ital>Standard document, Website design and development agreement (pro-customer) (UK): Security of network and information systems</ital>
                  </link>
                  An example of the type of clause the customer might ask for is set out in .
                </paratext>
              </para>
              <para>
                <paratext>It may be reasonable to agree to such provisions, and in fact the supplier may have developed comprehensive processes and policies to support the services it provides. However, the supplier should resist any attempt by the customer to simply flow its regulatory liability down to the supplier – the customer may be subject to heightened cybersecurity requirements because of the specific industry sectors they trade in, and the website may not have been developed and designed with such specific regulatory standards in mind, unless they formed specific requirements under the Site Specification. The supplier may, in return, ask for a warranty or some form of approval that the information the supplier provides on cybersecurity (whether in the contract, or in response to any request for tender, for example) is sufficient for the customer to meet its obligations under the NIS Regulations. If the website will be hosted by the supplier, the supplier might also ask the customer to ensure that it doesn't introduce any software vulnerabilities or viruses into the supplier's network and information systems as a result of its use of the hosting services. This will be particularly important where the supplier acts as a RDSP in its own right.</paratext>
              </para>
              <para>
                <paratext>
                  <internal.reference refid="a499782">clause 8.6(a)(iii)</internal.reference>
                  We have included a general disclaimer of heightened cybersecurity requirements, on behalf of the supplier, at .
                </paratext>
              </para>
              <para>
                <paratext>
                  <link href="https://www.ncsc.gov.uk/guidance/nis-guidance-collection" style="ACTLinkURL">
                    <ital>guidance</ital>
                  </link>
                  The National Cyber Security Centre has published  which includes advice on how to pass obligations up the supply chain and what considerations should be made in different circumstances.
                </paratext>
              </para>
              <para>
                <paratext>There may also be specific guidance issued by the regulator for the specific OES sector or, for RDSPs, the ICO.</paratext>
              </para>
              <para>
                <paratext>
                  <link href="https://uk.practicallaw.thomsonreuters.com/Document/Ifce125f52ce011e89bf099c0ee06c731/View/FullText.html?navigationPath=Search%2Fv1%2Fresults%2Fnavigation%2Fi0ad74037000001631c7dd8251e3b5ded%3FNav%3DKNOWHOW_UK%26fragmentIdentifier%3DIfce125f52ce011e89bf099c0ee06c731%26startIndex%3D1%26contextData%3D%2528sc.Search%2529%26transitionType%3DSearchItem&amp;amp;listSource=Search&amp;amp;listPageSource=fb59ed755de5647e15d46f38da30aa37&amp;amp;list=KNOWHOW_UK&amp;amp;rank=2&amp;amp;sessionScopeId=f355d52a736bf86e33540c3b6f87f0bc0755eb7b7024ae7ad01703ae7419a594&amp;amp;originationContext=Search%20Result&amp;amp;transitionType=SearchItem&amp;amp;contextData=%28sc.Search%29&amp;amp;comp=pluk&amp;amp;navId=08FB97D512A17B273842B8ED398F392F" style="ACTLinkURL">
                    <ital>Practice note, Cybersecurity Directive: UK implementation.</ital>
                  </link>
                  <bold/>
                  For more information on regulation in this area, see
                </paratext>
              </para>
            </division>
            <division id="a540228" level="2">
              <head align="left" preservecase="true">
                <headtext>Cookies</headtext>
              </head>
              <para>
                <paratext>
                  <ital>2002/58/EC</ital>
                  <ital>2009/136/ EC</ital>
                  <ital>SI 2426/2003</ital>
                  A cookie is a small text file that can be implanted on the hard disks of visitors to its site (often without their knowledge). Cookies collect information about internet users, such as their names, addresses, email details, passwords and preferences. It is likely that the customer will want to capture information about its website users for session management, personalisation and recognition purposes. According to Article 5(3) of the E-Privacy Directive ( as amended by the Citizen's Right Directive ()), which is implemented into UK law by the Privacy and Electronic Communications (EC Directive) Regulations 2003 () (Regulations), informed consent of the website user must be obtained prior to the installation of a cookie, and/or before information stored in the user's terminal equipment is collected on an opt-in basis, rather than an opt-out basis as previously required under the E-Privacy Directive.
                </paratext>
              </para>
              <para>
                <paratext>It is the customer's responsibility to ensure its website adheres to the Regulations.</paratext>
              </para>
              <para>
                <paratext>
                  <link href="7-506-2678" style="ACTLinkPLCtoPLC">
                    <ital>Practice note, Cookies: UK Issues</ital>
                  </link>
                  It is important for the customer and the supplier to understand from the outset how the customer intends to use cookies and ensure that the website is compliant with the requirements of this legislation. In particular, the customer will require the supplier's insight into the different implementation possibilities of cookies to enable the consent of the user to be obtained easily and clearly, without any detriment to the user's experience of the website. For more detailed information regarding the new UK cookies regime, see .
                </paratext>
              </para>
              <para>
                <paratext>According to guidance from the Information Commissioner's Office (ICO), the customer should consider what type of cookies will be used and how the website will use them, assess how intrusive these cookies will be and decide the best solution to obtain consent. Under the new rules it is possible that the user's browser settings may indicate their consent, however, most browser settings are not yet sophisticated enough to be relied upon by website owners in this way. Other possible options for obtaining consent are:</paratext>
              </para>
              <list type="bulleted">
                <list.item>
                  <para>
                    <paratext>Pop-ups and similar techniques.</paratext>
                  </para>
                </list.item>
                <list.item>
                  <para>
                    <paratext>Obtaining consent in the website terms of use.</paratext>
                  </para>
                </list.item>
                <list.item>
                  <para>
                    <paratext>Settings-led consent obtained when a user makes choices about the operation of the website according to its preferences.</paratext>
                  </para>
                </list.item>
                <list.item>
                  <para>
                    <paratext>Feature-led consent obtained when a user chooses to use a particular feature of a website.</paratext>
                  </para>
                </list.item>
              </list>
              <para>
                <paratext>The customer should ensure that information about its policies are prominently available to users. Although cookies which simply collect information about the way the user accesses and uses a site may not be as intrusive in relation to a users' personal information, consent to the cookie may still be required. Finally, if the customer is intending upon displaying content from third parties, in particular, content from advertising networks, it is likely that such advertisers will read and write their cookies into the users' devices. The ICO has confirmed that website owners will have to play its part in obtaining the consent of its users in such cases and advises that they should make sure they are doing everything they can to ensure that users get the right information to make informed decisions.</paratext>
              </para>
              <para>
                <paratext>A website owner will be liable to enforcement action by ICO if it does not comply with these requirements, which could include penalties of up to £500,000.</paratext>
              </para>
            </division>
            <division id="a194459" level="2">
              <head align="left" preservecase="true">
                <headtext>Information requirements</headtext>
              </head>
              <para>
                <paratext>The E-Commerce (EC Directive) Regulations 2002 (E-Commerce Regulations), the Provision of Services Regulations 2009 (POS Regulations) and the Consumer Contracts (Information, Cancellation and Additional Charges) Regulations 2013 (CCRs) impose obligations on businesses providing services in the UK to make certain information available to customers. It is important for the customer to ensure it meets these requirements and ensure that the supplier designs the site accordingly. The CCRs only apply to contracts entered into on or after 13 June 2014.</paratext>
              </para>
              <para>
                <paratext>
                  <link href="7-201-5591" style="ACTLinkPLCtoPLC">
                    <ital>Practice note, Information provision obligations on UK website operators</ital>
                  </link>
                  Under the E-Commerce Regulations, a service provider with an online presence must provide particular information to clearly identify itself, including contact information, company registration number and VAT number (if applicable). For more information, see
                </paratext>
              </para>
              <para>
                <paratext>In addition, where a contract will be concluded online, both the E-Commerce Regulations and CCRs require that, specific technical information requirements are met, for example, explanation of the steps necessary to conclude the contract or how to amend the contract before concluding it.</paratext>
              </para>
              <para>
                <paratext>Compliance with the POS Regulations will largely be achieved through observance of the rules under the E-Commerce Regulations and CCRs.</paratext>
              </para>
            </division>
            <division id="a648657" level="2">
              <head align="left" preservecase="true">
                <headtext>Equality of access</headtext>
              </head>
              <para>
                <paratext>
                  <link href="3-508-1438" style="ACTLinkPLCtoPLC">
                    <ital>Disability Discrimination Act 1995</ital>
                  </link>
                  <link href="6-509-2317" style="ACTLinkPLCtoPLC">
                    <ital>Disability Discrimination Act 1995 (Amendment) Regulations 2003 (SI 2003/1673)</ital>
                  </link>
                  The Equality Act 2010 (EqA), which came into force in October 2010 and largely replaced Part III of the  (as amended by the ) makes it unlawful for service providers (including information society services providers) established in Great Britain to do anything in the provision of a service in the EEA that would discriminate against a disabled person. In particular, a service provider discriminates against a disabled person if he does not make "reasonable" adjustments to the way in which his services are offered or provide an auxiliary aid so as to put a disabled person at a substantial disadvantage in relation to the matter in comparison to persons who are not disabled. However, there are exceptions available where the services relate to caching, acting as a conduit, or hosting only. Discrimination can lead to civil proceedings and damages may be awarded.
                </paratext>
              </para>
              <para>
                <paratext>Websites can be constructed to avoid liability under the EqA in various ways, such as by making navigation around the site easy and avoiding graphics. (The web accessibility organisation W3C, the RNIB and the Disability Rights Commission have all issued guidelines for website operators on accessibility.) The customer should therefore ensure that he requires the supplier to design the site so that it is reasonably accessible. The customer might seek to include a warranty that the site will be designed in compliance with the legislation, and an indemnity against any losses arises from a breach of that warranty. The standard document contains a warranty that the site will operate in accordance with the site specification. As long as compliance with the EqA forms part of the specification for the site, the customer should be able to rely on this warranty if the site is held to be inaccessible in accordance with the EqA.</paratext>
              </para>
            </division>
            <division id="a193956" level="2">
              <head align="left" preservecase="true">
                <headtext>Bribery Act 2010</headtext>
              </head>
              <para>
                <paratext>
                  <link href="1-503-8422" style="ACTLinkPLCtoPLC">
                    <ital>Bribery Act 2010</ital>
                  </link>
                  The  (BA 2010) came into force on 1 July 2011. It replaced the existing criminal offences of bribery, and also introduced new offences. It sets out:
                </paratext>
              </para>
              <list type="bulleted">
                <list.item>
                  <para>
                    <paratext>
                      <link href="1-505-7401" style="ACTLinkPLCtoPLC">
                        <ital>section 1</ital>
                      </link>
                      <ital>, BA 2010</ital>
                      The offence of bribing another person ().
                    </paratext>
                  </para>
                </list.item>
                <list.item>
                  <para>
                    <paratext>
                      <link href="3-503-8464" style="ACTLinkPLCtoPLC">
                        <ital>section 2</ital>
                      </link>
                      <ital>, BA 2010</ital>
                      The offences relating to being bribed ().
                    </paratext>
                  </para>
                </list.item>
                <list.item>
                  <para>
                    <paratext>
                      <link href="5-505-7404" style="ACTLinkPLCtoPLC">
                        <ital>section 6</ital>
                      </link>
                      <ital>, BA 2010)</ital>
                      The offence of bribing a foreign public official (.
                    </paratext>
                  </para>
                </list.item>
                <list.item>
                  <para>
                    <paratext>
                      <link href="2-505-7405" style="ACTLinkPLCtoPLC">
                        <ital>section 7</ital>
                      </link>
                      <ital>, BA 2010</ital>
                      The offence of failure of commercial organisations to prevent bribery ().
                    </paratext>
                  </para>
                </list.item>
              </list>
              <para>
                <paratext>
                  <ital>section 7, BA 2010</ital>
                  Of particular concern is section 7 corporate offence of failure to prevent bribery by an associated person. A commercial organisation (including a company or partnership) will be guilty of an offence if a person associated with it bribes another person intending to obtain or retain business for the commercial organisation, or to obtain or retain an advantage in the conduct of business for the commercial organisation ().
                </paratext>
              </para>
              <para>
                <paratext>
                  <link href="https://www.transparency.org/cpi2010/results" style="ACTLinkURL">
                    <ital>survey</ital>
                  </link>
                  It is a defence for the customer to show that it has in place "adequate procedures" designed to prevent bribery by its associated persons. To help it demonstrate that it has adequate procedures, the customer should consider on a case-by-case basis whether to include appropriate anti-bribery clauses in the relevant agreement. In particular, the circumstances may warrant this where any element of service is to be provided in a high-risk jurisdiction or sector. Transparency International is a leading non-governmental anti-corruption organisation, which publishes a  providing an indication of the corruption risk in countries around the world.
                </paratext>
              </para>
              <para>
                <paratext>Both customers and suppliers need to comply with the BA 2010. However, whether or not to include appropriate anti-bribery clauses in the relevant agreement is primarily an issue for the customer, rather than the supplier/licensor, to consider. The customer faces a risk of liability under section 7 of the BA 2010 as outlined above. The supplier will not generally face a similar risk on account of the customer's activities. Nevertheless, the supplier will, for example, need to consider whether to include appropriate clauses in any related subcontract or consultancy agreement which it may enter into for the acquisition of services or goods.</paratext>
              </para>
              <para>
                <paratext>
                  <link href="9-503-9451" style="ACTLinkPLCtoPLC">
                    <ital>Bribery Act 2010: toolkit</ital>
                  </link>
                  For information and all PLC materials on bribery, see .
                </paratext>
              </para>
            </division>
            <division id="a597650" level="2">
              <head align="left" preservecase="true">
                <headtext>Supply chain issues: slavery and human trafficking</headtext>
              </head>
              <para>
                <paratext>The Modern Slavery Act 2015 (MSA) is aimed at combating crimes of slavery and human trafficking. Section 54 of the MSA requires commercial organisations having a global turnover of £36 million or above to publish an annual slavery and human trafficking statement for each financial year that ends on or after 31 March 2016. The statement must disclose what steps the organisation has taken to ensure that human trafficking is not taking place in any of its supply chains or its business; or state that it has taken no such steps. The supplier should note that the customer may want to include wording in its agreements that have a connection with a supply chain to prohibit the use of forced or trafficked labour.</paratext>
              </para>
            </division>
          </division>
          <division id="a389950" level="1">
            <head align="left" preservecase="true">
              <headtext>Negotiating and drafting issues</headtext>
            </head>
            <para>
              <paratext>
                <link href="6-107-4803" style="ACTLinkPLCtoPLC">
                  <ital>Standard document, Website hosting agreement (pro-supplier) (UK)</ital>
                </link>
                A supplier of website design and development services will often also provide hosting services. The standard document is drafted on the basis that hosting services are also provided, but provisions that are relevant only to hosting are highlighted so that they can be removed if no hosting services are in fact to be provided. For a separate standard document dealing exclusively with hosting services, see .
              </paratext>
            </para>
            <para>
              <paratext>The standard document assumes that a third party, rather than the supplier, is responsible for the creation of the website design (that is, the look and feel of the site) while the supplier takes responsibility for the overall structure of the site (and the integration of the two). One consequence of this is the possibility of a dispute as to whether a failure to achieve acceptance under the agreement is due to a design or development failure.</paratext>
            </para>
            <para>
              <paratext>A website development agreement is very similar in nature to a typical software development contract for an IT system: a detailed specification for the development of the site is critical so as to ensure that each party has a clear understanding of the other party's obligations.  As such, the specification can minimise the potential for future disputes. The specification will therefore address detailed issues such as site content, functionality, look and feel (such as colours, fonts and layout), performance levels, capacity, response times, data processing and the specification for the hardware on which the site will run.  In some website development projects, the first phase of the development will be the creation of the specification itself with the actual development work being delayed until the specification has been agreed.  Where this happens, it may not be possible to agree the charges for the development in advance and these too will have to be agreed before development work commences. The standard document would need to be adapted to reflect such arrangements.</paratext>
            </para>
            <para>
              <paratext>As mentioned above, the website specification will also deal with the content which the supplier is to generate, such as text, graphics and audio or video material.  Typically, the customer also provides the supplier with some of the content for inclusion in the site design, such as text or photographs describing the customer's business. In creating the visible website content, the parties will have to address a number of legal issues such as those relating to the mechanics of online contracting, distance selling, advertising, liability, data protection and, where appropriate, the use of disclaimers and copyright notices.</paratext>
            </para>
            <para>
              <paratext>The agreement should also include a clear timetable for implementation of the development which should cover all or some of the following: agreement on the specification, delivery of a pilot website, customer feedback, acceptance testing and launch of the live site.</paratext>
            </para>
            <para>
              <paratext>The agreement does not deal with maintenance and support of the website. If support and maintenance are to be provided by the supplier, the charges should reflect this additional work.</paratext>
            </para>
          </division>
        </drafting.note>
        <cover.sheet>
          <head align="left" preservecase="true">
            <headtext>Website design and development agreement</headtext>
          </head>
          <party.name>[Party 1]</party.name>
          <AdditionalPartyType>
            <static.and>and</static.and>
            <party.name>[Party 2]</party.name>
          </AdditionalPartyType>
        </cover.sheet>
        <intro default="true">
          <intro.date>This agreement is dated [DATE]</intro.date>
        </intro>
        <parties>
          <head align="left" preservecase="true">
            <headtext>PARTIES</headtext>
          </head>
          <party executionmethod="contract" id="a162520" status="individual">
            <identifier>(1)</identifier>
            <defn.item>
              <defn>
                <para>
                  <paratext>[FULL COMPANY NAME] incorporated and registered in [COUNTRY OF INCORPORATION] with company number [NUMBER] whose registered office is at [REGISTERED OFFICE ADDRESS]</paratext>
                </para>
              </defn>
              <defn.term>Supplier</defn.term>
            </defn.item>
          </party>
          <party executionmethod="contract" id="a335660" status="individual">
            <identifier>(2)</identifier>
            <defn.item>
              <defn>
                <para>
                  <paratext>[FULL COMPANY NAME] incorporated and registered in [COUNTRY OF INCORPORATION] with company number [NUMBER] whose registered office is at [REGISTERED OFFICE ADDRESS]</paratext>
                </para>
              </defn>
              <defn.term>Customer</defn.term>
            </defn.item>
          </party>
        </parties>
        <recitals>
          <head align="left" preservecase="true">
            <headtext>BACKGROUND</headtext>
          </head>
          <clause id="a580545">
            <identifier>(A)</identifier>
            <para>
              <paratext>The Supplier submitted a tender on [DATE] (reference: [REFERENCE]) in response to the Customer's request for proposal issued on [DATE] (reference: [REFERENCE]).</paratext>
            </para>
          </clause>
          <clause id="a975754">
            <identifier>(B)</identifier>
            <para>
              <paratext>The parties have agreed that the Supplier shall provide the Customer with website design and development and related services on the terms and conditions set out in this agreement.</paratext>
            </para>
          </clause>
        </recitals>
        <operative xrefname="clause">
          <head align="left" preservecase="true">
            <headtext>Agreed terms</headtext>
          </head>
          <clause id="a790127">
            <identifier>1.</identifier>
            <head align="left" preservecase="true">
              <headtext>Interpretation</headtext>
            </head>
            <drafting.note id="a425170" jurisdiction="">
              <head align="left" preservecase="true">
                <headtext>Interpretation</headtext>
              </head>
              <division id="a000008" level="1">
                <para>
                  <paratext>
                    <link href="5-107-3795" style="ACTLinkPLCtoPLC">
                      <ital>Standard clause, Interpretation</ital>
                    </link>
                    For information on interpretation clauses, see the integrated drafting notes to .
                  </paratext>
                </para>
                <para>
                  <paratext>Delete the definition of "Server" if the supplier is not providing hosting services in addition to design services.</paratext>
                </para>
                <para>
                  <paratext>In the definition of "Site", delete the words in square brackets "to be hosted by the Supplier pursuant to this agreement" if the supplier is not providing hosting services in addition to design services.</paratext>
                </para>
              </division>
            </drafting.note>
            <para>
              <paratext>The definitions and rules of interpretation in this clause apply in this agreement.</paratext>
            </para>
            <subclause1 id="a612589">
              <identifier>1.1</identifier>
              <para>
                <paratext>Definitions:</paratext>
              </para>
              <defn.item id="a608794">
                <defn.term>Acceptance</defn.term>
                <defn>
                  <para>
                    <paratext>
                      <internal.reference refid="a941436">clause 4</internal.reference>
                      the acceptance or deemed acceptance of the Site by the Customer pursuant to .
                    </paratext>
                  </para>
                </defn>
              </defn.item>
              <defn.item id="a988161">
                <defn.term>Acceptance Tests</defn.term>
                <defn>
                  <para>
                    <paratext>
                      <internal.reference refid="a941436">clause 4</internal.reference>
                      <internal.reference refid="a248102">Schedule 4</internal.reference>
                      the tests to be carried out on the Site as set out in  [and as described in ].
                    </paratext>
                  </para>
                </defn>
              </defn.item>
              <defn.item id="a299817">
                <defn.term>Business Day</defn.term>
                <defn>
                  <para>
                    <paratext>a day other than a Saturday or Sunday or public holiday in England when banks in London are open for business.</paratext>
                  </para>
                </defn>
              </defn.item>
              <defn.item id="a532902">
                <defn.term>Change Control Procedures</defn.term>
                <defn>
                  <para>
                    <paratext>
                      <internal.reference refid="a90473">Schedule 6</internal.reference>
                      the procedures set out in .
                    </paratext>
                  </para>
                </defn>
              </defn.item>
              <defn.item id="a727922">
                <defn.term>Charges</defn.term>
                <defn>
                  <para>
                    <paratext>
                      <internal.reference refid="a959705">Schedule 5</internal.reference>
                      the charges in respect of the Services set out in , together with any charges arising from the Change Control Procedures.
                    </paratext>
                  </para>
                </defn>
              </defn.item>
              <defn.item id="a812970">
                <defn.term>Confidential Information</defn.term>
                <defn>
                  <para>
                    <paratext>all information, whether technical or commercial (including all specifications, drawings and designs, disclosed in writing, on disc, orally or by inspection of documents or during discussions between the parties), where the information is:</paratext>
                  </para>
                  <list type="loweralpha">
                    <list.item>
                      <para>
                        <paratext>identified as confidential at the time of disclosure; or</paratext>
                      </para>
                    </list.item>
                    <list.item>
                      <para>
                        <paratext>ought reasonably to be considered confidential given the nature of the information or the circumstances of disclosure.</paratext>
                      </para>
                    </list.item>
                  </list>
                  <para>
                    <paratext>
                      <bold>Controller, Processor, Data Subject, Personal Data, Personal Data Breach, processing and appropriate technical and organisational measures</bold>
                      : as defined in the Data Protection Legislation.
                    </paratext>
                  </para>
                </defn>
              </defn.item>
              <defn.item id="a336544">
                <defn.term>Protection Legislation</defn.term>
                <defn>
                  <para>
                    <paratext>all applicable data protection and privacy legislation in force from time to time in the UK including the retained EU law version of the General Data Protection Regulation ((EU) 2016/679) (UK GDPR); the Data Protection Act 2018 (DPA 2018) (and regulations made thereunder)  and the Privacy and Electronic Communications Regulations 2003 (SI 2003/2426) as amended [and the guidance and codes of practice issued by the Information Commissioner or other relevant regulatory authority and applicable to a party].</paratext>
                  </para>
                </defn>
                <drafting.note id="a591277" jurisdiction="">
                  <head align="left" preservecase="true">
                    <headtext>Data Protection Legislation</headtext>
                  </head>
                  <division id="a000009" level="1">
                    <para>
                      <paratext>
                        <bold>The definition covers UK legislation and will be appropriate in most cases where the parties are UK based.  It also includes an optional reference to guidance and codes of practice, which the parties may prefer to remove as these have the potential to change frequently and will be open to interpretation.</bold>
                      </paratext>
                    </para>
                    <para>
                      <paratext>
                        <bold>However, if the parties are also subject to the EU GDPR they should consider amending the definition of Data Protection Legislation to include the EU GDPR where applicable to certain personal data or adapting</bold>
                        <link href="w-026-6854" style="ACTLinkPLCtoPLC">
                          <bold>
                            <ital>Standard clauses, Personal data processing clauses for IT agreements (UK) (pro-supplier)</ital>
                          </bold>
                        </link>
                        <bold>or</bold>
                        <link href="w-027-4499" style="ACTLinkPLCtoPLC">
                          <bold>
                            <ital>Personal data processing clauses for IT agreements (UK) (pro-customer)</ital>
                          </bold>
                        </link>
                        <bold>.</bold>
                      </paratext>
                    </para>
                    <para>
                      <paratext>
                        <bold>The</bold>
                        <link href="w-014-9417" style="ACTLinkPLCtoPLC">
                          <bold>
                            <ital>DPA 2018</ital>
                          </bold>
                        </link>
                        <bold>supplements the</bold>
                        <link href="w-027-1020" style="ACTLinkPLCtoPLC">
                          <bold>
                            <ital>UK GDPR</ital>
                          </bold>
                        </link>
                        <bold>and both pieces of legislation must be taken into account.  Where the processing relates only to law enforcement processing (covered by</bold>
                        <bold>
                          <ital>Part 3, DPA 2018</ital>
                        </bold>
                        <bold>) or intelligence services processing (covered by</bold>
                        <bold>
                          <ital>Part 4, DPA 2018</ital>
                        </bold>
                        <bold>), the DPA 2018 applies and not the UK GDPR and the parties may wish to amend the definition to reflect this. For more information on the data protection legislation, see</bold>
                        <link href="w-013-3757" style="ACTLinkPLCtoPLC">
                          <bold>
                            <ital>Practice notes: Overview of GDPR: UK perspective</ital>
                          </bold>
                        </link>
                        <bold>and</bold>
                        <link href="w-014-5998" style="ACTLinkPLCtoPLC">
                          <bold>
                            <ital>Data Protection Act 2018: overview</ital>
                          </bold>
                        </link>
                        <bold>.</bold>
                      </paratext>
                    </para>
                  </division>
                </drafting.note>
              </defn.item>
              <defn.item id="a810304">
                <defn.term>Design Agency</defn.term>
                <defn>
                  <para>
                    <paratext>[NAME AND ADDRESS].</paratext>
                  </para>
                </defn>
              </defn.item>
              <defn.item id="a180591">
                <defn.term>Effective Date</defn.term>
                <defn>
                  <para>
                    <paratext>[DATE].</paratext>
                  </para>
                </defn>
              </defn.item>
              <defn.item condition="optional" id="a311403">
                <defn.term>Heightened Cybersecurity Requirements</defn.term>
                <defn>
                  <para>
                    <paratext>any laws, regulations, codes, guidance from regulatory and advisory bodies (whether mandatory or not), international and national standards, [industry schemes] and sanctions, which are applicable to the Customer [(but not the Supplier)] relating to security of network and information systems and security breach and incident reporting requirements, which may include the Cybersecurity Directive ((EU) 2016/1148), Commission Implementing Regulation ((EU) 2018/151), the Network and Information systems Regulations 2018 (SI 506/2018), all as amended or updated from time to time.</paratext>
                  </para>
                </defn>
                <drafting.note id="a456203" jurisdiction="">
                  <head align="left" preservecase="true">
                    <headtext>Heightened Cybersecurity Requirements (optional)</headtext>
                  </head>
                  <division id="a000010" level="1">
                    <para>
                      <paratext>
                        <internal.reference refid="a499782">clause 8.6(a)(iii)</internal.reference>
                        <internal.reference refid="a499782">clause 8.6(a)(iii)</internal.reference>
                        This definition is used in  as part of the supplier's warranty disclaimer. A customer may only accept  where the second optional wording in square brackets is included (i.e. where this definition only covers those more stringent cybersecurity requirements which the supplier itself would not otherwise be subject to).
                      </paratext>
                    </para>
                  </division>
                </drafting.note>
              </defn.item>
              <defn.item id="a559595">
                <defn.term>Intellectual Property Rights</defn.term>
                <defn>
                  <para>
                    <paratext>patents, utility models, rights to inventions, copyright and neighbouring and related rights, moral rights, trade marks and service marks, business names and domain names, rights in get-up and trade dress,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paratext>
                  </para>
                </defn>
              </defn.item>
              <defn.item id="a267219">
                <defn.term>Materials</defn.term>
                <defn>
                  <para>
                    <paratext>the content provided to the Supplier by the Customer from time to time for incorporation in the Site.</paratext>
                  </para>
                </defn>
              </defn.item>
              <defn.item id="a207243">
                <defn.term>Non-Supplier Defects</defn.term>
                <defn>
                  <para>
                    <paratext>
                      <internal.reference refid="a582317">clause 4.4</internal.reference>
                      those defects described in .
                    </paratext>
                  </para>
                </defn>
              </defn.item>
              <defn.item id="a651401">
                <defn.term>Phase</defn.term>
                <defn>
                  <para>
                    <paratext>in relation to the Project Plan, one of the key phases of work identified in the Project Plan.</paratext>
                  </para>
                </defn>
              </defn.item>
              <defn.item id="a776184">
                <defn.term>Project</defn.term>
                <defn>
                  <para>
                    <paratext>the provision by the Supplier of the Services as set out in this agreement.</paratext>
                  </para>
                </defn>
              </defn.item>
              <defn.item id="a990605">
                <defn.term>Project Plan</defn.term>
                <defn>
                  <para>
                    <paratext>
                      <internal.reference refid="a173332">Schedule 1</internal.reference>
                      the timetable within which the Supplier will implement the Project as set out in .
                    </paratext>
                  </para>
                </defn>
              </defn.item>
              <defn.item condition="optional" id="a927380">
                <defn.term>Server</defn.term>
                <defn>
                  <para>
                    <paratext>
                      <internal.reference refid="a151970">Schedule 3</internal.reference>
                      a computer server administered by the Supplier [as more particularly defined in ].
                    </paratext>
                  </para>
                </defn>
              </defn.item>
              <defn.item id="a499496">
                <defn.term>Services</defn.term>
                <defn>
                  <para>
                    <paratext>
                      <internal.reference refid="a151970">Schedule 3</internal.reference>
                      the design and development services to be provided pursuant to this agreement as set out in .
                    </paratext>
                  </para>
                </defn>
              </defn.item>
              <defn.item id="a706583">
                <defn.term>Site</defn.term>
                <defn>
                  <para>
                    <paratext>the website at [URL] [to be hosted by the Supplier pursuant to this agreement].</paratext>
                  </para>
                </defn>
              </defn.item>
              <defn.item id="a796922">
                <defn.term>Site Software</defn.term>
                <defn>
                  <para>
                    <paratext>
                      <internal.reference refid="a184014">Schedule 2</internal.reference>
                      the software for the Site commissioned by the Customer as specified in .
                    </paratext>
                  </para>
                </defn>
              </defn.item>
              <defn.item id="a552294">
                <defn.term>Site Specification</defn.term>
                <defn>
                  <para>
                    <paratext>
                      <internal.reference refid="a184014">Schedule 2</internal.reference>
                      the specification for the Site set out in .
                    </paratext>
                  </para>
                </defn>
              </defn.item>
              <defn.item id="a278794">
                <defn.term>Third Party Products</defn.term>
                <defn>
                  <para>
                    <paratext>
                      <internal.reference refid="a184014">Schedule 2</internal.reference>
                      those third party software products set out in .
                    </paratext>
                  </para>
                </defn>
              </defn.item>
              <defn.item id="a661319">
                <defn.term>Visitor</defn.term>
                <defn>
                  <para>
                    <paratext>a visitor to the Site.</paratext>
                  </para>
                </defn>
              </defn.item>
              <defn.item condition="optional" id="a231532">
                <defn.term>Vulnerability</defn.term>
                <defn>
                  <para>
                    <paratext>
                      <defn.term>Vulnerabilities</defn.term>
                      a weakness in the computational logic (for example, code) found in software and hardware components that when exploited, results in a negative impact to the confidentiality, integrity, or availability, and the term  shall be construed accordingly.
                    </paratext>
                  </para>
                </defn>
                <drafting.note id="a228265" jurisdiction="">
                  <head align="left" preservecase="true">
                    <headtext>Vulnerability (optional)</headtext>
                  </head>
                  <division id="a000011" level="1">
                    <para>
                      <paratext>This concept concerns security vulnerabilities that may be present in software or hardware and is based on the definition used by US National Institute of Standards and Technology (NIST).</paratext>
                    </para>
                  </division>
                </drafting.note>
              </defn.item>
            </subclause1>
            <subclause1 id="a193744">
              <identifier>1.2</identifier>
              <para>
                <paratext>Clause and Schedule headings do not affect the interpretation of this agreement.</paratext>
              </para>
            </subclause1>
            <subclause1 id="a418052">
              <identifier>1.3</identifier>
              <para>
                <paratext>References to clauses and Schedules are (unless otherwise provided) references to the clauses and Schedules of this agreement.</paratext>
              </para>
            </subclause1>
            <subclause1 id="a479548">
              <identifier>1.4</identifier>
              <para>
                <paratext>In the event and to the extent only of any conflict between the clauses and the Schedules, the clauses shall prevail.</paratext>
              </para>
            </subclause1>
            <subclause1 id="a763899">
              <identifier>1.5</identifier>
              <para>
                <paratext>Unless the context otherwise requires, words in the singular shall include the plural and in the plural include the singular.</paratext>
              </para>
            </subclause1>
            <subclause1 id="a176426">
              <identifier>1.6</identifier>
              <para>
                <paratext>A reference to a statute or statutory provision is a reference to it as it is in force as at the date of this agreement.</paratext>
              </para>
            </subclause1>
            <subclause1 id="a342811">
              <identifier>1.7</identifier>
              <para>
                <paratext>A reference to a statute or statutory provision shall include all subordinate legislation made as at the date of this agreement under that statute or statutory provision.</paratext>
              </para>
            </subclause1>
            <subclause1 id="a204425">
              <identifier>1.8</identifier>
              <para>
                <paratext>
                  <bold>including</bold>
                  <bold>include</bold>
                  <bold>in particular</bold>
                  <bold>for example</bold>
                  Any words following the terms , , ,  or any similar expression shall be construed as illustrative and shall not limit the sense of the words, description, definition, phrase or term preceding those terms.
                </paratext>
              </para>
            </subclause1>
            <subclause1 id="a386008">
              <identifier>1.9</identifier>
              <para>
                <paratext>
                  <bold>content</bold>
                  References to  include any kind of text, information, image, or audio or video material which can be incorporated in a website for access by a Visitor to that website.
                </paratext>
              </para>
            </subclause1>
            <subclause1 id="a575680">
              <identifier>1.10</identifier>
              <para>
                <paratext>
                  <bold>Writing</bold>
                  <bold>written</bold>
                  or  includes fax and email.
                </paratext>
              </para>
            </subclause1>
          </clause>
          <clause id="a475503">
            <identifier>2.</identifier>
            <head align="left" preservecase="true">
              <headtext>Scope of the project</headtext>
            </head>
            <drafting.note id="a369172" jurisdiction="">
              <head align="left" preservecase="true">
                <headtext>Scope of the project</headtext>
              </head>
              <division id="a000012" level="1">
                <para>
                  <paratext>
                    <internal.reference refid="a343282">clause 2(a)</internal.reference>
                    Consider including  if the customer is retaining the services of a design agency in designing logos or other materials. If so, the customer will want to ensure that the supplier and the design agency work together in developing these materials. The supplier should ensure that precise scope and cost of this collaboration is addressed in this agreement.
                  </paratext>
                </para>
                <para>
                  <paratext>
                    <internal.reference refid="a90976">clause 2(c)</internal.reference>
                    Consider including the words in square brackets at the beginning of  if the supplier is to provide hosting services.
                  </paratext>
                </para>
              </division>
            </drafting.note>
            <subclause1 id="a1041613">
              <para>
                <paratext>The Supplier shall:</paratext>
              </para>
              <subclause2 condition="optional" id="a343282">
                <identifier>(a)</identifier>
                <para>
                  <paratext>liaise with the Design Agency in developing the [look and feel of the] Site;</paratext>
                </para>
              </subclause2>
              <subclause2 id="a703856">
                <identifier>(b)</identifier>
                <para>
                  <paratext>design, develop and deliver the Site in three Phases in accordance with the Project Plan; and</paratext>
                </para>
              </subclause2>
              <subclause2 id="a90976">
                <identifier>(c)</identifier>
                <para>
                  <paratext>provide the Services [and host the Site from the Server].</paratext>
                </para>
              </subclause2>
            </subclause1>
          </clause>
          <clause id="a460777">
            <identifier>3.</identifier>
            <head align="left" preservecase="true">
              <headtext>Customer responsibilities</headtext>
            </head>
            <drafting.note id="a130772" jurisdiction="">
              <head align="left" preservecase="true">
                <headtext>Customer responsibilities</headtext>
              </head>
              <division id="a000013" level="1">
                <para>
                  <paratext>The co-operation of the customer in carrying out the development of the site is crucial for the supplier and, consequently, the standard document imposes certain obligations on the customer in this respect.</paratext>
                </para>
                <para>
                  <paratext>
                    <internal.reference refid="a351373">clause 3.1</internal.reference>
                    <internal.reference refid="a757263">clause 3.1(b)</internal.reference>
                    Include the words in square brackets in  and the whole of  if the customer retains the services of a design agency.
                  </paratext>
                </para>
              </division>
            </drafting.note>
            <subclause1 id="a351373">
              <identifier>3.1</identifier>
              <para>
                <paratext>The Customer acknowledges that the Supplier's ability to provide the Services is dependent upon the full and timely co-operation of the Customer (which the Customer agrees to provide), as well as the accuracy and completeness of [the design specifications provided by the Design Agency and] any information and data the Customer provides to the Supplier. Accordingly, the Customer shall:</paratext>
              </para>
              <subclause2 id="a148428">
                <identifier>(a)</identifier>
                <para>
                  <paratext>provide the Supplier with access to, and use of, all information, data and documentation reasonably required by the Supplier for the performance by the Supplier of its obligations under this agreement; and</paratext>
                </para>
              </subclause2>
              <subclause2 condition="optional" id="a757263">
                <identifier>(b)</identifier>
                <para>
                  <paratext>instruct and manage the Design Agency.</paratext>
                </para>
              </subclause2>
            </subclause1>
            <subclause1 id="a930755">
              <identifier>3.2</identifier>
              <para>
                <paratext>
                  <internal.reference refid="a515955">clause 11</internal.reference>
                  The Customer shall be responsible for the accuracy and completeness of the Materials on the Site in accordance with .
                </paratext>
              </para>
            </subclause1>
          </clause>
          <clause id="a941436">
            <identifier>4.</identifier>
            <head align="left" preservecase="true">
              <headtext>Development and acceptance of site</headtext>
            </head>
            <drafting.note id="a998550" jurisdiction="">
              <head align="left" preservecase="true">
                <headtext>Development and acceptance of site</headtext>
              </head>
              <division id="a000014" level="1">
                <para>
                  <paratext>Acceptance testing is critical from the customer's perspective in most website development contracts and, as with software development contracts in a general IT context, suppliers will usually agree that some form of acceptance testing is reasonable.  The extent and the nature of the tests will depend on the type of site, and may include user testing (in both a pre-and post-launch environment) as well as technical acceptance tests. With large-scale projects, it is also worth including escalation and/or alternative dispute resolution procedures in order to deal with disputes as to whether the tests have been passed.</paratext>
                </para>
                <para>
                  <paratext>
                    <internal.reference refid="a941436">clause 4</internal.reference>
                    <internal.reference refid="a248102">Schedule 4</internal.reference>
                    has been drafted so as to give the supplier complete control over the acceptance testing procedure (care should be taken not to remove this control when drafting ). In practice, however, the customer may want to be present during testing and to be provided with some documentary evidence of the results of the tests.
                  </paratext>
                </para>
                <para>
                  <paratext>
                    <link href="7-201-3177" style="ACTLinkPLCtoPLC">
                      <ital>Standard document, Systems integration agreement (pro-supplier)</ital>
                    </link>
                    For an example of acceptance testing provisions in a general IT context, see .
                  </paratext>
                </para>
              </division>
            </drafting.note>
            <subclause1 id="a909392">
              <identifier>4.1</identifier>
              <para>
                <paratext>
                  <internal.reference refid="a941436">clause 4</internal.reference>
                  Once the Supplier has completed the design and development of the Site in accordance with Phase [RELEVANT PHASE NUMBER] of the Project Plan, the Supplier shall run the Acceptance Tests. The procedure set out in this  shall be repeated in respect of Phase [RELEVANT PHASE NUMBER] and any further development works agreed by the parties from time to time.
                </paratext>
              </para>
            </subclause1>
            <subclause1 id="a1005524">
              <identifier>4.2</identifier>
              <para>
                <paratext>
                  <internal.reference refid="a248102">Schedule 4</internal.reference>
                  The Acceptance Tests shall test compliance of the Site with the Site Specification. The form and detail of such tests is set out in .
                </paratext>
              </para>
            </subclause1>
            <subclause1 id="a717129">
              <identifier>4.3</identifier>
              <para>
                <paratext>Acceptance of the Site shall occur when the Site has passed the Acceptance Tests. The Supplier shall notify the customer when the tests have been passed and provide the results of the Acceptance Tests to the Customer in writing.</paratext>
              </para>
            </subclause1>
            <subclause1 id="a582317">
              <identifier>4.4</identifier>
              <para>
                <paratext>
                  <defn.term>Non-Supplier Defect</defn.term>
                  If any failure to pass the Acceptance Tests results from a defect which is caused by an act or omission of the Customer, or by one of the Customer's sub-contractors or agents for whom the Supplier has no responsibility (), the Site shall be deemed to have passed the Acceptance Tests notwithstanding such Non-Supplier Defect. The Supplier shall provide assistance reasonably requested by the Customer in remedying any Non-Supplier Defect by supplying additional services or products. The Customer shall pay the Supplier in full for all such additional services and products at the Supplier's then current fees and prices.
                </paratext>
              </para>
            </subclause1>
            <subclause1 id="a721174">
              <identifier>4.5</identifier>
              <para>
                <paratext>Acceptance of the Site shall be deemed to have taken place upon the occurrence of any of the following events:</paratext>
              </para>
              <subclause2 id="a304602">
                <identifier>(a)</identifier>
                <para>
                  <paratext>the Customer uses any part of the Site for any revenue-earning purposes or to provide any services to third parties other than for test purposes; or</paratext>
                </para>
              </subclause2>
              <subclause2 id="a554318">
                <identifier>(b)</identifier>
                <para>
                  <paratext>the Customer unreasonably delays the start of the relevant Acceptance Tests or any retests for a period of seven working days from the date on which the Supplier is ready to commence running such Acceptance Tests or retests.</paratext>
                </para>
              </subclause2>
            </subclause1>
          </clause>
          <clause id="a539591">
            <identifier>5.</identifier>
            <head align="left" preservecase="true">
              <headtext>Third party products</headtext>
            </head>
            <subclause1 id="a849350">
              <para>
                <paratext>
                  <internal.reference refid="a443459">clause 7.1</internal.reference>
                  The Third Party Products shall be supplied in accordance with the relevant licensor's standard terms. The one-off licence fee for such Third Party Products is included in the Charges payable under .
                </paratext>
              </para>
            </subclause1>
          </clause>
          <clause id="a920074">
            <identifier>6.</identifier>
            <head align="left" preservecase="true">
              <headtext>Project management</headtext>
            </head>
            <subclause1 id="a973480">
              <identifier>6.1</identifier>
              <para>
                <paratext>Each party shall appoint a project manager who shall:</paratext>
              </para>
              <subclause2 id="a813260">
                <identifier>(a)</identifier>
                <para>
                  <paratext>provide professional and prompt liaison with the other party; and</paratext>
                </para>
              </subclause2>
              <subclause2 id="a293921">
                <identifier>(b)</identifier>
                <para>
                  <paratext>have the necessary expertise and authority to commit the relevant party.</paratext>
                </para>
              </subclause2>
            </subclause1>
            <subclause1 id="a334599">
              <identifier>6.2</identifier>
              <para>
                <paratext>The project managers shall meet at least [once] every week until Acceptance and thereafter at least [once] every month. The Customer shall provide minutes of these meetings to the Supplier.</paratext>
              </para>
            </subclause1>
          </clause>
          <clause id="a586362">
            <identifier>7.</identifier>
            <head align="left" preservecase="true">
              <headtext>Charges and payment</headtext>
            </head>
            <drafting.note id="a746244" jurisdiction="">
              <head align="left" preservecase="true">
                <headtext>Charges and payment</headtext>
              </head>
              <division id="a000015" level="1">
                <para>
                  <paratext>The structure of the charges for the development services will vary from one agreement to another. From the supplier's perspective, charges should ideally be made on a time-and-materials basis rather than a fixed-fee basis, as it is often difficult to anticipate the costs of a project in advance.  In any event, a supplier should provide for a substantial proportion of the charges to be payable on signature of the agreement (and not be made conditional on acceptance).  This could be followed by a monthly charge and/or a final payment on completion of the development.</paratext>
                </para>
              </division>
            </drafting.note>
            <subclause1 id="a443459">
              <identifier>7.1</identifier>
              <para>
                <paratext>The Supplier shall issue a [monthly] VAT invoice in respect of the Charges, and the Customer shall pay to the Supplier the Charges set out in such Supplier's invoice within 14 days of the date of the Supplier's invoice.</paratext>
              </para>
            </subclause1>
            <subclause1 id="a137746">
              <identifier>7.2</identifier>
              <para>
                <paratext>All Charges are exclusive of VAT.</paratext>
              </para>
            </subclause1>
            <subclause1 id="a789307">
              <identifier>7.3</identifier>
              <para>
                <paratext>
                  <internal.reference refid="a829758">clause 13</internal.reference>
                  If the Customer fails to make any payment due to the Supplier under this agreement by the due date for payment, then, without limiting the Supplier's remedies under , the Customer shall pay interest on the overdue sum from the due date until payment of the overdue sum, whether before or after judgment. Interest under this clause will accrue each day at [4]% a year above the Bank of England's base rate from time to time, but at 4% a year for any period when that base rate is below 0%.
                </paratext>
              </para>
              <drafting.note id="a741061" jurisdiction="">
                <head align="left" preservecase="true">
                  <headtext>Interest</headtext>
                </head>
                <division id="a000016" level="1">
                  <para>
                    <paratext>
                      <internal.reference refid="a789307">clause 7.3</internal.reference>
                      entitles the supplier to charge interest on overdue payments.
                    </paratext>
                  </para>
                  <para>
                    <paratext>
                      <link href="3-107-3800" style="ACTLinkPLCtoPLC">
                        <ital>Standard clause, Interest</ital>
                      </link>
                      <link href="7-107-3799" style="ACTLinkPLCtoPLC">
                        <ital>Practice note, Interest clauses</ital>
                      </link>
                      For information on interest clauses, see the integrated drafting notes to  and .
                    </paratext>
                  </para>
                </division>
              </drafting.note>
            </subclause1>
          </clause>
          <clause id="a834623">
            <identifier>8.</identifier>
            <head align="left" preservecase="true">
              <headtext>Warranties</headtext>
            </head>
            <drafting.note id="a412532" jurisdiction="">
              <head align="left" preservecase="true">
                <headtext>Warranties</headtext>
              </head>
              <division id="a000017" level="1">
                <para>
                  <paratext>
                    <internal.reference refid="a866667">clause 8.3</internal.reference>
                    It is usually reasonable (and certainly commonplace) for the customer to expect a warranty regarding the performance of the services and for the supplier to warrant, at the very least, that the site will perform substantially in accordance with the specification for a fixed period.  The length of the warranty period for the latter will depend on the nature of the development.  provides for a period of three months on the basis that this is the minimum that a supplier is likely to be expected to offer.
                  </paratext>
                </para>
                <para>
                  <paratext>
                    <internal.reference refid="a332601">Clause 8.5</internal.reference>
                    <internal.reference refid="a778625">clause 8.2</internal.reference>
                    <internal.reference refid="a866667">clause 8.3</internal.reference>
                    excludes all implied terms regarding the provision of the services, with the result that the onus is on the customer to ensure that the express terms of the agreement (including the warranties in  and ) provide adequate protection. The customer may therefore resist this provision.
                  </paratext>
                </para>
                <para>
                  <paratext>
                    <internal.reference refid="a672264">Clause 8.6</internal.reference>
                    is an optional warranty disclaimer, which the supplier may prefer to include, given the nature of these types of IT services.
                  </paratext>
                </para>
              </division>
            </drafting.note>
            <subclause1 id="a229833">
              <identifier>8.1</identifier>
              <para>
                <paratext>Each of the parties warrants to the other that it has full power and authority to enter into and perform this agreement.</paratext>
              </para>
            </subclause1>
            <subclause1 id="a778625">
              <identifier>8.2</identifier>
              <para>
                <paratext>The Supplier shall perform the Services with reasonable care and skill.</paratext>
              </para>
            </subclause1>
            <subclause1 id="a866667">
              <identifier>8.3</identifier>
              <para>
                <paratext>The Supplier warrants that the Site will perform substantially in accordance with the Site Specification for a period of three months from Acceptance. If the Site does not so perform, the Supplier shall, for no additional charge, carry out any work necessary in order to ensure that the Site substantially complies with the Site Specification.</paratext>
              </para>
            </subclause1>
            <subclause1 id="a133701">
              <identifier>8.4</identifier>
              <para>
                <paratext>
                  <internal.reference refid="a866667">clause 8.3</internal.reference>
                  The warranty set out in  shall not apply to the extent that any failure of the Site to perform substantially in accordance with the Site Specification is caused by any Materials.
                </paratext>
              </para>
            </subclause1>
            <subclause1 id="a332601">
              <identifier>8.5</identifier>
              <para>
                <paratext>This agreement sets out the full extent of the Supplier's obligations and liabilities in respect of the supply of the Services. All conditions, warranties or other terms concerning the Services which might otherwise be implied into this agreement or any collateral contract (whether by statute or otherwise) are hereby expressly excluded.</paratext>
              </para>
            </subclause1>
            <subclause1 condition="optional" id="a672264">
              <identifier>8.6</identifier>
              <para>
                <paratext>The Supplier:</paratext>
              </para>
              <subclause2 id="a432639">
                <identifier>(a)</identifier>
                <para>
                  <paratext>does not warrant that:</paratext>
                </para>
                <subclause3 id="a654513">
                  <identifier>(i)</identifier>
                  <para>
                    <paratext>the Customer's use of the Services or the Site will be uninterrupted or error-free; or</paratext>
                  </para>
                </subclause3>
                <subclause3 id="a822128">
                  <identifier>(ii)</identifier>
                  <para>
                    <paratext>the Services or the Site will be free from Vulnerabilities</paratext>
                  </para>
                  <drafting.note id="a470696" jurisdiction="">
                    <head align="left" preservecase="true">
                      <headtext>No warranty as to software vulnerabilities (optional)</headtext>
                    </head>
                    <division id="a000018" level="1">
                      <para>
                        <paratext>
                          <internal.reference refid="a822128">clause 8.6(a)(ii)</internal.reference>
                          The supplier may be justified in including the statement at  on the basis that it is difficult for any technology provider to guarantee its network and information system, or any website it designs and develops, will be free from software vulnerabilities.
                        </paratext>
                      </para>
                      <para>
                        <paratext>
                          <internal.reference refid="a822128">clause 8.6(a)(ii)</internal.reference>
                          <internal.reference refid="a499782">clause 8.6(a)(iii)</internal.reference>
                          However, this statement might serve as a red flag for customers and alert them to an issue that might not otherwise be raised (for example, it may trigger them to request specific cybersecurity warranties from the host). As such, the supplier might choose not to include the language at  and rely instead on its general disclaimer of heightened cybersecurity standards at  or choose to remain silent altogether on this point.
                        </paratext>
                      </para>
                    </division>
                  </drafting.note>
                </subclause3>
                <subclause3 condition="optional" id="a499782">
                  <identifier>(iii)</identifier>
                  <para>
                    <paratext>the Services or the Site will comply with any Heightened Cybersecurity Requirements.</paratext>
                  </para>
                  <drafting.note id="a139780" jurisdiction="">
                    <head align="left" preservecase="true">
                      <headtext>Excluding heightened cybersecurity requirements (optional)</headtext>
                    </head>
                    <division id="a000019" level="1">
                      <para>
                        <paratext>
                          <internal.reference refid="a107479">Drafting note, Network and Information Security Regulations 2018</internal.reference>
                          The supplier might consider stating explicitly here that it cannot guarantee that its software will meet any heightened cybersecurity requirements that the customer may be subject to (whether under the NIS Regulations or otherwise, see ).
                        </paratext>
                      </para>
                      <para>
                        <paratext>The supplier may be justified in doing so, as if the customer is classified as an OEM=S or RDSP under the NIS Regulations, it may be subject to stricter cybersecurity standards than would otherwise be applicable, and the supplier's software or services may not have been designed with such requirements in mind. In such circumstances, the supplier may require the customer to review the Site Specification to reach its own conclusions as to whether the services are sufficient to meet any heightened cybersecurity standards that the customer might be subject to.</paratext>
                      </para>
                      <para>
                        <paratext>However, as the inclusion of such caveats may only serve to flag a potential issue to the customer, the supplier may prefer to stay silence on this point and rely on an assumption that no such standards would be implied in any event. This approach carries more risk where the customer imposes a general obligation on the supplier to comply "with all applicable laws" as the supplier will want to avoid any arguments as to which laws were applicable in the circumstances.</paratext>
                      </para>
                      <para>
                        <paratext>
                          <internal.reference refid="a499782">clause 8.6(a)(iii)</internal.reference>
                          <internal.reference refid="a456203">Drafting note, Heightened cybersecurity Requirements (optional)</internal.reference>
                          The customer may only accept  where the definition of Heightened Cybersecurity Requirements is limited to those requirements that would not otherwise apply to the supplier anyway, see .
                        </paratext>
                      </para>
                    </division>
                  </drafting.note>
                </subclause3>
              </subclause2>
            </subclause1>
          </clause>
          <clause id="a735900">
            <identifier>9.</identifier>
            <head align="left" preservecase="true">
              <headtext>Limitation of remedies and liability</headtext>
            </head>
            <drafting.note id="a331126" jurisdiction="">
              <head align="left" preservecase="true">
                <headtext>Limitation of remedies and liability</headtext>
              </head>
              <division id="a000020" level="1">
                <para>
                  <paratext>
                    <internal.reference refid="a735900">clause 9</internal.reference>
                    An appropriate limitation on liability is clearly of critical importance for the supplier. Under the approach adopted in , the supplier:
                  </paratext>
                </para>
                <list type="bulleted">
                  <list.item>
                    <para>
                      <paratext>Excludes liability for certain types of financial loss and for any consequential losses; and</paratext>
                    </para>
                  </list.item>
                  <list.item>
                    <para>
                      <paratext>Limits its liability for other types of losses to an amount equivalent to the charges payable by the customer in the relevant calendar year,</paratext>
                    </para>
                  </list.item>
                </list>
                <para>
                  <paratext>
                    <internal.reference refid="a994843">clause 9.1</internal.reference>
                    subject to the non-excludable categories of loss specified in .
                  </paratext>
                </para>
                <para>
                  <paratext>
                    <link href="7-505-7728" style="ACTLinkPLCtoPLC">
                      <ital>Unfair Contract Terms Act 1977</ital>
                    </link>
                    <link href="5-505-8743" style="ACTLinkPLCtoPLC">
                      <ital>section 3</ital>
                    </link>
                    <bold>not</bold>
                    <link href="D-009-3119" style="ACTLinkURL">
                      <ital>Regus (UK) Limited v Epcot Solutions Limited [2007] EWHC 938 (Comm)</ital>
                    </link>
                    <ital>Regus</ital>
                    <link href="0-381-3307" style="ACTLinkPLCtoPLC">
                      <ital>Legal update, Unfair contract terms: Court of Appeal reverses first instance Regus v Epcot decision on exclusion clause</ital>
                    </link>
                    A blanket exclusion of liability is unlikely to satisfy the test of reasonableness under the  (UCTA) if the restrictions in that Act apply. Broadly, the restrictions on exclusion of liability for breach of contract under  of the Act will only apply to a business-to-business contract where the customer is dealing on the "written standard terms of business" of the supplier, so they will  apply where the contract is freely negotiated between the supplier and the customer. However, an overly broad exclusion clause may be held unenforceable even in circumstances where UCTA does not apply. In the 2007 case , which concerned an exclusion of liability clause in a business-to-business services agreement on the supplier's standard terms, the judge held that the list of excluded financial losses was so extensive that it effectively left the customer with no remedy at all for the supplier's breach of contract. As such, the entire exclusion clause was ineffective. Although the High Court's decision in  was reversed by the Court of Appeal (see ), the decision stands as a reminder of the need for suppliers to exercise caution when seeking to exclude liability for financial losses, as the reasonableness of such an exclusion will depend on the circumstances, and different judges may reach opposite conclusions as to what is reasonable in any particular situation.
                  </paratext>
                </para>
                <para>
                  <paratext>
                    <link href="D-011-7732" style="ACTLinkURL">
                      <ital>GB Gas Holdings v Accenture [2010]</ital>
                    </link>
                    In  the Court of Appeal confirmed the High Court decision emphasising the need for parties to an agreement to be absolutely clear about the types of loss they will (and won't) accept given the often difficult process of proving that a certain type of loss or damage is direct (hence recoverable) or indirect (not recoverable), depending on the circumstances.  The parties may therefore wish to be prescriptive in listing out those losses which the customer may recover if things go wrong or indeed which losses are "direct" and which are "indirect" at the time the contract is entered into.  This could be done by inserting a new sub-clause specifying the heads of recoverable "direct" losses.
                  </paratext>
                </para>
                <para>
                  <paratext>
                    <internal.reference refid="a866667">clause 8.3</internal.reference>
                    To avoid the risk of the exclusion clause being deemed unenforceable, the supplier should therefore list in its standard terms those types of financial loss for which it is prepared to accept liability, subject to the overall cap in .
                  </paratext>
                </para>
                <para>
                  <paratext>
                    <ital>(</ital>
                    <link href="D-013-8641" style="ACTLinkURL">
                      <ital>Internet Broadcasting Corporation (t/a NetTV) v MAR LLC (T/a MARHedge [2009] EWHC 844</ital>
                    </link>
                    <link href="D-000-3742" style="ACTLinkURL">
                      <ital>AstraZeneca UK Ltd v Albermarle International Corporation [2011] EWHC 1574</ital>
                    </link>
                    <ital>NetTV</ital>
                    <link href="D-011-8528" style="ACTLinkURL">
                      <ital>Shared Network Services Ltd v Nextiraone UK Ltd [2012] EWCA Civ 1171</ital>
                    </link>
                    <ital>NetTV</ital>
                    It has been suggested that there is a rebuttable presumption that an exclusion clause should not apply to a deliberate personal repudiatory breach of contract ). However, this controversial decision was subsequently criticised in the strongest terms by Flaux J (), who said that he considered  to be wrong, and that he would decline to follow it. The Court of Appeal expressly recognised that the law in this area needs to be clarified and granted leave to appeal in a case which would allow it to resolve this conflict of authority, but the case did not proceed to trial: see . We consider that Flaux J was correct to refuse to follow , and would not rely on the "deliberate personal repudiatory breach" presumption.
                  </paratext>
                </para>
                <para>
                  <paratext>
                    <link href="7-107-4789#a615351" style="ACTLinkPLCtoPLC">
                      <ital>Practice notes, Main issues in software licensing and maintenance contracts: Limitation of liability</ital>
                    </link>
                    <link href="0-107-3646#a1025860" style="ACTLinkPLCtoPLC">
                      <ital>Supply contracts: overview: What can we exclude?</ital>
                    </link>
                    For detailed consideration of the issues that arise when drafting exclusion clauses on behalf of suppliers, see  and
                  </paratext>
                </para>
                <para>
                  <paratext>
                    <internal.reference refid="a107479">Drafting note, Network and Information Security Regulations 2018</internal.reference>
                    <internal.reference refid="a253755">Drafting note, GDPR</internal.reference>
                    <ital>Regulation 18(6)</ital>
                    <link anchor="a956380" href="w-013-8329" style="ACTLinkPLCtoPLC">
                      <ital>Practice note, Cybersecurity Directive: UK implementation: Penalties</ital>
                    </link>
                    <link anchor="a915820" href="w-013-3757" style="ACTLinkPLCtoPLC">
                      <ital>Practice note: overview, Overview of GDPR: UK perspective: Enforcement, sanctions and remedies</ital>
                    </link>
                    The supplier should watch out for any attempt by the customer to exclude the supplier's compliance with any cybersecurity obligations (including compliance with the NIS Regulations, see ) or data protection obligations, see , from the cap. A fine under the NIS Regulations could be as much as £17 million () and under the GDPR, up to 20 million Euros or 4% of the customer's (undertaking's) total worldwide annual turnover (Article 83(6)). However, the parties could assess, in the light of the type of website being hosted, whether a fine is likely to be that high if there is a breach. For more on penalties under the NIS Regulations, see .and under the GDPR, see .
                  </paratext>
                </para>
              </division>
            </drafting.note>
            <para>
              <paratext>
                <bold>WARNING: you are strongly advised to read the</bold>
                <internal.reference refid="a331126">Drafting note, Limitation of remedies and liability</internal.reference>
                <bold>on this clause.</bold>
              </paratext>
            </para>
            <subclause1 id="a994843">
              <identifier>9.1</identifier>
              <para>
                <paratext>Nothing in this agreement shall operate to exclude or limit the Supplier's liability for:</paratext>
              </para>
              <subclause2 id="a749173">
                <identifier>(a)</identifier>
                <para>
                  <paratext>death or personal injury caused by its negligence; or</paratext>
                </para>
              </subclause2>
              <subclause2 id="a486185">
                <identifier>(b)</identifier>
                <para>
                  <paratext>any breach of the terms implied by section 12 of the Sale of Goods Act 1979 or section 2 of the Supply of Goods and Services Act 1982; or</paratext>
                </para>
              </subclause2>
              <subclause2 id="a1009569">
                <identifier>(c)</identifier>
                <para>
                  <paratext>fraud; or</paratext>
                </para>
              </subclause2>
              <subclause2 id="a439414">
                <identifier>(d)</identifier>
                <para>
                  <paratext>any other liability which cannot be excluded or limited under applicable law.</paratext>
                </para>
              </subclause2>
            </subclause1>
            <subclause1 id="a415461">
              <identifier>9.2</identifier>
              <para>
                <paratext>The Supplier shall not be liable to the Customer for any damage to software, damage to or loss of data, loss of profit, anticipated profits, revenues, anticipated savings, goodwill or business opportunity, or for any indirect or consequential loss or damage.</paratext>
              </para>
            </subclause1>
            <subclause1 id="a956163">
              <identifier>9.3</identifier>
              <para>
                <paratext>
                  <internal.reference refid="a994843">clause 9.1</internal.reference>
                  Subject to , the Supplier's aggregate liability in respect of claims based on events in any calendar year arising out of or in connection with this agreement or any collateral contract, whether in contract or tort (including negligence) or otherwise, shall in no circumstances exceed [PERCENTAGE]% of the total Charges payable by the Customer to the Supplier under this agreement in that calendar year.
                </paratext>
              </para>
            </subclause1>
          </clause>
          <clause id="a599634">
            <identifier>10.</identifier>
            <head align="left" preservecase="true">
              <headtext>Intellectual property rights</headtext>
            </head>
            <subclause1 id="a934800">
              <identifier>10.1</identifier>
              <para>
                <paratext>All Intellectual Property Rights in the Site (including in the content of the Site and the Site Software)[, but excluding the Materials,] arising in connection with this agreement shall be the property of the Supplier, and the Supplier hereby grants the Customer a non-exclusive licence of such Intellectual Property Rights for the purpose of operating the Site.</paratext>
              </para>
              <drafting.note id="a191952" jurisdiction="">
                <head align="left" preservecase="true">
                  <headtext>Non-exclusive licence</headtext>
                </head>
                <division id="a000021" level="1">
                  <para>
                    <paratext>
                      <internal.reference refid="a853125">Drafting note, Legal issues</internal.reference>
                      In most cases, the customer will insist on taking ownership of all the IPRs in the website, including IPRs in the specification and in all content and software developed by the supplier, so as to ensure that it is free to maintain, re-use and modify the materials which make up the site at will either by itself or through a third party (see ). In certain situations, there is no reason why the supplier should not agree to a transfer of those rights in full or subject to a carve-out of any third party rights or rights in any underlying software of the supplier (such as developer tools) not developed specifically for the customer but needed to operate the site (which would be licensed, as opposed to transferred, to the customer).
                    </paratext>
                  </para>
                  <para>
                    <paratext>
                      <internal.reference refid="a934800">clause 10.1</internal.reference>
                      <bold>all</bold>
                      <link href="7-107-4789#a483447" style="ACTLinkPLCtoPLC">
                        <ital>Practice note, Main issues in software licensing and maintenance contracts: Escrow agreement</ital>
                      </link>
                      In other situations, however, the supplier may consider it impractical to transfer certain rights in the site to the customer while retaining ownership of others. Consequently,  provides for the supplier to retain ownership of  the site content and software but provides a licence to the customer to exploit those rights in operating the site.  If this approach is adopted, it may be necessary to have a separate agreement setting out more detailed licence terms and, in relation to software, the customer may ask for source code escrow arrangements to be put in place (under which the supplier deposits a copy of the source code with a designated agent on terms that it will be released to the customer in specified circumstances, such as the supplier's insolvency) (see ).
                    </paratext>
                  </para>
                  <para>
                    <paratext>
                      <link anchor="a521299" href="9-201-8937" style="ACTLinkPLCtoPLC">
                        <ital>Standard document, Software development agreement (pro-supplier): Drafting note: Ownership</ital>
                      </link>
                      For information on potential competition issues, see .
                    </paratext>
                  </para>
                </division>
              </drafting.note>
            </subclause1>
            <subclause1 id="a663722">
              <identifier>10.2</identifier>
              <para>
                <paratext>The Customer shall indemnify the Supplier against all damages, losses and expenses arising as a result of any action or claim that the Materials infringe the Intellectual Property Rights of a third party.</paratext>
              </para>
              <drafting.note id="a503164" jurisdiction="">
                <head align="left" preservecase="true">
                  <headtext>Intellectual Property Rights indemnity</headtext>
                </head>
                <division id="a000022" level="1">
                  <para>
                    <paratext>
                      <internal.reference refid="a663722">clause 10.2</internal.reference>
                      The value of the indemnity in  will depend on the financial standing of the indemnifying party.  Consequently, where an indemnity is sought, the supplier should also always consider the financial standing of the customer and, if appropriate, the level of insurance cover should be checked.
                    </paratext>
                  </para>
                  <para>
                    <paratext>
                      <link href="1-107-3797" style="ACTLinkPLCtoPLC">
                        <ital>Standard clause, Indemnity</ital>
                      </link>
                      For information on indemnity clauses, see the integrated drafting notes to .
                    </paratext>
                  </para>
                  <para>
                    <paratext>
                      <internal.reference refid="a742536">clause 10.3</internal.reference>
                      It is common for the supplier to provide the customer with some protection against claims that materials produced by the supplier infringe the IPRs of third parties ().
                    </paratext>
                  </para>
                </division>
              </drafting.note>
            </subclause1>
            <subclause1 id="a742536">
              <identifier>10.3</identifier>
              <para>
                <paratext>
                  <internal.reference refid="a663722">clause 10.2</internal.reference>
                  The Supplier shall indemnify the Customer against all damages, losses and expenses arising as a result of any action or claim that the Site infringes any Intellectual Property Rights of a third party in the UK, other than infringements referred to in .
                </paratext>
              </para>
            </subclause1>
            <subclause1 id="a178197">
              <identifier>10.4</identifier>
              <para>
                <paratext>
                  <internal.reference refid="a663722">clause 10.2</internal.reference>
                  <internal.reference refid="a742536">clause 10.3</internal.reference>
                  <internal.reference refid="a182243">clause 11.4</internal.reference>
                  The indemnities in ,  and  are subject to the following conditions:
                </paratext>
              </para>
              <subclause2 id="a684265">
                <identifier>(a)</identifier>
                <para>
                  <paratext>the indemnified party promptly notifies the indemnifier in writing of the claim;</paratext>
                </para>
              </subclause2>
              <subclause2 id="a900482">
                <identifier>(b)</identifier>
                <para>
                  <paratext>the indemnified party makes no admissions or settlements without the indemnifier's prior written consent;</paratext>
                </para>
              </subclause2>
              <subclause2 id="a782988">
                <identifier>(c)</identifier>
                <para>
                  <paratext>the indemnified party gives the indemnifier all information and assistance that the indemnifier may reasonably require; and</paratext>
                </para>
              </subclause2>
              <subclause2 id="a135472">
                <identifier>(d)</identifier>
                <para>
                  <paratext>the indemnified party allows the indemnifier complete control over the litigation and settlement of any action or claim.</paratext>
                </para>
              </subclause2>
            </subclause1>
            <subclause1 id="a78020">
              <identifier>10.5</identifier>
              <para>
                <paratext>
                  <internal.reference refid="a663722">clause 10.2</internal.reference>
                  <internal.reference refid="a742536">clause 10.3</internal.reference>
                  <internal.reference refid="a182243">clause 11.4</internal.reference>
                  <internal.reference refid="a406550">clause 11.5</internal.reference>
                  The indemnities in , ,  and  may not be invoked to the extent that the action or claim arises out of the indemnifier's compliance with any designs, specifications or instructions of the indemnified party.
                </paratext>
              </para>
            </subclause1>
          </clause>
          <clause id="a515955">
            <identifier>11.</identifier>
            <head align="left" preservecase="true">
              <headtext>Site content</headtext>
            </head>
            <drafting.note id="a225450" jurisdiction="">
              <head align="left" preservecase="true">
                <headtext>Site content</headtext>
              </head>
              <division id="a000023" level="1">
                <para>
                  <paratext>
                    <internal.reference refid="a936571">clause 11.1</internal.reference>
                    <internal.reference refid="a409141">clause 11.2</internal.reference>
                    <internal.reference refid="a257012">clause 11.3</internal.reference>
                    The words in square brackets in  should be included only if the supplier is providing hosting services in addition to development services.  Similarly,  and  will only be relevant if the supplier is providing hosting services.  In certain circumstances, the supplier could be held legally liable for infringing content and therefore must have the freedom to remove material from the site.
                  </paratext>
                </para>
                <para>
                  <paratext>
                    <internal.reference refid="a406550">clause 11.5</internal.reference>
                    The supplier should always seek the right to place a credit on the website, as this may help attract future customers.  The suggested form of the credit set out in  will need to be amended if the supplier is also supplying hosting services.
                  </paratext>
                </para>
              </division>
            </drafting.note>
            <subclause1 id="a936571">
              <identifier>11.1</identifier>
              <para>
                <paratext>
                  <defn.term>Inappropriate Content</defn.term>
                  [The Supplier shall update the Site with Materials provided from time to time by the Customer.] The Customer shall ensure that the Materials do not infringe any applicable laws, regulations or third party rights (including material which is obscene, indecent, pornographic, seditious, offensive, defamatory, threatening, liable to incite racial hatred [or acts of terrorism], menacing, blasphemous or in breach of any third party Intellectual Property Rights) ().
                </paratext>
              </para>
            </subclause1>
            <subclause1 condition="optional" id="a409141">
              <identifier>11.2</identifier>
              <para>
                <paratext>The Supplier shall grant the Customer access to the Server in order to update information held on the Site.</paratext>
              </para>
            </subclause1>
            <subclause1 condition="optional" id="a257012">
              <identifier>11.3</identifier>
              <para>
                <paratext>The Supplier shall include only Materials on the Site. The Customer acknowledges that the Supplier has no control over any content placed on the Site by Visitors and does not purport to monitor the content of the Site. The Supplier reserves the right to remove content from the Site where it reasonably suspects such content is Inappropriate Content. The Supplier shall notify the Customer promptly if it becomes aware of any allegation that any content on the Site may be Inappropriate Content.</paratext>
              </para>
            </subclause1>
            <subclause1 id="a182243">
              <identifier>11.4</identifier>
              <para>
                <paratext>The Customer shall indemnify the Supplier against all damages, losses and expenses arising as a result of any action or claim that the Materials constitute Inappropriate Content.</paratext>
              </para>
            </subclause1>
            <subclause1 id="a406550">
              <identifier>11.5</identifier>
              <para>
                <paratext>The Supplier may include the statement "Designed by [NAME OF SUPPLIER]" on the home page of the Site in a form to be agreed.</paratext>
              </para>
            </subclause1>
          </clause>
          <clause id="a836299">
            <identifier>12.</identifier>
            <head align="left" preservecase="true">
              <headtext>Data protection</headtext>
            </head>
            <drafting.note id="a788747" jurisdiction="">
              <head align="left" preservecase="true">
                <headtext>Data protection</headtext>
              </head>
              <division id="a574905" level="1">
                <head align="left" preservecase="true">
                  <headtext>GDPR</headtext>
                </head>
                <para>
                  <paratext>Virtually all contracts for services require at least some provision for these issues. Clear allocation of responsibilities between supplier and customer is essential.  The customer will want to shift as much responsibility for compliance as possible to the supplier. Data protection law is broadly defined.  It will apply to the website development process if, for example, the supplier needs to have access to, or use, any personal data for the purpose of acceptance testing or maintenance, or where the supplier is to carry out migration of data to the new website before it can be put into regular use in the business.  If the supplier carries out hosting services, it will definitely apply.</paratext>
                </para>
                <para>
                  <paratext>
                    <link href="w-023-9796" style="ACTLinkPLCtoPLC">
                      <ital>UK-EU transition period</ital>
                    </link>
                    <link href="w-019-6282" style="ACTLinkPLCtoPLC">
                      <ital>retained EU law</ital>
                    </link>
                    <ital>(EU) 2016/679</ital>
                    <link href="w-026-8528" style="ACTLinkPLCtoPLC">
                      <ital>UK GDPR</ital>
                    </link>
                    <link href="w-014-9417" style="ACTLinkPLCtoPLC">
                      <ital>Data Protection Act 2018</ital>
                    </link>
                    <link href="w-026-2740" style="ACTLinkPLCtoPLC">
                      <ital>Practice notes, Brexit post-transition period: data protection (UK)</ital>
                    </link>
                    <link href="w-016-7309" style="ACTLinkPLCtoPLC">
                      <ital>Brexit: implications for data protection</ital>
                    </link>
                    Since the end of the  (transition period), the  version of the General Data Protection Regulation () () applied in the UK, along with the  (DPA 2018). For the background to UK data protection law during and after the transition period, see  and .
                  </paratext>
                </para>
                <para>
                  <paratext>
                    <link href="w-026-8527" style="ACTLinkPLCtoPLC">
                      <ital>EU GDPR</ital>
                    </link>
                    <ital>Article 3, EU GDPR</ital>
                    <link href="5-107-5723" style="ACTLinkPLCtoPLC">
                      <ital>controllers</ital>
                    </link>
                    <link href="2-384-8947" style="ACTLinkPLCtoPLC">
                      <ital>processor</ital>
                    </link>
                    <link href="w-026-2740" style="ACTLinkPLCtoPLC">
                      <ital>Practice note, Brexit post-transition period: data protection (UK): Determining which regimes apply</ital>
                    </link>
                    As the  will continue to have extraterritorial effect (see ), the EU GDPR may continue to apply to UK  or  who have an establishment in the EU, or who offer goods or services to data subjects in the EU, or who monitor their behaviour as far as their behaviour takes place within the EU. Such organisations may therefore find themselves subject to dual data protection regulatory regimes under the UK GDPR and the EU GDPR. For more information, see .
                  </paratext>
                </para>
                <para>
                  <paratext>For the purposes of this document we have assumed that we are dealing with an organisation based solely in the UK which does not provide goods or services to EU data subjects or monitor their behaviour. For that reason, we refer to compliance with the DPA 2018 and UK GDPR only as they will apply from 1 January 2021.</paratext>
                </para>
                <division id="a906955" level="2">
                  <head align="left" preservecase="true">
                    <headtext>Assumptions</headtext>
                  </head>
                  <para>
                    <paratext>It is assumed for the purposes of this standard document that:</paratext>
                  </para>
                  <para>
                    <paratext>
                      <internal.reference refid="a836299">clause 12</internal.reference>
                      <link href="w-026-8528" style="ACTLinkPLCtoPLC">
                        <ital>UK GDPR</ital>
                      </link>
                      <link href="w-026-8528" style="ACTLinkPLCtoPLC">
                        <ital>UK GDPR</ital>
                      </link>
                      Personal data belonging to the customer's end-users will be processed by the supplier. The extent to which the supplier processes third party data will depend on what point the supplier's role ends, and it is possible that, if the supplier is not involved with the live site, it will not process any end-user data, in which case the data processing clause () and related definitions can be deleted. However, it would be a good idea to include the data processing provisions in any case in the event that the supplier is engaged to a greater extent than at first envisaged. Where the supplier provides hosting services, it is certain to process third party personal data. Note that the definition of "personal data" in Article 4(1) of the  includes online identifiers such as IP addresses and cookies (also see Recital 30 of the ).
                    </paratext>
                  </para>
                  <para>
                    <paratext>
                      <link href="5-107-5723" style="ACTLinkPLCtoPLC">
                        <ital>controller</ital>
                      </link>
                      <link href="5-107-5723" style="ACTLinkPLCtoPLC">
                        <ital>processor</ital>
                      </link>
                      <link href="w-026-8528" style="ACTLinkPLCtoPLC">
                        <ital>UK GDPR</ital>
                      </link>
                      <internal.reference refid="a836299">clause 12</internal.reference>
                      <link anchor="a915248" href="w-013-3757" style="ACTLinkPLCtoPLC">
                        <ital>Practice note, Overview of GDPR: UK perspective: Controller and processor contracts</ital>
                      </link>
                      <link href="w-026-8528" style="ACTLinkPLCtoPLC">
                        <ital>UK GDPR</ital>
                      </link>
                      <link href="w-026-8528" style="ACTLinkPLCtoPLC">
                        <ital>UK GDPR</ital>
                      </link>
                      <link href="w-019-8440" style="ACTLinkPLCtoPLC">
                        <ital>Concepts of controller and processor (GDPR and DPA 2018) (UK): checklist</ital>
                      </link>
                      For any personal data that might be processed during the provision of the services, the customer is the data  and the supplier is the data . Where a controller-processor relationship is established, Article 28(3) of the  sets out specific topics that must be included in the written contract, and these are reflected in . For more information, see . When the supplier acts as a controller in its own right, then the  and DPA 2018 do not mandate that certain provisions must be included in this written contract, but, to the extent the supplier and customer act as joint-controllers in relation to certain personal data processing, then Article 26 states that the parties should come to some arrangement to determine their respective responsibilities for compliance with the obligations under the and DPA 2018, and to reflect the respective roles and relationships of the joint controllers vis-à-vis the data subjects. For more information, see .
                    </paratext>
                  </para>
                  <para>
                    <paratext>
                      <link anchor="a164136" href="w-013-3757" style="ACTLinkPLCtoPLC">
                        <ital>Practice notes: Overview of GDPR: UK perspective: Application of the GDPR</ital>
                      </link>
                      The parties (including any sub-processor) are established in the UK for data protection purposes, process the personal data within the UK and do not collect personal data from individuals in the EU by either (a) offering them goods or services; or (b) monitoring the behaviour of such individuals in so far as such behaviour takes place within the EU (see ).
                    </paratext>
                  </para>
                  <para>
                    <paratext>
                      <link anchor="a551366" href="5-382-2205" style="ACTLinkPLCtoPLC">
                        <ital>Standard document, Wi-Fi roaming agreement: Drafting note: Transfers outside EEA</ital>
                      </link>
                      <internal.reference refid="a308420">clause 12.3(c)</internal.reference>
                      The relevant personal data is not transferred outside the EEA unless appropriate safeguards are in place (see  and ).
                    </paratext>
                  </para>
                  <para>
                    <paratext>The processing of the data under the agreement to which these clauses relate does not require any approval from, for example, a financial services regulator nor is it subject to any ongoing regulatory compliance regime (other than the Information Commissioner or any data protection compliance regime).</paratext>
                  </para>
                  <para>
                    <paratext>The agreement to which these clauses relate is subject to English law and the jurisdiction of the English courts.</paratext>
                  </para>
                  <para>
                    <paratext>
                      <link href="w-011-6802" style="ACTLinkPLCtoPLC">
                        <ital>ICO: Guide to the GDPR</ital>
                      </link>
                      Liability of the parties is set out elsewhere.  This is likely to be a topic of negotiation between the parties given the increased requirements and enforcement risks.  The  states that the contract should reflect any indemnity that has been agreed, as a matter of good practice.
                    </paratext>
                  </para>
                </division>
                <division id="a850268" level="2">
                  <head align="left" preservecase="true">
                    <headtext>Regulatory guidance</headtext>
                  </head>
                  <para>
                    <paratext>
                      <link href="3-107-6262" style="ACTLinkPLCtoPLC">
                        <ital>Information Commissioner's Office</ital>
                      </link>
                      <link href="w-011-6802" style="ACTLinkPLCtoPLC">
                        <ital>ICO: Guide to the GDPR</ital>
                      </link>
                      <internal.reference refid="a679852">clause 12.6</internal.reference>
                      <link href="6-631-1875" style="ACTLinkPLCtoPLC">
                        <ital>EU GDPR</ital>
                      </link>
                      <link href="w-028-3641" style="ACTLinkPLCtoPLC">
                        <ital>Legal update, European Commission publishes new Article 28 data processing clauses for feedback</ital>
                      </link>
                      In September 2017, the UK's  (ICO) consulted on draft guidance on controller to processor contracts. This guidance forms the basis of the expanded section on Contracts and Liabilities in the . The guidance notes that, in future, standard contract clauses may be adopted, including by the EU Commission or the ICO, but (and as noted at  below) no such clauses have yet been drafted at a UK  level. However, in November 2020, the European Commission published draft data processing clauses under Article 28 of the  which are intended for use where both parties are subject to the EU GDPR although they are not mandatory and the parties can choose to negotiate their own terms in compliance with Article 28. The ICO may adopt these in the UK, see .
                    </paratext>
                  </para>
                  <para>
                    <paratext>
                      <internal.reference refid="a308420">clause 12.3(c)</internal.reference>
                      <link href="w-014-9105" style="ACTLinkPLCtoPLC">
                        <ital>European Data Protection Board</ital>
                      </link>
                      <link href="w-015-0702" style="ACTLinkPLCtoPLC">
                        <ital>Legal update, EDPB consults on guidelines on certification and publishes final guidelines on derogations under the GDPR</ital>
                      </link>
                      Guidance on international transfers derogations under the EU GDPR (which may still be relevant for the international transfers requirements set out in ) has been issued by the  (EDPB) (previously the Article 29 Working Party (WP29) (see ).
                    </paratext>
                  </para>
                  <para>
                    <paratext>
                      <link href="1-505-8622" style="ACTLinkPLCtoPLC">
                        <ital>Data Protection Directive (95/46/EC)</ital>
                      </link>
                      <link href="9-422-4884" style="ACTLinkPLCtoPLC">
                        <ital>Standard contractual clauses for the transfer of personal data from the European Union to processors established in third countries (controller-to-processor transfers)</ital>
                      </link>
                      <internal.reference refid="a266220">Drafting note, Transfers outside UK</internal.reference>
                      <link href="w-028-3463" style="ACTLinkPLCtoPLC">
                        <ital>Legal update, European Commission publishes new standard contractual clauses for feedback</ital>
                      </link>
                      <ital>.</ital>
                      <link href="https://edpb.europa.eu/sites/edpb/files/consultation/edpb_recommendations_202001_supplementarymeasurestransferstools_en.pdf" style="ACTLinkURL">
                        <ital>draft Recommendations 1/2020 on measures that supplement transfer tools to ensure compliance with the EU level of protection of personal data</ital>
                      </link>
                      <ital/>
                      The standard contractual clauses for international transfers issued under the  have not been updated for UK GDPR or EU GDPR compliance.  They remain valid for international transfers under the UK GDPR but would need to be used in conjunction with processor clauses for Article 28 compliance, see . See also . In November, 2020, the European Commission published draft standard contractual clauses for transfers to a third country under the EU GDPR and which also incorporate the requirements of Article 28, see  The public consultation closed on December 10, 2020 and adoption of a final version is expected in early 2021. It is possible that the UK will also adopt these clauses. The EDPB has also adopted for public consultation. The recommendations provide further guidance on the kind of supplementary safeguards that could be provided, whether legal, technical or organisational measures, to transfer personal data to third countries where standard contractual clauses will not provide a sufficient level of guarantee on their own and again are likely to be of relevance in the UK.
                    </paratext>
                  </para>
                  <para>
                    <paratext>
                      <link href="w-028-8227" style="ACTLinkPLCtoPLC">
                        <ital>ICO: Binding Corporate Rules at the end of the transition period.</ital>
                      </link>
                      The ICO has issued a statement on Binding Corporate Rules after the end of the transition period, see
                    </paratext>
                  </para>
                  <para>
                    <paratext>
                      <link href="https://nam02.safelinks.protection.outlook.com/?url=https%3A%2F%2Fec.europa.eu%2Ftransparency%2Fregdoc%2Frep%2F1%2F2020%2FEN%2FCOM-2020-857-F1-EN-ANNEX-1-PART-1.PDF&amp;amp;data=04%7C01%7Clouise.townsend%40thomsonreuters.com%7C4cf8af85ec58406f2a4108d8aca9da53%7C62ccb8646a1a4b5d8e1c397dec1a8258%7C0%7C0%7C637449192806148626%7CUnknown%7CTWFpbGZsb3d8eyJWIjoiMC4wLjAwMDAiLCJQIjoiV2luMzIiLCJBTiI6Ik1haWwiLCJXVCI6Mn0%3D%7C1000&amp;amp;sdata=Urvn2hGiz%2BMvROCYACpF9Lj3RuDSXAeMXLFjAGrA8iI%3D&amp;amp;reserved=0" style="ACTLinkURL">
                        <ital>agreement</ital>
                      </link>
                      <link href="w-029-0104" style="ACTLinkPLCtoPLC">
                        <ital>Practice notes, European Union (Future Relationship) Act 2020</ital>
                      </link>
                      <link href="w-008-2811" style="ACTLinkPLCtoPLC">
                        <ital>Future UK-EU relationship agreements</ital>
                      </link>
                      On 24 December 2020, the UK and the EU reached a trade and co-operation  addressing the arrangements following the end of the Brexit transition period on 31 December 2020 (implemented by the European Union (Future Relationship) Act 2020). See  and . The final provisions of the agreement include an interim provision (bridging mechanism) for transmission of personal data from the EU to the UK. This is for four months from 1 January 2021, extended by two months unless one of the parties objects, or, if earlier, until there is an adequacy finding for the UK.
                    </paratext>
                  </para>
                  <para>
                    <paratext>
                      <link anchor="a527084" href="w-026-2740" style="ACTLinkPLCtoPLC">
                        <ital>Practice note, Brexit post-transition period: data protection (UK): UK as a third country and bridging mechanism for transfers from the EU</ital>
                      </link>
                      For more information, see .
                    </paratext>
                  </para>
                </division>
                <division id="a943891" level="2">
                  <head align="left" preservecase="true">
                    <headtext>General approach</headtext>
                  </head>
                  <para>
                    <paratext>
                      <internal.reference refid="a836299">clause 12</internal.reference>
                      <link href="w-026-8528" style="ACTLinkPLCtoPLC">
                        <ital>UK GDPR</ital>
                      </link>
                      In the absence of specific model controller to processor clauses, the approach here is to balance document usability and risk management, recognising in the general run of commercial and IT contracts that disproportionately long terms in the data protection area will as a practical matter inhibit usability and take-up and that this will increase rather than reduce the risk to be managed. This approach however involves a judgment about and trade-off between clause length and coverage. Attention is therefore drawn in the document notes in  to the derivations in the  of the clause(s) concerned should users wish to copy across the UK GDPR provisions more exactly in any particular case(s). As part of this approach, these clauses will be reviewed as and when appropriate model contract clauses are published.
                    </paratext>
                  </para>
                  <para>
                    <paratext>
                      <internal.reference refid="a836299">clause 12</internal.reference>
                      References to Articles in  are references to Articles of the GDPR.
                    </paratext>
                  </para>
                  <para>
                    <paratext>Both parties will comply with all applicable requirements of the Data Protection Legislation.</paratext>
                  </para>
                </division>
                <division id="a591376" level="2">
                  <head align="left" preservecase="true">
                    <headtext>Obligations and rights of the controller and processor</headtext>
                  </head>
                  <para>
                    <paratext>
                      <link href="w-011-6802" style="ACTLinkPLCtoPLC">
                        <ital>ICO: Guide to the GDPR</ital>
                      </link>
                      <link href="w-026-8528" style="ACTLinkPLCtoPLC">
                        <ital>UK GDPR</ital>
                      </link>
                      The  notes that, as a matter of good practice, contracts should state that nothing relieves the processor of its direct responsibilities and liabilities under the .  The UK GDPR contains a number of provisions that apply directly to processors so that processors have both contractual and legal obligations.
                    </paratext>
                  </para>
                  <para>
                    <paratext>Article 28(3) requires the contract to set out the obligations and rights of the controller. This clause includes this in general terms, but specific obligations and rights are covered below (for example to ensure proper privacy notices have been provided and to be informed about a security breach by the processor). Processors may wish to include other specific obligations on the controller.</paratext>
                  </para>
                </division>
              </division>
            </drafting.note>
            <subclause1 id="a382995">
              <identifier>12.1</identifier>
              <para>
                <paratext>
                  <internal.reference refid="a836299">clause 12</internal.reference>
                  Both parties will comply with all applicable requirements of the Data Protection Legislation. This  is in addition to, and does not relieve, remove or replace, a party's obligations or rights under the Data Protection Legislation.
                </paratext>
              </para>
            </subclause1>
            <subclause1 id="a141830">
              <identifier>12.2</identifier>
              <para>
                <paratext>
                  <internal.reference refid="a561188">Schedule 7</internal.reference>
                  The parties acknowledge that for the purposes of the Data Protection Legislation, the Customer is the Controller and the Supplier is the Processor. [ sets out the scope, nature and purpose of processing by the Provider, the duration of the processing and the types of Personal Data and categories of Data Subject.]
                </paratext>
              </para>
              <drafting.note id="a222187" jurisdiction="">
                <head align="left" preservecase="true">
                  <headtext>Permitted processors</headtext>
                </head>
                <division id="a000024" level="1">
                  <para>
                    <paratext>
                      <link href="w-026-8528" style="ACTLinkPLCtoPLC">
                        <ital>UK GDPR</ital>
                      </link>
                      Article 28(1) requires the controller to "use only processors providing sufficient guarantees to implement appropriate technical and organisational measures in such a manner that processing will meet the requirements" of the .
                    </paratext>
                  </para>
                  <para>
                    <paratext>
                      <link href="w-013-3757" style="ACTLinkPLCtoPLC">
                        <ital>Practice note, Overview of GDPR: UK perspective: Controller and processor contracts</ital>
                      </link>
                      Article 28(3) sets out the requirements applicable to any data processing contract and this document takes account of these. For more information, see .
                    </paratext>
                  </para>
                </division>
              </drafting.note>
            </subclause1>
            <subclause1 id="a162511">
              <identifier>12.3</identifier>
              <para>
                <paratext>
                  <internal.reference refid="a382995">clause 12.1</internal.reference>
                  Without prejudice to the generality of , the Customer will ensure that it has all necessary appropriate consents and notices in place to enable lawful transfer of the Personal Data to the Supplier [and/or lawful collection of the Personal Data by the Supplier on behalf of the Customer] for the duration and purposes of this agreement.
                </paratext>
              </para>
            </subclause1>
            <subclause1 id="a549695">
              <identifier>12.4</identifier>
              <para>
                <paratext>
                  <internal.reference refid="a382995">clause 12.1</internal.reference>
                  Without prejudice to the generality of , the Supplier shall, in relation to any Personal Data processed in connection with the performance by the Supplier of its obligations under this agreement:
                </paratext>
              </para>
              <subclause2 id="a394754">
                <identifier>(a)</identifier>
                <para>
                  <paratext>
                    <bold>OR</bold>
                    process that Personal Data only on the documented written instructions of the Customer [which are set out in [Schedule [NUMBER]  [DOCUMENT]] unless the Supplier is required by Domestic Law to otherwise process that Personal Data. Where the Supplier is relying on Domestic Law as the basis for processing Personal Data, the Supplier shall promptly notify the Customer of this before performing the processing required by the Domestic Law unless the Domestic Law prohibits the Supplier from so notifying the Customer;
                  </paratext>
                </para>
                <drafting.note id="a963143" jurisdiction="">
                  <head align="left" preservecase="true">
                    <headtext>Permitted processing</headtext>
                  </head>
                  <division id="a000025" level="1">
                    <para>
                      <paratext>
                        <link href="w-026-8528" style="ACTLinkPLCtoPLC">
                          <ital>UK GDPR</ital>
                        </link>
                        Article 28(3)(a),  requires the contract to state that the processor shall only process the personal data on documented instructions from the controller. The exception to this requirement is where the processor is required to perform the processing pursuant to the domestic laws of the UK.
                      </paratext>
                    </para>
                    <para>
                      <paratext>The instructions could, for example, be contained in the data processing contract itself in a dedicated schedule or could be part of the services description and schedule.  However, there is no requirement for the instructions to be included as part of the contract and so they could, for example, take the form of policies and processes of the controller or ad hoc written instructions.  The parties should consider carefully to avoid disputes.</paratext>
                    </para>
                    <para>
                      <paratext>
                        <link href="w-013-3757" style="ACTLinkPLCtoPLC">
                          <ital>Practice notes, Overview of GDPR: UK perspective: Controller and processor contracts</ital>
                        </link>
                        <link href="w-025-2861" style="ACTLinkPLCtoPLC">
                          <ital>Processor obligations under GDPR (GDPR and DPA 2018) (UK)</ital>
                        </link>
                        For more information see  and ..
                      </paratext>
                    </para>
                  </division>
                </drafting.note>
              </subclause2>
              <subclause2 id="a635153">
                <identifier>(b)</identifier>
                <para>
                  <paratext>ensure that it has in place appropriate technical and organisational measures, reviewed and approved by the Customer,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paratext>
                </para>
                <drafting.note id="a211094" jurisdiction="">
                  <head align="left" preservecase="true">
                    <headtext>Security measures</headtext>
                  </head>
                  <division id="a000026" level="1">
                    <para>
                      <paratext>
                        <link href="w-026-8528" style="ACTLinkPLCtoPLC">
                          <ital>UK GDPR</ital>
                        </link>
                        Article 28(3)(c),   refers to Article 32. Article 32(1) sets out the obligation to maintain appropriate security measures and identifies ways in which this may be achieved. These are reflected in the wording here.
                      </paratext>
                    </para>
                    <para>
                      <paratext>
                        <link href="w-013-3757" style="ACTLinkPLCtoPLC">
                          <ital>Practice notes,Overview of GDPR: UK perspective: Controller and processor contracts</ital>
                        </link>
                        <ital>,</ital>
                        <link href="w-025-2861" style="ACTLinkPLCtoPLC">
                          <ital>Processor obligations under GDPR (GDPR and DPA 2018) (UK)</ital>
                        </link>
                        <ital/>
                        <ital/>
                        <link href="w-013-5138" style="ACTLinkPLCtoPLC">
                          <ital>Data security under the UK GDPR and DPA 2018</ital>
                        </link>
                        For more information see and.
                      </paratext>
                    </para>
                  </division>
                </drafting.note>
              </subclause2>
              <subclause2 id="a308420">
                <identifier>(c)</identifier>
                <para>
                  <paratext>ensure that all personnel who have access to and/or process Personal Data are obliged to keep the Personal Data confidential; and</paratext>
                </para>
                <drafting.note id="a669919" jurisdiction="">
                  <head align="left" preservecase="true">
                    <headtext>Confidentiality</headtext>
                  </head>
                  <division id="a000027" level="1">
                    <para>
                      <paratext>
                        <link href="w-027-1020" style="ACTLinkPLCtoPLC">
                          <ital>UK GDPR</ital>
                        </link>
                        This requirement, reflecting Article 28(3)(b), , may already be adequately addressed in the confidential information clause in the agreement. There is no requirement in the UK GDPR that all Article 28(3) provisions need to be included in one clause in the agreement between controller and processor.
                      </paratext>
                    </para>
                  </division>
                </drafting.note>
              </subclause2>
              <subclause2 id="a220675">
                <identifier>(d)</identifier>
                <para>
                  <paratext>not transfer any Personal Data outside of the UK unless the prior written consent of the Customer has been obtained and the following conditions are fulfilled:</paratext>
                </para>
                <subclause3 id="a496781">
                  <identifier>(i)</identifier>
                  <para>
                    <paratext>the Customer or the Supplier has provided appropriate safeguards in relation to the transfer;</paratext>
                  </para>
                </subclause3>
                <subclause3 id="a666472">
                  <identifier>(ii)</identifier>
                  <para>
                    <paratext>the Data Subject has enforceable rights and effective legal remedies;</paratext>
                  </para>
                </subclause3>
                <subclause3 id="a453813">
                  <identifier>(iii)</identifier>
                  <para>
                    <paratext>the Supplier complies with its obligations under the Data Protection Legislation by providing an adequate level of protection to any Personal Data that is transferred; and</paratext>
                  </para>
                  <drafting.note id="a266220" jurisdiction="">
                    <head align="left" preservecase="true">
                      <headtext>Transfers outside UK</headtext>
                    </head>
                    <division id="a000028" level="1">
                      <para>
                        <paratext>
                          <ital>Chapter V,</ital>
                          <link href="w-027-1020" style="ACTLinkPLCtoPLC">
                            <ital>UK GDPR</ital>
                          </link>
                          <link href="w-013-3757" style="ACTLinkPLCtoPLC">
                            <ital>Practice notes, Overview of GDPR: UK perspective: Transfers of personal data outside the EEA</ital>
                          </link>
                          <ital/>
                          <link href="w-013-9203" style="ACTLinkPLCtoPLC">
                            <ital>Cross-border transfers of personal data (GDPR and DPA 2018) (UK)</ital>
                          </link>
                          Personal data may not be transferred outside the UK unless appropriate safeguards are in place (see ). The wording here takes account of Articles 44 and 46 (see and ). An adequate level of protection could, for example, be achieved by using approved standard contractual clauses, binding corporate rules (which are now specifically mentioned in the UK GDPR) or specific derogation.
                        </paratext>
                      </para>
                      <para>
                        <paratext>
                          <link href="D-105-0207" style="ACTLinkPLCtoPLC">
                            <ital>Data Protection Commissioner v Facebook Ireland Ltd (C-311/18) EU:C:2020:559 (16 July 2020)</ital>
                          </link>
                          <link href="w-014-8180" style="ACTLinkPLCtoPLC">
                            <ital>EU-US Privacy Shield</ital>
                          </link>
                          <link href="w-013-9203" style="ACTLinkPLCtoPLC">
                            <ital>Practice note, Cross-border transfers of personal data (GDPR and DPA 2018) (UK)</ital>
                          </link>
                          <internal.reference refid="a850268">Drafting note, Regulatory guidance</internal.reference>
                          Note that the ECJ's preliminary ruling in  (commonly referred to as Schrems II) invalidated the  and has implications for other transfer mechanisms, for more information, see . See  for information on draft new standard contractual clauses and EDPB recommendations and on BCRs.
                        </paratext>
                      </para>
                      <para>
                        <paratext>
                          <link href="w-029-7763" style="ACTLinkPLCtoPLC">
                            <ital>Legal update, Draft GDPR and LED adequacy decisions start EC process on personal data flows from EU to UK</ital>
                          </link>
                          On 19 February 2021, the European Commission published draft adequacy decisions in respect of the UK, see
                        </paratext>
                      </para>
                    </division>
                  </drafting.note>
                </subclause3>
                <subclause3 id="a318917">
                  <identifier>(iv)</identifier>
                  <para>
                    <paratext>the Supplier complies with reasonable instructions notified to it in advance by the Customer with respect to the processing of the Personal Data;</paratext>
                  </para>
                </subclause3>
              </subclause2>
              <subclause2 id="a560301">
                <identifier>(e)</identifier>
                <para>
                  <paratext>assist the Customer, at the Customer's cost, in responding to any request from a Data Subject and in ensuring compliance with its obligations under the Data Protection Legislation with respect to security, breach notifications, impact assessments and consultations with supervisory authorities or regulators;</paratext>
                </para>
                <drafting.note id="a373345" jurisdiction="">
                  <head align="left" preservecase="true">
                    <headtext>Security and breach notifications: assistance</headtext>
                  </head>
                  <division id="a000029" level="1">
                    <para>
                      <paratext>
                        <link href="w-026-8528" style="ACTLinkPLCtoPLC">
                          <ital>UK GDPR</ital>
                        </link>
                        The wording here takes account of Article 28(3)(e) and 28(3)(f), . The latter in turn refers to Articles 32 to 36.
                      </paratext>
                    </para>
                    <para>
                      <paratext>
                        <link anchor="a419719" href="w-025-2861" style="ACTLinkPLCtoPLC">
                          <ital>Practice note, Processor obligations under GDPR (GDPR and DPA 2018) (UK): Data breach notification</ital>
                        </link>
                        For further information, see .
                      </paratext>
                    </para>
                  </division>
                </drafting.note>
              </subclause2>
              <subclause2 id="a367316">
                <identifier>(f)</identifier>
                <para>
                  <paratext>notify the Customer without undue delay on becoming aware of a Personal Data breach;</paratext>
                </para>
                <drafting.note id="a632847" jurisdiction="">
                  <head align="left" preservecase="true">
                    <headtext>Notifying customer</headtext>
                  </head>
                  <division id="a000030" level="1">
                    <para>
                      <paratext>Article 33(2) is reflected in the wording here.</paratext>
                    </para>
                    <para>
                      <paratext>
                        <link href="w-025-2861" style="ACTLinkPLCtoPLC">
                          <ital>Practice note, Processor obligations under GDPR (GDPR and DPA 2018) (UK): Data breach notification</ital>
                        </link>
                        For further information see .
                      </paratext>
                    </para>
                  </division>
                </drafting.note>
              </subclause2>
              <subclause2 id="a227642">
                <identifier>(g)</identifier>
                <para>
                  <paratext>at the written direction of the Customer, delete or return Personal Data and copies thereof to the Customer on termination of the agreement unless required by Domestic Law to store the Personal Data; and</paratext>
                </para>
                <drafting.note id="a724516" jurisdiction="">
                  <head align="left" preservecase="true">
                    <headtext>Deleting or returning personal data</headtext>
                  </head>
                  <division id="a000031" level="1">
                    <para>
                      <paratext>
                        <link href="w-026-8528" style="ACTLinkPLCtoPLC">
                          <ital>UK GDPR</ital>
                        </link>
                        Article 28(3)(g),  is reflected in the wording here.
                      </paratext>
                    </para>
                    <para>
                      <paratext>It can be difficult for organisations (particularly suppliers) to agree to "delete" electronic data. The word 'deletion' can mean different things in relation to electronic data, and it is recognised that it is not always possible to delete or erase all traces of the data. As the ICO (the UK's data protection authority) has opined that the term "deletion", in relation to personal data, should be taken to mean ensuring that the data is beyond use, a supplier may prefer to replace any obligation in this agreement to "delete" data and replace it with an obligation to put such data beyond use. If it is appropriate to delete personal data from a live system, we recommend that a party should also be expected to delete it from any back-up of the information on that system, and the parties may prefer for this to be made explicit as part of the relevant obligation</paratext>
                    </para>
                  </division>
                </drafting.note>
              </subclause2>
              <subclause2 id="a265845">
                <identifier>(h)</identifier>
                <para>
                  <paratext>
                    <internal.reference refid="a836299">clause 12</internal.reference>
                    <ital/>
                    maintain complete and accurate records and information to demonstrate its compliance with this [and allow for audits by the Customer or the Customer's designated auditor and immediately inform the Customer if, in the opinion of the Supplier, an instruction infringes the Data Protection Legislation].
                  </paratext>
                </para>
                <drafting.note id="a628091" jurisdiction="">
                  <head align="left" preservecase="true">
                    <headtext>Records and audits</headtext>
                  </head>
                  <division id="a000032" level="1">
                    <para>
                      <paratext>
                        <link href="w-026-8528" style="ACTLinkPLCtoPLC">
                          <ital>UK GDPR</ital>
                        </link>
                        This requirement, reflecting Article 28(3)(h) of the , may already be addressed in the records and audit clause in the agreement. Consider expanding this clause to expressly grant access to the processor's data processing facilities for the purpose of auditing compliance. The direct obligation in Article 30(2) separately requires the processor to keep the following records, which must be available to the controller and the Information Commissioner:
                      </paratext>
                    </para>
                    <para>
                      <paratext>The name and contact details of the processor or processors and of each controller on behalf of which the processor is acting, and, where applicable, of the controller's or the processor's representative, and the data protection officer.</paratext>
                    </para>
                    <para>
                      <paratext>The categories of processing carried out on behalf of each controller.</paratext>
                    </para>
                    <para>
                      <paratext>Where applicable, transfers of personal data to a third country (as defined in Article 4(27), UK GDPR) or an international organisation, including the identification of that third country or international organisation and, in the case of transfers referred to in the second subclause of Article 49(1), the documentation of suitable safeguards.</paratext>
                    </para>
                    <para>
                      <paratext>Where possible, a description of the technical and organisational security measures referred to in Article 32(1).</paratext>
                    </para>
                    <para>
                      <paratext>According to Article 30(5), this requirement applies if the processor has more than 250 employees or, if fewer, the processing it carries out is likely to result in a risk to the rights and freedoms of data subjects, the processing is not occasional, or the processing includes special categories of data as per Article 9(1) or personal data relating to criminal convictions and offences as per Article 10(1).</paratext>
                    </para>
                    <para>
                      <paratext>
                        <link href="w-025-2861" style="ACTLinkPLCtoPLC">
                          <ital>Practice note, Processor obligations under GDPR (GDPR and DPA 2018) (UK)</ital>
                        </link>
                        For further information see .
                      </paratext>
                    </para>
                  </division>
                </drafting.note>
              </subclause2>
            </subclause1>
            <subclause1 id="a889967">
              <identifier>12.5</identifier>
              <para>
                <paratext>
                  <bold>OR</bold>
                  <bold>OR</bold>
                  <internal.reference refid="a836299">clause 12</internal.reference>
                  <bold>OR</bold>
                  <internal.reference refid="a836299">clause 12</internal.reference>
                  The Customer does not consent to the Supplier appointing any third party processor of Personal Data under this agreement.  The Customer consents to the Supplier appointing [THIRD-PARTY PROCESSOR] as a third-party processor of Personal Data under this agreement. The Supplier confirms that it has entered or (as the case may be) will enter with the third-party processor into a written agreement [substantially on that third party's standard terms of business  incorporating terms which are substantially similar to those set out in this ] and in either case which the Supplier [confirms]  [undertakes] reflect and will continue to reflect the requirements of the Data Protection Legislation. As between the Customer and the Supplier, the Supplier shall remain fully liable for all acts or omissions of any third-party processor appointed by it pursuant to this .
                </paratext>
              </para>
              <drafting.note id="a232090" jurisdiction="">
                <head align="left" preservecase="true">
                  <headtext>Sub-processors</headtext>
                </head>
                <division id="a000033" level="1">
                  <para>
                    <paratext>
                      <link href="w-026-8528" style="ACTLinkPLCtoPLC">
                        <ital>UK GDPR</ital>
                      </link>
                      Article 28(2)  stipulates that the controller's consent is required to the appointment of, or changes to, third-party processors (sub-processors).
                    </paratext>
                  </para>
                  <para>
                    <paratext>If the supplier is appointing third parties to help maintain the site and they will be processing personal data for which the customer is the controller, the customer should consent to the supplier appointing third party processors and specify the names of these parties as indicated. The same applies if the supplier is appointing third party designers, although this will depend on whether the designers will actually process any personal data.</paratext>
                  </para>
                  <para>
                    <paratext>Consent to a sub-processor by the controller can be general or specific. If consent is given on the basis of a general authorisation, the processor will need to inform the controller of any intended changes (either of the identity of (one or a class of) sub-processor(s) or the terms that apply to the sub-processing) so that the controller can object to any changes. As a controller, therefore, it’s preferable to impose a requirement to consent to each sub-processor rather than a general authorisation for classes of sub-processors. A processor however may also wish to include an authorisation for a named list of sub-processors together with the right to amend the list with the controller having the right to terminate if they disagree.</paratext>
                  </para>
                  <para>
                    <paratext>Article 28(4) and 28(3)(d) deals with the relationship between the processor and a sub-processor. The former states in part:</paratext>
                  </para>
                  <display.quote>
                    <para>
                      <paratext>
                        <bold>same</bold>
                        "Where a processor engages another processor for carrying out specific processing activities on behalf of the controller, the  [our emphasis] data protection obligations as set out in the contract or other legal act between the controller and the processor as referred to in clause 3 shall be imposed on that other processor by way of a contract … "
                      </paratext>
                    </para>
                  </display.quote>
                  <para>
                    <paratext>In practice, it may be difficult for a processor to engage a sub-processor on the same, or even substantially similar terms. For example, in a one-to-many arrangement, the service provider will offer standard terms and be unwilling to negotiate these.</paratext>
                  </para>
                  <para>
                    <paratext>Technically, the second set of optional wording should be used, but the first set is likely to be more achievable in practice, that is, where the sub-processor insists on its standard terms of business being used and, in such a case, the processor may wish to further amend the clause to flow-up these standard terms to the controller in relation to the part of the services being provided by the sub-processor.</paratext>
                  </para>
                  <para>
                    <paratext>If opting for the first set of (square-bracketed) optional wording (contained within the second set of alternative wording for this clause), the processor should ensure that the same obligations imposed on it are flowed down to the sub-processor and that the sub-processor provides sufficient guarantees with respect to technical and organisational measures to ensure the processing meets the UK GDPR's requirements.</paratext>
                  </para>
                  <para>
                    <paratext>The last sentence of this clause may be addressed elsewhere in the agreement, for example, in the clause dealing with assignment and sub-contracting.</paratext>
                  </para>
                  <para>
                    <paratext>
                      <link href="w-025-2861" style="ACTLinkPLCtoPLC">
                        <ital>Practice note, Processor obligations under GDPR (GDPR and DPA 2018) (UK)</ital>
                      </link>
                      For more information see .
                    </paratext>
                  </para>
                </division>
              </drafting.note>
            </subclause1>
            <subclause1 id="a679852">
              <identifier>12.6</identifier>
              <para>
                <paratext>
                  <internal.reference refid="a836299">clause 12</internal.reference>
                  Either party may, at any time on not less than 30 days’ notice, revise this  by replacing it with any applicable controller to processor standard clauses or similar terms adopted by the Information Commissioner or forming part of an applicable certification scheme (which shall apply when replaced by attachment to this agreement).
                </paratext>
              </para>
              <drafting.note id="a991875" jurisdiction="">
                <head align="left" preservecase="true">
                  <headtext>Standard clauses and certification schemes</headtext>
                </head>
                <division id="a000034" level="1">
                  <para>
                    <paratext>
                      <link href="w-026-8528" style="ACTLinkPLCtoPLC">
                        <ital>UK GDPR</ital>
                      </link>
                      <internal.reference refid="a850268">Drafting note, Regulatory guidance</internal.reference>
                      <link href="w-020-6773" style="ACTLinkPLCtoPLC">
                        <ital>Legal updates, EDPB finalises Guidelines on Codes of Conduct, annex to the Guidelines on Accreditation and annex to the Guidelines on Certification</ital>
                      </link>
                      <link href="w-023-4160" style="ACTLinkPLCtoPLC">
                        <ital>ICO announces it will be partnering with UKAS to deliver certification schemes</ital>
                      </link>
                      Articles 28(6) and 28(8) allow for the adoption of standard contractual clauses by the Information Commissioner or as part of a certification scheme or code of conduct to demonstrate compliance with the . See  for draft new standard contractual clauses; this wording allows either party to replace these clauses with standard clauses or terms adopted by the Information Commissioner or forming part of a certification scheme or code of conduct. See  and .
                    </paratext>
                  </para>
                  <para>
                    <paratext>However, this is an optional clause and the parties may prefer to consider a termination right if one party does not agree or to make the replacement of the clauses by agreement.</paratext>
                  </para>
                </division>
              </drafting.note>
            </subclause1>
          </clause>
          <clause id="a829758">
            <identifier>13.</identifier>
            <head align="left" preservecase="true">
              <headtext>Term and termination</headtext>
            </head>
            <drafting.note id="a513026" jurisdiction="">
              <head align="left" preservecase="true">
                <headtext>Term and termination</headtext>
              </head>
              <division id="a000035" level="1">
                <para>
                  <paratext>
                    <internal.reference refid="a729581">clause 13.1</internal.reference>
                    The language in the first set of square brackets in  should be used if the supplier is not providing hosting services.
                  </paratext>
                </para>
                <para>
                  <paratext>
                    <link href="3-107-4673" style="ACTLinkPLCtoPLC">
                      <ital>Standard clause, Termination</ital>
                    </link>
                    For information on termination clauses, see the integrated drafting notes to .
                  </paratext>
                </para>
              </division>
            </drafting.note>
            <subclause1 id="a729581">
              <identifier>13.1</identifier>
              <para>
                <paratext>
                  <internal.reference refid="a829758">clause 13</internal.reference>
                  <bold>OR</bold>
                  This agreement shall commence on the Effective Date and shall (subject to earlier termination under this ) terminate automatically on [Acceptance of the Site and payment of all outstanding sums  the first anniversary of the Effective Date, unless the parties agree in writing to extend the term of this agreement by a further year.]
                </paratext>
              </para>
            </subclause1>
            <subclause1 id="a295692">
              <identifier>13.2</identifier>
              <para>
                <paratext>Without affecting any other right or remedy available to it, either party may terminate this agreement with immediate effect by giving written notice to the other party if:</paratext>
              </para>
              <subclause2 id="a331781">
                <identifier>(a)</identifier>
                <para>
                  <paratext>the other party fails to pay any amount due under this agreement on the due date for payment and remains in default not less than 7 days after being notified in writing to make such payment;</paratext>
                </para>
              </subclause2>
              <subclause2 id="a957934">
                <identifier>(b)</identifier>
                <para>
                  <paratext>the other party commits a material breach of any term of this agreement and (if such breach is remediable) fails to remedy that breach within a period of 14 days after being notified in writing to do so;</paratext>
                </para>
              </subclause2>
              <subclause2 id="a715668">
                <identifier>(c)</identifier>
                <para>
                  <paratext>the other party suspends, or threatens to suspend, payment of its debts or is unable to pay its debts as they fall due or admits inability to pay its debts or is deemed unable to pay its debts within the meaning of section 123 of the Insolvency Act 1986 as if the words "it is proved to the satisfaction of the court" did not appear in sections 123(1)(e) or 123(2) of the IA 1986;</paratext>
                </para>
              </subclause2>
              <subclause2 id="a305525">
                <identifier>(d)</identifier>
                <para>
                  <paratext>the other party commences negotiations with all or any class of any of its creditors with a view to rescheduling any of its debts, or makes a proposal for or enters into any compromise or arrangement with its creditors[ other than (being a company) for the sole purpose of a scheme for a solvent amalgamation of that other party with one or more other companies or the solvent reconstruction of that other party];</paratext>
                </para>
              </subclause2>
              <subclause2 id="a373390">
                <identifier>(e)</identifier>
                <para>
                  <paratext>the other party applies to court for, or obtains, a moratorium under Part A1 of the Insolvency Act 1986;</paratext>
                </para>
              </subclause2>
              <subclause2 id="a90948">
                <identifier>(f)</identifier>
                <para>
                  <paratext>a petition is filed, a notice is given, a resolution is passed, or an order is made, for or in connection with the winding up of the other party;</paratext>
                </para>
              </subclause2>
              <subclause2 id="a203523">
                <identifier>(g)</identifier>
                <para>
                  <paratext>an application is made to court, or an order is made, for the appointment of an administrator, or if a notice of intention to appoint an administrator is given or if an administrator is appointed, over the other party (being a company, partnership or limited liability partnership);</paratext>
                </para>
              </subclause2>
              <subclause2 id="a836104">
                <identifier>(h)</identifier>
                <para>
                  <paratext>the holder of a qualifying floating charge over the assets of that other party (being a company or limited liability partnership) has become entitled to appoint or has appointed an administrative receiver;</paratext>
                </para>
              </subclause2>
              <subclause2 id="a493351">
                <identifier>(i)</identifier>
                <para>
                  <paratext>a person becomes entitled to appoint a receiver over all or any of the assets of the other party or a receiver is appointed over all or any of the assets of the other party;</paratext>
                </para>
              </subclause2>
              <subclause2 id="a990453">
                <identifier>(j)</identifier>
                <para>
                  <paratext>a creditor or encumbrancer of the other party attaches or takes possession of, or a distress, execution, sequestration or other such process is levied or enforced on or sued against, the whole or any part of the other party's assets and such attachment or process is not discharged within 14 days;</paratext>
                </para>
              </subclause2>
              <subclause2 id="a469452">
                <identifier>(k)</identifier>
                <para>
                  <paratext>
                    <internal.reference refid="a715668">clause 13.2(c)</internal.reference>
                    <internal.reference refid="a990453">clause 13.2(j)</internal.reference>
                    any event occurs, or proceeding is taken, with respect to the other party in any jurisdiction to which it is subject that has an effect equivalent or similar to any of the events mentioned in  to  (inclusive);
                  </paratext>
                </para>
              </subclause2>
              <subclause2 id="a853028">
                <identifier>(l)</identifier>
                <para>
                  <paratext>the other party suspends or ceases, or threatens to suspend or cease, carrying on all or a substantial part of its business; or</paratext>
                </para>
              </subclause2>
              <subclause2 id="a265576">
                <identifier>(m)</identifier>
                <para>
                  <paratext>the other party's financial position deteriorates so far as to reasonably justify the opinion that its ability to give effect to the terms of this agreement is in jeopardy; [or</paratext>
                </para>
              </subclause2>
              <subclause2 id="a905560">
                <identifier>(n)</identifier>
                <para>
                  <paratext>
                    <internal.reference refid="a834623">clause 8</internal.reference>
                    any warranty given by the other party in  of this agreement is found to be untrue or misleading.
                  </paratext>
                </para>
              </subclause2>
            </subclause1>
            <subclause1 id="a184834">
              <identifier>13.3</identifier>
              <para>
                <paratext>
                  <internal.reference refid="a295692">clause 13.2</internal.reference>
                  On termination of this agreement by the Supplier under , all licences granted by the Supplier under this agreement shall terminate immediately.
                </paratext>
              </para>
            </subclause1>
            <subclause1 id="a195515">
              <identifier>13.4</identifier>
              <para>
                <paratext>
                  <internal.reference refid="a295692">clause 13.2</internal.reference>
                  On expiry or termination of this agreement otherwise than on termination by the Supplier under , the Supplier shall promptly return all Materials to the Customer, and shall provide to the Customer an electronic copy of the Site (including all content on the Site). [The Supplier shall provide such assistance as is reasonably requested by the Customer in transferring the hosting of the Site to the Customer or another service provider, subject to the payment of the Supplier's expenses reasonably incurred.]
                </paratext>
              </para>
            </subclause1>
            <subclause1 id="a163471">
              <identifier>13.5</identifier>
              <para>
                <paratext>On expiry or termination of this agreement, all provisions of this agreement shall cease to have effect, except that any provision which can reasonably be inferred as continuing or is expressly stated to continue shall continue in full force and effect.</paratext>
              </para>
              <drafting.note id="a128729" jurisdiction="">
                <head align="left" preservecase="true">
                  <headtext>Survival</headtext>
                </head>
                <division id="a000036" level="1">
                  <para>
                    <paratext>
                      <internal.reference refid="a227642">clause 12.4(g)</internal.reference>
                      Note the obligation to delete or return personal data on termination under
                    </paratext>
                  </para>
                  <para>
                    <paratext>
                      <link href="3-203-1593" style="ACTLinkPLCtoPLC">
                        <ital>Standard clause, Survival</ital>
                      </link>
                      See
                    </paratext>
                  </para>
                </division>
              </drafting.note>
            </subclause1>
          </clause>
          <clause id="a259603">
            <identifier>14.</identifier>
            <head align="left" preservecase="true">
              <headtext>Change control</headtext>
            </head>
            <drafting.note id="a406212" jurisdiction="">
              <head align="left" preservecase="true">
                <headtext>Change control</headtext>
              </head>
              <division id="a000037" level="1">
                <para>
                  <paratext>The change control provisions impose discipline on both parties in respect of work on the website which is not within the original specification and ensure that any such work is approved (and the price agreed) by the customer in advance.</paratext>
                </para>
              </division>
            </drafting.note>
            <subclause1 id="a705627">
              <para>
                <paratext>Any request to change the scope of the Services shall be processed in accordance with the Change Control Procedure.</paratext>
              </para>
            </subclause1>
          </clause>
          <clause id="a836394">
            <identifier>15.</identifier>
            <head align="left" preservecase="true">
              <headtext>Force majeure</headtext>
            </head>
            <drafting.note id="a179314" jurisdiction="">
              <head align="left" preservecase="true">
                <headtext>Force majeure</headtext>
              </head>
              <division id="a000038" level="1">
                <para>
                  <paratext>
                    <link href="6-107-3808" style="ACTLinkPLCtoPLC">
                      <ital>Standard clause, Force majeure</ital>
                    </link>
                    For information on force majeure clauses, see the integrated drafting notes to .
                  </paratext>
                </para>
              </division>
            </drafting.note>
            <subclause1 id="a808395">
              <para>
                <paratext>Neither party shall be in breach of this agreement nor liable for delay in performing, or failure to perform, any of its obligations under this agreement if such delay or failure result from events, circumstances or causes beyond its reasonable control. In such circumstances [the time for performance shall be extended by a period equivalent to the period during which performance of the obligation has been delayed or failed to be performed OR the affected party shall be entitled to a reasonable extension of the time for performing such obligations]. If the period of delay or non-performance continues for [NUMBER] [weeks OR months], the party not affected may terminate this agreement by giving [NUMBER] [days'] written notice to the affected party.</paratext>
              </para>
            </subclause1>
          </clause>
          <clause id="a793669">
            <identifier>16.</identifier>
            <head align="left" preservecase="true">
              <headtext>Confidentiality</headtext>
            </head>
            <drafting.note id="a465118" jurisdiction="">
              <head align="left" preservecase="true">
                <headtext>Confidentiality</headtext>
              </head>
              <division id="a000039" level="1">
                <para>
                  <paratext>
                    <internal.reference refid="a793669">clause 16</internal.reference>
                    <link href="w-026-8528" style="ACTLinkPLCtoPLC">
                      <ital>GDPR</ital>
                    </link>
                    The confidentiality requirements in this  reflect Article 28(3)(b) of the , insofar as confidentiality of personal data is concerned.
                  </paratext>
                </para>
                <para>
                  <paratext>
                    <link href="2-107-3829" style="ACTLinkPLCtoPLC">
                      <ital>Standard clause, Confidentiality</ital>
                    </link>
                    For information on confidentiality clauses, see the integrated drafting notes to .
                  </paratext>
                </para>
              </division>
            </drafting.note>
            <subclause1 id="a547999">
              <identifier>16.1</identifier>
              <para>
                <paratext>
                  <internal.reference refid="a946187">clause 16.2</internal.reference>
                  Each party undertakes that it shall not [at any time OR at any time during this agreement, and for a period of [two] years after termination or expiry of this agreement,] disclose to any person any confidential information concerning the business, affairs, customers, clients or suppliers of the other party [or of any member of the group of companies to which the other party belongs], except as permitted by .
                </paratext>
              </para>
            </subclause1>
            <subclause1 id="a946187">
              <identifier>16.2</identifier>
              <para>
                <paratext>Each party may disclose the other party's confidential information:</paratext>
              </para>
              <subclause2 id="a780898">
                <identifier>(a)</identifier>
                <para>
                  <paratext>
                    <internal.reference refid="a793669">clause 16</internal.reference>
                    to its employees, officers, representatives, contractors, subcontractors or advisers who need to know such information for the purposes of exercising the party's rights or carrying out its obligations under or in connection with this agreement. Each party shall ensure that its employees, officers, representatives, contractors, subcontractors or advisers to whom it discloses the other party's confidential information comply with this ; and
                  </paratext>
                </para>
              </subclause2>
              <subclause2 id="a823430">
                <identifier>(b)</identifier>
                <para>
                  <paratext>as may be required by law, a court of competent jurisdiction or any governmental or regulatory authority.</paratext>
                </para>
              </subclause2>
            </subclause1>
            <subclause1 id="a725573">
              <identifier>16.3</identifier>
              <para>
                <paratext>No party shall use any other party's confidential information for any purpose other than to exercise its rights and perform its obligations under or in connection with this agreement.</paratext>
              </para>
            </subclause1>
          </clause>
          <clause id="a537081">
            <identifier>17.</identifier>
            <head align="left" preservecase="true">
              <headtext>Notices</headtext>
            </head>
            <drafting.note id="a958733" jurisdiction="">
              <head align="left" preservecase="true">
                <headtext>Notices</headtext>
              </head>
              <division id="a000040" level="1">
                <para>
                  <paratext>
                    <link href="5-107-3842" style="ACTLinkPLCtoPLC">
                      <ital>Standard clauses, Notices</ital>
                    </link>
                    <link href="3-107-3843" style="ACTLinkPLCtoPLC">
                      <ital>Practice note, Notice clauses</ital>
                    </link>
                    For information on notice clauses, see the integrated drafting notes to  and .
                  </paratext>
                </para>
              </division>
            </drafting.note>
            <subclause1 id="a520663">
              <identifier>17.1</identifier>
              <para>
                <paratext>Any notice [or other communication] given to a party under or in connection with this contract shall be in writing and shall be:</paratext>
              </para>
              <subclause2 id="a343839">
                <identifier>(a)</identifier>
                <para>
                  <paratext>delivered by hand or by pre-paid first-class post or other next working day delivery service at its registered office (if a company) or its principal place of business (in any other case); [or]</paratext>
                </para>
              </subclause2>
              <subclause2 id="a739048">
                <identifier>(b)</identifier>
                <para>
                  <paratext>
                    <bold>OR</bold>
                    [[sent by fax to its main fax number] [or]  [sent by email to the address specified in [SPECIFY RELEVANT DOCUMENT OR CLAUSE]]].
                  </paratext>
                </para>
              </subclause2>
            </subclause1>
            <subclause1 id="a659520">
              <identifier>17.2</identifier>
              <para>
                <paratext>Any notice [or communication] shall be deemed to have been received:</paratext>
              </para>
              <subclause2 id="a553420">
                <identifier>(a)</identifier>
                <para>
                  <paratext>if delivered by hand, at the time the notice is left at the proper address;</paratext>
                </para>
              </subclause2>
              <subclause2 id="a375883">
                <identifier>(b)</identifier>
                <para>
                  <paratext>if sent by [pre-paid first-class post or other] next working day delivery service, at [9.00 am] on the [second] Business Day after posting;</paratext>
                </para>
              </subclause2>
              <subclause2 condition="optional" id="a642916">
                <identifier>(c)</identifier>
                <para>
                  <paratext>
                    <ital>clause 17.2(c)</ital>
                    if sent by [fax][or] [email], at the time of transmission, or, if this time falls outside business hours in the place of receipt, when business hours resume. In this , business hours means 9.00 am to 5.00 pm Monday to Friday on a day that is not a public holiday in the place of receipt.
                  </paratext>
                </para>
              </subclause2>
            </subclause1>
            <subclause1 id="a242948">
              <identifier>17.3</identifier>
              <para>
                <paratext>This clause does not apply to the service of any proceedings or other documents in any legal action or, where applicable, any arbitration or other method of dispute resolution.</paratext>
              </para>
            </subclause1>
            <subclause1 condition="optional" id="a495759">
              <identifier>17.4</identifier>
              <para>
                <paratext>A notice given under this agreement is not valid if sent by email.</paratext>
              </para>
            </subclause1>
          </clause>
          <clause id="a504453">
            <identifier>18.</identifier>
            <head align="left" preservecase="true">
              <headtext>Publicity</headtext>
            </head>
            <subclause1 id="a190650">
              <para>
                <paratext>All media releases, public announcements and public disclosures by either party relating to this agreement or its subject matter, including promotional or marketing material, shall be co-ordinated with the other party and approved jointly by the parties prior to release.</paratext>
              </para>
            </subclause1>
          </clause>
          <clause id="a397640">
            <identifier>19.</identifier>
            <head align="left" preservecase="true">
              <headtext>Assignment</headtext>
            </head>
            <drafting.note id="a168315" jurisdiction="">
              <head align="left" preservecase="true">
                <headtext>Assignment</headtext>
              </head>
              <division id="a000041" level="1">
                <para>
                  <paratext>
                    <link href="5-107-3823" style="ACTLinkPLCtoPLC">
                      <ital>Standard clause, Assignment and other dealings</ital>
                    </link>
                    For information on clauses regarding assignment and other dealings with the contract, see the integrated drafting notes to .
                  </paratext>
                </para>
                <para>
                  <paratext>
                    <internal.reference refid="a889967">clause 12.5</internal.reference>
                    Also note , which allows for the appointment of third party processors of personal data.
                  </paratext>
                </para>
              </division>
            </drafting.note>
            <subclause1 id="a511090">
              <para>
                <paratext>
                  <bold>OR</bold>
                  [This agreement is personal to the parties and neither  Neither] party shall assign, transfer, mortgage, charge, subcontract, delegate, declare a trust over or deal in any other manner with any of its rights and obligations under this agreement.
                </paratext>
              </para>
            </subclause1>
          </clause>
          <clause id="a436320">
            <identifier>20.</identifier>
            <head align="left" preservecase="true">
              <headtext>Entire agreement</headtext>
            </head>
            <drafting.note id="a257811" jurisdiction="">
              <head align="left" preservecase="true">
                <headtext>Entire agreement</headtext>
              </head>
              <division id="a000042" level="1">
                <para>
                  <paratext>
                    <link href="2-107-3834" style="ACTLinkPLCtoPLC">
                      <ital>Standard clause, Entire agreement</ital>
                    </link>
                    For information on entire agreement clauses, see the integrated drafting notes to .
                  </paratext>
                </para>
              </division>
            </drafting.note>
            <subclause1 id="a660628">
              <identifier>20.1</identifier>
              <para>
                <paratext>This agreement constitutes the entire agreement between the parties and supersedes and extinguishes all previous agreements, promises, assurances, warranties, representations and understandings between them, whether written or oral, relating to its subject matter.</paratext>
              </para>
            </subclause1>
            <subclause1 id="a799712">
              <identifier>20.2</identifier>
              <para>
                <paratext>Each party agrees that it shall have no remedies in respect of any statement, representation, assurance or warranty (whether made innocently or negligently) that is not set out in this agreement. Each party agrees that it shall have no claim for innocent or negligent misrepresentation or negligent misstatement based on any statement in this agreement.</paratext>
              </para>
            </subclause1>
          </clause>
          <clause id="a987704">
            <identifier>21.</identifier>
            <head align="left" preservecase="true">
              <headtext>Third party rights</headtext>
            </head>
            <drafting.note id="a860010" jurisdiction="">
              <head align="left" preservecase="true">
                <headtext>Third party rights</headtext>
              </head>
              <division id="a000043" level="1">
                <para>
                  <paratext>
                    <internal.reference refid="a105335">clause 21.2</internal.reference>
                    <internal.reference refid="a663722">clause 10.2</internal.reference>
                    Specify in  any third parties who it is intended should be able to enforce specific clauses: for example, affiliates of the supplier if the supplier wishes to extend the customer's indemnity in  so as to cover the "Supplier and its affiliates".
                  </paratext>
                </para>
                <para>
                  <paratext>
                    <link href="6-107-3846" style="ACTLinkPLCtoPLC">
                      <ital>Standard clause, Third party rights</ital>
                    </link>
                    For information on third party rights clauses, see the integrated drafting notes to .
                  </paratext>
                </para>
              </division>
            </drafting.note>
            <subclause1 id="a180104">
              <identifier>21.1</identifier>
              <para>
                <paratext>[Unless it expressly states otherwise,] this agreement does not give rise to rights under the Contracts (Rights of Third Parties) Act 1999 to enforce any term of this agreement.</paratext>
              </para>
            </subclause1>
            <subclause1 condition="optional" id="a105335">
              <identifier>21.2</identifier>
              <para>
                <paratext>The rights of the parties to rescind or vary this agreement are not subject to the consent of any other person.</paratext>
              </para>
            </subclause1>
          </clause>
          <clause id="a83837">
            <identifier>22.</identifier>
            <head align="left" preservecase="true">
              <headtext>Variation</headtext>
            </head>
            <drafting.note id="a607703" jurisdiction="">
              <head align="left" preservecase="true">
                <headtext>Variation</headtext>
              </head>
              <division id="a000044" level="1">
                <para>
                  <paratext>
                    <link href="3-107-3838" style="ACTLinkPLCtoPLC">
                      <ital>Standard clause, Variation</ital>
                    </link>
                    For information on variation clauses, see the integrated drafting notes to .
                  </paratext>
                </para>
              </division>
            </drafting.note>
            <subclause1 id="a983659">
              <para>
                <paratext>No variation of this agreement shall be effective unless it is in writing and signed by the parties (or their authorised representatives).</paratext>
              </para>
            </subclause1>
          </clause>
          <clause id="a131171">
            <identifier>23.</identifier>
            <head align="left" preservecase="true">
              <headtext>Waiver</headtext>
            </head>
            <drafting.note id="a868100" jurisdiction="">
              <head align="left" preservecase="true">
                <headtext>Waiver</headtext>
              </head>
              <division id="a000045" level="1">
                <para>
                  <paratext>
                    <link href="0-107-3806" style="ACTLinkPLCtoPLC">
                      <ital>Standard clause, Waiver</ital>
                    </link>
                    For information on waiver clauses, see the integrated drafting notes to .
                  </paratext>
                </para>
              </division>
            </drafting.note>
            <subclause1 id="a398204">
              <identifier>23.1</identifier>
              <para>
                <paratext>A waiver of any right or remedy under this agreement or by law is only effective if given in writing and shall not be deemed a waiver of any subsequent right or remedy.</paratext>
              </para>
            </subclause1>
            <subclause1 id="a869712">
              <identifier>23.2</identifier>
              <para>
                <paratext>A failure or delay by a party to exercise any right or remedy provided under this agreement or by law shall not constitute a waiver of that or any other right or remedy, nor shall it prevent or restrict any further exercise of that or any other right or remedy. No single or partial exercise of any right or remedy provided under this agreement or by law shall prevent or restrict the further exercise of that or any other right or remedy.</paratext>
              </para>
            </subclause1>
          </clause>
          <clause id="a534359">
            <identifier>24.</identifier>
            <head align="left" preservecase="true">
              <headtext>Rights and remedies</headtext>
            </head>
            <drafting.note id="a946095" jurisdiction="">
              <head align="left" preservecase="true">
                <headtext>Rights and remedies</headtext>
              </head>
              <division id="a000046" level="1">
                <para>
                  <paratext>
                    <link href="2-203-0725" style="ACTLinkPLCtoPLC">
                      <ital>Standard clause, Rights and remedies</ital>
                    </link>
                    For information on provisions regarding the parties' rights and remedies, see the integrated drafting notes to .
                  </paratext>
                </para>
              </division>
            </drafting.note>
            <subclause1 id="a420341">
              <para>
                <paratext>Except as expressly provided in this agreement, the rights and remedies provided under this agreement are in addition to, and not exclusive of, any rights or remedies provided by law.</paratext>
              </para>
            </subclause1>
          </clause>
          <clause id="a212013">
            <identifier>25.</identifier>
            <head align="left" preservecase="true">
              <headtext>Severance</headtext>
            </head>
            <drafting.note id="a130269" jurisdiction="">
              <head align="left" preservecase="true">
                <headtext>Severance</headtext>
              </head>
              <division id="a000047" level="1">
                <para>
                  <paratext>
                    <link href="9-107-3840" style="ACTLinkPLCtoPLC">
                      <ital>Standard clause, Severance</ital>
                    </link>
                    For information on severance clauses, see the integrated drafting notes to .
                  </paratext>
                </para>
              </division>
            </drafting.note>
            <subclause1 id="a656170">
              <identifier>25.1</identifier>
              <para>
                <paratext>If any provision or part-provision of this agreement is or becomes invalid, illegal or unenforceable, it shall be deemed deleted, but that shall not affect the validity and enforceability of the rest of this agreement.</paratext>
              </para>
            </subclause1>
            <subclause1 id="a1051379">
              <identifier>25.2</identifier>
              <para>
                <paratext>
                  <internal.reference refid="a656170">clause 25.1</internal.reference>
                  If any provision or part-provision of this agreement is deemed deleted under , the parties shall negotiate in good faith to agree a replacement provision that, to the greatest extent possible, achieves the intended commercial result of the original provision.
                </paratext>
              </para>
            </subclause1>
          </clause>
          <clause id="a859528">
            <identifier>26.</identifier>
            <head align="left" preservecase="true">
              <headtext>Governing law</headtext>
            </head>
            <drafting.note id="a194357" jurisdiction="">
              <head align="left" preservecase="true">
                <headtext>Governing law</headtext>
              </head>
              <division id="a000048" level="1">
                <para>
                  <paratext>
                    <link href="8-107-3850" style="ACTLinkPLCtoPLC">
                      <ital>Standard clause, Governing law</ital>
                    </link>
                    <link href="4-107-3852" style="ACTLinkPLCtoPLC">
                      <ital>Practice note, Governing law and jurisdiction clauses</ital>
                    </link>
                    For information on governing law clauses, see the integrated drafting notes to  and .
                  </paratext>
                </para>
                <division id="a496222" level="2">
                  <head align="left" preservecase="true">
                    <headtext>Non-contractual obligations and governing law</headtext>
                  </head>
                  <para>
                    <paratext>
                      <link href="4-505-5721" style="ACTLinkPLCtoPLC">
                        <ital>Rome II Regulation</ital>
                      </link>
                      <internal.reference refid="a859528">clause 26</internal.reference>
                      The  (which applies from 11 January 2009) allows parties to agree a governing law for non-contractual obligations. In many cases, parties will choose to conclude a governing law agreement which covers both contractual and non-contractual obligations and disputes. Even without the words in parentheses, the wording of  is probably sufficiently broad to encompass non-contractual claims which relate to the contract. The words in parentheses are intended to put the matter beyond doubt, thereby securing the Rome II protection for freedom of choice.
                    </paratext>
                  </para>
                  <para>
                    <paratext>Note, however:</paratext>
                  </para>
                  <list type="bulleted">
                    <list.item>
                      <para>
                        <paratext>Parties may wish to agree a more extensive choice of law for non-contractual obligations or disputes - for example, in respect of claims which relate to other, connected agreements. If so, a wider formula must be adopted.</paratext>
                      </para>
                    </list.item>
                    <list.item>
                      <para>
                        <paratext>Conversely, some parties may wish to restrict the contractual choice of law to contractual disputes. In that case, a narrower wording (such as, for example, "claims arising under the contract") should be substituted.</paratext>
                      </para>
                    </list.item>
                  </list>
                  <para>
                    <paratext>
                      <ital>Article 8</ital>
                      <ital>Article 8.1</ital>
                      <ital>Article 8.2</ital>
                      The general rule in Rome II does not apply if the non-contractual obligation arises out of, among other things, the infringement of an intellectual property right (). Rome II provides that the applicable law in such cases shall be the law of the country for which protection is claimed (). In the case of a non-contractual obligation arising from an infringement of a unitary Community intellectual property right, if the issue is not governed by the relevant Community instrument, the applicable law shall be the law of the country in which the act of infringement was committed ().
                    </paratext>
                  </para>
                  <para>
                    <paratext>
                      <link href="6-382-5703" style="ACTLinkPLCtoPLC">
                        <ital>Practice note, Governing law: non-contractual obligations</ital>
                      </link>
                      For a detailed discussion of the possibility of the parties agreeing contractually on the law that will govern their non-contractual obligations in the light of the Rome II Regulation, and more detailed discussion of the drafting issues which may arise, see .
                    </paratext>
                  </para>
                  <para>
                    <paratext>
                      <link href="w-019-0548" style="ACTLinkPLCtoPLC">
                        <ital>Practice note, Brexit: implications for civil justice and judicial co-operation</ital>
                      </link>
                      Rome II will continue to apply during the Brexit transition period. For more information on the rules that will apply during and after the Brexit transition period, see .
                    </paratext>
                  </para>
                </division>
              </division>
            </drafting.note>
            <subclause1 id="a656583">
              <para>
                <paratext>This agreement and any dispute or claim (including non-contractual disputes or claims) arising out of or in connection with it or its subject matter or formation shall be governed by and construed in accordance with the law of England and Wales.</paratext>
              </para>
            </subclause1>
          </clause>
          <clause id="a496590">
            <identifier>27.</identifier>
            <head align="left" preservecase="true">
              <headtext>Jurisdiction</headtext>
            </head>
            <drafting.note id="a800842" jurisdiction="">
              <head align="left" preservecase="true">
                <headtext>Jurisdiction</headtext>
              </head>
              <division id="a000049" level="1">
                <para>
                  <paratext>
                    <link href="9-522-6848" style="ACTLinkPLCtoPLC">
                      <ital>Standard clause, Jurisdiction</ital>
                    </link>
                    <link href="4-107-3852" style="ACTLinkPLCtoPLC">
                      <ital>Practice note, Governing law and jurisdiction clauses</ital>
                    </link>
                    See  and .
                  </paratext>
                </para>
                <para>
                  <paratext>
                    <link href="w-019-0548" style="ACTLinkPLCtoPLC">
                      <ital>Practice note, Brexit: implications for civil justice and judicial co-operation</ital>
                    </link>
                    For information on the rules that will apply during and after the Brexit transition period, see .
                  </paratext>
                </para>
              </division>
            </drafting.note>
            <subclause1 id="a891798">
              <para>
                <paratext>
                  <bold>OR</bold>
                  Each party irrevocably agrees that the courts of England and Wales shall have [exclusive  non-exclusive] jurisdiction to settle any dispute or claim (including non-contractual disputes or claims) arising out of or in connection with this agreement or its subject matter or formation.
                </paratext>
              </para>
            </subclause1>
          </clause>
        </operative>
        <testimonium default="true" wording="contract">
          <para>
            <paratext>This agreement has been entered into on the date stated at the beginning of it.</paratext>
          </para>
        </testimonium>
        <disclosure.schedule>
          <schedule id="a173332">
            <identifier>Schedule 1</identifier>
            <head align="left" preservecase="true">
              <headtext>Project plan</headtext>
            </head>
            <drafting.note id="a523128" jurisdiction="">
              <head align="left" preservecase="true">
                <headtext>Project plan</headtext>
              </head>
              <division id="a000050" level="1">
                <para>
                  <paratext>The timetable for implementation of the services to be provided should be set out here.</paratext>
                </para>
              </division>
            </drafting.note>
          </schedule>
          <schedule id="a184014">
            <identifier>Schedule 2</identifier>
            <head align="left" preservecase="true">
              <headtext>Site software and specification</headtext>
            </head>
            <drafting.note id="a492538" jurisdiction="">
              <head align="left" preservecase="true">
                <headtext>Site software and specification</headtext>
              </head>
              <division id="a000051" level="1">
                <para>
                  <paratext>The software specification and content description for the website should be set out here. If the supplier is also providing hosting services, details of the data collection methodology and interface with customer systems should also be specified.</paratext>
                </para>
              </division>
            </drafting.note>
          </schedule>
          <schedule id="a151970">
            <identifier>Schedule 3</identifier>
            <head align="left" preservecase="true">
              <headtext>Services</headtext>
            </head>
            <drafting.note id="a873020" jurisdiction="">
              <head align="left" preservecase="true">
                <headtext>Services</headtext>
              </head>
              <division id="a000052" level="1">
                <para>
                  <paratext>The development services to be provided should be specified here, together with a description of the design services if these are being provided by the supplier rather than a separate design agency.  If the supplier is also providing hosting services, additional details should be set out as to equipment specification and location, security; back up and disaster recovery, website updating, monitoring and reporting and visitor data collection, storage and access.</paratext>
                </para>
              </division>
            </drafting.note>
          </schedule>
          <schedule id="a248102">
            <identifier>Schedule 4</identifier>
            <head align="left" preservecase="true">
              <headtext>Acceptance tests</headtext>
            </head>
            <drafting.note id="a766207" jurisdiction="">
              <head align="left" preservecase="true">
                <headtext>Acceptance tests</headtext>
              </head>
              <division id="a000053" level="1">
                <para>
                  <paratext>
                    <internal.reference refid="a998550">Drafting note, Development and acceptance of site</internal.reference>
                    Please see the discussion under .
                  </paratext>
                </para>
              </division>
            </drafting.note>
          </schedule>
          <schedule id="a959705">
            <identifier>Schedule 5</identifier>
            <head align="left" preservecase="true">
              <headtext>Charges</headtext>
            </head>
            <drafting.note id="a539308" jurisdiction="">
              <head align="left" preservecase="true">
                <headtext>Charges</headtext>
              </head>
              <division id="a000054" level="1">
                <para>
                  <paratext>
                    <internal.reference refid="a746244">Drafting note, Charges and payment</internal.reference>
                    Details of the chosen payment mechanism should be specified here (see ).
                  </paratext>
                </para>
              </division>
            </drafting.note>
          </schedule>
          <schedule id="a90473">
            <identifier>Schedule 6</identifier>
            <head align="left" preservecase="true">
              <headtext>Change control procedure</headtext>
            </head>
            <clause id="a229330">
              <identifier>1.</identifier>
              <para>
                <paratext>Change control procedure</paratext>
              </para>
              <subclause1 id="a246546">
                <identifier>1.1</identifier>
                <para>
                  <paratext>
                    <defn.term>Change</defn.term>
                    The Supplier and the Customer shall discuss any change to this agreement () proposed by the other and such discussion shall result in either:
                  </paratext>
                </para>
                <subclause2 id="a62474">
                  <identifier>(a)</identifier>
                  <para>
                    <paratext>a written request for a Change by the Customer; or</paratext>
                  </para>
                </subclause2>
                <subclause2 id="a1047747">
                  <identifier>(b)</identifier>
                  <para>
                    <paratext>a written recommendation for a Change by the Supplier,</paratext>
                  </para>
                </subclause2>
                <para>
                  <paratext>or, if neither the Customer nor the Supplier wishes to submit a request or recommendation, the proposal for the Change will not proceed.</paratext>
                </para>
              </subclause1>
              <subclause1 id="a357506">
                <identifier>1.2</identifier>
                <para>
                  <paratext>
                    <defn.term>CCN</defn.term>
                    Where a written request for a Change is received from the Customer, the Supplier shall, unless otherwise agreed, submit a Change control note () to the Customer within the period agreed between them or, if no such period is agreed, within five Business Days from the date of receipt of such request for a Change[, or inform the Customer that the Supplier is not able to comply with such written request for a Change].
                  </paratext>
                </para>
              </subclause1>
              <subclause1 id="a162651">
                <identifier>1.3</identifier>
                <para>
                  <paratext>A written recommendation for a Change by the Supplier shall be submitted as a CCN direct to the Customer at the time of such recommendation.</paratext>
                </para>
              </subclause1>
              <subclause1 id="a216058">
                <identifier>1.4</identifier>
                <para>
                  <paratext>Each CCN shall contain:</paratext>
                </para>
                <subclause2 id="a536497">
                  <identifier>(a)</identifier>
                  <para>
                    <paratext>the title of the Change;</paratext>
                  </para>
                </subclause2>
                <subclause2 id="a94518">
                  <identifier>(b)</identifier>
                  <para>
                    <paratext>the originator and the date of the request or recommendation for the Change;</paratext>
                  </para>
                </subclause2>
                <subclause2 id="a686036">
                  <identifier>(c)</identifier>
                  <para>
                    <paratext>the reason for the Change;</paratext>
                  </para>
                </subclause2>
                <subclause2 id="a645902">
                  <identifier>(d)</identifier>
                  <para>
                    <paratext>the full details of the Change, including any specifications and user facilities;</paratext>
                  </para>
                </subclause2>
                <subclause2 id="a297463">
                  <identifier>(e)</identifier>
                  <para>
                    <paratext>the price, if any, of or associated with the Change;</paratext>
                  </para>
                </subclause2>
                <subclause2 id="a77200">
                  <identifier>(f)</identifier>
                  <para>
                    <paratext>a timetable for implementation, together with any proposals for acceptance of the Change;</paratext>
                  </para>
                </subclause2>
                <subclause2 id="a472409">
                  <identifier>(g)</identifier>
                  <para>
                    <paratext>the impact, if any, of the Change on other aspects of this agreement, including:</paratext>
                  </para>
                  <subclause3 id="a239114">
                    <identifier>(i)</identifier>
                    <para>
                      <paratext>the Charges;</paratext>
                    </para>
                  </subclause3>
                  <subclause3 id="a61577">
                    <identifier>(ii)</identifier>
                    <para>
                      <paratext>the contractual documentation; and</paratext>
                    </para>
                  </subclause3>
                  <subclause3 id="a328610">
                    <identifier>(iii)</identifier>
                    <para>
                      <paratext>staff resources;</paratext>
                    </para>
                  </subclause3>
                </subclause2>
                <subclause2 id="a527510">
                  <identifier>(h)</identifier>
                  <para>
                    <paratext>the date of expiry of validity of the CCN (which shall not be less than [NUMBER] Business Days); and</paratext>
                  </para>
                </subclause2>
                <subclause2 id="a196389">
                  <identifier>(i)</identifier>
                  <para>
                    <paratext>provision for signature of the CCN by the Customer and the Supplier.</paratext>
                  </para>
                </subclause2>
              </subclause1>
              <subclause1 id="a189753">
                <identifier>1.5</identifier>
                <para>
                  <paratext>
                    <internal.reference refid="a527510">paragraph 1.4(h)</internal.reference>
                    <internal.reference refid="a90473">Schedule 6</internal.reference>
                    For each CCN submitted, the Customer shall, within the period of validity of the CCN as set out in  of this :
                  </paratext>
                </para>
                <subclause2 id="a946673">
                  <identifier>(a)</identifier>
                  <para>
                    <paratext>allocate a sequential number to the CCN;</paratext>
                  </para>
                </subclause2>
                <subclause2 id="a470058">
                  <identifier>(b)</identifier>
                  <para>
                    <paratext>evaluate the CCN, and as appropriate either:</paratext>
                  </para>
                  <subclause3 id="a634323">
                    <identifier>(i)</identifier>
                    <para>
                      <paratext>request further information; or</paratext>
                    </para>
                  </subclause3>
                  <subclause3 id="a875948">
                    <identifier>(ii)</identifier>
                    <para>
                      <paratext>approve the CCN; or</paratext>
                    </para>
                  </subclause3>
                  <subclause3 id="a416652">
                    <identifier>(iii)</identifier>
                    <para>
                      <paratext>notify the Supplier of the rejection of the CCN; and</paratext>
                    </para>
                  </subclause3>
                </subclause2>
                <subclause2 id="a794543">
                  <identifier>(c)</identifier>
                  <para>
                    <paratext>if approved, arrange for two copies of the approved CCN to be signed for and on behalf of the Customer and the Supplier. The signing of the CCN shall signify acceptance of a Change by both the Customer and the Supplier.</paratext>
                  </para>
                </subclause2>
              </subclause1>
              <subclause1 id="a395289">
                <identifier>1.6</identifier>
                <para>
                  <paratext>
                    <internal.reference refid="a189753">paragraph 1.5</internal.reference>
                    <internal.reference refid="a90473">Schedule 6</internal.reference>
                    Once signed by the Customer and the Supplier in accordance with  of this , the Change shall be immediately effective and the Customer and the Supplier shall perform their respective obligations on the basis of the agreed amendment.
                  </paratext>
                </para>
              </subclause1>
            </clause>
          </schedule>
          <schedule id="a561188">
            <identifier>Schedule 7</identifier>
            <head align="left" preservecase="true">
              <headtext>Personal data, processing and data subjects</headtext>
            </head>
            <clause id="a400718">
              <identifier>1.</identifier>
              <head align="left" preservecase="true">
                <headtext>Processing by the Supplier</headtext>
              </head>
              <subclause1 id="a636851">
                <identifier>1.1</identifier>
                <head align="left" preservecase="true">
                  <headtext>Scope</headtext>
                </head>
              </subclause1>
              <subclause1 id="a316048">
                <identifier>1.2</identifier>
                <head align="left" preservecase="true">
                  <headtext>Nature</headtext>
                </head>
              </subclause1>
              <subclause1 id="a513811">
                <identifier>1.3</identifier>
                <head align="left" preservecase="true">
                  <headtext>Purpose of the processing</headtext>
                </head>
              </subclause1>
              <subclause1 id="a681355">
                <identifier>1.4</identifier>
                <head align="left" preservecase="true">
                  <headtext>Duration of the processing</headtext>
                </head>
              </subclause1>
            </clause>
            <clause id="a297299">
              <identifier>2.</identifier>
              <head align="left" preservecase="true">
                <headtext>Types of Personal Data</headtext>
              </head>
            </clause>
            <clause id="a240583">
              <identifier>3.</identifier>
              <head align="left" preservecase="true">
                <headtext>Categories of Data Subject</headtext>
              </head>
            </clause>
          </schedule>
        </disclosure.schedule>
        <signature default="true" pagebreak="true" signaturemessage="no">
          <para>
            <paratext>
              <table frame="none" pgwide="1">
                <tgroup cols="3">
                  <colspec colname="1" colnum="1" colwidth="33"/>
                  <colspec colname="2" colnum="2" colwidth="33"/>
                  <colspec colname="3" colnum="3" colwidth="33"/>
                  <tbody>
                    <row>
                      <entry valign="top">
                        <para align="left">
                          <paratext>Signed by [NAME OF DIRECTOR]  for and on behalf of [NAME OF SUPPLIER]</paratext>
                        </para>
                      </entry>
                      <entry valign="top">
                        <para>
                          <paratext space="default"/>
                        </para>
                      </entry>
                      <entry valign="top">
                        <para align="left">
                          <paratext>....................</paratext>
                        </para>
                        <para align="left">
                          <paratext>Director</paratext>
                        </para>
                      </entry>
                    </row>
                    <row>
                      <entry valign="top">
                        <para>
                          <paratext space="default"/>
                        </para>
                      </entry>
                    </row>
                    <row>
                      <entry nameend="3" namest="1" valign="top">
                        <para>
                          <paratext space="default"/>
                        </para>
                      </entry>
                    </row>
                    <row>
                      <entry valign="top">
                        <para align="left">
                          <paratext>Signed by [NAME OF DIRECTOR]  for and on behalf of [NAME OF CUSTOMER]</paratext>
                        </para>
                      </entry>
                      <entry valign="top">
                        <para>
                          <paratext space="default"/>
                        </para>
                      </entry>
                      <entry valign="top">
                        <para align="left">
                          <paratext>....................</paratext>
                        </para>
                        <para align="left">
                          <paratext>Director</paratext>
                        </para>
                      </entry>
                    </row>
                    <row>
                      <entry valign="top">
                        <para>
                          <paratext space="default"/>
                        </para>
                      </entry>
                    </row>
                    <row>
                      <entry nameend="3" namest="1" valign="top">
                        <para>
                          <paratext space="default"/>
                        </para>
                      </entry>
                    </row>
                  </tbody>
                </tgroup>
              </table>
            </paratext>
          </para>
          <drafting.note id="a90693" jurisdiction="">
            <head align="left" preservecase="true">
              <headtext>Execution</headtext>
            </head>
            <division id="a000055" level="1">
              <para>
                <paratext>
                  <link href="0-380-8400" style="ACTLinkPLCtoPLC">
                    <ital>Practice note, Execution of deeds and documents</ital>
                  </link>
                  See  for a full discussion of execution and alternative clauses.
                </paratext>
              </para>
            </division>
          </drafting.note>
        </signature>
      </body>
      <rev.history>
        <rev.item>
          <rev.title>Data protection clause updated for Brexit (March 2021)</rev.title>
          <rev.date>20210317</rev.date>
          <rev.author>Practical Law Media &amp; Telecoms</rev.author>
          <rev.body>
            <division id="a000001" level="1">
              <para>
                <paratext>Data protection clause updated for Brexit</paratext>
              </para>
            </division>
          </rev.body>
        </rev.item>
        <rev.item>
          <rev.title>Brexit (February 2020)</rev.title>
          <rev.date>20200205</rev.date>
          <rev.author>Practical Law Media &amp; Telecoms</rev.author>
          <rev.body>
            <division id="a000002" level="1">
              <para>
                <paratext>
                  <internal.reference refid="a411078">Drafting note, Drafting for Brexit</internal.reference>
                  <internal.reference refid="a194357">Drafting note, Governing law</internal.reference>
                  <internal.reference refid="a800842">Drafting note, Jurisdiction</internal.reference>
                  The following have been updated with information about the Brexit transition period and after: ,  and .
                </paratext>
              </para>
            </division>
          </rev.body>
        </rev.item>
        <rev.item>
          <rev.title>Minor changes to drafting note on data protection (January 2020)</rev.title>
          <rev.date>20200108</rev.date>
          <rev.author>Practical Law Media &amp; Telecoms</rev.author>
          <rev.body>
            <division id="a000003" level="1">
              <para>
                <paratext>
                  <internal.reference refid="a253755">Drafting note, GDPR</internal.reference>
                  Minor changes have been made to .
                </paratext>
              </para>
            </division>
          </rev.body>
        </rev.item>
        <rev.item>
          <rev.title>General update (July 2019)</rev.title>
          <rev.date>20190703</rev.date>
          <rev.author>Practical Law IP&amp;IT</rev.author>
          <rev.body>
            <division id="a000004" level="1">
              <para>
                <paratext>We have revisited the parties' obligations in light of the NIS Regulations, and made other general updates.</paratext>
              </para>
            </division>
          </rev.body>
        </rev.item>
        <rev.item>
          <rev.title>Data Protection Act 2018 (May 2018)</rev.title>
          <rev.date>20180613</rev.date>
          <rev.author>Practical Law Media &amp; Telecoms</rev.author>
          <rev.body>
            <division id="a000005" level="1">
              <para>
                <paratext>This resource has been updated in light of the DPA 2018.</paratext>
              </para>
            </division>
          </rev.body>
        </rev.item>
        <rev.item>
          <rev.title>Network and Information Security Regulations (May 2018)</rev.title>
          <rev.date>20180606</rev.date>
          <rev.author>Practical Law Media &amp; Telecoms</rev.author>
          <rev.body>
            <division id="a000006" level="1">
              <para>
                <paratext>This agreement has been updated to take account of the NIS Regulations.</paratext>
              </para>
            </division>
          </rev.body>
        </rev.item>
      </rev.history>
    </standard.doc>
  </n-docbody>
</n-document>
</file>

<file path=customXml/item4.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7746FBE9-4623-42EA-861B-882C1E9C1845">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3.xml><?xml version="1.0" encoding="utf-8"?>
<ds:datastoreItem xmlns:ds="http://schemas.openxmlformats.org/officeDocument/2006/customXml" ds:itemID="B0766248-5A63-4892-B744-4C72C5F6FDDC">
  <ds:schemaRefs>
    <ds:schemaRef ds:uri="http://www.w3.org/2001/XMLSchema"/>
    <ds:schemaRef ds:uri="http://www.w3.org/2001/XMLSchema-instance"/>
  </ds:schemaRefs>
</ds:datastoreItem>
</file>

<file path=customXml/itemProps4.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ONLYOFFICE/9.3.1.10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Jezierska, Anastazja</dc:creator>
  <cp:keywords/>
  <dc:description/>
  <cp:lastModifiedBy>Ilana Doubell</cp:lastModifiedBy>
  <cp:revision>101</cp:revision>
  <dcterms:created xsi:type="dcterms:W3CDTF">2022-05-23T15:45:00Z</dcterms:created>
  <dcterms:modified xsi:type="dcterms:W3CDTF">2026-07-20T11:33:58Z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yhouseTrackReference">
    <vt:lpwstr>2276817</vt:lpwstr>
  </property>
  <property fmtid="{D5CDD505-2E9C-101B-9397-08002B2CF9AE}" pid="3" name="KeyhouseMatterReference">
    <vt:lpwstr>128926/0001</vt:lpwstr>
  </property>
  <property fmtid="{D5CDD505-2E9C-101B-9397-08002B2CF9AE}" pid="4" name="KeyhouseVersionNumber">
    <vt:lpwstr>1</vt:lpwstr>
  </property>
  <property fmtid="{D5CDD505-2E9C-101B-9397-08002B2CF9AE}" pid="5" name="KeyhouseFileLocation">
    <vt:lpwstr>\\WMKEY\keyhouse\Client Documents\128926\0001\v2 Website design and development agreement marked up_2276817.docx</vt:lpwstr>
  </property>
</Properties>
</file>