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5EE4" w14:textId="305F2D72" w:rsidR="00111E38" w:rsidRDefault="00C01702" w:rsidP="00A004A6">
      <w:pPr>
        <w:keepNext/>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D5460F">
        <w:rPr>
          <w:rFonts w:ascii="Calibri" w:eastAsia="Times New Roman" w:hAnsi="Calibri" w:cs="Times New Roman"/>
          <w:b/>
          <w:bCs/>
          <w:color w:val="333399"/>
          <w:sz w:val="32"/>
          <w:szCs w:val="32"/>
          <w:lang w:val="en-US"/>
        </w:rPr>
        <w:t xml:space="preserve">Appendix </w:t>
      </w:r>
      <w:r w:rsidR="00815366" w:rsidRPr="00D5460F">
        <w:rPr>
          <w:rFonts w:ascii="Calibri" w:eastAsia="Times New Roman" w:hAnsi="Calibri" w:cs="Times New Roman"/>
          <w:b/>
          <w:bCs/>
          <w:color w:val="333399"/>
          <w:sz w:val="32"/>
          <w:szCs w:val="32"/>
          <w:lang w:val="en-US"/>
        </w:rPr>
        <w:t>8</w:t>
      </w:r>
      <w:r w:rsidRPr="00D5460F">
        <w:rPr>
          <w:rFonts w:ascii="Calibri" w:eastAsia="Times New Roman" w:hAnsi="Calibri" w:cs="Times New Roman"/>
          <w:b/>
          <w:bCs/>
          <w:color w:val="333399"/>
          <w:sz w:val="32"/>
          <w:szCs w:val="32"/>
          <w:lang w:val="en-US"/>
        </w:rPr>
        <w:t xml:space="preserve"> </w:t>
      </w:r>
      <w:r w:rsidR="00CB7350">
        <w:rPr>
          <w:rFonts w:ascii="Calibri" w:eastAsia="Times New Roman" w:hAnsi="Calibri" w:cs="Times New Roman"/>
          <w:b/>
          <w:bCs/>
          <w:color w:val="333399"/>
          <w:sz w:val="32"/>
          <w:szCs w:val="32"/>
          <w:lang w:val="en-US"/>
        </w:rPr>
        <w:t>–</w:t>
      </w:r>
      <w:r w:rsidRPr="00D5460F">
        <w:rPr>
          <w:rFonts w:ascii="Calibri" w:eastAsia="Times New Roman" w:hAnsi="Calibri" w:cs="Times New Roman"/>
          <w:b/>
          <w:bCs/>
          <w:color w:val="333399"/>
          <w:sz w:val="32"/>
          <w:szCs w:val="32"/>
          <w:lang w:val="en-US"/>
        </w:rPr>
        <w:t xml:space="preserve"> </w:t>
      </w:r>
      <w:r w:rsidR="007E0563">
        <w:rPr>
          <w:rFonts w:ascii="Calibri" w:eastAsia="Times New Roman" w:hAnsi="Calibri" w:cs="Times New Roman"/>
          <w:b/>
          <w:bCs/>
          <w:color w:val="333399"/>
          <w:sz w:val="32"/>
          <w:szCs w:val="32"/>
          <w:lang w:val="en-US"/>
        </w:rPr>
        <w:t>C</w:t>
      </w:r>
      <w:r w:rsidR="007E0563" w:rsidRPr="007E0563">
        <w:rPr>
          <w:rFonts w:ascii="Calibri" w:eastAsia="Times New Roman" w:hAnsi="Calibri" w:cs="Times New Roman"/>
          <w:b/>
          <w:bCs/>
          <w:color w:val="333399"/>
          <w:sz w:val="32"/>
          <w:szCs w:val="32"/>
          <w:lang w:val="en-US"/>
        </w:rPr>
        <w:t>ompliance</w:t>
      </w:r>
      <w:r w:rsidR="00CB7350">
        <w:rPr>
          <w:rFonts w:ascii="Calibri" w:eastAsia="Times New Roman" w:hAnsi="Calibri" w:cs="Times New Roman"/>
          <w:b/>
          <w:bCs/>
          <w:color w:val="333399"/>
          <w:sz w:val="32"/>
          <w:szCs w:val="32"/>
          <w:lang w:val="en-US"/>
        </w:rPr>
        <w:t xml:space="preserve"> </w:t>
      </w:r>
      <w:r w:rsidR="00E9252D">
        <w:rPr>
          <w:rFonts w:ascii="Calibri" w:eastAsia="Times New Roman" w:hAnsi="Calibri" w:cs="Times New Roman"/>
          <w:b/>
          <w:bCs/>
          <w:color w:val="333399"/>
          <w:sz w:val="32"/>
          <w:szCs w:val="32"/>
          <w:lang w:val="en-US"/>
        </w:rPr>
        <w:t xml:space="preserve">Matrix </w:t>
      </w:r>
      <w:r w:rsidR="00CB7350">
        <w:rPr>
          <w:rFonts w:ascii="Calibri" w:eastAsia="Times New Roman" w:hAnsi="Calibri" w:cs="Times New Roman"/>
          <w:b/>
          <w:bCs/>
          <w:color w:val="333399"/>
          <w:sz w:val="32"/>
          <w:szCs w:val="32"/>
          <w:lang w:val="en-US"/>
        </w:rPr>
        <w:t xml:space="preserve">and </w:t>
      </w:r>
      <w:r w:rsidR="00F6396E" w:rsidRPr="00D5460F">
        <w:rPr>
          <w:rFonts w:ascii="Calibri" w:eastAsia="Times New Roman" w:hAnsi="Calibri" w:cs="Times New Roman"/>
          <w:b/>
          <w:bCs/>
          <w:color w:val="333399"/>
          <w:sz w:val="32"/>
          <w:szCs w:val="32"/>
          <w:lang w:val="en-US"/>
        </w:rPr>
        <w:t>Tender Response Document</w:t>
      </w:r>
      <w:r w:rsidR="00111E38" w:rsidRPr="00D5460F">
        <w:rPr>
          <w:rFonts w:ascii="Calibri" w:eastAsia="Times New Roman" w:hAnsi="Calibri" w:cs="Times New Roman"/>
          <w:b/>
          <w:bCs/>
          <w:color w:val="333399"/>
          <w:sz w:val="32"/>
          <w:szCs w:val="32"/>
          <w:lang w:val="en-US"/>
        </w:rPr>
        <w:t xml:space="preserve"> – SVUH</w:t>
      </w:r>
      <w:r w:rsidR="00815366" w:rsidRPr="00D5460F">
        <w:rPr>
          <w:rFonts w:ascii="Calibri" w:eastAsia="Times New Roman" w:hAnsi="Calibri" w:cs="Times New Roman"/>
          <w:b/>
          <w:bCs/>
          <w:color w:val="333399"/>
          <w:sz w:val="32"/>
          <w:szCs w:val="32"/>
          <w:lang w:val="en-US"/>
        </w:rPr>
        <w:t>- 260</w:t>
      </w:r>
      <w:r w:rsidR="00B35370">
        <w:rPr>
          <w:rFonts w:ascii="Calibri" w:eastAsia="Times New Roman" w:hAnsi="Calibri" w:cs="Times New Roman"/>
          <w:b/>
          <w:bCs/>
          <w:color w:val="333399"/>
          <w:sz w:val="32"/>
          <w:szCs w:val="32"/>
          <w:lang w:val="en-US"/>
        </w:rPr>
        <w:t>38</w:t>
      </w:r>
      <w:r w:rsidR="00815366" w:rsidRPr="00D5460F">
        <w:rPr>
          <w:rFonts w:ascii="Calibri" w:eastAsia="Times New Roman" w:hAnsi="Calibri" w:cs="Times New Roman"/>
          <w:b/>
          <w:bCs/>
          <w:color w:val="333399"/>
          <w:sz w:val="32"/>
          <w:szCs w:val="32"/>
          <w:lang w:val="en-US"/>
        </w:rPr>
        <w:t xml:space="preserve"> Provision of </w:t>
      </w:r>
      <w:r w:rsidR="00B35370" w:rsidRPr="00B35370">
        <w:rPr>
          <w:rFonts w:ascii="Calibri" w:eastAsia="Times New Roman" w:hAnsi="Calibri" w:cs="Times New Roman"/>
          <w:b/>
          <w:bCs/>
          <w:color w:val="333399"/>
          <w:sz w:val="32"/>
          <w:szCs w:val="32"/>
          <w:lang w:val="en-US"/>
        </w:rPr>
        <w:t>Three (3) Gamma Detection Systems</w:t>
      </w:r>
    </w:p>
    <w:p w14:paraId="4C0A6CFB" w14:textId="7AC13284" w:rsidR="002A0555" w:rsidRPr="002A0555" w:rsidRDefault="00111E38" w:rsidP="00A004A6">
      <w:pPr>
        <w:jc w:val="both"/>
        <w:rPr>
          <w:rFonts w:ascii="Calibri" w:eastAsia="Times New Roman" w:hAnsi="Calibri" w:cs="Times New Roman"/>
          <w:b/>
          <w:sz w:val="24"/>
          <w:szCs w:val="24"/>
          <w:lang w:val="en-US"/>
        </w:rPr>
      </w:pPr>
      <w:r w:rsidRPr="00767E23">
        <w:rPr>
          <w:rFonts w:ascii="Calibri" w:eastAsia="Times New Roman" w:hAnsi="Calibri" w:cs="Times New Roman"/>
          <w:b/>
          <w:sz w:val="24"/>
          <w:szCs w:val="24"/>
          <w:lang w:val="en-US"/>
        </w:rPr>
        <w:t>To be used in conjunction with</w:t>
      </w:r>
      <w:r w:rsidR="00C264FF">
        <w:t xml:space="preserve"> </w:t>
      </w:r>
      <w:r w:rsidRPr="00767E23">
        <w:rPr>
          <w:rFonts w:ascii="Calibri" w:eastAsia="Times New Roman" w:hAnsi="Calibri" w:cs="Times New Roman"/>
          <w:b/>
          <w:sz w:val="24"/>
          <w:szCs w:val="24"/>
          <w:lang w:val="en-US"/>
        </w:rPr>
        <w:t>Appendix 1: Requirements and Specifications to the RFT.</w:t>
      </w:r>
    </w:p>
    <w:p w14:paraId="52C60F1D" w14:textId="77777777" w:rsidR="00A972F1" w:rsidRDefault="00A972F1" w:rsidP="00A004A6">
      <w:pPr>
        <w:jc w:val="both"/>
        <w:rPr>
          <w:rFonts w:ascii="Calibri" w:eastAsia="Times New Roman" w:hAnsi="Calibri" w:cs="Times New Roman"/>
          <w:b/>
          <w:sz w:val="24"/>
          <w:szCs w:val="24"/>
          <w:u w:val="single"/>
          <w:lang w:val="en-US"/>
        </w:rPr>
      </w:pPr>
    </w:p>
    <w:p w14:paraId="64CB6C03" w14:textId="017A3C01" w:rsidR="00A972F1" w:rsidRPr="00A972F1" w:rsidRDefault="00A972F1" w:rsidP="00A004A6">
      <w:pPr>
        <w:pStyle w:val="ListParagraph"/>
        <w:numPr>
          <w:ilvl w:val="0"/>
          <w:numId w:val="16"/>
        </w:numPr>
        <w:jc w:val="both"/>
        <w:rPr>
          <w:rFonts w:ascii="Calibri" w:eastAsia="Times New Roman" w:hAnsi="Calibri" w:cs="Times New Roman"/>
          <w:b/>
          <w:sz w:val="24"/>
          <w:szCs w:val="24"/>
          <w:u w:val="single"/>
          <w:lang w:val="en-US"/>
        </w:rPr>
      </w:pPr>
      <w:r>
        <w:rPr>
          <w:rFonts w:ascii="Calibri" w:eastAsia="Times New Roman" w:hAnsi="Calibri" w:cs="Times New Roman"/>
          <w:b/>
          <w:sz w:val="24"/>
          <w:szCs w:val="24"/>
          <w:lang w:val="en-US"/>
        </w:rPr>
        <w:t>COMPLIANCE MATRIX</w:t>
      </w:r>
    </w:p>
    <w:p w14:paraId="398DE4A6" w14:textId="133EA1A1" w:rsidR="00D45EF3" w:rsidRDefault="008B72DC" w:rsidP="00111E38">
      <w:pPr>
        <w:rPr>
          <w:rFonts w:ascii="Calibri" w:eastAsia="Times New Roman" w:hAnsi="Calibri" w:cs="Times New Roman"/>
          <w:b/>
          <w:sz w:val="24"/>
          <w:szCs w:val="24"/>
          <w:u w:val="single"/>
          <w:lang w:val="en-US"/>
        </w:rPr>
      </w:pPr>
      <w:r w:rsidRPr="008B72DC">
        <w:rPr>
          <w:rFonts w:ascii="Calibri" w:eastAsia="Times New Roman" w:hAnsi="Calibri" w:cs="Times New Roman"/>
          <w:b/>
          <w:sz w:val="24"/>
          <w:szCs w:val="24"/>
          <w:u w:val="single"/>
          <w:lang w:val="en-US"/>
        </w:rPr>
        <w:t>Appendix 1: Requirements and Specifications</w:t>
      </w:r>
    </w:p>
    <w:p w14:paraId="50176869" w14:textId="6B256DB6" w:rsidR="00E406F3" w:rsidRDefault="00574749" w:rsidP="00A004A6">
      <w:pPr>
        <w:jc w:val="both"/>
        <w:rPr>
          <w:rFonts w:ascii="Calibri" w:eastAsia="Times New Roman" w:hAnsi="Calibri" w:cs="Times New Roman"/>
          <w:bCs/>
          <w:sz w:val="24"/>
          <w:szCs w:val="24"/>
          <w:lang w:val="en-US"/>
        </w:rPr>
      </w:pPr>
      <w:bookmarkStart w:id="0" w:name="_Hlk233032000"/>
      <w:r w:rsidRPr="00A41EB6">
        <w:rPr>
          <w:rFonts w:ascii="Calibri" w:eastAsia="Times New Roman" w:hAnsi="Calibri" w:cs="Times New Roman"/>
          <w:bCs/>
          <w:sz w:val="24"/>
          <w:szCs w:val="24"/>
          <w:lang w:val="en-US"/>
        </w:rPr>
        <w:t>The</w:t>
      </w:r>
      <w:r w:rsidR="004B28EF">
        <w:rPr>
          <w:rFonts w:ascii="Calibri" w:eastAsia="Times New Roman" w:hAnsi="Calibri" w:cs="Times New Roman"/>
          <w:bCs/>
          <w:sz w:val="24"/>
          <w:szCs w:val="24"/>
          <w:lang w:val="en-US"/>
        </w:rPr>
        <w:t xml:space="preserve"> proposed </w:t>
      </w:r>
      <w:r w:rsidR="004B28EF" w:rsidRPr="004B28EF">
        <w:rPr>
          <w:rFonts w:ascii="Calibri" w:eastAsia="Times New Roman" w:hAnsi="Calibri" w:cs="Times New Roman"/>
          <w:bCs/>
          <w:sz w:val="24"/>
          <w:szCs w:val="24"/>
          <w:lang w:val="en-US"/>
        </w:rPr>
        <w:t xml:space="preserve">Three (3) Gamma Detection Systems </w:t>
      </w:r>
      <w:r w:rsidRPr="00A41EB6">
        <w:rPr>
          <w:rFonts w:ascii="Calibri" w:eastAsia="Times New Roman" w:hAnsi="Calibri" w:cs="Times New Roman"/>
          <w:bCs/>
          <w:sz w:val="24"/>
          <w:szCs w:val="24"/>
          <w:lang w:val="en-US"/>
        </w:rPr>
        <w:t xml:space="preserve">must meet the following specifications. </w:t>
      </w:r>
      <w:r w:rsidRPr="00CE44B1">
        <w:rPr>
          <w:rFonts w:ascii="Calibri" w:eastAsia="Times New Roman" w:hAnsi="Calibri" w:cs="Times New Roman"/>
          <w:b/>
          <w:color w:val="FF0000"/>
          <w:sz w:val="24"/>
          <w:szCs w:val="24"/>
          <w:lang w:val="en-US"/>
        </w:rPr>
        <w:t>Mandatory</w:t>
      </w:r>
      <w:r w:rsidR="00CB69F4" w:rsidRPr="00A41EB6">
        <w:rPr>
          <w:rFonts w:ascii="Calibri" w:eastAsia="Times New Roman" w:hAnsi="Calibri" w:cs="Times New Roman"/>
          <w:b/>
          <w:color w:val="333399"/>
          <w:sz w:val="24"/>
          <w:szCs w:val="24"/>
          <w:lang w:val="en-US"/>
        </w:rPr>
        <w:t xml:space="preserve"> </w:t>
      </w:r>
      <w:r w:rsidR="00CB69F4" w:rsidRPr="00A41EB6">
        <w:rPr>
          <w:rFonts w:ascii="Calibri" w:eastAsia="Times New Roman" w:hAnsi="Calibri" w:cs="Times New Roman"/>
          <w:bCs/>
          <w:sz w:val="24"/>
          <w:szCs w:val="24"/>
          <w:lang w:val="en-US"/>
        </w:rPr>
        <w:t>requirements</w:t>
      </w:r>
      <w:r w:rsidR="00CB69F4" w:rsidRPr="00A41EB6">
        <w:rPr>
          <w:rFonts w:ascii="Calibri" w:eastAsia="Times New Roman" w:hAnsi="Calibri" w:cs="Times New Roman"/>
          <w:b/>
          <w:color w:val="333399"/>
          <w:sz w:val="24"/>
          <w:szCs w:val="24"/>
          <w:lang w:val="en-US"/>
        </w:rPr>
        <w:t xml:space="preserve"> </w:t>
      </w:r>
      <w:r w:rsidRPr="00A41EB6">
        <w:rPr>
          <w:rFonts w:ascii="Calibri" w:eastAsia="Times New Roman" w:hAnsi="Calibri" w:cs="Times New Roman"/>
          <w:bCs/>
          <w:sz w:val="24"/>
          <w:szCs w:val="24"/>
          <w:lang w:val="en-US"/>
        </w:rPr>
        <w:t>must be fully met</w:t>
      </w:r>
      <w:r w:rsidR="00826B39">
        <w:rPr>
          <w:rFonts w:ascii="Calibri" w:eastAsia="Times New Roman" w:hAnsi="Calibri" w:cs="Times New Roman"/>
          <w:bCs/>
          <w:sz w:val="24"/>
          <w:szCs w:val="24"/>
          <w:lang w:val="en-US"/>
        </w:rPr>
        <w:t xml:space="preserve">. </w:t>
      </w:r>
      <w:r w:rsidR="00826B39" w:rsidRPr="00826B39">
        <w:rPr>
          <w:rFonts w:ascii="Calibri" w:eastAsia="Times New Roman" w:hAnsi="Calibri" w:cs="Times New Roman"/>
          <w:bCs/>
          <w:sz w:val="24"/>
          <w:szCs w:val="24"/>
          <w:lang w:val="en-US"/>
        </w:rPr>
        <w:t>Failure to meet any mandatory requirement will result in the Tender being deemed non-compliant and excluded from further evaluation</w:t>
      </w:r>
      <w:r w:rsidR="00826B39">
        <w:rPr>
          <w:rFonts w:ascii="Calibri" w:eastAsia="Times New Roman" w:hAnsi="Calibri" w:cs="Times New Roman"/>
          <w:bCs/>
          <w:sz w:val="24"/>
          <w:szCs w:val="24"/>
          <w:lang w:val="en-US"/>
        </w:rPr>
        <w:t>.</w:t>
      </w:r>
    </w:p>
    <w:p w14:paraId="6C20B19A" w14:textId="0F580ACF" w:rsidR="00A574D2" w:rsidRDefault="006641D8" w:rsidP="00A004A6">
      <w:pPr>
        <w:jc w:val="both"/>
        <w:rPr>
          <w:rFonts w:ascii="Calibri" w:eastAsia="Times New Roman" w:hAnsi="Calibri" w:cs="Times New Roman"/>
          <w:b/>
          <w:sz w:val="24"/>
          <w:szCs w:val="24"/>
          <w:lang w:val="en-US"/>
        </w:rPr>
      </w:pPr>
      <w:r>
        <w:rPr>
          <w:rFonts w:ascii="Calibri" w:eastAsia="Times New Roman" w:hAnsi="Calibri" w:cs="Times New Roman"/>
          <w:bCs/>
          <w:sz w:val="24"/>
          <w:szCs w:val="24"/>
          <w:lang w:val="en-US"/>
        </w:rPr>
        <w:t xml:space="preserve">Tenderers </w:t>
      </w:r>
      <w:r w:rsidR="001C6437">
        <w:rPr>
          <w:rFonts w:ascii="Calibri" w:eastAsia="Times New Roman" w:hAnsi="Calibri" w:cs="Times New Roman"/>
          <w:bCs/>
          <w:sz w:val="24"/>
          <w:szCs w:val="24"/>
          <w:lang w:val="en-US"/>
        </w:rPr>
        <w:t>must</w:t>
      </w:r>
      <w:r>
        <w:rPr>
          <w:rFonts w:ascii="Calibri" w:eastAsia="Times New Roman" w:hAnsi="Calibri" w:cs="Times New Roman"/>
          <w:bCs/>
          <w:sz w:val="24"/>
          <w:szCs w:val="24"/>
          <w:lang w:val="en-US"/>
        </w:rPr>
        <w:t xml:space="preserve"> </w:t>
      </w:r>
      <w:r w:rsidR="000F2740">
        <w:rPr>
          <w:rFonts w:ascii="Calibri" w:eastAsia="Times New Roman" w:hAnsi="Calibri" w:cs="Times New Roman"/>
          <w:bCs/>
          <w:sz w:val="24"/>
          <w:szCs w:val="24"/>
          <w:lang w:val="en-US"/>
        </w:rPr>
        <w:t>explain how the</w:t>
      </w:r>
      <w:r w:rsidR="008574E2">
        <w:rPr>
          <w:rFonts w:ascii="Calibri" w:eastAsia="Times New Roman" w:hAnsi="Calibri" w:cs="Times New Roman"/>
          <w:bCs/>
          <w:sz w:val="24"/>
          <w:szCs w:val="24"/>
          <w:lang w:val="en-US"/>
        </w:rPr>
        <w:t>ir</w:t>
      </w:r>
      <w:r w:rsidR="000F2740">
        <w:rPr>
          <w:rFonts w:ascii="Calibri" w:eastAsia="Times New Roman" w:hAnsi="Calibri" w:cs="Times New Roman"/>
          <w:bCs/>
          <w:sz w:val="24"/>
          <w:szCs w:val="24"/>
          <w:lang w:val="en-US"/>
        </w:rPr>
        <w:t xml:space="preserve"> proposal meets </w:t>
      </w:r>
      <w:r w:rsidR="000F2740" w:rsidRPr="000F2740">
        <w:rPr>
          <w:rFonts w:ascii="Calibri" w:eastAsia="Times New Roman" w:hAnsi="Calibri" w:cs="Times New Roman"/>
          <w:b/>
          <w:color w:val="FF0000"/>
          <w:sz w:val="24"/>
          <w:szCs w:val="24"/>
          <w:lang w:val="en-US"/>
        </w:rPr>
        <w:t>Mandatory</w:t>
      </w:r>
      <w:r w:rsidR="000F2740" w:rsidRPr="000F2740">
        <w:rPr>
          <w:rFonts w:ascii="Calibri" w:eastAsia="Times New Roman" w:hAnsi="Calibri" w:cs="Times New Roman"/>
          <w:b/>
          <w:sz w:val="24"/>
          <w:szCs w:val="24"/>
          <w:lang w:val="en-US"/>
        </w:rPr>
        <w:t xml:space="preserve"> </w:t>
      </w:r>
      <w:r w:rsidR="000F2740">
        <w:rPr>
          <w:rFonts w:ascii="Calibri" w:eastAsia="Times New Roman" w:hAnsi="Calibri" w:cs="Times New Roman"/>
          <w:bCs/>
          <w:sz w:val="24"/>
          <w:szCs w:val="24"/>
          <w:lang w:val="en-US"/>
        </w:rPr>
        <w:t xml:space="preserve">requirements in below </w:t>
      </w:r>
      <w:r w:rsidR="000F2740" w:rsidRPr="000F2740">
        <w:rPr>
          <w:rFonts w:ascii="Calibri" w:eastAsia="Times New Roman" w:hAnsi="Calibri" w:cs="Times New Roman"/>
          <w:b/>
          <w:sz w:val="24"/>
          <w:szCs w:val="24"/>
          <w:lang w:val="en-US"/>
        </w:rPr>
        <w:t>2. TENDER RESPONSE DOCUMENT</w:t>
      </w:r>
      <w:r w:rsidR="000F2740">
        <w:rPr>
          <w:rFonts w:ascii="Calibri" w:eastAsia="Times New Roman" w:hAnsi="Calibri" w:cs="Times New Roman"/>
          <w:b/>
          <w:sz w:val="24"/>
          <w:szCs w:val="24"/>
          <w:lang w:val="en-US"/>
        </w:rPr>
        <w:t>.</w:t>
      </w:r>
      <w:bookmarkEnd w:id="0"/>
    </w:p>
    <w:p w14:paraId="7B599E38" w14:textId="77777777" w:rsidR="00A004A6" w:rsidRPr="002358B7" w:rsidRDefault="00A004A6" w:rsidP="00111E38">
      <w:pPr>
        <w:rPr>
          <w:rFonts w:ascii="Calibri" w:eastAsia="Times New Roman" w:hAnsi="Calibri" w:cs="Times New Roman"/>
          <w:b/>
          <w:sz w:val="24"/>
          <w:szCs w:val="24"/>
          <w:lang w:val="en-US"/>
        </w:rPr>
      </w:pPr>
    </w:p>
    <w:p w14:paraId="04BB938A" w14:textId="515B0513" w:rsidR="00574749" w:rsidRPr="00993316" w:rsidRDefault="00993316" w:rsidP="00993316">
      <w:pPr>
        <w:rPr>
          <w:rFonts w:ascii="Calibri" w:eastAsia="Times New Roman" w:hAnsi="Calibri" w:cs="Times New Roman"/>
          <w:b/>
          <w:sz w:val="24"/>
          <w:szCs w:val="24"/>
          <w:u w:val="single"/>
          <w:lang w:val="en-US"/>
        </w:rPr>
      </w:pPr>
      <w:bookmarkStart w:id="1" w:name="_Hlk233032033"/>
      <w:r w:rsidRPr="00993316">
        <w:rPr>
          <w:rFonts w:ascii="Calibri" w:eastAsia="Times New Roman" w:hAnsi="Calibri" w:cs="Times New Roman"/>
          <w:b/>
          <w:sz w:val="24"/>
          <w:szCs w:val="24"/>
          <w:u w:val="single"/>
          <w:lang w:val="en-US"/>
        </w:rPr>
        <w:t>Section A: Clinical Requirements</w:t>
      </w:r>
    </w:p>
    <w:tbl>
      <w:tblPr>
        <w:tblW w:w="9067" w:type="dxa"/>
        <w:tblLook w:val="04A0" w:firstRow="1" w:lastRow="0" w:firstColumn="1" w:lastColumn="0" w:noHBand="0" w:noVBand="1"/>
      </w:tblPr>
      <w:tblGrid>
        <w:gridCol w:w="3823"/>
        <w:gridCol w:w="1417"/>
        <w:gridCol w:w="1276"/>
        <w:gridCol w:w="2551"/>
      </w:tblGrid>
      <w:tr w:rsidR="004115F5" w:rsidRPr="002358B7" w14:paraId="03A15C41" w14:textId="77777777" w:rsidTr="000430A6">
        <w:trPr>
          <w:trHeight w:val="300"/>
        </w:trPr>
        <w:tc>
          <w:tcPr>
            <w:tcW w:w="3823" w:type="dxa"/>
            <w:tcBorders>
              <w:top w:val="single" w:sz="4" w:space="0" w:color="auto"/>
              <w:left w:val="single" w:sz="4" w:space="0" w:color="auto"/>
              <w:bottom w:val="single" w:sz="4" w:space="0" w:color="auto"/>
              <w:right w:val="single" w:sz="4" w:space="0" w:color="auto"/>
            </w:tcBorders>
            <w:shd w:val="clear" w:color="000000" w:fill="003C79"/>
            <w:vAlign w:val="center"/>
            <w:hideMark/>
          </w:tcPr>
          <w:p w14:paraId="2284DB78" w14:textId="77777777" w:rsidR="004115F5" w:rsidRPr="002358B7" w:rsidRDefault="004115F5" w:rsidP="004115F5">
            <w:pPr>
              <w:spacing w:after="0" w:line="240" w:lineRule="auto"/>
              <w:ind w:firstLineChars="100" w:firstLine="241"/>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Requirement</w:t>
            </w:r>
          </w:p>
        </w:tc>
        <w:tc>
          <w:tcPr>
            <w:tcW w:w="1417" w:type="dxa"/>
            <w:tcBorders>
              <w:top w:val="single" w:sz="4" w:space="0" w:color="auto"/>
              <w:left w:val="nil"/>
              <w:bottom w:val="single" w:sz="4" w:space="0" w:color="auto"/>
              <w:right w:val="single" w:sz="4" w:space="0" w:color="auto"/>
            </w:tcBorders>
            <w:shd w:val="clear" w:color="000000" w:fill="003C79"/>
            <w:vAlign w:val="center"/>
            <w:hideMark/>
          </w:tcPr>
          <w:p w14:paraId="5DE451C6" w14:textId="77777777" w:rsidR="004115F5" w:rsidRPr="002358B7" w:rsidRDefault="004115F5" w:rsidP="004816F5">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Status</w:t>
            </w:r>
          </w:p>
        </w:tc>
        <w:tc>
          <w:tcPr>
            <w:tcW w:w="1276" w:type="dxa"/>
            <w:tcBorders>
              <w:top w:val="single" w:sz="4" w:space="0" w:color="auto"/>
              <w:left w:val="nil"/>
              <w:bottom w:val="single" w:sz="4" w:space="0" w:color="auto"/>
              <w:right w:val="single" w:sz="4" w:space="0" w:color="000000"/>
            </w:tcBorders>
            <w:shd w:val="clear" w:color="000000" w:fill="003C79"/>
            <w:noWrap/>
            <w:vAlign w:val="bottom"/>
            <w:hideMark/>
          </w:tcPr>
          <w:p w14:paraId="50CD84F5" w14:textId="77777777" w:rsidR="004115F5" w:rsidRPr="002358B7" w:rsidRDefault="004115F5" w:rsidP="004816F5">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Checklist</w:t>
            </w:r>
          </w:p>
        </w:tc>
        <w:tc>
          <w:tcPr>
            <w:tcW w:w="2551" w:type="dxa"/>
            <w:tcBorders>
              <w:top w:val="single" w:sz="4" w:space="0" w:color="auto"/>
              <w:left w:val="nil"/>
              <w:bottom w:val="single" w:sz="4" w:space="0" w:color="auto"/>
              <w:right w:val="single" w:sz="4" w:space="0" w:color="000000"/>
            </w:tcBorders>
            <w:shd w:val="clear" w:color="000000" w:fill="003C79"/>
            <w:vAlign w:val="bottom"/>
          </w:tcPr>
          <w:p w14:paraId="1B220833" w14:textId="3CDCCC59" w:rsidR="004115F5" w:rsidRPr="002358B7" w:rsidRDefault="004115F5" w:rsidP="004816F5">
            <w:pPr>
              <w:spacing w:after="0" w:line="240" w:lineRule="auto"/>
              <w:jc w:val="center"/>
              <w:rPr>
                <w:rFonts w:eastAsia="Times New Roman" w:cstheme="minorHAnsi"/>
                <w:b/>
                <w:bCs/>
                <w:color w:val="FFFFFF"/>
                <w:sz w:val="24"/>
                <w:szCs w:val="24"/>
                <w:lang w:eastAsia="en-IE"/>
              </w:rPr>
            </w:pPr>
            <w:r>
              <w:rPr>
                <w:rFonts w:eastAsia="Times New Roman" w:cstheme="minorHAnsi"/>
                <w:b/>
                <w:bCs/>
                <w:color w:val="FFFFFF"/>
                <w:sz w:val="24"/>
                <w:szCs w:val="24"/>
                <w:lang w:eastAsia="en-IE"/>
              </w:rPr>
              <w:t>Comment</w:t>
            </w:r>
          </w:p>
        </w:tc>
      </w:tr>
      <w:tr w:rsidR="004816F5" w:rsidRPr="002358B7" w14:paraId="533720A0" w14:textId="77777777" w:rsidTr="000430A6">
        <w:trPr>
          <w:trHeight w:val="300"/>
        </w:trPr>
        <w:tc>
          <w:tcPr>
            <w:tcW w:w="5240" w:type="dxa"/>
            <w:gridSpan w:val="2"/>
            <w:tcBorders>
              <w:top w:val="single" w:sz="4" w:space="0" w:color="auto"/>
              <w:left w:val="single" w:sz="4" w:space="0" w:color="auto"/>
              <w:bottom w:val="single" w:sz="4" w:space="0" w:color="auto"/>
              <w:right w:val="single" w:sz="4" w:space="0" w:color="000000"/>
            </w:tcBorders>
            <w:vAlign w:val="center"/>
            <w:hideMark/>
          </w:tcPr>
          <w:p w14:paraId="605CE747" w14:textId="77777777" w:rsidR="004816F5" w:rsidRPr="002358B7" w:rsidRDefault="004816F5" w:rsidP="004816F5">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eastAsia="en-IE"/>
              </w:rPr>
              <w:t> </w:t>
            </w:r>
          </w:p>
        </w:tc>
        <w:tc>
          <w:tcPr>
            <w:tcW w:w="1276" w:type="dxa"/>
            <w:tcBorders>
              <w:top w:val="nil"/>
              <w:left w:val="nil"/>
              <w:bottom w:val="single" w:sz="4" w:space="0" w:color="auto"/>
              <w:right w:val="single" w:sz="4" w:space="0" w:color="auto"/>
            </w:tcBorders>
            <w:vAlign w:val="bottom"/>
            <w:hideMark/>
          </w:tcPr>
          <w:p w14:paraId="67217B70" w14:textId="0828E297" w:rsidR="004816F5" w:rsidRPr="002358B7" w:rsidRDefault="004816F5" w:rsidP="004816F5">
            <w:pPr>
              <w:spacing w:after="0" w:line="240" w:lineRule="auto"/>
              <w:jc w:val="center"/>
              <w:rPr>
                <w:rFonts w:eastAsia="Times New Roman" w:cstheme="minorHAnsi"/>
                <w:b/>
                <w:bCs/>
                <w:sz w:val="24"/>
                <w:szCs w:val="24"/>
                <w:lang w:eastAsia="en-IE"/>
              </w:rPr>
            </w:pPr>
            <w:r w:rsidRPr="002358B7">
              <w:rPr>
                <w:rFonts w:eastAsia="Times New Roman" w:cstheme="minorHAnsi"/>
                <w:b/>
                <w:bCs/>
                <w:sz w:val="24"/>
                <w:szCs w:val="24"/>
                <w:lang w:eastAsia="en-IE"/>
              </w:rPr>
              <w:t>Yes</w:t>
            </w:r>
            <w:r w:rsidR="00534EAC">
              <w:rPr>
                <w:rFonts w:eastAsia="Times New Roman" w:cstheme="minorHAnsi"/>
                <w:b/>
                <w:bCs/>
                <w:sz w:val="24"/>
                <w:szCs w:val="24"/>
                <w:lang w:eastAsia="en-IE"/>
              </w:rPr>
              <w:t>/No</w:t>
            </w:r>
          </w:p>
        </w:tc>
        <w:tc>
          <w:tcPr>
            <w:tcW w:w="2551" w:type="dxa"/>
            <w:tcBorders>
              <w:top w:val="nil"/>
              <w:left w:val="nil"/>
              <w:bottom w:val="single" w:sz="4" w:space="0" w:color="auto"/>
              <w:right w:val="single" w:sz="4" w:space="0" w:color="auto"/>
            </w:tcBorders>
            <w:vAlign w:val="bottom"/>
          </w:tcPr>
          <w:p w14:paraId="0A896011" w14:textId="23896DE2" w:rsidR="004816F5" w:rsidRPr="002358B7" w:rsidRDefault="004816F5" w:rsidP="004816F5">
            <w:pPr>
              <w:spacing w:after="0" w:line="240" w:lineRule="auto"/>
              <w:jc w:val="center"/>
              <w:rPr>
                <w:rFonts w:eastAsia="Times New Roman" w:cstheme="minorHAnsi"/>
                <w:b/>
                <w:bCs/>
                <w:sz w:val="24"/>
                <w:szCs w:val="24"/>
                <w:lang w:eastAsia="en-IE"/>
              </w:rPr>
            </w:pPr>
          </w:p>
        </w:tc>
      </w:tr>
      <w:tr w:rsidR="006B520E" w:rsidRPr="002358B7" w14:paraId="41F799DE"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015EE778" w14:textId="77777777" w:rsidR="006B520E" w:rsidRPr="002358B7" w:rsidRDefault="00993316" w:rsidP="004816F5">
            <w:pPr>
              <w:spacing w:after="0" w:line="240" w:lineRule="auto"/>
              <w:rPr>
                <w:rFonts w:eastAsia="Times New Roman" w:cstheme="minorHAnsi"/>
                <w:b/>
                <w:bCs/>
                <w:sz w:val="24"/>
                <w:szCs w:val="24"/>
                <w:lang w:eastAsia="en-IE"/>
              </w:rPr>
            </w:pPr>
            <w:r w:rsidRPr="002358B7">
              <w:rPr>
                <w:rFonts w:eastAsia="Times New Roman" w:cstheme="minorHAnsi"/>
                <w:b/>
                <w:bCs/>
                <w:sz w:val="24"/>
                <w:szCs w:val="24"/>
                <w:lang w:eastAsia="en-IE"/>
              </w:rPr>
              <w:t>A1. Detection Capability</w:t>
            </w:r>
          </w:p>
          <w:p w14:paraId="00B09217" w14:textId="77777777" w:rsidR="00993316" w:rsidRPr="002358B7" w:rsidRDefault="00993316" w:rsidP="00A004A6">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The Gamma Detection System must be capable of detecting gamma radiation emitted by radioisotopes commonly used in nuclear medicine procedures at SVUH with photopeak energies up to 364 keV, including but not limited to:</w:t>
            </w:r>
          </w:p>
          <w:p w14:paraId="10E128A4"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Technetium-99m (Tc-99m) – 140 keV</w:t>
            </w:r>
          </w:p>
          <w:p w14:paraId="28E0DC78"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Iodine-131 (I-131) – 364 keV</w:t>
            </w:r>
          </w:p>
          <w:p w14:paraId="364B747D" w14:textId="3F621CA6" w:rsidR="00993316" w:rsidRPr="002358B7" w:rsidRDefault="00993316" w:rsidP="00A004A6">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Tenderers must provide full technical specifications demonstrating the system's energy range, sensitivity (counts per second per MBq at a specified distance), and energy resolution.</w:t>
            </w:r>
          </w:p>
        </w:tc>
        <w:tc>
          <w:tcPr>
            <w:tcW w:w="1417" w:type="dxa"/>
            <w:tcBorders>
              <w:top w:val="nil"/>
              <w:left w:val="nil"/>
              <w:bottom w:val="single" w:sz="4" w:space="0" w:color="auto"/>
              <w:right w:val="single" w:sz="4" w:space="0" w:color="auto"/>
            </w:tcBorders>
            <w:noWrap/>
            <w:vAlign w:val="center"/>
          </w:tcPr>
          <w:p w14:paraId="07C0BF2C" w14:textId="5998D7B9" w:rsidR="006B520E" w:rsidRPr="002358B7" w:rsidRDefault="007B223C" w:rsidP="004816F5">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0872B3B5" w14:textId="60F537C6" w:rsidR="006B520E" w:rsidRPr="002358B7" w:rsidRDefault="006B520E" w:rsidP="004816F5">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3364ED7D" w14:textId="2B55799B" w:rsidR="004E0174" w:rsidRPr="004E0174" w:rsidRDefault="004E0174" w:rsidP="004E0174">
            <w:pPr>
              <w:spacing w:after="0" w:line="240" w:lineRule="auto"/>
              <w:rPr>
                <w:rFonts w:eastAsia="Times New Roman" w:cstheme="minorHAnsi"/>
                <w:b/>
                <w:bCs/>
                <w:sz w:val="24"/>
                <w:szCs w:val="24"/>
                <w:lang w:eastAsia="en-IE"/>
              </w:rPr>
            </w:pPr>
          </w:p>
        </w:tc>
      </w:tr>
      <w:tr w:rsidR="004816F5" w:rsidRPr="002358B7" w14:paraId="7A564C64"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756ABD23" w14:textId="77777777" w:rsidR="00993316" w:rsidRPr="002358B7" w:rsidRDefault="00993316" w:rsidP="00A004A6">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A2. Probe Design and Ergonomics</w:t>
            </w:r>
          </w:p>
          <w:p w14:paraId="64B0A06F" w14:textId="77777777" w:rsidR="00993316" w:rsidRPr="002358B7" w:rsidRDefault="00993316" w:rsidP="00A004A6">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 xml:space="preserve">The system must include at least one intraoperative probe suitable for use </w:t>
            </w:r>
            <w:r w:rsidRPr="002358B7">
              <w:rPr>
                <w:rFonts w:eastAsia="Calibri" w:cstheme="minorHAnsi"/>
                <w:sz w:val="24"/>
                <w:szCs w:val="24"/>
                <w:lang w:eastAsia="en-IE"/>
              </w:rPr>
              <w:lastRenderedPageBreak/>
              <w:t>in sterile surgical fields. The probe must be:</w:t>
            </w:r>
          </w:p>
          <w:p w14:paraId="6707B989"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Lightweight and ergonomically designed to minimise operator fatigue during prolonged procedures;</w:t>
            </w:r>
          </w:p>
          <w:p w14:paraId="2E65A1B3"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Available in a range of sizes/configurations suitable for different surgical approaches (e.g., open surgery, laparoscopic/minimally invasive surgery);</w:t>
            </w:r>
          </w:p>
          <w:p w14:paraId="0BF91D35"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Compatible with standard surgical draping and sterilisation/disinfection protocols (autoclavable or compatible with high-level disinfection).</w:t>
            </w:r>
          </w:p>
          <w:p w14:paraId="6EE2312C"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Wireless operating, via bluetooth</w:t>
            </w:r>
          </w:p>
          <w:p w14:paraId="04EB79AA" w14:textId="2EADC7D4" w:rsidR="004816F5" w:rsidRPr="002358B7" w:rsidRDefault="00993316" w:rsidP="00A004A6">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Tenderers must specify all available probe configurations, dimensions, weights, and sterilisation/disinfection compatibility.</w:t>
            </w:r>
          </w:p>
        </w:tc>
        <w:tc>
          <w:tcPr>
            <w:tcW w:w="1417" w:type="dxa"/>
            <w:tcBorders>
              <w:top w:val="nil"/>
              <w:left w:val="nil"/>
              <w:bottom w:val="single" w:sz="4" w:space="0" w:color="auto"/>
              <w:right w:val="single" w:sz="4" w:space="0" w:color="auto"/>
            </w:tcBorders>
            <w:noWrap/>
            <w:vAlign w:val="center"/>
            <w:hideMark/>
          </w:tcPr>
          <w:p w14:paraId="58A71293" w14:textId="3C63F275" w:rsidR="004816F5" w:rsidRPr="002358B7" w:rsidRDefault="007B223C" w:rsidP="004816F5">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hideMark/>
          </w:tcPr>
          <w:p w14:paraId="1C806480" w14:textId="2F9ACE9D" w:rsidR="004816F5" w:rsidRPr="002358B7" w:rsidRDefault="004816F5" w:rsidP="004816F5">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551" w:type="dxa"/>
            <w:tcBorders>
              <w:top w:val="nil"/>
              <w:left w:val="nil"/>
              <w:bottom w:val="single" w:sz="4" w:space="0" w:color="auto"/>
              <w:right w:val="single" w:sz="4" w:space="0" w:color="auto"/>
            </w:tcBorders>
            <w:noWrap/>
            <w:vAlign w:val="center"/>
            <w:hideMark/>
          </w:tcPr>
          <w:p w14:paraId="049C46D7" w14:textId="77777777" w:rsidR="004816F5" w:rsidRPr="002358B7" w:rsidRDefault="004816F5" w:rsidP="004816F5">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4816F5" w:rsidRPr="002358B7" w14:paraId="01A6F0D2"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02564936" w14:textId="77777777" w:rsidR="00993316" w:rsidRPr="002358B7" w:rsidRDefault="00993316" w:rsidP="00A004A6">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A3. Audio and Visual Feedback</w:t>
            </w:r>
          </w:p>
          <w:p w14:paraId="13C1D258" w14:textId="77777777" w:rsidR="00993316" w:rsidRPr="002358B7" w:rsidRDefault="00993316" w:rsidP="00A004A6">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The system must provide clear, real-time audio and visual feedback to the surgeon, including:</w:t>
            </w:r>
          </w:p>
          <w:p w14:paraId="0DAF262E"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Audible count rate indication (variable pitch/frequency proportional to detected activity);</w:t>
            </w:r>
          </w:p>
          <w:p w14:paraId="13586CA2" w14:textId="77777777" w:rsidR="00993316" w:rsidRPr="002358B7" w:rsidRDefault="00993316" w:rsidP="00A004A6">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Visual display of count rate (numerical and/or graphical);</w:t>
            </w:r>
          </w:p>
          <w:p w14:paraId="5BBD9190" w14:textId="06640727" w:rsidR="00993316" w:rsidRPr="002358B7" w:rsidRDefault="00993316" w:rsidP="00A004A6">
            <w:pPr>
              <w:numPr>
                <w:ilvl w:val="0"/>
                <w:numId w:val="18"/>
              </w:num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Adjustable audio volume and visual display brightness.</w:t>
            </w:r>
          </w:p>
        </w:tc>
        <w:tc>
          <w:tcPr>
            <w:tcW w:w="1417" w:type="dxa"/>
            <w:tcBorders>
              <w:top w:val="nil"/>
              <w:left w:val="nil"/>
              <w:bottom w:val="single" w:sz="4" w:space="0" w:color="auto"/>
              <w:right w:val="single" w:sz="4" w:space="0" w:color="auto"/>
            </w:tcBorders>
            <w:noWrap/>
            <w:vAlign w:val="center"/>
            <w:hideMark/>
          </w:tcPr>
          <w:p w14:paraId="12861742" w14:textId="3D8CEFDE" w:rsidR="004816F5" w:rsidRPr="002358B7" w:rsidRDefault="007B223C" w:rsidP="004816F5">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hideMark/>
          </w:tcPr>
          <w:p w14:paraId="3D36FF91" w14:textId="77777777" w:rsidR="004816F5" w:rsidRPr="002358B7" w:rsidRDefault="004816F5" w:rsidP="004816F5">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551" w:type="dxa"/>
            <w:tcBorders>
              <w:top w:val="nil"/>
              <w:left w:val="nil"/>
              <w:bottom w:val="single" w:sz="4" w:space="0" w:color="auto"/>
              <w:right w:val="single" w:sz="4" w:space="0" w:color="auto"/>
            </w:tcBorders>
            <w:noWrap/>
            <w:vAlign w:val="center"/>
            <w:hideMark/>
          </w:tcPr>
          <w:p w14:paraId="01F7272F" w14:textId="77777777" w:rsidR="004816F5" w:rsidRPr="002358B7" w:rsidRDefault="004816F5" w:rsidP="004816F5">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7B223C" w:rsidRPr="002358B7" w14:paraId="19922C17"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3D043540" w14:textId="77777777" w:rsidR="00D47911" w:rsidRPr="002358B7" w:rsidRDefault="00D47911" w:rsidP="00A004A6">
            <w:pPr>
              <w:spacing w:before="160" w:after="80" w:line="240" w:lineRule="auto"/>
              <w:rPr>
                <w:rFonts w:eastAsia="Calibri" w:cstheme="minorHAnsi"/>
                <w:sz w:val="24"/>
                <w:szCs w:val="24"/>
                <w:lang w:eastAsia="en-IE"/>
              </w:rPr>
            </w:pPr>
            <w:r w:rsidRPr="002358B7">
              <w:rPr>
                <w:rFonts w:eastAsia="Calibri" w:cstheme="minorHAnsi"/>
                <w:b/>
                <w:bCs/>
                <w:sz w:val="24"/>
                <w:szCs w:val="24"/>
                <w:lang w:eastAsia="en-IE"/>
              </w:rPr>
              <w:t>A4. Background Subtraction / Discrimination</w:t>
            </w:r>
          </w:p>
          <w:p w14:paraId="1F22E693" w14:textId="5429BDEE" w:rsidR="007B223C" w:rsidRPr="002358B7" w:rsidRDefault="00D47911" w:rsidP="00A004A6">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 xml:space="preserve">The system must incorporate effective background subtraction or discrimination functionality to </w:t>
            </w:r>
            <w:r w:rsidRPr="002358B7">
              <w:rPr>
                <w:rFonts w:eastAsia="Calibri" w:cstheme="minorHAnsi"/>
                <w:sz w:val="24"/>
                <w:szCs w:val="24"/>
                <w:lang w:eastAsia="en-IE"/>
              </w:rPr>
              <w:lastRenderedPageBreak/>
              <w:t>enable accurate identification of target tissue in the presence of background radioactivity.</w:t>
            </w:r>
          </w:p>
        </w:tc>
        <w:tc>
          <w:tcPr>
            <w:tcW w:w="1417" w:type="dxa"/>
            <w:tcBorders>
              <w:top w:val="nil"/>
              <w:left w:val="nil"/>
              <w:bottom w:val="single" w:sz="4" w:space="0" w:color="auto"/>
              <w:right w:val="single" w:sz="4" w:space="0" w:color="auto"/>
            </w:tcBorders>
            <w:noWrap/>
            <w:vAlign w:val="center"/>
          </w:tcPr>
          <w:p w14:paraId="18F45F0F" w14:textId="6FFD571F" w:rsidR="007B223C" w:rsidRPr="002358B7" w:rsidRDefault="007B223C" w:rsidP="004816F5">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tcPr>
          <w:p w14:paraId="71EF8B20" w14:textId="77777777" w:rsidR="007B223C" w:rsidRPr="002358B7" w:rsidRDefault="007B223C" w:rsidP="004816F5">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0DB9522C" w14:textId="77777777" w:rsidR="007B223C" w:rsidRPr="002358B7" w:rsidRDefault="007B223C" w:rsidP="004816F5">
            <w:pPr>
              <w:spacing w:after="0" w:line="240" w:lineRule="auto"/>
              <w:jc w:val="center"/>
              <w:rPr>
                <w:rFonts w:eastAsia="Times New Roman" w:cstheme="minorHAnsi"/>
                <w:b/>
                <w:bCs/>
                <w:color w:val="000000"/>
                <w:sz w:val="24"/>
                <w:szCs w:val="24"/>
                <w:lang w:eastAsia="en-IE"/>
              </w:rPr>
            </w:pPr>
          </w:p>
        </w:tc>
      </w:tr>
      <w:tr w:rsidR="0008405D" w:rsidRPr="002358B7" w14:paraId="48E70107"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6C18FBE6" w14:textId="77777777" w:rsidR="00B77081" w:rsidRPr="002358B7" w:rsidRDefault="00B77081"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A5. Data Recording and Output</w:t>
            </w:r>
          </w:p>
          <w:p w14:paraId="662AF0A0" w14:textId="4248260D" w:rsidR="0008405D" w:rsidRPr="002358B7" w:rsidRDefault="00B77081"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The system must be capable of recording and displaying count rate data. Tenderers must describe any data logging, export, or connectivity features available (e.g., USB export, integration with hospital information systems).</w:t>
            </w:r>
          </w:p>
        </w:tc>
        <w:tc>
          <w:tcPr>
            <w:tcW w:w="1417" w:type="dxa"/>
            <w:tcBorders>
              <w:top w:val="nil"/>
              <w:left w:val="nil"/>
              <w:bottom w:val="single" w:sz="4" w:space="0" w:color="auto"/>
              <w:right w:val="single" w:sz="4" w:space="0" w:color="auto"/>
            </w:tcBorders>
            <w:noWrap/>
            <w:vAlign w:val="center"/>
          </w:tcPr>
          <w:p w14:paraId="185E1F2A" w14:textId="4F9747E4" w:rsidR="0008405D" w:rsidRPr="002358B7" w:rsidRDefault="0008405D" w:rsidP="004816F5">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6DDE5D74" w14:textId="77777777" w:rsidR="0008405D" w:rsidRPr="002358B7" w:rsidRDefault="0008405D" w:rsidP="004816F5">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06B42B1F" w14:textId="77777777" w:rsidR="0008405D" w:rsidRPr="002358B7" w:rsidRDefault="0008405D" w:rsidP="004816F5">
            <w:pPr>
              <w:spacing w:after="0" w:line="240" w:lineRule="auto"/>
              <w:jc w:val="center"/>
              <w:rPr>
                <w:rFonts w:eastAsia="Times New Roman" w:cstheme="minorHAnsi"/>
                <w:b/>
                <w:bCs/>
                <w:color w:val="000000"/>
                <w:sz w:val="24"/>
                <w:szCs w:val="24"/>
                <w:lang w:eastAsia="en-IE"/>
              </w:rPr>
            </w:pPr>
          </w:p>
        </w:tc>
      </w:tr>
      <w:tr w:rsidR="0008405D" w:rsidRPr="002358B7" w14:paraId="50538EE9"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716FC11F" w14:textId="77777777" w:rsidR="003B41B7" w:rsidRPr="002358B7" w:rsidRDefault="003B41B7"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A6. Portability and Mobility</w:t>
            </w:r>
          </w:p>
          <w:p w14:paraId="6A1C8360" w14:textId="15AA53AB" w:rsidR="0008405D" w:rsidRPr="002358B7" w:rsidRDefault="003B41B7"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The systems must be portable and suitable for use across multiple clinical areas within SVUH, including operating theatres, procedure rooms, and nuclear medicine departments. Tenderers must specify the dimensions, weight, and any transport/storage accessories included.</w:t>
            </w:r>
          </w:p>
        </w:tc>
        <w:tc>
          <w:tcPr>
            <w:tcW w:w="1417" w:type="dxa"/>
            <w:tcBorders>
              <w:top w:val="nil"/>
              <w:left w:val="nil"/>
              <w:bottom w:val="single" w:sz="4" w:space="0" w:color="auto"/>
              <w:right w:val="single" w:sz="4" w:space="0" w:color="auto"/>
            </w:tcBorders>
            <w:noWrap/>
            <w:vAlign w:val="center"/>
          </w:tcPr>
          <w:p w14:paraId="62E8DCDA" w14:textId="541DFDFF" w:rsidR="0008405D" w:rsidRPr="002358B7" w:rsidRDefault="0008405D" w:rsidP="004816F5">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1A6D9561" w14:textId="77777777" w:rsidR="0008405D" w:rsidRPr="002358B7" w:rsidRDefault="0008405D" w:rsidP="004816F5">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79085937" w14:textId="77777777" w:rsidR="0008405D" w:rsidRPr="002358B7" w:rsidRDefault="0008405D" w:rsidP="004816F5">
            <w:pPr>
              <w:spacing w:after="0" w:line="240" w:lineRule="auto"/>
              <w:jc w:val="center"/>
              <w:rPr>
                <w:rFonts w:eastAsia="Times New Roman" w:cstheme="minorHAnsi"/>
                <w:b/>
                <w:bCs/>
                <w:color w:val="000000"/>
                <w:sz w:val="24"/>
                <w:szCs w:val="24"/>
                <w:lang w:eastAsia="en-IE"/>
              </w:rPr>
            </w:pPr>
          </w:p>
        </w:tc>
      </w:tr>
      <w:tr w:rsidR="0008405D" w:rsidRPr="002358B7" w14:paraId="6BD1A0CB"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7CA825D6" w14:textId="77777777" w:rsidR="00570E5D" w:rsidRPr="002358B7" w:rsidRDefault="00570E5D"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A7. Power Supply</w:t>
            </w:r>
          </w:p>
          <w:p w14:paraId="02408497" w14:textId="0E4E69B5" w:rsidR="0008405D" w:rsidRPr="002358B7" w:rsidRDefault="00570E5D"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The system must be capable of operating from standard Irish mains power supply (230V, 50Hz) and/or battery power. Tenderers must specify battery type, expected battery life under typical operating conditions, and charging requirements.</w:t>
            </w:r>
          </w:p>
        </w:tc>
        <w:tc>
          <w:tcPr>
            <w:tcW w:w="1417" w:type="dxa"/>
            <w:tcBorders>
              <w:top w:val="nil"/>
              <w:left w:val="nil"/>
              <w:bottom w:val="single" w:sz="4" w:space="0" w:color="auto"/>
              <w:right w:val="single" w:sz="4" w:space="0" w:color="auto"/>
            </w:tcBorders>
            <w:noWrap/>
            <w:vAlign w:val="center"/>
          </w:tcPr>
          <w:p w14:paraId="002B54D9" w14:textId="7259731D" w:rsidR="0008405D" w:rsidRPr="002358B7" w:rsidRDefault="0008405D" w:rsidP="004816F5">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1962C0F5" w14:textId="77777777" w:rsidR="0008405D" w:rsidRPr="002358B7" w:rsidRDefault="0008405D" w:rsidP="004816F5">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7C914359" w14:textId="77777777" w:rsidR="0008405D" w:rsidRPr="002358B7" w:rsidRDefault="0008405D" w:rsidP="004816F5">
            <w:pPr>
              <w:spacing w:after="0" w:line="240" w:lineRule="auto"/>
              <w:jc w:val="center"/>
              <w:rPr>
                <w:rFonts w:eastAsia="Times New Roman" w:cstheme="minorHAnsi"/>
                <w:b/>
                <w:bCs/>
                <w:color w:val="000000"/>
                <w:sz w:val="24"/>
                <w:szCs w:val="24"/>
                <w:lang w:eastAsia="en-IE"/>
              </w:rPr>
            </w:pPr>
          </w:p>
        </w:tc>
      </w:tr>
      <w:tr w:rsidR="007B223C" w:rsidRPr="002358B7" w14:paraId="7F0E16DD"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202DEBC4" w14:textId="77777777" w:rsidR="00D624B4" w:rsidRPr="002358B7" w:rsidRDefault="00D624B4"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A8. Accessories and Consumables</w:t>
            </w:r>
          </w:p>
          <w:p w14:paraId="1CBA9041" w14:textId="77777777" w:rsidR="00D624B4" w:rsidRPr="002358B7" w:rsidRDefault="00D624B4" w:rsidP="00CD2688">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Tenderers must provide a full list of all accessories, consumables, and ancillary items included in the supply, and those available for separate purchase. This must include, but is not limited to:</w:t>
            </w:r>
          </w:p>
          <w:p w14:paraId="3C3CBD1E" w14:textId="77777777" w:rsidR="00D624B4" w:rsidRPr="002358B7" w:rsidRDefault="00D624B4" w:rsidP="00CD2688">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Probe covers/sheaths (sterile, single use);</w:t>
            </w:r>
          </w:p>
          <w:p w14:paraId="013007E3" w14:textId="77777777" w:rsidR="00D624B4" w:rsidRPr="002358B7" w:rsidRDefault="00D624B4" w:rsidP="00CD2688">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Collimators (if applicable);</w:t>
            </w:r>
          </w:p>
          <w:p w14:paraId="2AAB36BB" w14:textId="77777777" w:rsidR="00D624B4" w:rsidRPr="002358B7" w:rsidRDefault="00D624B4" w:rsidP="00CD2688">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lastRenderedPageBreak/>
              <w:t>Carrying cases or transport solutions;</w:t>
            </w:r>
          </w:p>
          <w:p w14:paraId="3895CDC6" w14:textId="77777777" w:rsidR="007B223C" w:rsidRPr="002358B7" w:rsidRDefault="00D624B4" w:rsidP="00CD2688">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Any other items required for routine clinical use.</w:t>
            </w:r>
          </w:p>
          <w:p w14:paraId="463368FE" w14:textId="1740E511" w:rsidR="00D624B4" w:rsidRPr="002358B7" w:rsidRDefault="00D624B4" w:rsidP="00D624B4">
            <w:pPr>
              <w:spacing w:after="0" w:line="240" w:lineRule="auto"/>
              <w:ind w:left="720"/>
              <w:jc w:val="both"/>
              <w:rPr>
                <w:rFonts w:eastAsia="Calibri" w:cstheme="minorHAnsi"/>
                <w:sz w:val="24"/>
                <w:szCs w:val="24"/>
                <w:lang w:eastAsia="en-IE"/>
              </w:rPr>
            </w:pPr>
          </w:p>
        </w:tc>
        <w:tc>
          <w:tcPr>
            <w:tcW w:w="1417" w:type="dxa"/>
            <w:tcBorders>
              <w:top w:val="nil"/>
              <w:left w:val="nil"/>
              <w:bottom w:val="single" w:sz="4" w:space="0" w:color="auto"/>
              <w:right w:val="single" w:sz="4" w:space="0" w:color="auto"/>
            </w:tcBorders>
            <w:noWrap/>
            <w:vAlign w:val="center"/>
          </w:tcPr>
          <w:p w14:paraId="3D4FAF6A" w14:textId="79423E9E" w:rsidR="007B223C" w:rsidRPr="002358B7" w:rsidRDefault="007B223C" w:rsidP="004816F5">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tcPr>
          <w:p w14:paraId="350958DD" w14:textId="77777777" w:rsidR="007B223C" w:rsidRPr="002358B7" w:rsidRDefault="007B223C" w:rsidP="004816F5">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42A2EA94" w14:textId="77777777" w:rsidR="007B223C" w:rsidRPr="002358B7" w:rsidRDefault="007B223C" w:rsidP="004816F5">
            <w:pPr>
              <w:spacing w:after="0" w:line="240" w:lineRule="auto"/>
              <w:jc w:val="center"/>
              <w:rPr>
                <w:rFonts w:eastAsia="Times New Roman" w:cstheme="minorHAnsi"/>
                <w:b/>
                <w:bCs/>
                <w:color w:val="000000"/>
                <w:sz w:val="24"/>
                <w:szCs w:val="24"/>
                <w:lang w:eastAsia="en-IE"/>
              </w:rPr>
            </w:pPr>
          </w:p>
        </w:tc>
      </w:tr>
    </w:tbl>
    <w:p w14:paraId="7BDCE37F" w14:textId="2662C2AC" w:rsidR="00A574D2" w:rsidRPr="002358B7" w:rsidRDefault="00A574D2" w:rsidP="00A574D2">
      <w:pPr>
        <w:rPr>
          <w:rFonts w:eastAsia="Times New Roman" w:cstheme="minorHAnsi"/>
          <w:b/>
          <w:color w:val="333399"/>
          <w:sz w:val="24"/>
          <w:szCs w:val="24"/>
          <w:lang w:val="en-US"/>
        </w:rPr>
      </w:pPr>
    </w:p>
    <w:p w14:paraId="7011B48F" w14:textId="77777777" w:rsidR="00A574D2" w:rsidRPr="002358B7" w:rsidRDefault="00A574D2" w:rsidP="00A574D2">
      <w:pPr>
        <w:rPr>
          <w:rFonts w:eastAsia="Times New Roman" w:cstheme="minorHAnsi"/>
          <w:b/>
          <w:color w:val="333399"/>
          <w:sz w:val="24"/>
          <w:szCs w:val="24"/>
          <w:lang w:val="en-US"/>
        </w:rPr>
      </w:pPr>
    </w:p>
    <w:p w14:paraId="38BD21DB" w14:textId="7330B09F" w:rsidR="00A574D2" w:rsidRPr="002358B7" w:rsidRDefault="00BD091D" w:rsidP="009529E9">
      <w:pPr>
        <w:rPr>
          <w:rFonts w:eastAsia="Times New Roman" w:cstheme="minorHAnsi"/>
          <w:b/>
          <w:color w:val="323E4F" w:themeColor="text2" w:themeShade="BF"/>
          <w:sz w:val="24"/>
          <w:szCs w:val="24"/>
          <w:u w:val="single"/>
          <w:lang w:val="en-US"/>
        </w:rPr>
      </w:pPr>
      <w:r w:rsidRPr="002358B7">
        <w:rPr>
          <w:rFonts w:eastAsia="Calibri" w:cstheme="minorHAnsi"/>
          <w:b/>
          <w:bCs/>
          <w:color w:val="323E4F" w:themeColor="text2" w:themeShade="BF"/>
          <w:sz w:val="24"/>
          <w:szCs w:val="24"/>
          <w:u w:val="single"/>
          <w:lang w:eastAsia="en-IE"/>
        </w:rPr>
        <w:t>Section B: Regulatory Requirements</w:t>
      </w:r>
    </w:p>
    <w:tbl>
      <w:tblPr>
        <w:tblW w:w="9067" w:type="dxa"/>
        <w:tblLook w:val="04A0" w:firstRow="1" w:lastRow="0" w:firstColumn="1" w:lastColumn="0" w:noHBand="0" w:noVBand="1"/>
      </w:tblPr>
      <w:tblGrid>
        <w:gridCol w:w="3823"/>
        <w:gridCol w:w="1417"/>
        <w:gridCol w:w="1276"/>
        <w:gridCol w:w="2551"/>
      </w:tblGrid>
      <w:tr w:rsidR="000430A6" w:rsidRPr="002358B7" w14:paraId="5053F08C" w14:textId="77777777" w:rsidTr="000430A6">
        <w:trPr>
          <w:trHeight w:val="300"/>
        </w:trPr>
        <w:tc>
          <w:tcPr>
            <w:tcW w:w="3823" w:type="dxa"/>
            <w:tcBorders>
              <w:top w:val="single" w:sz="4" w:space="0" w:color="auto"/>
              <w:left w:val="single" w:sz="4" w:space="0" w:color="auto"/>
              <w:bottom w:val="single" w:sz="4" w:space="0" w:color="auto"/>
              <w:right w:val="single" w:sz="4" w:space="0" w:color="auto"/>
            </w:tcBorders>
            <w:shd w:val="clear" w:color="000000" w:fill="003C79"/>
            <w:vAlign w:val="center"/>
            <w:hideMark/>
          </w:tcPr>
          <w:p w14:paraId="14A254D9" w14:textId="77777777" w:rsidR="000430A6" w:rsidRPr="002358B7" w:rsidRDefault="000430A6" w:rsidP="005E695F">
            <w:pPr>
              <w:spacing w:after="0" w:line="240" w:lineRule="auto"/>
              <w:ind w:firstLineChars="100" w:firstLine="241"/>
              <w:rPr>
                <w:rFonts w:eastAsia="Times New Roman" w:cstheme="minorHAnsi"/>
                <w:b/>
                <w:bCs/>
                <w:color w:val="FFFFFF"/>
                <w:sz w:val="24"/>
                <w:szCs w:val="24"/>
                <w:lang w:eastAsia="en-IE"/>
              </w:rPr>
            </w:pPr>
            <w:bookmarkStart w:id="2" w:name="_Hlk232765050"/>
            <w:r w:rsidRPr="002358B7">
              <w:rPr>
                <w:rFonts w:eastAsia="Times New Roman" w:cstheme="minorHAnsi"/>
                <w:b/>
                <w:bCs/>
                <w:color w:val="FFFFFF"/>
                <w:sz w:val="24"/>
                <w:szCs w:val="24"/>
                <w:lang w:val="en-US" w:eastAsia="en-IE"/>
              </w:rPr>
              <w:t>Requirement</w:t>
            </w:r>
          </w:p>
        </w:tc>
        <w:tc>
          <w:tcPr>
            <w:tcW w:w="1417" w:type="dxa"/>
            <w:tcBorders>
              <w:top w:val="single" w:sz="4" w:space="0" w:color="auto"/>
              <w:left w:val="nil"/>
              <w:bottom w:val="single" w:sz="4" w:space="0" w:color="auto"/>
              <w:right w:val="single" w:sz="4" w:space="0" w:color="auto"/>
            </w:tcBorders>
            <w:shd w:val="clear" w:color="000000" w:fill="003C79"/>
            <w:vAlign w:val="center"/>
            <w:hideMark/>
          </w:tcPr>
          <w:p w14:paraId="329DC992" w14:textId="77777777" w:rsidR="000430A6" w:rsidRPr="002358B7" w:rsidRDefault="000430A6"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Status</w:t>
            </w:r>
          </w:p>
        </w:tc>
        <w:tc>
          <w:tcPr>
            <w:tcW w:w="1276" w:type="dxa"/>
            <w:tcBorders>
              <w:top w:val="single" w:sz="4" w:space="0" w:color="auto"/>
              <w:left w:val="nil"/>
              <w:bottom w:val="single" w:sz="4" w:space="0" w:color="auto"/>
              <w:right w:val="single" w:sz="4" w:space="0" w:color="000000"/>
            </w:tcBorders>
            <w:shd w:val="clear" w:color="000000" w:fill="003C79"/>
            <w:noWrap/>
            <w:vAlign w:val="bottom"/>
            <w:hideMark/>
          </w:tcPr>
          <w:p w14:paraId="7B2EF00D" w14:textId="77777777" w:rsidR="000430A6" w:rsidRPr="002358B7" w:rsidRDefault="000430A6"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Checklist</w:t>
            </w:r>
          </w:p>
        </w:tc>
        <w:tc>
          <w:tcPr>
            <w:tcW w:w="2551" w:type="dxa"/>
            <w:tcBorders>
              <w:top w:val="single" w:sz="4" w:space="0" w:color="auto"/>
              <w:left w:val="nil"/>
              <w:bottom w:val="single" w:sz="4" w:space="0" w:color="auto"/>
              <w:right w:val="single" w:sz="4" w:space="0" w:color="000000"/>
            </w:tcBorders>
            <w:shd w:val="clear" w:color="000000" w:fill="003C79"/>
            <w:vAlign w:val="bottom"/>
          </w:tcPr>
          <w:p w14:paraId="6A4ABD7A" w14:textId="276DF4D9" w:rsidR="000430A6" w:rsidRPr="002358B7" w:rsidRDefault="000430A6" w:rsidP="005E695F">
            <w:pPr>
              <w:spacing w:after="0" w:line="240" w:lineRule="auto"/>
              <w:jc w:val="center"/>
              <w:rPr>
                <w:rFonts w:eastAsia="Times New Roman" w:cstheme="minorHAnsi"/>
                <w:b/>
                <w:bCs/>
                <w:color w:val="FFFFFF"/>
                <w:sz w:val="24"/>
                <w:szCs w:val="24"/>
                <w:lang w:eastAsia="en-IE"/>
              </w:rPr>
            </w:pPr>
            <w:r>
              <w:rPr>
                <w:rFonts w:eastAsia="Times New Roman" w:cstheme="minorHAnsi"/>
                <w:b/>
                <w:bCs/>
                <w:color w:val="FFFFFF"/>
                <w:sz w:val="24"/>
                <w:szCs w:val="24"/>
                <w:lang w:eastAsia="en-IE"/>
              </w:rPr>
              <w:t>Comment</w:t>
            </w:r>
          </w:p>
        </w:tc>
      </w:tr>
      <w:tr w:rsidR="00A574D2" w:rsidRPr="002358B7" w14:paraId="289E774D" w14:textId="77777777" w:rsidTr="000430A6">
        <w:trPr>
          <w:trHeight w:val="300"/>
        </w:trPr>
        <w:tc>
          <w:tcPr>
            <w:tcW w:w="5240" w:type="dxa"/>
            <w:gridSpan w:val="2"/>
            <w:tcBorders>
              <w:top w:val="single" w:sz="4" w:space="0" w:color="auto"/>
              <w:left w:val="single" w:sz="4" w:space="0" w:color="auto"/>
              <w:bottom w:val="single" w:sz="4" w:space="0" w:color="auto"/>
              <w:right w:val="single" w:sz="4" w:space="0" w:color="000000"/>
            </w:tcBorders>
            <w:vAlign w:val="center"/>
            <w:hideMark/>
          </w:tcPr>
          <w:p w14:paraId="3F401508" w14:textId="77777777" w:rsidR="00A574D2" w:rsidRPr="002358B7" w:rsidRDefault="00A574D2"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eastAsia="en-IE"/>
              </w:rPr>
              <w:t> </w:t>
            </w:r>
          </w:p>
        </w:tc>
        <w:tc>
          <w:tcPr>
            <w:tcW w:w="1276" w:type="dxa"/>
            <w:tcBorders>
              <w:top w:val="nil"/>
              <w:left w:val="nil"/>
              <w:bottom w:val="single" w:sz="4" w:space="0" w:color="auto"/>
              <w:right w:val="single" w:sz="4" w:space="0" w:color="auto"/>
            </w:tcBorders>
            <w:vAlign w:val="bottom"/>
            <w:hideMark/>
          </w:tcPr>
          <w:p w14:paraId="1873BC82" w14:textId="13BAD8C5" w:rsidR="00A574D2" w:rsidRPr="002358B7" w:rsidRDefault="00A574D2"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sz w:val="24"/>
                <w:szCs w:val="24"/>
                <w:lang w:eastAsia="en-IE"/>
              </w:rPr>
              <w:t>Yes</w:t>
            </w:r>
            <w:r w:rsidR="000430A6">
              <w:rPr>
                <w:rFonts w:eastAsia="Times New Roman" w:cstheme="minorHAnsi"/>
                <w:b/>
                <w:bCs/>
                <w:sz w:val="24"/>
                <w:szCs w:val="24"/>
                <w:lang w:eastAsia="en-IE"/>
              </w:rPr>
              <w:t>/No</w:t>
            </w:r>
          </w:p>
        </w:tc>
        <w:tc>
          <w:tcPr>
            <w:tcW w:w="2551" w:type="dxa"/>
            <w:tcBorders>
              <w:top w:val="nil"/>
              <w:left w:val="nil"/>
              <w:bottom w:val="single" w:sz="4" w:space="0" w:color="auto"/>
              <w:right w:val="single" w:sz="4" w:space="0" w:color="auto"/>
            </w:tcBorders>
            <w:vAlign w:val="bottom"/>
            <w:hideMark/>
          </w:tcPr>
          <w:p w14:paraId="2B139095" w14:textId="0ABF3C18" w:rsidR="00A574D2" w:rsidRPr="002358B7" w:rsidRDefault="00A574D2" w:rsidP="000430A6">
            <w:pPr>
              <w:spacing w:after="0" w:line="240" w:lineRule="auto"/>
              <w:rPr>
                <w:rFonts w:eastAsia="Times New Roman" w:cstheme="minorHAnsi"/>
                <w:b/>
                <w:bCs/>
                <w:sz w:val="24"/>
                <w:szCs w:val="24"/>
                <w:lang w:eastAsia="en-IE"/>
              </w:rPr>
            </w:pPr>
          </w:p>
        </w:tc>
      </w:tr>
      <w:tr w:rsidR="00A574D2" w:rsidRPr="002358B7" w14:paraId="479B70ED"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07F3DA11" w14:textId="77777777" w:rsidR="00BD091D" w:rsidRPr="002358B7" w:rsidRDefault="00BD091D"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B1. CE Marking / Medical Device Regulation Compliance</w:t>
            </w:r>
          </w:p>
          <w:p w14:paraId="62539046" w14:textId="0D43B753" w:rsidR="00A574D2" w:rsidRPr="002358B7" w:rsidRDefault="00BD091D"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All Gamma Detection Systems and associated probes/accessories supplied must hold valid CE marking in accordance with the applicable EU Medical Device Regulation (MDR 2017/745) or, where transitional provisions apply, the Medical Device Directive (MDD 93/42/EEC). Tenderers must provide copies of the relevant Declaration of Conformity and CE certificates with their Tender.</w:t>
            </w:r>
          </w:p>
        </w:tc>
        <w:tc>
          <w:tcPr>
            <w:tcW w:w="1417" w:type="dxa"/>
            <w:tcBorders>
              <w:top w:val="nil"/>
              <w:left w:val="nil"/>
              <w:bottom w:val="single" w:sz="4" w:space="0" w:color="auto"/>
              <w:right w:val="single" w:sz="4" w:space="0" w:color="auto"/>
            </w:tcBorders>
            <w:noWrap/>
            <w:vAlign w:val="center"/>
          </w:tcPr>
          <w:p w14:paraId="3AD2BC53" w14:textId="77777777" w:rsidR="00A574D2" w:rsidRPr="002358B7" w:rsidRDefault="00A574D2"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418F8F66" w14:textId="77777777" w:rsidR="00A574D2" w:rsidRPr="002358B7" w:rsidRDefault="00A574D2" w:rsidP="005E695F">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3B7D0E54" w14:textId="77777777" w:rsidR="00A574D2" w:rsidRPr="002358B7" w:rsidRDefault="00A574D2" w:rsidP="005E695F">
            <w:pPr>
              <w:spacing w:after="0" w:line="240" w:lineRule="auto"/>
              <w:jc w:val="center"/>
              <w:rPr>
                <w:rFonts w:eastAsia="Times New Roman" w:cstheme="minorHAnsi"/>
                <w:b/>
                <w:bCs/>
                <w:color w:val="000000"/>
                <w:sz w:val="24"/>
                <w:szCs w:val="24"/>
                <w:lang w:eastAsia="en-IE"/>
              </w:rPr>
            </w:pPr>
          </w:p>
        </w:tc>
      </w:tr>
      <w:tr w:rsidR="00A574D2" w:rsidRPr="002358B7" w14:paraId="699D6C02"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61E59DF1" w14:textId="6481DA04" w:rsidR="00BD091D" w:rsidRPr="002358B7" w:rsidRDefault="00BD091D"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B2. Electrical Safety Standards</w:t>
            </w:r>
          </w:p>
          <w:p w14:paraId="314807B8" w14:textId="039E8A4D" w:rsidR="00A574D2" w:rsidRPr="002358B7" w:rsidRDefault="00BD091D"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All equipment must comply with applicable IEC electrical safety standards for medical electrical equipment, including IEC 60601-1 (General Requirements for Basic Safety and Essential Performance) and relevant collateral and particular standards. Tenderers must provide evidence of compliance.</w:t>
            </w:r>
          </w:p>
        </w:tc>
        <w:tc>
          <w:tcPr>
            <w:tcW w:w="1417" w:type="dxa"/>
            <w:tcBorders>
              <w:top w:val="nil"/>
              <w:left w:val="nil"/>
              <w:bottom w:val="single" w:sz="4" w:space="0" w:color="auto"/>
              <w:right w:val="single" w:sz="4" w:space="0" w:color="auto"/>
            </w:tcBorders>
            <w:noWrap/>
            <w:vAlign w:val="center"/>
            <w:hideMark/>
          </w:tcPr>
          <w:p w14:paraId="335CEC98" w14:textId="77777777" w:rsidR="00A574D2" w:rsidRPr="002358B7" w:rsidRDefault="00A574D2"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hideMark/>
          </w:tcPr>
          <w:p w14:paraId="0EED5964" w14:textId="77777777" w:rsidR="00A574D2" w:rsidRPr="002358B7" w:rsidRDefault="00A574D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551" w:type="dxa"/>
            <w:tcBorders>
              <w:top w:val="nil"/>
              <w:left w:val="nil"/>
              <w:bottom w:val="single" w:sz="4" w:space="0" w:color="auto"/>
              <w:right w:val="single" w:sz="4" w:space="0" w:color="auto"/>
            </w:tcBorders>
            <w:noWrap/>
            <w:vAlign w:val="center"/>
            <w:hideMark/>
          </w:tcPr>
          <w:p w14:paraId="428B0075" w14:textId="77777777" w:rsidR="00A574D2" w:rsidRPr="002358B7" w:rsidRDefault="00A574D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A574D2" w:rsidRPr="002358B7" w14:paraId="63A05767"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2E1D1CA6" w14:textId="24CBCA7A" w:rsidR="00BD091D" w:rsidRPr="002358B7" w:rsidRDefault="00BD091D"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B3. Quality Management System</w:t>
            </w:r>
          </w:p>
          <w:p w14:paraId="57456AF5" w14:textId="17A34EF1" w:rsidR="00A574D2" w:rsidRPr="002358B7" w:rsidRDefault="00BD091D"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 xml:space="preserve">The Tenderer must hold a current ISO 13485 certification (Medical Devices Quality Management Systems) or equivalent, covering the design, manufacture, and/or distribution of the proposed systems. A copy of the </w:t>
            </w:r>
            <w:r w:rsidRPr="002358B7">
              <w:rPr>
                <w:rFonts w:eastAsia="Calibri" w:cstheme="minorHAnsi"/>
                <w:sz w:val="24"/>
                <w:szCs w:val="24"/>
                <w:lang w:eastAsia="en-IE"/>
              </w:rPr>
              <w:lastRenderedPageBreak/>
              <w:t>current certificate must be provided with the Tender.</w:t>
            </w:r>
          </w:p>
        </w:tc>
        <w:tc>
          <w:tcPr>
            <w:tcW w:w="1417" w:type="dxa"/>
            <w:tcBorders>
              <w:top w:val="nil"/>
              <w:left w:val="nil"/>
              <w:bottom w:val="single" w:sz="4" w:space="0" w:color="auto"/>
              <w:right w:val="single" w:sz="4" w:space="0" w:color="auto"/>
            </w:tcBorders>
            <w:noWrap/>
            <w:vAlign w:val="center"/>
            <w:hideMark/>
          </w:tcPr>
          <w:p w14:paraId="1D2517DE" w14:textId="77777777" w:rsidR="00A574D2" w:rsidRPr="002358B7" w:rsidRDefault="00A574D2"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hideMark/>
          </w:tcPr>
          <w:p w14:paraId="3311517A" w14:textId="77777777" w:rsidR="00A574D2" w:rsidRPr="002358B7" w:rsidRDefault="00A574D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551" w:type="dxa"/>
            <w:tcBorders>
              <w:top w:val="nil"/>
              <w:left w:val="nil"/>
              <w:bottom w:val="single" w:sz="4" w:space="0" w:color="auto"/>
              <w:right w:val="single" w:sz="4" w:space="0" w:color="auto"/>
            </w:tcBorders>
            <w:noWrap/>
            <w:vAlign w:val="center"/>
            <w:hideMark/>
          </w:tcPr>
          <w:p w14:paraId="3A6F8725" w14:textId="77777777" w:rsidR="00A574D2" w:rsidRPr="002358B7" w:rsidRDefault="00A574D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062D7D" w:rsidRPr="002358B7" w14:paraId="31E10BB8" w14:textId="77777777" w:rsidTr="000430A6">
        <w:trPr>
          <w:trHeight w:val="600"/>
        </w:trPr>
        <w:tc>
          <w:tcPr>
            <w:tcW w:w="3823" w:type="dxa"/>
            <w:tcBorders>
              <w:top w:val="nil"/>
              <w:left w:val="single" w:sz="4" w:space="0" w:color="auto"/>
              <w:bottom w:val="single" w:sz="4" w:space="0" w:color="auto"/>
              <w:right w:val="single" w:sz="4" w:space="0" w:color="auto"/>
            </w:tcBorders>
            <w:noWrap/>
            <w:vAlign w:val="center"/>
          </w:tcPr>
          <w:p w14:paraId="049CE797" w14:textId="2C2369A1" w:rsidR="00BD091D" w:rsidRPr="002358B7" w:rsidRDefault="00BD091D" w:rsidP="00CD2688">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B4. Irish Medicines Board / HPRA Compliance</w:t>
            </w:r>
          </w:p>
          <w:p w14:paraId="57C5A86B" w14:textId="65981D27" w:rsidR="00062D7D" w:rsidRPr="002358B7" w:rsidRDefault="00BD091D" w:rsidP="00CD2688">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Tenderers must confirm that the proposed systems are registered and compliant with all requirements of the Health Products Regulatory Authority (HPRA) of Ireland, as applicable.</w:t>
            </w:r>
          </w:p>
        </w:tc>
        <w:tc>
          <w:tcPr>
            <w:tcW w:w="1417" w:type="dxa"/>
            <w:tcBorders>
              <w:top w:val="nil"/>
              <w:left w:val="nil"/>
              <w:bottom w:val="single" w:sz="4" w:space="0" w:color="auto"/>
              <w:right w:val="single" w:sz="4" w:space="0" w:color="auto"/>
            </w:tcBorders>
            <w:noWrap/>
            <w:vAlign w:val="center"/>
          </w:tcPr>
          <w:p w14:paraId="54DAF486" w14:textId="2A460959" w:rsidR="00062D7D" w:rsidRPr="002358B7" w:rsidRDefault="00062D7D"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6EE3A8D8" w14:textId="77777777" w:rsidR="00062D7D" w:rsidRPr="002358B7" w:rsidRDefault="00062D7D" w:rsidP="005E695F">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2ED16373" w14:textId="77777777" w:rsidR="00062D7D" w:rsidRPr="002358B7" w:rsidRDefault="00062D7D" w:rsidP="005E695F">
            <w:pPr>
              <w:spacing w:after="0" w:line="240" w:lineRule="auto"/>
              <w:jc w:val="center"/>
              <w:rPr>
                <w:rFonts w:eastAsia="Times New Roman" w:cstheme="minorHAnsi"/>
                <w:b/>
                <w:bCs/>
                <w:color w:val="000000"/>
                <w:sz w:val="24"/>
                <w:szCs w:val="24"/>
                <w:lang w:eastAsia="en-IE"/>
              </w:rPr>
            </w:pPr>
          </w:p>
        </w:tc>
      </w:tr>
      <w:bookmarkEnd w:id="2"/>
    </w:tbl>
    <w:p w14:paraId="1CF33175" w14:textId="77777777" w:rsidR="00A574D2" w:rsidRPr="002358B7" w:rsidRDefault="00A574D2" w:rsidP="00A574D2">
      <w:pPr>
        <w:rPr>
          <w:rFonts w:eastAsia="Times New Roman" w:cstheme="minorHAnsi"/>
          <w:b/>
          <w:color w:val="333399"/>
          <w:sz w:val="24"/>
          <w:szCs w:val="24"/>
          <w:lang w:val="en-US"/>
        </w:rPr>
      </w:pPr>
    </w:p>
    <w:p w14:paraId="5B597548" w14:textId="4AA3F5C8" w:rsidR="00ED7E3F" w:rsidRPr="002358B7" w:rsidRDefault="001D7AE1" w:rsidP="001D7AE1">
      <w:pPr>
        <w:rPr>
          <w:rFonts w:eastAsia="Times New Roman" w:cstheme="minorHAnsi"/>
          <w:b/>
          <w:color w:val="323E4F" w:themeColor="text2" w:themeShade="BF"/>
          <w:sz w:val="24"/>
          <w:szCs w:val="24"/>
          <w:u w:val="single"/>
          <w:lang w:val="en-US"/>
        </w:rPr>
      </w:pPr>
      <w:r w:rsidRPr="002358B7">
        <w:rPr>
          <w:rFonts w:eastAsia="Calibri" w:cstheme="minorHAnsi"/>
          <w:b/>
          <w:bCs/>
          <w:color w:val="323E4F" w:themeColor="text2" w:themeShade="BF"/>
          <w:sz w:val="24"/>
          <w:szCs w:val="24"/>
          <w:u w:val="single"/>
          <w:lang w:eastAsia="en-IE"/>
        </w:rPr>
        <w:t>Section C: Warranty Requirements</w:t>
      </w:r>
    </w:p>
    <w:tbl>
      <w:tblPr>
        <w:tblW w:w="9067" w:type="dxa"/>
        <w:tblLook w:val="04A0" w:firstRow="1" w:lastRow="0" w:firstColumn="1" w:lastColumn="0" w:noHBand="0" w:noVBand="1"/>
      </w:tblPr>
      <w:tblGrid>
        <w:gridCol w:w="3823"/>
        <w:gridCol w:w="1417"/>
        <w:gridCol w:w="1276"/>
        <w:gridCol w:w="2551"/>
      </w:tblGrid>
      <w:tr w:rsidR="00970216" w:rsidRPr="002358B7" w14:paraId="307946F6" w14:textId="77777777" w:rsidTr="00970216">
        <w:trPr>
          <w:trHeight w:val="300"/>
        </w:trPr>
        <w:tc>
          <w:tcPr>
            <w:tcW w:w="3823" w:type="dxa"/>
            <w:tcBorders>
              <w:top w:val="single" w:sz="4" w:space="0" w:color="auto"/>
              <w:left w:val="single" w:sz="4" w:space="0" w:color="auto"/>
              <w:bottom w:val="single" w:sz="4" w:space="0" w:color="auto"/>
              <w:right w:val="single" w:sz="4" w:space="0" w:color="auto"/>
            </w:tcBorders>
            <w:shd w:val="clear" w:color="000000" w:fill="003C79"/>
            <w:vAlign w:val="center"/>
            <w:hideMark/>
          </w:tcPr>
          <w:p w14:paraId="65E8E3DA" w14:textId="77777777" w:rsidR="00970216" w:rsidRPr="002358B7" w:rsidRDefault="00970216"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Requirement</w:t>
            </w:r>
          </w:p>
        </w:tc>
        <w:tc>
          <w:tcPr>
            <w:tcW w:w="1417" w:type="dxa"/>
            <w:tcBorders>
              <w:top w:val="single" w:sz="4" w:space="0" w:color="auto"/>
              <w:left w:val="nil"/>
              <w:bottom w:val="single" w:sz="4" w:space="0" w:color="auto"/>
              <w:right w:val="single" w:sz="4" w:space="0" w:color="auto"/>
            </w:tcBorders>
            <w:shd w:val="clear" w:color="000000" w:fill="003C79"/>
            <w:vAlign w:val="center"/>
            <w:hideMark/>
          </w:tcPr>
          <w:p w14:paraId="327A0181" w14:textId="77777777" w:rsidR="00970216" w:rsidRPr="002358B7" w:rsidRDefault="00970216"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Status</w:t>
            </w:r>
          </w:p>
        </w:tc>
        <w:tc>
          <w:tcPr>
            <w:tcW w:w="1276" w:type="dxa"/>
            <w:tcBorders>
              <w:top w:val="single" w:sz="4" w:space="0" w:color="auto"/>
              <w:left w:val="nil"/>
              <w:bottom w:val="single" w:sz="4" w:space="0" w:color="auto"/>
              <w:right w:val="single" w:sz="4" w:space="0" w:color="000000"/>
            </w:tcBorders>
            <w:shd w:val="clear" w:color="000000" w:fill="003C79"/>
            <w:noWrap/>
            <w:vAlign w:val="bottom"/>
            <w:hideMark/>
          </w:tcPr>
          <w:p w14:paraId="143228ED" w14:textId="77777777" w:rsidR="00970216" w:rsidRPr="002358B7" w:rsidRDefault="00970216"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Checklist</w:t>
            </w:r>
          </w:p>
        </w:tc>
        <w:tc>
          <w:tcPr>
            <w:tcW w:w="2551" w:type="dxa"/>
            <w:tcBorders>
              <w:top w:val="single" w:sz="4" w:space="0" w:color="auto"/>
              <w:left w:val="nil"/>
              <w:bottom w:val="single" w:sz="4" w:space="0" w:color="auto"/>
              <w:right w:val="single" w:sz="4" w:space="0" w:color="000000"/>
            </w:tcBorders>
            <w:shd w:val="clear" w:color="000000" w:fill="003C79"/>
            <w:vAlign w:val="bottom"/>
          </w:tcPr>
          <w:p w14:paraId="0D988D81" w14:textId="789CDD09" w:rsidR="00970216" w:rsidRPr="002358B7" w:rsidRDefault="00970216" w:rsidP="005E695F">
            <w:pPr>
              <w:spacing w:after="0" w:line="240" w:lineRule="auto"/>
              <w:jc w:val="center"/>
              <w:rPr>
                <w:rFonts w:eastAsia="Times New Roman" w:cstheme="minorHAnsi"/>
                <w:b/>
                <w:bCs/>
                <w:color w:val="FFFFFF"/>
                <w:sz w:val="24"/>
                <w:szCs w:val="24"/>
                <w:lang w:eastAsia="en-IE"/>
              </w:rPr>
            </w:pPr>
            <w:r>
              <w:rPr>
                <w:rFonts w:eastAsia="Times New Roman" w:cstheme="minorHAnsi"/>
                <w:b/>
                <w:bCs/>
                <w:color w:val="FFFFFF"/>
                <w:sz w:val="24"/>
                <w:szCs w:val="24"/>
                <w:lang w:eastAsia="en-IE"/>
              </w:rPr>
              <w:t>Comment</w:t>
            </w:r>
          </w:p>
        </w:tc>
      </w:tr>
      <w:tr w:rsidR="004A00F2" w:rsidRPr="002358B7" w14:paraId="6C1BC066" w14:textId="77777777" w:rsidTr="00970216">
        <w:trPr>
          <w:trHeight w:val="300"/>
        </w:trPr>
        <w:tc>
          <w:tcPr>
            <w:tcW w:w="5240" w:type="dxa"/>
            <w:gridSpan w:val="2"/>
            <w:tcBorders>
              <w:top w:val="single" w:sz="4" w:space="0" w:color="auto"/>
              <w:left w:val="single" w:sz="4" w:space="0" w:color="auto"/>
              <w:bottom w:val="single" w:sz="4" w:space="0" w:color="auto"/>
              <w:right w:val="single" w:sz="4" w:space="0" w:color="000000"/>
            </w:tcBorders>
            <w:vAlign w:val="center"/>
            <w:hideMark/>
          </w:tcPr>
          <w:p w14:paraId="37A40E94" w14:textId="77777777" w:rsidR="004A00F2" w:rsidRPr="002358B7" w:rsidRDefault="004A00F2"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eastAsia="en-IE"/>
              </w:rPr>
              <w:t> </w:t>
            </w:r>
          </w:p>
        </w:tc>
        <w:tc>
          <w:tcPr>
            <w:tcW w:w="1276" w:type="dxa"/>
            <w:tcBorders>
              <w:top w:val="nil"/>
              <w:left w:val="nil"/>
              <w:bottom w:val="single" w:sz="4" w:space="0" w:color="auto"/>
              <w:right w:val="single" w:sz="4" w:space="0" w:color="auto"/>
            </w:tcBorders>
            <w:vAlign w:val="bottom"/>
            <w:hideMark/>
          </w:tcPr>
          <w:p w14:paraId="2BD01AFC" w14:textId="1D5FF074" w:rsidR="004A00F2" w:rsidRPr="002358B7" w:rsidRDefault="004A00F2"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sz w:val="24"/>
                <w:szCs w:val="24"/>
                <w:lang w:eastAsia="en-IE"/>
              </w:rPr>
              <w:t>Yes</w:t>
            </w:r>
            <w:r w:rsidR="00970216">
              <w:rPr>
                <w:rFonts w:eastAsia="Times New Roman" w:cstheme="minorHAnsi"/>
                <w:b/>
                <w:bCs/>
                <w:sz w:val="24"/>
                <w:szCs w:val="24"/>
                <w:lang w:eastAsia="en-IE"/>
              </w:rPr>
              <w:t>/No</w:t>
            </w:r>
          </w:p>
        </w:tc>
        <w:tc>
          <w:tcPr>
            <w:tcW w:w="2551" w:type="dxa"/>
            <w:tcBorders>
              <w:top w:val="nil"/>
              <w:left w:val="nil"/>
              <w:bottom w:val="single" w:sz="4" w:space="0" w:color="auto"/>
              <w:right w:val="single" w:sz="4" w:space="0" w:color="auto"/>
            </w:tcBorders>
            <w:vAlign w:val="bottom"/>
            <w:hideMark/>
          </w:tcPr>
          <w:p w14:paraId="69A7F981" w14:textId="74B5BAF2" w:rsidR="004A00F2" w:rsidRPr="002358B7" w:rsidRDefault="004A00F2" w:rsidP="00970216">
            <w:pPr>
              <w:spacing w:after="0" w:line="240" w:lineRule="auto"/>
              <w:rPr>
                <w:rFonts w:eastAsia="Times New Roman" w:cstheme="minorHAnsi"/>
                <w:b/>
                <w:bCs/>
                <w:sz w:val="24"/>
                <w:szCs w:val="24"/>
                <w:lang w:eastAsia="en-IE"/>
              </w:rPr>
            </w:pPr>
          </w:p>
        </w:tc>
      </w:tr>
      <w:tr w:rsidR="004A00F2" w:rsidRPr="002358B7" w14:paraId="7A1385E7" w14:textId="77777777" w:rsidTr="00970216">
        <w:trPr>
          <w:trHeight w:val="600"/>
        </w:trPr>
        <w:tc>
          <w:tcPr>
            <w:tcW w:w="3823" w:type="dxa"/>
            <w:tcBorders>
              <w:top w:val="nil"/>
              <w:left w:val="single" w:sz="4" w:space="0" w:color="auto"/>
              <w:bottom w:val="single" w:sz="4" w:space="0" w:color="auto"/>
              <w:right w:val="single" w:sz="4" w:space="0" w:color="auto"/>
            </w:tcBorders>
            <w:noWrap/>
            <w:vAlign w:val="center"/>
          </w:tcPr>
          <w:p w14:paraId="58572DA6"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C1. Standard Warranty</w:t>
            </w:r>
          </w:p>
          <w:p w14:paraId="237F29A0" w14:textId="77777777" w:rsidR="001D7AE1" w:rsidRPr="002358B7" w:rsidRDefault="001D7AE1"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 xml:space="preserve">The Tenderer must provide a minimum </w:t>
            </w:r>
            <w:r w:rsidRPr="002358B7">
              <w:rPr>
                <w:rFonts w:eastAsia="Calibri" w:cstheme="minorHAnsi"/>
                <w:b/>
                <w:bCs/>
                <w:sz w:val="24"/>
                <w:szCs w:val="24"/>
                <w:lang w:eastAsia="en-IE"/>
              </w:rPr>
              <w:t>two (2) year comprehensive warranty</w:t>
            </w:r>
            <w:r w:rsidRPr="002358B7">
              <w:rPr>
                <w:rFonts w:eastAsia="Calibri" w:cstheme="minorHAnsi"/>
                <w:sz w:val="24"/>
                <w:szCs w:val="24"/>
                <w:lang w:eastAsia="en-IE"/>
              </w:rPr>
              <w:t xml:space="preserve"> on all three (3) Gamma Detection Systems from the date of acceptance/commissioning at SVUH. The warranty must cover:</w:t>
            </w:r>
          </w:p>
          <w:p w14:paraId="606C9D50"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All parts, components, and labour;</w:t>
            </w:r>
          </w:p>
          <w:p w14:paraId="41DBFD20"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On-site repair or replacement of defective components;</w:t>
            </w:r>
          </w:p>
          <w:p w14:paraId="2F8A8027"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Software updates and upgrades (where applicable) during the warranty period.</w:t>
            </w:r>
          </w:p>
          <w:p w14:paraId="7FB0F087" w14:textId="68AB3E7D" w:rsidR="004A00F2" w:rsidRPr="002358B7" w:rsidRDefault="001D7AE1" w:rsidP="004651EE">
            <w:pPr>
              <w:spacing w:before="120" w:after="200" w:line="240" w:lineRule="auto"/>
              <w:jc w:val="both"/>
              <w:rPr>
                <w:rFonts w:eastAsia="Calibri" w:cstheme="minorHAnsi"/>
                <w:sz w:val="24"/>
                <w:szCs w:val="24"/>
                <w:lang w:eastAsia="en-IE"/>
              </w:rPr>
            </w:pPr>
            <w:r w:rsidRPr="002358B7">
              <w:rPr>
                <w:rFonts w:eastAsia="Calibri" w:cstheme="minorHAnsi"/>
                <w:sz w:val="24"/>
                <w:szCs w:val="24"/>
                <w:lang w:eastAsia="en-IE"/>
              </w:rPr>
              <w:t>Tenderers must clearly state the full terms and conditions of the warranty offered, including any exclusions or limitations.</w:t>
            </w:r>
          </w:p>
        </w:tc>
        <w:tc>
          <w:tcPr>
            <w:tcW w:w="1417" w:type="dxa"/>
            <w:tcBorders>
              <w:top w:val="nil"/>
              <w:left w:val="nil"/>
              <w:bottom w:val="single" w:sz="4" w:space="0" w:color="auto"/>
              <w:right w:val="single" w:sz="4" w:space="0" w:color="auto"/>
            </w:tcBorders>
            <w:noWrap/>
            <w:vAlign w:val="center"/>
          </w:tcPr>
          <w:p w14:paraId="42086567" w14:textId="77777777" w:rsidR="004A00F2" w:rsidRPr="002358B7" w:rsidRDefault="004A00F2"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5726EBB8" w14:textId="77777777" w:rsidR="004A00F2" w:rsidRPr="002358B7" w:rsidRDefault="004A00F2" w:rsidP="005E695F">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0B2DE0BE" w14:textId="77777777" w:rsidR="004A00F2" w:rsidRPr="002358B7" w:rsidRDefault="004A00F2" w:rsidP="005E695F">
            <w:pPr>
              <w:spacing w:after="0" w:line="240" w:lineRule="auto"/>
              <w:jc w:val="center"/>
              <w:rPr>
                <w:rFonts w:eastAsia="Times New Roman" w:cstheme="minorHAnsi"/>
                <w:b/>
                <w:bCs/>
                <w:color w:val="000000"/>
                <w:sz w:val="24"/>
                <w:szCs w:val="24"/>
                <w:lang w:eastAsia="en-IE"/>
              </w:rPr>
            </w:pPr>
          </w:p>
        </w:tc>
      </w:tr>
      <w:tr w:rsidR="004A00F2" w:rsidRPr="002358B7" w14:paraId="5F14A824" w14:textId="77777777" w:rsidTr="00970216">
        <w:trPr>
          <w:trHeight w:val="600"/>
        </w:trPr>
        <w:tc>
          <w:tcPr>
            <w:tcW w:w="3823" w:type="dxa"/>
            <w:tcBorders>
              <w:top w:val="nil"/>
              <w:left w:val="single" w:sz="4" w:space="0" w:color="auto"/>
              <w:bottom w:val="single" w:sz="4" w:space="0" w:color="auto"/>
              <w:right w:val="single" w:sz="4" w:space="0" w:color="auto"/>
            </w:tcBorders>
            <w:noWrap/>
            <w:vAlign w:val="center"/>
          </w:tcPr>
          <w:p w14:paraId="17DD34B0"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C2. Warranty Response Times</w:t>
            </w:r>
          </w:p>
          <w:p w14:paraId="1C3AFF35" w14:textId="77777777" w:rsidR="001D7AE1" w:rsidRPr="002358B7" w:rsidRDefault="001D7AE1"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During the warranty period, the Tenderer must commit to the following minimum service response times:</w:t>
            </w:r>
          </w:p>
          <w:p w14:paraId="1E5D61BB" w14:textId="77777777" w:rsidR="001D7AE1" w:rsidRPr="002358B7" w:rsidRDefault="001D7AE1" w:rsidP="004651EE">
            <w:pPr>
              <w:numPr>
                <w:ilvl w:val="0"/>
                <w:numId w:val="18"/>
              </w:numPr>
              <w:spacing w:after="0" w:line="240" w:lineRule="auto"/>
              <w:rPr>
                <w:rFonts w:eastAsia="Calibri" w:cstheme="minorHAnsi"/>
                <w:sz w:val="24"/>
                <w:szCs w:val="24"/>
                <w:lang w:eastAsia="en-IE"/>
              </w:rPr>
            </w:pPr>
            <w:r w:rsidRPr="002358B7">
              <w:rPr>
                <w:rFonts w:eastAsia="Calibri" w:cstheme="minorHAnsi"/>
                <w:b/>
                <w:bCs/>
                <w:sz w:val="24"/>
                <w:szCs w:val="24"/>
                <w:lang w:eastAsia="en-IE"/>
              </w:rPr>
              <w:t>Initial response</w:t>
            </w:r>
            <w:r w:rsidRPr="002358B7">
              <w:rPr>
                <w:rFonts w:eastAsia="Calibri" w:cstheme="minorHAnsi"/>
                <w:sz w:val="24"/>
                <w:szCs w:val="24"/>
                <w:lang w:eastAsia="en-IE"/>
              </w:rPr>
              <w:t xml:space="preserve"> (telephone/remote): within </w:t>
            </w:r>
            <w:r w:rsidRPr="002358B7">
              <w:rPr>
                <w:rFonts w:eastAsia="Calibri" w:cstheme="minorHAnsi"/>
                <w:b/>
                <w:bCs/>
                <w:sz w:val="24"/>
                <w:szCs w:val="24"/>
                <w:lang w:eastAsia="en-IE"/>
              </w:rPr>
              <w:t xml:space="preserve">4 </w:t>
            </w:r>
            <w:r w:rsidRPr="002358B7">
              <w:rPr>
                <w:rFonts w:eastAsia="Calibri" w:cstheme="minorHAnsi"/>
                <w:b/>
                <w:bCs/>
                <w:sz w:val="24"/>
                <w:szCs w:val="24"/>
                <w:lang w:eastAsia="en-IE"/>
              </w:rPr>
              <w:lastRenderedPageBreak/>
              <w:t>business hours</w:t>
            </w:r>
            <w:r w:rsidRPr="002358B7">
              <w:rPr>
                <w:rFonts w:eastAsia="Calibri" w:cstheme="minorHAnsi"/>
                <w:sz w:val="24"/>
                <w:szCs w:val="24"/>
                <w:lang w:eastAsia="en-IE"/>
              </w:rPr>
              <w:t xml:space="preserve"> of a fault being reported;</w:t>
            </w:r>
          </w:p>
          <w:p w14:paraId="7F7B15BA"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b/>
                <w:bCs/>
                <w:sz w:val="24"/>
                <w:szCs w:val="24"/>
                <w:lang w:eastAsia="en-IE"/>
              </w:rPr>
              <w:t>On-site response</w:t>
            </w:r>
            <w:r w:rsidRPr="002358B7">
              <w:rPr>
                <w:rFonts w:eastAsia="Calibri" w:cstheme="minorHAnsi"/>
                <w:sz w:val="24"/>
                <w:szCs w:val="24"/>
                <w:lang w:eastAsia="en-IE"/>
              </w:rPr>
              <w:t xml:space="preserve">: within </w:t>
            </w:r>
            <w:r w:rsidRPr="002358B7">
              <w:rPr>
                <w:rFonts w:eastAsia="Calibri" w:cstheme="minorHAnsi"/>
                <w:b/>
                <w:bCs/>
                <w:sz w:val="24"/>
                <w:szCs w:val="24"/>
                <w:lang w:eastAsia="en-IE"/>
              </w:rPr>
              <w:t>2 business days</w:t>
            </w:r>
            <w:r w:rsidRPr="002358B7">
              <w:rPr>
                <w:rFonts w:eastAsia="Calibri" w:cstheme="minorHAnsi"/>
                <w:sz w:val="24"/>
                <w:szCs w:val="24"/>
                <w:lang w:eastAsia="en-IE"/>
              </w:rPr>
              <w:t xml:space="preserve"> of a fault being reported;</w:t>
            </w:r>
          </w:p>
          <w:p w14:paraId="2FFD75C2"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b/>
                <w:bCs/>
                <w:sz w:val="24"/>
                <w:szCs w:val="24"/>
                <w:lang w:eastAsia="en-IE"/>
              </w:rPr>
              <w:t>Resolution/repair</w:t>
            </w:r>
            <w:r w:rsidRPr="002358B7">
              <w:rPr>
                <w:rFonts w:eastAsia="Calibri" w:cstheme="minorHAnsi"/>
                <w:sz w:val="24"/>
                <w:szCs w:val="24"/>
                <w:lang w:eastAsia="en-IE"/>
              </w:rPr>
              <w:t xml:space="preserve">: within </w:t>
            </w:r>
            <w:r w:rsidRPr="002358B7">
              <w:rPr>
                <w:rFonts w:eastAsia="Calibri" w:cstheme="minorHAnsi"/>
                <w:b/>
                <w:bCs/>
                <w:sz w:val="24"/>
                <w:szCs w:val="24"/>
                <w:lang w:eastAsia="en-IE"/>
              </w:rPr>
              <w:t>5 business days</w:t>
            </w:r>
            <w:r w:rsidRPr="002358B7">
              <w:rPr>
                <w:rFonts w:eastAsia="Calibri" w:cstheme="minorHAnsi"/>
                <w:sz w:val="24"/>
                <w:szCs w:val="24"/>
                <w:lang w:eastAsia="en-IE"/>
              </w:rPr>
              <w:t xml:space="preserve"> of a fault being reported, or provision of a loan unit where repair cannot be completed within this timeframe.</w:t>
            </w:r>
          </w:p>
          <w:p w14:paraId="5A04E78D" w14:textId="7B4C5034" w:rsidR="004A00F2" w:rsidRPr="002358B7" w:rsidRDefault="001D7AE1" w:rsidP="004651EE">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Tenderers must confirm acceptance of these response time requirements and detail any enhanced response options available.</w:t>
            </w:r>
          </w:p>
        </w:tc>
        <w:tc>
          <w:tcPr>
            <w:tcW w:w="1417" w:type="dxa"/>
            <w:tcBorders>
              <w:top w:val="nil"/>
              <w:left w:val="nil"/>
              <w:bottom w:val="single" w:sz="4" w:space="0" w:color="auto"/>
              <w:right w:val="single" w:sz="4" w:space="0" w:color="auto"/>
            </w:tcBorders>
            <w:noWrap/>
            <w:vAlign w:val="center"/>
            <w:hideMark/>
          </w:tcPr>
          <w:p w14:paraId="0933F726" w14:textId="77777777" w:rsidR="004A00F2" w:rsidRPr="002358B7" w:rsidRDefault="004A00F2"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hideMark/>
          </w:tcPr>
          <w:p w14:paraId="299D2800" w14:textId="77777777" w:rsidR="004A00F2" w:rsidRPr="002358B7" w:rsidRDefault="004A00F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551" w:type="dxa"/>
            <w:tcBorders>
              <w:top w:val="nil"/>
              <w:left w:val="nil"/>
              <w:bottom w:val="single" w:sz="4" w:space="0" w:color="auto"/>
              <w:right w:val="single" w:sz="4" w:space="0" w:color="auto"/>
            </w:tcBorders>
            <w:noWrap/>
            <w:vAlign w:val="center"/>
            <w:hideMark/>
          </w:tcPr>
          <w:p w14:paraId="0D144E83" w14:textId="77777777" w:rsidR="004A00F2" w:rsidRPr="002358B7" w:rsidRDefault="004A00F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4A00F2" w:rsidRPr="002358B7" w14:paraId="20189E65" w14:textId="77777777" w:rsidTr="00970216">
        <w:trPr>
          <w:trHeight w:val="600"/>
        </w:trPr>
        <w:tc>
          <w:tcPr>
            <w:tcW w:w="3823" w:type="dxa"/>
            <w:tcBorders>
              <w:top w:val="nil"/>
              <w:left w:val="single" w:sz="4" w:space="0" w:color="auto"/>
              <w:bottom w:val="single" w:sz="4" w:space="0" w:color="auto"/>
              <w:right w:val="single" w:sz="4" w:space="0" w:color="auto"/>
            </w:tcBorders>
            <w:noWrap/>
            <w:vAlign w:val="center"/>
          </w:tcPr>
          <w:p w14:paraId="75636BD3"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C3. Loan Equipment</w:t>
            </w:r>
          </w:p>
          <w:p w14:paraId="368361E4" w14:textId="5AE61049" w:rsidR="004A00F2" w:rsidRPr="002358B7" w:rsidRDefault="001D7AE1" w:rsidP="004651EE">
            <w:pPr>
              <w:spacing w:after="200" w:line="240" w:lineRule="auto"/>
              <w:jc w:val="both"/>
              <w:rPr>
                <w:rFonts w:eastAsia="Calibri" w:cstheme="minorHAnsi"/>
                <w:sz w:val="24"/>
                <w:szCs w:val="24"/>
                <w:lang w:eastAsia="en-IE"/>
              </w:rPr>
            </w:pPr>
            <w:proofErr w:type="gramStart"/>
            <w:r w:rsidRPr="002358B7">
              <w:rPr>
                <w:rFonts w:eastAsia="Calibri" w:cstheme="minorHAnsi"/>
                <w:sz w:val="24"/>
                <w:szCs w:val="24"/>
                <w:lang w:eastAsia="en-IE"/>
              </w:rPr>
              <w:t>In the event that</w:t>
            </w:r>
            <w:proofErr w:type="gramEnd"/>
            <w:r w:rsidRPr="002358B7">
              <w:rPr>
                <w:rFonts w:eastAsia="Calibri" w:cstheme="minorHAnsi"/>
                <w:sz w:val="24"/>
                <w:szCs w:val="24"/>
                <w:lang w:eastAsia="en-IE"/>
              </w:rPr>
              <w:t xml:space="preserve"> a system requires repair and cannot be returned to service within the timeframes specified in C2 above, the Tenderer must provide a fully functional loan/replacement system at no additional cost to SVUH for the duration of the repair period.</w:t>
            </w:r>
          </w:p>
        </w:tc>
        <w:tc>
          <w:tcPr>
            <w:tcW w:w="1417" w:type="dxa"/>
            <w:tcBorders>
              <w:top w:val="nil"/>
              <w:left w:val="nil"/>
              <w:bottom w:val="single" w:sz="4" w:space="0" w:color="auto"/>
              <w:right w:val="single" w:sz="4" w:space="0" w:color="auto"/>
            </w:tcBorders>
            <w:noWrap/>
            <w:vAlign w:val="center"/>
            <w:hideMark/>
          </w:tcPr>
          <w:p w14:paraId="694F487C" w14:textId="77777777" w:rsidR="004A00F2" w:rsidRPr="002358B7" w:rsidRDefault="004A00F2"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hideMark/>
          </w:tcPr>
          <w:p w14:paraId="219CA307" w14:textId="77777777" w:rsidR="004A00F2" w:rsidRPr="002358B7" w:rsidRDefault="004A00F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551" w:type="dxa"/>
            <w:tcBorders>
              <w:top w:val="nil"/>
              <w:left w:val="nil"/>
              <w:bottom w:val="single" w:sz="4" w:space="0" w:color="auto"/>
              <w:right w:val="single" w:sz="4" w:space="0" w:color="auto"/>
            </w:tcBorders>
            <w:noWrap/>
            <w:vAlign w:val="center"/>
            <w:hideMark/>
          </w:tcPr>
          <w:p w14:paraId="1126FF30" w14:textId="77777777" w:rsidR="004A00F2" w:rsidRPr="002358B7" w:rsidRDefault="004A00F2"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ED23C7" w:rsidRPr="002358B7" w14:paraId="03FD1675" w14:textId="77777777" w:rsidTr="00970216">
        <w:trPr>
          <w:trHeight w:val="600"/>
        </w:trPr>
        <w:tc>
          <w:tcPr>
            <w:tcW w:w="3823" w:type="dxa"/>
            <w:tcBorders>
              <w:top w:val="nil"/>
              <w:left w:val="single" w:sz="4" w:space="0" w:color="auto"/>
              <w:bottom w:val="single" w:sz="4" w:space="0" w:color="auto"/>
              <w:right w:val="single" w:sz="4" w:space="0" w:color="auto"/>
            </w:tcBorders>
            <w:noWrap/>
            <w:vAlign w:val="center"/>
          </w:tcPr>
          <w:p w14:paraId="3CDF9D10" w14:textId="77777777" w:rsidR="001D7AE1" w:rsidRPr="002358B7" w:rsidRDefault="001D7AE1" w:rsidP="004651EE">
            <w:pPr>
              <w:spacing w:before="160" w:after="80" w:line="240" w:lineRule="auto"/>
              <w:rPr>
                <w:rFonts w:eastAsia="Calibri" w:cstheme="minorHAnsi"/>
                <w:sz w:val="24"/>
                <w:szCs w:val="24"/>
                <w:lang w:eastAsia="en-IE"/>
              </w:rPr>
            </w:pPr>
            <w:r w:rsidRPr="002358B7">
              <w:rPr>
                <w:rFonts w:eastAsia="Calibri" w:cstheme="minorHAnsi"/>
                <w:b/>
                <w:bCs/>
                <w:sz w:val="24"/>
                <w:szCs w:val="24"/>
                <w:lang w:eastAsia="en-IE"/>
              </w:rPr>
              <w:t>C4. Post-Warranty Service and Maintenance</w:t>
            </w:r>
          </w:p>
          <w:p w14:paraId="69993C83" w14:textId="77777777" w:rsidR="001D7AE1" w:rsidRPr="002358B7" w:rsidRDefault="001D7AE1"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Tenderers must provide details of the service and maintenance contracts available following the expiry of the standard warranty period, including:</w:t>
            </w:r>
          </w:p>
          <w:p w14:paraId="36B3554B"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Annual preventive maintenance (frequency, scope, and documentation);</w:t>
            </w:r>
          </w:p>
          <w:p w14:paraId="18DBE0B6"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Corrective maintenance (response times, parts availability);</w:t>
            </w:r>
          </w:p>
          <w:p w14:paraId="2D2FF58F" w14:textId="77777777" w:rsidR="00ED23C7"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Cost of annual service contracts (to be included in the Pricing Schedule at Appendix 2).</w:t>
            </w:r>
          </w:p>
          <w:p w14:paraId="40F0FF33" w14:textId="7C6EE006" w:rsidR="001D7AE1" w:rsidRPr="002358B7" w:rsidRDefault="001D7AE1" w:rsidP="004651EE">
            <w:pPr>
              <w:spacing w:after="0" w:line="240" w:lineRule="auto"/>
              <w:ind w:left="720"/>
              <w:jc w:val="both"/>
              <w:rPr>
                <w:rFonts w:eastAsia="Calibri" w:cstheme="minorHAnsi"/>
                <w:sz w:val="24"/>
                <w:szCs w:val="24"/>
                <w:lang w:eastAsia="en-IE"/>
              </w:rPr>
            </w:pPr>
          </w:p>
        </w:tc>
        <w:tc>
          <w:tcPr>
            <w:tcW w:w="1417" w:type="dxa"/>
            <w:tcBorders>
              <w:top w:val="nil"/>
              <w:left w:val="nil"/>
              <w:bottom w:val="single" w:sz="4" w:space="0" w:color="auto"/>
              <w:right w:val="single" w:sz="4" w:space="0" w:color="auto"/>
            </w:tcBorders>
            <w:noWrap/>
            <w:vAlign w:val="center"/>
          </w:tcPr>
          <w:p w14:paraId="787B1706" w14:textId="2348E936" w:rsidR="00ED23C7" w:rsidRPr="002358B7" w:rsidRDefault="00ED23C7"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252F36AB" w14:textId="77777777" w:rsidR="00ED23C7" w:rsidRPr="002358B7" w:rsidRDefault="00ED23C7" w:rsidP="005E695F">
            <w:pPr>
              <w:spacing w:after="0" w:line="240" w:lineRule="auto"/>
              <w:jc w:val="center"/>
              <w:rPr>
                <w:rFonts w:eastAsia="Times New Roman" w:cstheme="minorHAnsi"/>
                <w:b/>
                <w:bCs/>
                <w:color w:val="000000"/>
                <w:sz w:val="24"/>
                <w:szCs w:val="24"/>
                <w:lang w:eastAsia="en-IE"/>
              </w:rPr>
            </w:pPr>
          </w:p>
        </w:tc>
        <w:tc>
          <w:tcPr>
            <w:tcW w:w="2551" w:type="dxa"/>
            <w:tcBorders>
              <w:top w:val="nil"/>
              <w:left w:val="nil"/>
              <w:bottom w:val="single" w:sz="4" w:space="0" w:color="auto"/>
              <w:right w:val="single" w:sz="4" w:space="0" w:color="auto"/>
            </w:tcBorders>
            <w:noWrap/>
            <w:vAlign w:val="center"/>
          </w:tcPr>
          <w:p w14:paraId="1F5110C5" w14:textId="77777777" w:rsidR="00ED23C7" w:rsidRPr="002358B7" w:rsidRDefault="00ED23C7" w:rsidP="005E695F">
            <w:pPr>
              <w:spacing w:after="0" w:line="240" w:lineRule="auto"/>
              <w:jc w:val="center"/>
              <w:rPr>
                <w:rFonts w:eastAsia="Times New Roman" w:cstheme="minorHAnsi"/>
                <w:b/>
                <w:bCs/>
                <w:color w:val="000000"/>
                <w:sz w:val="24"/>
                <w:szCs w:val="24"/>
                <w:lang w:eastAsia="en-IE"/>
              </w:rPr>
            </w:pPr>
          </w:p>
        </w:tc>
      </w:tr>
    </w:tbl>
    <w:p w14:paraId="05B4BC51" w14:textId="13054EB0" w:rsidR="00E15EA8" w:rsidRPr="002358B7" w:rsidRDefault="00E15EA8" w:rsidP="001D7AE1">
      <w:pPr>
        <w:rPr>
          <w:rFonts w:eastAsia="Times New Roman" w:cstheme="minorHAnsi"/>
          <w:b/>
          <w:sz w:val="24"/>
          <w:szCs w:val="24"/>
          <w:u w:val="single"/>
          <w:lang w:val="en-US"/>
        </w:rPr>
      </w:pPr>
    </w:p>
    <w:p w14:paraId="68E00DAD" w14:textId="77777777" w:rsidR="004651EE" w:rsidRDefault="004651EE" w:rsidP="001D7AE1">
      <w:pPr>
        <w:rPr>
          <w:rFonts w:eastAsia="Calibri" w:cstheme="minorHAnsi"/>
          <w:b/>
          <w:bCs/>
          <w:sz w:val="24"/>
          <w:szCs w:val="24"/>
          <w:u w:val="single"/>
          <w:lang w:eastAsia="en-IE"/>
        </w:rPr>
      </w:pPr>
    </w:p>
    <w:p w14:paraId="74DA110A" w14:textId="5FDE2937" w:rsidR="001D7AE1" w:rsidRPr="002358B7" w:rsidRDefault="001D7AE1" w:rsidP="001D7AE1">
      <w:pPr>
        <w:rPr>
          <w:rFonts w:eastAsia="Times New Roman" w:cstheme="minorHAnsi"/>
          <w:b/>
          <w:sz w:val="24"/>
          <w:szCs w:val="24"/>
          <w:u w:val="single"/>
          <w:lang w:val="en-US"/>
        </w:rPr>
      </w:pPr>
      <w:r w:rsidRPr="002358B7">
        <w:rPr>
          <w:rFonts w:eastAsia="Calibri" w:cstheme="minorHAnsi"/>
          <w:b/>
          <w:bCs/>
          <w:sz w:val="24"/>
          <w:szCs w:val="24"/>
          <w:u w:val="single"/>
          <w:lang w:eastAsia="en-IE"/>
        </w:rPr>
        <w:lastRenderedPageBreak/>
        <w:t>Section D: Training Requirements</w:t>
      </w:r>
    </w:p>
    <w:tbl>
      <w:tblPr>
        <w:tblW w:w="9209" w:type="dxa"/>
        <w:tblLook w:val="04A0" w:firstRow="1" w:lastRow="0" w:firstColumn="1" w:lastColumn="0" w:noHBand="0" w:noVBand="1"/>
      </w:tblPr>
      <w:tblGrid>
        <w:gridCol w:w="3823"/>
        <w:gridCol w:w="1417"/>
        <w:gridCol w:w="1276"/>
        <w:gridCol w:w="2693"/>
      </w:tblGrid>
      <w:tr w:rsidR="00D8092C" w:rsidRPr="002358B7" w14:paraId="38AE6992" w14:textId="77777777" w:rsidTr="00D8092C">
        <w:trPr>
          <w:trHeight w:val="300"/>
        </w:trPr>
        <w:tc>
          <w:tcPr>
            <w:tcW w:w="3823" w:type="dxa"/>
            <w:tcBorders>
              <w:top w:val="single" w:sz="4" w:space="0" w:color="auto"/>
              <w:left w:val="single" w:sz="4" w:space="0" w:color="auto"/>
              <w:bottom w:val="single" w:sz="4" w:space="0" w:color="auto"/>
              <w:right w:val="single" w:sz="4" w:space="0" w:color="auto"/>
            </w:tcBorders>
            <w:shd w:val="clear" w:color="000000" w:fill="003C79"/>
            <w:vAlign w:val="center"/>
            <w:hideMark/>
          </w:tcPr>
          <w:p w14:paraId="25D2BADB" w14:textId="77777777" w:rsidR="00D8092C" w:rsidRPr="002358B7" w:rsidRDefault="00D8092C"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Requirement</w:t>
            </w:r>
          </w:p>
        </w:tc>
        <w:tc>
          <w:tcPr>
            <w:tcW w:w="1417" w:type="dxa"/>
            <w:tcBorders>
              <w:top w:val="single" w:sz="4" w:space="0" w:color="auto"/>
              <w:left w:val="nil"/>
              <w:bottom w:val="single" w:sz="4" w:space="0" w:color="auto"/>
              <w:right w:val="single" w:sz="4" w:space="0" w:color="auto"/>
            </w:tcBorders>
            <w:shd w:val="clear" w:color="000000" w:fill="003C79"/>
            <w:vAlign w:val="center"/>
            <w:hideMark/>
          </w:tcPr>
          <w:p w14:paraId="20573AED" w14:textId="77777777" w:rsidR="00D8092C" w:rsidRPr="002358B7" w:rsidRDefault="00D8092C"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Status</w:t>
            </w:r>
          </w:p>
        </w:tc>
        <w:tc>
          <w:tcPr>
            <w:tcW w:w="1276" w:type="dxa"/>
            <w:tcBorders>
              <w:top w:val="single" w:sz="4" w:space="0" w:color="auto"/>
              <w:left w:val="nil"/>
              <w:bottom w:val="single" w:sz="4" w:space="0" w:color="auto"/>
              <w:right w:val="single" w:sz="4" w:space="0" w:color="000000"/>
            </w:tcBorders>
            <w:shd w:val="clear" w:color="000000" w:fill="003C79"/>
            <w:noWrap/>
            <w:vAlign w:val="bottom"/>
            <w:hideMark/>
          </w:tcPr>
          <w:p w14:paraId="34BC31BD" w14:textId="77777777" w:rsidR="00D8092C" w:rsidRPr="002358B7" w:rsidRDefault="00D8092C"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Checklist</w:t>
            </w:r>
          </w:p>
        </w:tc>
        <w:tc>
          <w:tcPr>
            <w:tcW w:w="2693" w:type="dxa"/>
            <w:tcBorders>
              <w:top w:val="single" w:sz="4" w:space="0" w:color="auto"/>
              <w:left w:val="nil"/>
              <w:bottom w:val="single" w:sz="4" w:space="0" w:color="auto"/>
              <w:right w:val="single" w:sz="4" w:space="0" w:color="000000"/>
            </w:tcBorders>
            <w:shd w:val="clear" w:color="000000" w:fill="003C79"/>
            <w:vAlign w:val="bottom"/>
          </w:tcPr>
          <w:p w14:paraId="4D7C67FE" w14:textId="3457EFE5" w:rsidR="00D8092C" w:rsidRPr="002358B7" w:rsidRDefault="00D8092C" w:rsidP="005E695F">
            <w:pPr>
              <w:spacing w:after="0" w:line="240" w:lineRule="auto"/>
              <w:jc w:val="center"/>
              <w:rPr>
                <w:rFonts w:eastAsia="Times New Roman" w:cstheme="minorHAnsi"/>
                <w:b/>
                <w:bCs/>
                <w:color w:val="FFFFFF"/>
                <w:sz w:val="24"/>
                <w:szCs w:val="24"/>
                <w:lang w:eastAsia="en-IE"/>
              </w:rPr>
            </w:pPr>
            <w:r>
              <w:rPr>
                <w:rFonts w:eastAsia="Times New Roman" w:cstheme="minorHAnsi"/>
                <w:b/>
                <w:bCs/>
                <w:color w:val="FFFFFF"/>
                <w:sz w:val="24"/>
                <w:szCs w:val="24"/>
                <w:lang w:eastAsia="en-IE"/>
              </w:rPr>
              <w:t>Comment</w:t>
            </w:r>
          </w:p>
        </w:tc>
      </w:tr>
      <w:tr w:rsidR="00E15EA8" w:rsidRPr="002358B7" w14:paraId="068C221D" w14:textId="77777777" w:rsidTr="00D8092C">
        <w:trPr>
          <w:trHeight w:val="300"/>
        </w:trPr>
        <w:tc>
          <w:tcPr>
            <w:tcW w:w="5240" w:type="dxa"/>
            <w:gridSpan w:val="2"/>
            <w:tcBorders>
              <w:top w:val="single" w:sz="4" w:space="0" w:color="auto"/>
              <w:left w:val="single" w:sz="4" w:space="0" w:color="auto"/>
              <w:bottom w:val="single" w:sz="4" w:space="0" w:color="auto"/>
              <w:right w:val="single" w:sz="4" w:space="0" w:color="000000"/>
            </w:tcBorders>
            <w:vAlign w:val="center"/>
            <w:hideMark/>
          </w:tcPr>
          <w:p w14:paraId="1614C7E7" w14:textId="77777777" w:rsidR="00E15EA8" w:rsidRPr="002358B7" w:rsidRDefault="00E15EA8"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eastAsia="en-IE"/>
              </w:rPr>
              <w:t> </w:t>
            </w:r>
          </w:p>
        </w:tc>
        <w:tc>
          <w:tcPr>
            <w:tcW w:w="1276" w:type="dxa"/>
            <w:tcBorders>
              <w:top w:val="nil"/>
              <w:left w:val="nil"/>
              <w:bottom w:val="single" w:sz="4" w:space="0" w:color="auto"/>
              <w:right w:val="single" w:sz="4" w:space="0" w:color="auto"/>
            </w:tcBorders>
            <w:vAlign w:val="bottom"/>
            <w:hideMark/>
          </w:tcPr>
          <w:p w14:paraId="3645B5CC" w14:textId="68A61300" w:rsidR="00E15EA8" w:rsidRPr="002358B7" w:rsidRDefault="00E15EA8"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sz w:val="24"/>
                <w:szCs w:val="24"/>
                <w:lang w:eastAsia="en-IE"/>
              </w:rPr>
              <w:t>Yes</w:t>
            </w:r>
            <w:r w:rsidR="00D8092C">
              <w:rPr>
                <w:rFonts w:eastAsia="Times New Roman" w:cstheme="minorHAnsi"/>
                <w:b/>
                <w:bCs/>
                <w:sz w:val="24"/>
                <w:szCs w:val="24"/>
                <w:lang w:eastAsia="en-IE"/>
              </w:rPr>
              <w:t>/No</w:t>
            </w:r>
          </w:p>
        </w:tc>
        <w:tc>
          <w:tcPr>
            <w:tcW w:w="2693" w:type="dxa"/>
            <w:tcBorders>
              <w:top w:val="nil"/>
              <w:left w:val="nil"/>
              <w:bottom w:val="single" w:sz="4" w:space="0" w:color="auto"/>
              <w:right w:val="single" w:sz="4" w:space="0" w:color="auto"/>
            </w:tcBorders>
            <w:vAlign w:val="bottom"/>
            <w:hideMark/>
          </w:tcPr>
          <w:p w14:paraId="2B5C1486" w14:textId="4FCF2C59" w:rsidR="00E15EA8" w:rsidRPr="002358B7" w:rsidRDefault="00E15EA8" w:rsidP="00D8092C">
            <w:pPr>
              <w:spacing w:after="0" w:line="240" w:lineRule="auto"/>
              <w:rPr>
                <w:rFonts w:eastAsia="Times New Roman" w:cstheme="minorHAnsi"/>
                <w:b/>
                <w:bCs/>
                <w:sz w:val="24"/>
                <w:szCs w:val="24"/>
                <w:lang w:eastAsia="en-IE"/>
              </w:rPr>
            </w:pPr>
          </w:p>
        </w:tc>
      </w:tr>
      <w:tr w:rsidR="00E15EA8" w:rsidRPr="002358B7" w14:paraId="0E2E097F" w14:textId="77777777" w:rsidTr="00D8092C">
        <w:trPr>
          <w:trHeight w:val="600"/>
        </w:trPr>
        <w:tc>
          <w:tcPr>
            <w:tcW w:w="3823" w:type="dxa"/>
            <w:tcBorders>
              <w:top w:val="nil"/>
              <w:left w:val="single" w:sz="4" w:space="0" w:color="auto"/>
              <w:bottom w:val="single" w:sz="4" w:space="0" w:color="auto"/>
              <w:right w:val="single" w:sz="4" w:space="0" w:color="auto"/>
            </w:tcBorders>
            <w:noWrap/>
            <w:vAlign w:val="center"/>
          </w:tcPr>
          <w:p w14:paraId="7999C548"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D1. Initial User Training</w:t>
            </w:r>
          </w:p>
          <w:p w14:paraId="1B3258AA" w14:textId="77777777" w:rsidR="001D7AE1" w:rsidRPr="002358B7" w:rsidRDefault="001D7AE1"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The Tenderer must provide comprehensive initial user training for all relevant SVUH clinical and technical staff upon installation and commissioning of each system. Training must include:</w:t>
            </w:r>
          </w:p>
          <w:p w14:paraId="75802ED2"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System operation and clinical use;</w:t>
            </w:r>
          </w:p>
          <w:p w14:paraId="51912FEA" w14:textId="77777777" w:rsidR="001D7AE1" w:rsidRPr="002358B7" w:rsidRDefault="001D7AE1" w:rsidP="004651EE">
            <w:pPr>
              <w:numPr>
                <w:ilvl w:val="0"/>
                <w:numId w:val="18"/>
              </w:numPr>
              <w:spacing w:after="0" w:line="240" w:lineRule="auto"/>
              <w:rPr>
                <w:rFonts w:eastAsia="Calibri" w:cstheme="minorHAnsi"/>
                <w:sz w:val="24"/>
                <w:szCs w:val="24"/>
                <w:lang w:eastAsia="en-IE"/>
              </w:rPr>
            </w:pPr>
            <w:r w:rsidRPr="002358B7">
              <w:rPr>
                <w:rFonts w:eastAsia="Calibri" w:cstheme="minorHAnsi"/>
                <w:sz w:val="24"/>
                <w:szCs w:val="24"/>
                <w:lang w:eastAsia="en-IE"/>
              </w:rPr>
              <w:t>Probe handling, sterilisation/disinfection, and care;</w:t>
            </w:r>
          </w:p>
          <w:p w14:paraId="49E80723"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Radiation safety procedures relevant to the use of the system;</w:t>
            </w:r>
          </w:p>
          <w:p w14:paraId="6566AF77"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Routine maintenance and troubleshooting;</w:t>
            </w:r>
          </w:p>
          <w:p w14:paraId="2F665BB2"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Data recording and output functions.</w:t>
            </w:r>
          </w:p>
          <w:p w14:paraId="4905664F" w14:textId="5EC5865E" w:rsidR="00E15EA8" w:rsidRPr="002358B7" w:rsidRDefault="001D7AE1" w:rsidP="004651EE">
            <w:pPr>
              <w:spacing w:before="120" w:after="200" w:line="240" w:lineRule="auto"/>
              <w:jc w:val="both"/>
              <w:rPr>
                <w:rFonts w:eastAsia="Calibri" w:cstheme="minorHAnsi"/>
                <w:sz w:val="24"/>
                <w:szCs w:val="24"/>
                <w:lang w:eastAsia="en-IE"/>
              </w:rPr>
            </w:pPr>
            <w:r w:rsidRPr="002358B7">
              <w:rPr>
                <w:rFonts w:eastAsia="Calibri" w:cstheme="minorHAnsi"/>
                <w:sz w:val="24"/>
                <w:szCs w:val="24"/>
                <w:lang w:eastAsia="en-IE"/>
              </w:rPr>
              <w:t>Tenderers must specify the training programme, including duration, format (on-site/remote), and the number of staff that can be trained per session.</w:t>
            </w:r>
          </w:p>
        </w:tc>
        <w:tc>
          <w:tcPr>
            <w:tcW w:w="1417" w:type="dxa"/>
            <w:tcBorders>
              <w:top w:val="nil"/>
              <w:left w:val="nil"/>
              <w:bottom w:val="single" w:sz="4" w:space="0" w:color="auto"/>
              <w:right w:val="single" w:sz="4" w:space="0" w:color="auto"/>
            </w:tcBorders>
            <w:noWrap/>
            <w:vAlign w:val="center"/>
          </w:tcPr>
          <w:p w14:paraId="6F32D23E" w14:textId="2C9ECBE2" w:rsidR="00E15EA8" w:rsidRPr="002358B7" w:rsidRDefault="001D7AE1"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0BB883CC" w14:textId="77777777" w:rsidR="00E15EA8" w:rsidRPr="002358B7" w:rsidRDefault="00E15EA8"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40A4D28C" w14:textId="77777777" w:rsidR="00E15EA8" w:rsidRPr="002358B7" w:rsidRDefault="00E15EA8" w:rsidP="005E695F">
            <w:pPr>
              <w:spacing w:after="0" w:line="240" w:lineRule="auto"/>
              <w:jc w:val="center"/>
              <w:rPr>
                <w:rFonts w:eastAsia="Times New Roman" w:cstheme="minorHAnsi"/>
                <w:b/>
                <w:bCs/>
                <w:color w:val="000000"/>
                <w:sz w:val="24"/>
                <w:szCs w:val="24"/>
                <w:lang w:eastAsia="en-IE"/>
              </w:rPr>
            </w:pPr>
          </w:p>
        </w:tc>
      </w:tr>
      <w:tr w:rsidR="00E15EA8" w:rsidRPr="002358B7" w14:paraId="2437DE33" w14:textId="77777777" w:rsidTr="00D8092C">
        <w:trPr>
          <w:trHeight w:val="600"/>
        </w:trPr>
        <w:tc>
          <w:tcPr>
            <w:tcW w:w="3823" w:type="dxa"/>
            <w:tcBorders>
              <w:top w:val="nil"/>
              <w:left w:val="single" w:sz="4" w:space="0" w:color="auto"/>
              <w:bottom w:val="single" w:sz="4" w:space="0" w:color="auto"/>
              <w:right w:val="single" w:sz="4" w:space="0" w:color="auto"/>
            </w:tcBorders>
            <w:noWrap/>
            <w:vAlign w:val="center"/>
          </w:tcPr>
          <w:p w14:paraId="36DA7085"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D2. Training Materials</w:t>
            </w:r>
          </w:p>
          <w:p w14:paraId="751B6412" w14:textId="77777777" w:rsidR="001D7AE1" w:rsidRPr="002358B7" w:rsidRDefault="001D7AE1"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The Tenderer must provide comprehensive training materials in English, including:</w:t>
            </w:r>
          </w:p>
          <w:p w14:paraId="36DB0ADD"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User manuals and quick reference guides;</w:t>
            </w:r>
          </w:p>
          <w:p w14:paraId="0C3C91BC"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Training presentations or e-learning modules (where available);</w:t>
            </w:r>
          </w:p>
          <w:p w14:paraId="0AAF9DC9" w14:textId="77777777" w:rsidR="001D7AE1" w:rsidRPr="002358B7" w:rsidRDefault="001D7AE1"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Radiation safety information relevant to the system.</w:t>
            </w:r>
          </w:p>
          <w:p w14:paraId="172F0F4D" w14:textId="247FD659" w:rsidR="00E15EA8" w:rsidRPr="002358B7" w:rsidRDefault="001D7AE1" w:rsidP="004651EE">
            <w:pPr>
              <w:spacing w:before="120" w:after="200" w:line="240" w:lineRule="auto"/>
              <w:jc w:val="both"/>
              <w:rPr>
                <w:rFonts w:eastAsia="Calibri" w:cstheme="minorHAnsi"/>
                <w:sz w:val="24"/>
                <w:szCs w:val="24"/>
                <w:lang w:eastAsia="en-IE"/>
              </w:rPr>
            </w:pPr>
            <w:r w:rsidRPr="002358B7">
              <w:rPr>
                <w:rFonts w:eastAsia="Calibri" w:cstheme="minorHAnsi"/>
                <w:sz w:val="24"/>
                <w:szCs w:val="24"/>
                <w:lang w:eastAsia="en-IE"/>
              </w:rPr>
              <w:t>All training materials must be provided in hard copy and/or electronic format as agreed with SVUH.</w:t>
            </w:r>
          </w:p>
        </w:tc>
        <w:tc>
          <w:tcPr>
            <w:tcW w:w="1417" w:type="dxa"/>
            <w:tcBorders>
              <w:top w:val="nil"/>
              <w:left w:val="nil"/>
              <w:bottom w:val="single" w:sz="4" w:space="0" w:color="auto"/>
              <w:right w:val="single" w:sz="4" w:space="0" w:color="auto"/>
            </w:tcBorders>
            <w:noWrap/>
            <w:vAlign w:val="center"/>
          </w:tcPr>
          <w:p w14:paraId="036ABF5D" w14:textId="630062A2" w:rsidR="00E15EA8" w:rsidRPr="002358B7" w:rsidRDefault="001D7AE1" w:rsidP="005E695F">
            <w:pPr>
              <w:spacing w:after="0" w:line="240" w:lineRule="auto"/>
              <w:jc w:val="center"/>
              <w:rPr>
                <w:rFonts w:eastAsia="Times New Roman" w:cstheme="minorHAnsi"/>
                <w:b/>
                <w:bCs/>
                <w:color w:val="003C79"/>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hideMark/>
          </w:tcPr>
          <w:p w14:paraId="313C03B7" w14:textId="77777777" w:rsidR="00E15EA8" w:rsidRPr="002358B7" w:rsidRDefault="00E15EA8"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c>
          <w:tcPr>
            <w:tcW w:w="2693" w:type="dxa"/>
            <w:tcBorders>
              <w:top w:val="nil"/>
              <w:left w:val="nil"/>
              <w:bottom w:val="single" w:sz="4" w:space="0" w:color="auto"/>
              <w:right w:val="single" w:sz="4" w:space="0" w:color="auto"/>
            </w:tcBorders>
            <w:noWrap/>
            <w:vAlign w:val="center"/>
            <w:hideMark/>
          </w:tcPr>
          <w:p w14:paraId="66674E68" w14:textId="77777777" w:rsidR="00E15EA8" w:rsidRPr="002358B7" w:rsidRDefault="00E15EA8" w:rsidP="005E695F">
            <w:pPr>
              <w:spacing w:after="0" w:line="240" w:lineRule="auto"/>
              <w:jc w:val="center"/>
              <w:rPr>
                <w:rFonts w:eastAsia="Times New Roman" w:cstheme="minorHAnsi"/>
                <w:b/>
                <w:bCs/>
                <w:color w:val="000000"/>
                <w:sz w:val="24"/>
                <w:szCs w:val="24"/>
                <w:lang w:eastAsia="en-IE"/>
              </w:rPr>
            </w:pPr>
            <w:r w:rsidRPr="002358B7">
              <w:rPr>
                <w:rFonts w:eastAsia="Times New Roman" w:cstheme="minorHAnsi"/>
                <w:b/>
                <w:bCs/>
                <w:color w:val="000000"/>
                <w:sz w:val="24"/>
                <w:szCs w:val="24"/>
                <w:lang w:eastAsia="en-IE"/>
              </w:rPr>
              <w:t> </w:t>
            </w:r>
          </w:p>
        </w:tc>
      </w:tr>
      <w:tr w:rsidR="00D072AE" w:rsidRPr="002358B7" w14:paraId="52110243" w14:textId="77777777" w:rsidTr="00D8092C">
        <w:trPr>
          <w:trHeight w:val="600"/>
        </w:trPr>
        <w:tc>
          <w:tcPr>
            <w:tcW w:w="3823" w:type="dxa"/>
            <w:tcBorders>
              <w:top w:val="nil"/>
              <w:left w:val="single" w:sz="4" w:space="0" w:color="auto"/>
              <w:bottom w:val="single" w:sz="4" w:space="0" w:color="auto"/>
              <w:right w:val="single" w:sz="4" w:space="0" w:color="auto"/>
            </w:tcBorders>
            <w:noWrap/>
            <w:vAlign w:val="center"/>
          </w:tcPr>
          <w:p w14:paraId="70CFEB32"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lastRenderedPageBreak/>
              <w:t>D3. Refresher Training</w:t>
            </w:r>
          </w:p>
          <w:p w14:paraId="3570E758" w14:textId="37B24CFF" w:rsidR="00D072AE" w:rsidRPr="002358B7" w:rsidRDefault="001D7AE1" w:rsidP="004651EE">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The Tenderer must offer refresher training for SVUH staff during the Term of the Goods Contract, including for new staff members. Tenderers must specify the availability and cost (if any) of refresher training sessions.</w:t>
            </w:r>
          </w:p>
        </w:tc>
        <w:tc>
          <w:tcPr>
            <w:tcW w:w="1417" w:type="dxa"/>
            <w:tcBorders>
              <w:top w:val="nil"/>
              <w:left w:val="nil"/>
              <w:bottom w:val="single" w:sz="4" w:space="0" w:color="auto"/>
              <w:right w:val="single" w:sz="4" w:space="0" w:color="auto"/>
            </w:tcBorders>
            <w:noWrap/>
            <w:vAlign w:val="center"/>
          </w:tcPr>
          <w:p w14:paraId="4767F149" w14:textId="20D4D046" w:rsidR="00D072AE" w:rsidRPr="002358B7" w:rsidRDefault="001D7AE1"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79A060F2" w14:textId="77777777" w:rsidR="00D072AE" w:rsidRPr="002358B7" w:rsidRDefault="00D072AE"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18B4258B" w14:textId="77777777" w:rsidR="00D072AE" w:rsidRPr="002358B7" w:rsidRDefault="00D072AE" w:rsidP="005E695F">
            <w:pPr>
              <w:spacing w:after="0" w:line="240" w:lineRule="auto"/>
              <w:jc w:val="center"/>
              <w:rPr>
                <w:rFonts w:eastAsia="Times New Roman" w:cstheme="minorHAnsi"/>
                <w:b/>
                <w:bCs/>
                <w:color w:val="000000"/>
                <w:sz w:val="24"/>
                <w:szCs w:val="24"/>
                <w:lang w:eastAsia="en-IE"/>
              </w:rPr>
            </w:pPr>
          </w:p>
        </w:tc>
      </w:tr>
      <w:tr w:rsidR="00D072AE" w:rsidRPr="002358B7" w14:paraId="15E85D22" w14:textId="77777777" w:rsidTr="00D8092C">
        <w:trPr>
          <w:trHeight w:val="600"/>
        </w:trPr>
        <w:tc>
          <w:tcPr>
            <w:tcW w:w="3823" w:type="dxa"/>
            <w:tcBorders>
              <w:top w:val="nil"/>
              <w:left w:val="single" w:sz="4" w:space="0" w:color="auto"/>
              <w:bottom w:val="single" w:sz="4" w:space="0" w:color="auto"/>
              <w:right w:val="single" w:sz="4" w:space="0" w:color="auto"/>
            </w:tcBorders>
            <w:noWrap/>
            <w:vAlign w:val="center"/>
          </w:tcPr>
          <w:p w14:paraId="0B123DDB" w14:textId="77777777" w:rsidR="001D7AE1" w:rsidRPr="002358B7" w:rsidRDefault="001D7AE1"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D4. Technical/Service Training</w:t>
            </w:r>
          </w:p>
          <w:p w14:paraId="06167EBC" w14:textId="354D7A4B" w:rsidR="00D072AE" w:rsidRPr="002358B7" w:rsidRDefault="001D7AE1" w:rsidP="004651EE">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Where applicable, the Tenderer must offer technical training for SVUH Biomedical Engineering or Medical Physics staff to enable first-line maintenance and troubleshooting. Tenderers must describe the availability and content of any such training.</w:t>
            </w:r>
          </w:p>
        </w:tc>
        <w:tc>
          <w:tcPr>
            <w:tcW w:w="1417" w:type="dxa"/>
            <w:tcBorders>
              <w:top w:val="nil"/>
              <w:left w:val="nil"/>
              <w:bottom w:val="single" w:sz="4" w:space="0" w:color="auto"/>
              <w:right w:val="single" w:sz="4" w:space="0" w:color="auto"/>
            </w:tcBorders>
            <w:noWrap/>
            <w:vAlign w:val="center"/>
          </w:tcPr>
          <w:p w14:paraId="2808A77F" w14:textId="2E0BDD53" w:rsidR="00D072AE" w:rsidRPr="002358B7" w:rsidRDefault="001D7AE1"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6F0E8BA0" w14:textId="77777777" w:rsidR="00D072AE" w:rsidRPr="002358B7" w:rsidRDefault="00D072AE"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1C0F66D3" w14:textId="77777777" w:rsidR="00D072AE" w:rsidRPr="002358B7" w:rsidRDefault="00D072AE" w:rsidP="005E695F">
            <w:pPr>
              <w:spacing w:after="0" w:line="240" w:lineRule="auto"/>
              <w:jc w:val="center"/>
              <w:rPr>
                <w:rFonts w:eastAsia="Times New Roman" w:cstheme="minorHAnsi"/>
                <w:b/>
                <w:bCs/>
                <w:color w:val="000000"/>
                <w:sz w:val="24"/>
                <w:szCs w:val="24"/>
                <w:lang w:eastAsia="en-IE"/>
              </w:rPr>
            </w:pPr>
          </w:p>
        </w:tc>
      </w:tr>
    </w:tbl>
    <w:p w14:paraId="73F8020B" w14:textId="77777777" w:rsidR="00E17245" w:rsidRPr="002358B7" w:rsidRDefault="00E17245" w:rsidP="00E15EA8">
      <w:pPr>
        <w:rPr>
          <w:rFonts w:eastAsia="Times New Roman" w:cstheme="minorHAnsi"/>
          <w:b/>
          <w:color w:val="333399"/>
          <w:sz w:val="24"/>
          <w:szCs w:val="24"/>
          <w:lang w:val="en-US"/>
        </w:rPr>
      </w:pPr>
    </w:p>
    <w:p w14:paraId="02A26E3B" w14:textId="1086424E" w:rsidR="00E17245" w:rsidRPr="002358B7" w:rsidRDefault="008D251E" w:rsidP="008D251E">
      <w:pPr>
        <w:rPr>
          <w:rFonts w:eastAsia="Times New Roman" w:cstheme="minorHAnsi"/>
          <w:b/>
          <w:sz w:val="24"/>
          <w:szCs w:val="24"/>
          <w:u w:val="single"/>
          <w:lang w:val="en-US"/>
        </w:rPr>
      </w:pPr>
      <w:r w:rsidRPr="002358B7">
        <w:rPr>
          <w:rFonts w:eastAsia="Calibri" w:cstheme="minorHAnsi"/>
          <w:b/>
          <w:bCs/>
          <w:sz w:val="24"/>
          <w:szCs w:val="24"/>
          <w:u w:val="single"/>
          <w:lang w:eastAsia="en-IE"/>
        </w:rPr>
        <w:t>Section E: Additional Requirements</w:t>
      </w:r>
    </w:p>
    <w:tbl>
      <w:tblPr>
        <w:tblW w:w="9209" w:type="dxa"/>
        <w:tblLook w:val="04A0" w:firstRow="1" w:lastRow="0" w:firstColumn="1" w:lastColumn="0" w:noHBand="0" w:noVBand="1"/>
      </w:tblPr>
      <w:tblGrid>
        <w:gridCol w:w="3823"/>
        <w:gridCol w:w="1417"/>
        <w:gridCol w:w="1276"/>
        <w:gridCol w:w="2693"/>
      </w:tblGrid>
      <w:tr w:rsidR="00C64F7C" w:rsidRPr="002358B7" w14:paraId="54145BFA" w14:textId="77777777" w:rsidTr="00C64F7C">
        <w:trPr>
          <w:trHeight w:val="300"/>
        </w:trPr>
        <w:tc>
          <w:tcPr>
            <w:tcW w:w="3823" w:type="dxa"/>
            <w:tcBorders>
              <w:top w:val="single" w:sz="4" w:space="0" w:color="auto"/>
              <w:left w:val="single" w:sz="4" w:space="0" w:color="auto"/>
              <w:bottom w:val="single" w:sz="4" w:space="0" w:color="auto"/>
              <w:right w:val="single" w:sz="4" w:space="0" w:color="auto"/>
            </w:tcBorders>
            <w:shd w:val="clear" w:color="000000" w:fill="003C79"/>
            <w:vAlign w:val="center"/>
            <w:hideMark/>
          </w:tcPr>
          <w:p w14:paraId="6FEA9FB9" w14:textId="77777777" w:rsidR="00C64F7C" w:rsidRPr="002358B7" w:rsidRDefault="00C64F7C"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Requirement</w:t>
            </w:r>
          </w:p>
        </w:tc>
        <w:tc>
          <w:tcPr>
            <w:tcW w:w="1417" w:type="dxa"/>
            <w:tcBorders>
              <w:top w:val="single" w:sz="4" w:space="0" w:color="auto"/>
              <w:left w:val="nil"/>
              <w:bottom w:val="single" w:sz="4" w:space="0" w:color="auto"/>
              <w:right w:val="single" w:sz="4" w:space="0" w:color="auto"/>
            </w:tcBorders>
            <w:shd w:val="clear" w:color="000000" w:fill="003C79"/>
            <w:vAlign w:val="center"/>
            <w:hideMark/>
          </w:tcPr>
          <w:p w14:paraId="16FE7DD6" w14:textId="77777777" w:rsidR="00C64F7C" w:rsidRPr="002358B7" w:rsidRDefault="00C64F7C" w:rsidP="005E695F">
            <w:pPr>
              <w:spacing w:after="0" w:line="240" w:lineRule="auto"/>
              <w:ind w:firstLineChars="100" w:firstLine="241"/>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Status</w:t>
            </w:r>
          </w:p>
        </w:tc>
        <w:tc>
          <w:tcPr>
            <w:tcW w:w="1276" w:type="dxa"/>
            <w:tcBorders>
              <w:top w:val="single" w:sz="4" w:space="0" w:color="auto"/>
              <w:left w:val="nil"/>
              <w:bottom w:val="single" w:sz="4" w:space="0" w:color="auto"/>
              <w:right w:val="single" w:sz="4" w:space="0" w:color="000000"/>
            </w:tcBorders>
            <w:shd w:val="clear" w:color="000000" w:fill="003C79"/>
            <w:noWrap/>
            <w:vAlign w:val="bottom"/>
            <w:hideMark/>
          </w:tcPr>
          <w:p w14:paraId="777E0C3C" w14:textId="77777777" w:rsidR="00C64F7C" w:rsidRPr="002358B7" w:rsidRDefault="00C64F7C"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val="en-US" w:eastAsia="en-IE"/>
              </w:rPr>
              <w:t>Checklist</w:t>
            </w:r>
          </w:p>
        </w:tc>
        <w:tc>
          <w:tcPr>
            <w:tcW w:w="2693" w:type="dxa"/>
            <w:tcBorders>
              <w:top w:val="single" w:sz="4" w:space="0" w:color="auto"/>
              <w:left w:val="nil"/>
              <w:bottom w:val="single" w:sz="4" w:space="0" w:color="auto"/>
              <w:right w:val="single" w:sz="4" w:space="0" w:color="000000"/>
            </w:tcBorders>
            <w:shd w:val="clear" w:color="000000" w:fill="003C79"/>
            <w:vAlign w:val="bottom"/>
          </w:tcPr>
          <w:p w14:paraId="3C2E3782" w14:textId="1B19A862" w:rsidR="00C64F7C" w:rsidRPr="002358B7" w:rsidRDefault="00C64F7C" w:rsidP="005E695F">
            <w:pPr>
              <w:spacing w:after="0" w:line="240" w:lineRule="auto"/>
              <w:jc w:val="center"/>
              <w:rPr>
                <w:rFonts w:eastAsia="Times New Roman" w:cstheme="minorHAnsi"/>
                <w:b/>
                <w:bCs/>
                <w:color w:val="FFFFFF"/>
                <w:sz w:val="24"/>
                <w:szCs w:val="24"/>
                <w:lang w:eastAsia="en-IE"/>
              </w:rPr>
            </w:pPr>
            <w:r>
              <w:rPr>
                <w:rFonts w:eastAsia="Times New Roman" w:cstheme="minorHAnsi"/>
                <w:b/>
                <w:bCs/>
                <w:color w:val="FFFFFF"/>
                <w:sz w:val="24"/>
                <w:szCs w:val="24"/>
                <w:lang w:eastAsia="en-IE"/>
              </w:rPr>
              <w:t>Comment</w:t>
            </w:r>
          </w:p>
        </w:tc>
      </w:tr>
      <w:tr w:rsidR="00E17245" w:rsidRPr="002358B7" w14:paraId="31A64740" w14:textId="77777777" w:rsidTr="00C64F7C">
        <w:trPr>
          <w:trHeight w:val="300"/>
        </w:trPr>
        <w:tc>
          <w:tcPr>
            <w:tcW w:w="5240" w:type="dxa"/>
            <w:gridSpan w:val="2"/>
            <w:tcBorders>
              <w:top w:val="single" w:sz="4" w:space="0" w:color="auto"/>
              <w:left w:val="single" w:sz="4" w:space="0" w:color="auto"/>
              <w:bottom w:val="single" w:sz="4" w:space="0" w:color="auto"/>
              <w:right w:val="single" w:sz="4" w:space="0" w:color="000000"/>
            </w:tcBorders>
            <w:vAlign w:val="center"/>
            <w:hideMark/>
          </w:tcPr>
          <w:p w14:paraId="2C197949" w14:textId="77777777" w:rsidR="00E17245" w:rsidRPr="002358B7" w:rsidRDefault="00E17245" w:rsidP="005E695F">
            <w:pPr>
              <w:spacing w:after="0" w:line="240" w:lineRule="auto"/>
              <w:jc w:val="center"/>
              <w:rPr>
                <w:rFonts w:eastAsia="Times New Roman" w:cstheme="minorHAnsi"/>
                <w:b/>
                <w:bCs/>
                <w:color w:val="FFFFFF"/>
                <w:sz w:val="24"/>
                <w:szCs w:val="24"/>
                <w:lang w:eastAsia="en-IE"/>
              </w:rPr>
            </w:pPr>
            <w:r w:rsidRPr="002358B7">
              <w:rPr>
                <w:rFonts w:eastAsia="Times New Roman" w:cstheme="minorHAnsi"/>
                <w:b/>
                <w:bCs/>
                <w:color w:val="FFFFFF"/>
                <w:sz w:val="24"/>
                <w:szCs w:val="24"/>
                <w:lang w:eastAsia="en-IE"/>
              </w:rPr>
              <w:t> </w:t>
            </w:r>
          </w:p>
        </w:tc>
        <w:tc>
          <w:tcPr>
            <w:tcW w:w="1276" w:type="dxa"/>
            <w:tcBorders>
              <w:top w:val="nil"/>
              <w:left w:val="nil"/>
              <w:bottom w:val="single" w:sz="4" w:space="0" w:color="auto"/>
              <w:right w:val="single" w:sz="4" w:space="0" w:color="auto"/>
            </w:tcBorders>
            <w:vAlign w:val="bottom"/>
            <w:hideMark/>
          </w:tcPr>
          <w:p w14:paraId="684EBBD6" w14:textId="6D815217" w:rsidR="00E17245" w:rsidRPr="002358B7" w:rsidRDefault="00E17245"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sz w:val="24"/>
                <w:szCs w:val="24"/>
                <w:lang w:eastAsia="en-IE"/>
              </w:rPr>
              <w:t>Yes</w:t>
            </w:r>
            <w:r w:rsidR="00C64F7C">
              <w:rPr>
                <w:rFonts w:eastAsia="Times New Roman" w:cstheme="minorHAnsi"/>
                <w:b/>
                <w:bCs/>
                <w:sz w:val="24"/>
                <w:szCs w:val="24"/>
                <w:lang w:eastAsia="en-IE"/>
              </w:rPr>
              <w:t>/No</w:t>
            </w:r>
          </w:p>
        </w:tc>
        <w:tc>
          <w:tcPr>
            <w:tcW w:w="2693" w:type="dxa"/>
            <w:tcBorders>
              <w:top w:val="nil"/>
              <w:left w:val="nil"/>
              <w:bottom w:val="single" w:sz="4" w:space="0" w:color="auto"/>
              <w:right w:val="single" w:sz="4" w:space="0" w:color="auto"/>
            </w:tcBorders>
            <w:vAlign w:val="bottom"/>
            <w:hideMark/>
          </w:tcPr>
          <w:p w14:paraId="2F88E42C" w14:textId="7CAAC63A" w:rsidR="00E17245" w:rsidRPr="002358B7" w:rsidRDefault="00E17245" w:rsidP="00C64F7C">
            <w:pPr>
              <w:spacing w:after="0" w:line="240" w:lineRule="auto"/>
              <w:rPr>
                <w:rFonts w:eastAsia="Times New Roman" w:cstheme="minorHAnsi"/>
                <w:b/>
                <w:bCs/>
                <w:sz w:val="24"/>
                <w:szCs w:val="24"/>
                <w:lang w:eastAsia="en-IE"/>
              </w:rPr>
            </w:pPr>
          </w:p>
        </w:tc>
      </w:tr>
      <w:tr w:rsidR="00E17245" w:rsidRPr="002358B7" w14:paraId="51A95171" w14:textId="77777777" w:rsidTr="00C64F7C">
        <w:trPr>
          <w:trHeight w:val="600"/>
        </w:trPr>
        <w:tc>
          <w:tcPr>
            <w:tcW w:w="3823" w:type="dxa"/>
            <w:tcBorders>
              <w:top w:val="nil"/>
              <w:left w:val="single" w:sz="4" w:space="0" w:color="auto"/>
              <w:bottom w:val="single" w:sz="4" w:space="0" w:color="auto"/>
              <w:right w:val="single" w:sz="4" w:space="0" w:color="auto"/>
            </w:tcBorders>
            <w:noWrap/>
            <w:vAlign w:val="center"/>
          </w:tcPr>
          <w:p w14:paraId="3155FD84" w14:textId="77777777" w:rsidR="008D251E" w:rsidRPr="002358B7" w:rsidRDefault="008D251E"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E1. Installation and Commissioning</w:t>
            </w:r>
          </w:p>
          <w:p w14:paraId="4AEB8519" w14:textId="77777777" w:rsidR="008D251E" w:rsidRPr="002358B7" w:rsidRDefault="008D251E"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The Tenderer must provide full installation and commissioning services for all three (3) systems at SVUH. This must include:</w:t>
            </w:r>
          </w:p>
          <w:p w14:paraId="485DE93F" w14:textId="77777777" w:rsidR="008D251E" w:rsidRPr="002358B7" w:rsidRDefault="008D251E"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Delivery to the specified locations within SVUH;</w:t>
            </w:r>
          </w:p>
          <w:p w14:paraId="55C9F592" w14:textId="77777777" w:rsidR="008D251E" w:rsidRPr="002358B7" w:rsidRDefault="008D251E"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Physical installation and set-up;</w:t>
            </w:r>
          </w:p>
          <w:p w14:paraId="3FDEBA28" w14:textId="77777777" w:rsidR="008D251E" w:rsidRPr="002358B7" w:rsidRDefault="008D251E"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Functional testing and performance verification;</w:t>
            </w:r>
          </w:p>
          <w:p w14:paraId="5E985B62" w14:textId="77777777" w:rsidR="008D251E" w:rsidRPr="002358B7" w:rsidRDefault="008D251E"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Acceptance testing in accordance with agreed protocols;</w:t>
            </w:r>
          </w:p>
          <w:p w14:paraId="15F6AA0D" w14:textId="77777777" w:rsidR="008D251E" w:rsidRPr="002358B7" w:rsidRDefault="008D251E"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Provision of commissioning documentation and test reports.</w:t>
            </w:r>
          </w:p>
          <w:p w14:paraId="7AC8D49E" w14:textId="19EE526D" w:rsidR="00E17245" w:rsidRPr="002358B7" w:rsidRDefault="008D251E" w:rsidP="004651EE">
            <w:pPr>
              <w:spacing w:before="120" w:after="200" w:line="240" w:lineRule="auto"/>
              <w:jc w:val="both"/>
              <w:rPr>
                <w:rFonts w:eastAsia="Calibri" w:cstheme="minorHAnsi"/>
                <w:sz w:val="24"/>
                <w:szCs w:val="24"/>
                <w:lang w:eastAsia="en-IE"/>
              </w:rPr>
            </w:pPr>
            <w:r w:rsidRPr="002358B7">
              <w:rPr>
                <w:rFonts w:eastAsia="Calibri" w:cstheme="minorHAnsi"/>
                <w:sz w:val="24"/>
                <w:szCs w:val="24"/>
                <w:lang w:eastAsia="en-IE"/>
              </w:rPr>
              <w:lastRenderedPageBreak/>
              <w:t>Tenderers must provide a proposed installation and commissioning timeline.</w:t>
            </w:r>
          </w:p>
        </w:tc>
        <w:tc>
          <w:tcPr>
            <w:tcW w:w="1417" w:type="dxa"/>
            <w:tcBorders>
              <w:top w:val="nil"/>
              <w:left w:val="nil"/>
              <w:bottom w:val="single" w:sz="4" w:space="0" w:color="auto"/>
              <w:right w:val="single" w:sz="4" w:space="0" w:color="auto"/>
            </w:tcBorders>
            <w:noWrap/>
            <w:vAlign w:val="center"/>
          </w:tcPr>
          <w:p w14:paraId="05919DE6" w14:textId="6CAD6993" w:rsidR="00E17245" w:rsidRPr="002358B7" w:rsidRDefault="00CA337E"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tcPr>
          <w:p w14:paraId="3E63402B" w14:textId="77777777" w:rsidR="00E17245" w:rsidRPr="002358B7" w:rsidRDefault="00E17245"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00A193A2" w14:textId="77777777" w:rsidR="00E17245" w:rsidRPr="002358B7" w:rsidRDefault="00E17245" w:rsidP="005E695F">
            <w:pPr>
              <w:spacing w:after="0" w:line="240" w:lineRule="auto"/>
              <w:jc w:val="center"/>
              <w:rPr>
                <w:rFonts w:eastAsia="Times New Roman" w:cstheme="minorHAnsi"/>
                <w:b/>
                <w:bCs/>
                <w:color w:val="000000"/>
                <w:sz w:val="24"/>
                <w:szCs w:val="24"/>
                <w:lang w:eastAsia="en-IE"/>
              </w:rPr>
            </w:pPr>
          </w:p>
        </w:tc>
      </w:tr>
      <w:tr w:rsidR="00DB2ACC" w:rsidRPr="002358B7" w14:paraId="2BE79275" w14:textId="77777777" w:rsidTr="00C64F7C">
        <w:trPr>
          <w:trHeight w:val="600"/>
        </w:trPr>
        <w:tc>
          <w:tcPr>
            <w:tcW w:w="3823" w:type="dxa"/>
            <w:tcBorders>
              <w:top w:val="nil"/>
              <w:left w:val="single" w:sz="4" w:space="0" w:color="auto"/>
              <w:bottom w:val="single" w:sz="4" w:space="0" w:color="auto"/>
              <w:right w:val="single" w:sz="4" w:space="0" w:color="auto"/>
            </w:tcBorders>
            <w:noWrap/>
            <w:vAlign w:val="center"/>
          </w:tcPr>
          <w:p w14:paraId="67BD63FC" w14:textId="77777777" w:rsidR="009F642F" w:rsidRPr="002358B7" w:rsidRDefault="009F642F"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E2. Delivery Timeline</w:t>
            </w:r>
          </w:p>
          <w:p w14:paraId="6B3CC73C" w14:textId="190C255F" w:rsidR="00DB2ACC" w:rsidRPr="002358B7" w:rsidRDefault="009F642F" w:rsidP="004651EE">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 xml:space="preserve">Tenderers must confirm the expected delivery and installation timeline from the date of contract award. SVUH requires all three (3) systems to be fully installed, commissioned, and accepted within </w:t>
            </w:r>
            <w:r w:rsidRPr="002358B7">
              <w:rPr>
                <w:rFonts w:eastAsia="Calibri" w:cstheme="minorHAnsi"/>
                <w:b/>
                <w:bCs/>
                <w:sz w:val="24"/>
                <w:szCs w:val="24"/>
                <w:lang w:eastAsia="en-IE"/>
              </w:rPr>
              <w:t>twelve (12) weeks</w:t>
            </w:r>
            <w:r w:rsidRPr="002358B7">
              <w:rPr>
                <w:rFonts w:eastAsia="Calibri" w:cstheme="minorHAnsi"/>
                <w:sz w:val="24"/>
                <w:szCs w:val="24"/>
                <w:lang w:eastAsia="en-IE"/>
              </w:rPr>
              <w:t xml:space="preserve"> of contract award. Tenderers must confirm their ability to meet this requirement or provide a detailed alternative timeline with justification.</w:t>
            </w:r>
          </w:p>
        </w:tc>
        <w:tc>
          <w:tcPr>
            <w:tcW w:w="1417" w:type="dxa"/>
            <w:tcBorders>
              <w:top w:val="nil"/>
              <w:left w:val="nil"/>
              <w:bottom w:val="single" w:sz="4" w:space="0" w:color="auto"/>
              <w:right w:val="single" w:sz="4" w:space="0" w:color="auto"/>
            </w:tcBorders>
            <w:noWrap/>
            <w:vAlign w:val="center"/>
          </w:tcPr>
          <w:p w14:paraId="15B43D2A" w14:textId="405274CF" w:rsidR="00DB2ACC" w:rsidRPr="002358B7" w:rsidRDefault="008D251E"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3E9B2B2E" w14:textId="77777777" w:rsidR="00DB2ACC" w:rsidRPr="002358B7" w:rsidRDefault="00DB2ACC"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61D46305" w14:textId="77777777" w:rsidR="00DB2ACC" w:rsidRPr="002358B7" w:rsidRDefault="00DB2ACC" w:rsidP="005E695F">
            <w:pPr>
              <w:spacing w:after="0" w:line="240" w:lineRule="auto"/>
              <w:jc w:val="center"/>
              <w:rPr>
                <w:rFonts w:eastAsia="Times New Roman" w:cstheme="minorHAnsi"/>
                <w:b/>
                <w:bCs/>
                <w:color w:val="000000"/>
                <w:sz w:val="24"/>
                <w:szCs w:val="24"/>
                <w:lang w:eastAsia="en-IE"/>
              </w:rPr>
            </w:pPr>
          </w:p>
        </w:tc>
      </w:tr>
      <w:tr w:rsidR="004C106E" w:rsidRPr="002358B7" w14:paraId="706A04FC" w14:textId="77777777" w:rsidTr="00C64F7C">
        <w:trPr>
          <w:trHeight w:val="600"/>
        </w:trPr>
        <w:tc>
          <w:tcPr>
            <w:tcW w:w="3823" w:type="dxa"/>
            <w:tcBorders>
              <w:top w:val="nil"/>
              <w:left w:val="single" w:sz="4" w:space="0" w:color="auto"/>
              <w:bottom w:val="single" w:sz="4" w:space="0" w:color="auto"/>
              <w:right w:val="single" w:sz="4" w:space="0" w:color="auto"/>
            </w:tcBorders>
            <w:noWrap/>
            <w:vAlign w:val="center"/>
          </w:tcPr>
          <w:p w14:paraId="45E7E4BB" w14:textId="77777777" w:rsidR="009F642F" w:rsidRPr="002358B7" w:rsidRDefault="009F642F" w:rsidP="004651EE">
            <w:pPr>
              <w:spacing w:before="160" w:after="80" w:line="240" w:lineRule="auto"/>
              <w:jc w:val="both"/>
              <w:rPr>
                <w:rFonts w:eastAsia="Calibri" w:cstheme="minorHAnsi"/>
                <w:sz w:val="24"/>
                <w:szCs w:val="24"/>
                <w:lang w:eastAsia="en-IE"/>
              </w:rPr>
            </w:pPr>
            <w:r w:rsidRPr="002358B7">
              <w:rPr>
                <w:rFonts w:eastAsia="Calibri" w:cstheme="minorHAnsi"/>
                <w:b/>
                <w:bCs/>
                <w:sz w:val="24"/>
                <w:szCs w:val="24"/>
                <w:lang w:eastAsia="en-IE"/>
              </w:rPr>
              <w:t>E3. Documentation</w:t>
            </w:r>
          </w:p>
          <w:p w14:paraId="6C3EC48E" w14:textId="77777777" w:rsidR="009F642F" w:rsidRPr="002358B7" w:rsidRDefault="009F642F"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t>The Tenderer must supply the following documentation with each system:</w:t>
            </w:r>
          </w:p>
          <w:p w14:paraId="3F0767A2"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Full technical/service manual (hard copy and electronic);</w:t>
            </w:r>
          </w:p>
          <w:p w14:paraId="1A1F88FF"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User manual (hard copy and electronic, in English);</w:t>
            </w:r>
          </w:p>
          <w:p w14:paraId="46D75BA1"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Declaration of Conformity;</w:t>
            </w:r>
          </w:p>
          <w:p w14:paraId="4EE303C8"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CE certificate;</w:t>
            </w:r>
          </w:p>
          <w:p w14:paraId="7614F6C1"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Acceptance test report;</w:t>
            </w:r>
          </w:p>
          <w:p w14:paraId="1D4B47EC"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Radiation safety information sheet;</w:t>
            </w:r>
          </w:p>
          <w:p w14:paraId="4815BD4B" w14:textId="77777777" w:rsidR="004C106E"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List of recommended spare parts and consumables.</w:t>
            </w:r>
          </w:p>
          <w:p w14:paraId="7B5084AB" w14:textId="5D339FB3" w:rsidR="009F642F" w:rsidRPr="002358B7" w:rsidRDefault="009F642F" w:rsidP="009F642F">
            <w:pPr>
              <w:spacing w:after="0" w:line="240" w:lineRule="auto"/>
              <w:ind w:left="720"/>
              <w:jc w:val="both"/>
              <w:rPr>
                <w:rFonts w:eastAsia="Calibri" w:cstheme="minorHAnsi"/>
                <w:sz w:val="24"/>
                <w:szCs w:val="24"/>
                <w:lang w:eastAsia="en-IE"/>
              </w:rPr>
            </w:pPr>
          </w:p>
        </w:tc>
        <w:tc>
          <w:tcPr>
            <w:tcW w:w="1417" w:type="dxa"/>
            <w:tcBorders>
              <w:top w:val="nil"/>
              <w:left w:val="nil"/>
              <w:bottom w:val="single" w:sz="4" w:space="0" w:color="auto"/>
              <w:right w:val="single" w:sz="4" w:space="0" w:color="auto"/>
            </w:tcBorders>
            <w:noWrap/>
            <w:vAlign w:val="center"/>
          </w:tcPr>
          <w:p w14:paraId="5AFE7F91" w14:textId="0E9FA883" w:rsidR="004C106E" w:rsidRPr="002358B7" w:rsidRDefault="008D251E"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7070C9CB" w14:textId="77777777" w:rsidR="004C106E" w:rsidRPr="002358B7" w:rsidRDefault="004C106E"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31FA7512" w14:textId="77777777" w:rsidR="004C106E" w:rsidRPr="002358B7" w:rsidRDefault="004C106E" w:rsidP="005E695F">
            <w:pPr>
              <w:spacing w:after="0" w:line="240" w:lineRule="auto"/>
              <w:jc w:val="center"/>
              <w:rPr>
                <w:rFonts w:eastAsia="Times New Roman" w:cstheme="minorHAnsi"/>
                <w:b/>
                <w:bCs/>
                <w:color w:val="000000"/>
                <w:sz w:val="24"/>
                <w:szCs w:val="24"/>
                <w:lang w:eastAsia="en-IE"/>
              </w:rPr>
            </w:pPr>
          </w:p>
        </w:tc>
      </w:tr>
      <w:tr w:rsidR="004C106E" w:rsidRPr="002358B7" w14:paraId="478E2432" w14:textId="77777777" w:rsidTr="00C64F7C">
        <w:trPr>
          <w:trHeight w:val="600"/>
        </w:trPr>
        <w:tc>
          <w:tcPr>
            <w:tcW w:w="3823" w:type="dxa"/>
            <w:tcBorders>
              <w:top w:val="nil"/>
              <w:left w:val="single" w:sz="4" w:space="0" w:color="auto"/>
              <w:bottom w:val="single" w:sz="4" w:space="0" w:color="auto"/>
              <w:right w:val="single" w:sz="4" w:space="0" w:color="auto"/>
            </w:tcBorders>
            <w:noWrap/>
            <w:vAlign w:val="center"/>
          </w:tcPr>
          <w:p w14:paraId="7BB31C21" w14:textId="77777777" w:rsidR="009F642F" w:rsidRPr="002358B7" w:rsidRDefault="009F642F" w:rsidP="004651EE">
            <w:pPr>
              <w:spacing w:before="200" w:after="80" w:line="240" w:lineRule="auto"/>
              <w:jc w:val="both"/>
              <w:rPr>
                <w:rFonts w:eastAsia="Calibri" w:cstheme="minorHAnsi"/>
                <w:sz w:val="24"/>
                <w:szCs w:val="24"/>
                <w:lang w:eastAsia="en-IE"/>
              </w:rPr>
            </w:pPr>
            <w:r w:rsidRPr="002358B7">
              <w:rPr>
                <w:rFonts w:eastAsia="Calibri" w:cstheme="minorHAnsi"/>
                <w:b/>
                <w:bCs/>
                <w:sz w:val="24"/>
                <w:szCs w:val="24"/>
                <w:lang w:eastAsia="en-IE"/>
              </w:rPr>
              <w:t>E4. Spare Parts Availability</w:t>
            </w:r>
          </w:p>
          <w:p w14:paraId="08337C3A" w14:textId="77D5E76F" w:rsidR="004C106E" w:rsidRPr="002358B7" w:rsidRDefault="009F642F" w:rsidP="004651EE">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 xml:space="preserve">The Tenderer must confirm that spare parts for the proposed systems will be available for a minimum of </w:t>
            </w:r>
            <w:r w:rsidRPr="002358B7">
              <w:rPr>
                <w:rFonts w:eastAsia="Calibri" w:cstheme="minorHAnsi"/>
                <w:b/>
                <w:bCs/>
                <w:sz w:val="24"/>
                <w:szCs w:val="24"/>
                <w:lang w:eastAsia="en-IE"/>
              </w:rPr>
              <w:t>ten (10) years</w:t>
            </w:r>
            <w:r w:rsidRPr="002358B7">
              <w:rPr>
                <w:rFonts w:eastAsia="Calibri" w:cstheme="minorHAnsi"/>
                <w:sz w:val="24"/>
                <w:szCs w:val="24"/>
                <w:lang w:eastAsia="en-IE"/>
              </w:rPr>
              <w:t xml:space="preserve"> from the date of supply. Tenderers must provide details of spare parts availability and lead times.</w:t>
            </w:r>
          </w:p>
        </w:tc>
        <w:tc>
          <w:tcPr>
            <w:tcW w:w="1417" w:type="dxa"/>
            <w:tcBorders>
              <w:top w:val="nil"/>
              <w:left w:val="nil"/>
              <w:bottom w:val="single" w:sz="4" w:space="0" w:color="auto"/>
              <w:right w:val="single" w:sz="4" w:space="0" w:color="auto"/>
            </w:tcBorders>
            <w:noWrap/>
            <w:vAlign w:val="center"/>
          </w:tcPr>
          <w:p w14:paraId="3A316CCD" w14:textId="1E106310" w:rsidR="004C106E" w:rsidRPr="002358B7" w:rsidRDefault="008D251E" w:rsidP="005E695F">
            <w:pPr>
              <w:spacing w:after="0" w:line="240" w:lineRule="auto"/>
              <w:jc w:val="center"/>
              <w:rPr>
                <w:rFonts w:eastAsia="Times New Roman" w:cstheme="minorHAnsi"/>
                <w:b/>
                <w:bCs/>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nil"/>
              <w:left w:val="nil"/>
              <w:bottom w:val="single" w:sz="4" w:space="0" w:color="auto"/>
              <w:right w:val="single" w:sz="4" w:space="0" w:color="auto"/>
            </w:tcBorders>
            <w:noWrap/>
            <w:vAlign w:val="center"/>
          </w:tcPr>
          <w:p w14:paraId="1527C300" w14:textId="77777777" w:rsidR="004C106E" w:rsidRPr="002358B7" w:rsidRDefault="004C106E"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31709844" w14:textId="77777777" w:rsidR="004C106E" w:rsidRPr="002358B7" w:rsidRDefault="004C106E" w:rsidP="005E695F">
            <w:pPr>
              <w:spacing w:after="0" w:line="240" w:lineRule="auto"/>
              <w:jc w:val="center"/>
              <w:rPr>
                <w:rFonts w:eastAsia="Times New Roman" w:cstheme="minorHAnsi"/>
                <w:b/>
                <w:bCs/>
                <w:color w:val="000000"/>
                <w:sz w:val="24"/>
                <w:szCs w:val="24"/>
                <w:lang w:eastAsia="en-IE"/>
              </w:rPr>
            </w:pPr>
          </w:p>
        </w:tc>
      </w:tr>
      <w:tr w:rsidR="009F642F" w:rsidRPr="002358B7" w14:paraId="6462DCDE" w14:textId="77777777" w:rsidTr="00C64F7C">
        <w:trPr>
          <w:trHeight w:val="600"/>
        </w:trPr>
        <w:tc>
          <w:tcPr>
            <w:tcW w:w="3823" w:type="dxa"/>
            <w:tcBorders>
              <w:top w:val="nil"/>
              <w:left w:val="single" w:sz="4" w:space="0" w:color="auto"/>
              <w:bottom w:val="single" w:sz="4" w:space="0" w:color="auto"/>
              <w:right w:val="single" w:sz="4" w:space="0" w:color="auto"/>
            </w:tcBorders>
            <w:noWrap/>
            <w:vAlign w:val="center"/>
          </w:tcPr>
          <w:p w14:paraId="45932B05" w14:textId="77777777" w:rsidR="009F642F" w:rsidRPr="002358B7" w:rsidRDefault="009F642F" w:rsidP="004651EE">
            <w:pPr>
              <w:spacing w:before="160" w:after="80" w:line="240" w:lineRule="auto"/>
              <w:rPr>
                <w:rFonts w:eastAsia="Calibri" w:cstheme="minorHAnsi"/>
                <w:sz w:val="24"/>
                <w:szCs w:val="24"/>
                <w:lang w:eastAsia="en-IE"/>
              </w:rPr>
            </w:pPr>
            <w:r w:rsidRPr="002358B7">
              <w:rPr>
                <w:rFonts w:eastAsia="Calibri" w:cstheme="minorHAnsi"/>
                <w:b/>
                <w:bCs/>
                <w:sz w:val="24"/>
                <w:szCs w:val="24"/>
                <w:lang w:eastAsia="en-IE"/>
              </w:rPr>
              <w:t>E5. Environmental and Sustainability</w:t>
            </w:r>
          </w:p>
          <w:p w14:paraId="39E63BBA" w14:textId="77777777" w:rsidR="009F642F" w:rsidRPr="002358B7" w:rsidRDefault="009F642F" w:rsidP="004651EE">
            <w:pPr>
              <w:spacing w:after="120" w:line="240" w:lineRule="auto"/>
              <w:jc w:val="both"/>
              <w:rPr>
                <w:rFonts w:eastAsia="Calibri" w:cstheme="minorHAnsi"/>
                <w:sz w:val="24"/>
                <w:szCs w:val="24"/>
                <w:lang w:eastAsia="en-IE"/>
              </w:rPr>
            </w:pPr>
            <w:r w:rsidRPr="002358B7">
              <w:rPr>
                <w:rFonts w:eastAsia="Calibri" w:cstheme="minorHAnsi"/>
                <w:sz w:val="24"/>
                <w:szCs w:val="24"/>
                <w:lang w:eastAsia="en-IE"/>
              </w:rPr>
              <w:lastRenderedPageBreak/>
              <w:t>Tenderers must provide information on the environmental credentials of the proposed systems, including:</w:t>
            </w:r>
          </w:p>
          <w:p w14:paraId="508E3166"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Energy consumption (typical operating and standby power);</w:t>
            </w:r>
          </w:p>
          <w:p w14:paraId="7A0A064B"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Compliance with RoHS and WEEE Directives;</w:t>
            </w:r>
          </w:p>
          <w:p w14:paraId="6DA06F31" w14:textId="77777777" w:rsidR="009F642F" w:rsidRPr="002358B7" w:rsidRDefault="009F642F" w:rsidP="004651EE">
            <w:pPr>
              <w:numPr>
                <w:ilvl w:val="0"/>
                <w:numId w:val="18"/>
              </w:numPr>
              <w:spacing w:after="0" w:line="240" w:lineRule="auto"/>
              <w:jc w:val="both"/>
              <w:rPr>
                <w:rFonts w:eastAsia="Calibri" w:cstheme="minorHAnsi"/>
                <w:sz w:val="24"/>
                <w:szCs w:val="24"/>
                <w:lang w:eastAsia="en-IE"/>
              </w:rPr>
            </w:pPr>
            <w:r w:rsidRPr="002358B7">
              <w:rPr>
                <w:rFonts w:eastAsia="Calibri" w:cstheme="minorHAnsi"/>
                <w:sz w:val="24"/>
                <w:szCs w:val="24"/>
                <w:lang w:eastAsia="en-IE"/>
              </w:rPr>
              <w:t>End-of-life disposal arrangements and take-back schemes (where available).</w:t>
            </w:r>
          </w:p>
          <w:p w14:paraId="1054234B" w14:textId="77777777" w:rsidR="009F642F" w:rsidRPr="002358B7" w:rsidRDefault="009F642F" w:rsidP="004651EE">
            <w:pPr>
              <w:spacing w:after="0" w:line="240" w:lineRule="auto"/>
              <w:jc w:val="both"/>
              <w:rPr>
                <w:rFonts w:eastAsia="Times New Roman" w:cstheme="minorHAnsi"/>
                <w:sz w:val="24"/>
                <w:szCs w:val="24"/>
                <w:lang w:eastAsia="en-IE"/>
              </w:rPr>
            </w:pPr>
          </w:p>
        </w:tc>
        <w:tc>
          <w:tcPr>
            <w:tcW w:w="1417" w:type="dxa"/>
            <w:tcBorders>
              <w:top w:val="nil"/>
              <w:left w:val="nil"/>
              <w:bottom w:val="single" w:sz="4" w:space="0" w:color="auto"/>
              <w:right w:val="single" w:sz="4" w:space="0" w:color="auto"/>
            </w:tcBorders>
            <w:noWrap/>
            <w:vAlign w:val="center"/>
          </w:tcPr>
          <w:p w14:paraId="06DAAE9E" w14:textId="467322AB" w:rsidR="009F642F" w:rsidRPr="002358B7" w:rsidRDefault="009F642F"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lastRenderedPageBreak/>
              <w:t>Mandatory</w:t>
            </w:r>
          </w:p>
        </w:tc>
        <w:tc>
          <w:tcPr>
            <w:tcW w:w="1276" w:type="dxa"/>
            <w:tcBorders>
              <w:top w:val="nil"/>
              <w:left w:val="nil"/>
              <w:bottom w:val="single" w:sz="4" w:space="0" w:color="auto"/>
              <w:right w:val="single" w:sz="4" w:space="0" w:color="auto"/>
            </w:tcBorders>
            <w:noWrap/>
            <w:vAlign w:val="center"/>
          </w:tcPr>
          <w:p w14:paraId="0E69A9FC" w14:textId="77777777" w:rsidR="009F642F" w:rsidRPr="002358B7" w:rsidRDefault="009F642F" w:rsidP="005E695F">
            <w:pPr>
              <w:spacing w:after="0" w:line="240" w:lineRule="auto"/>
              <w:jc w:val="center"/>
              <w:rPr>
                <w:rFonts w:eastAsia="Times New Roman" w:cstheme="minorHAnsi"/>
                <w:b/>
                <w:bCs/>
                <w:color w:val="000000"/>
                <w:sz w:val="24"/>
                <w:szCs w:val="24"/>
                <w:lang w:eastAsia="en-IE"/>
              </w:rPr>
            </w:pPr>
          </w:p>
        </w:tc>
        <w:tc>
          <w:tcPr>
            <w:tcW w:w="2693" w:type="dxa"/>
            <w:tcBorders>
              <w:top w:val="nil"/>
              <w:left w:val="nil"/>
              <w:bottom w:val="single" w:sz="4" w:space="0" w:color="auto"/>
              <w:right w:val="single" w:sz="4" w:space="0" w:color="auto"/>
            </w:tcBorders>
            <w:noWrap/>
            <w:vAlign w:val="center"/>
          </w:tcPr>
          <w:p w14:paraId="06AAE013" w14:textId="77777777" w:rsidR="009F642F" w:rsidRPr="002358B7" w:rsidRDefault="009F642F" w:rsidP="005E695F">
            <w:pPr>
              <w:spacing w:after="0" w:line="240" w:lineRule="auto"/>
              <w:jc w:val="center"/>
              <w:rPr>
                <w:rFonts w:eastAsia="Times New Roman" w:cstheme="minorHAnsi"/>
                <w:b/>
                <w:bCs/>
                <w:color w:val="000000"/>
                <w:sz w:val="24"/>
                <w:szCs w:val="24"/>
                <w:lang w:eastAsia="en-IE"/>
              </w:rPr>
            </w:pPr>
          </w:p>
        </w:tc>
      </w:tr>
      <w:tr w:rsidR="00E17245" w:rsidRPr="002358B7" w14:paraId="59AC267F" w14:textId="77777777" w:rsidTr="00C64F7C">
        <w:trPr>
          <w:trHeight w:val="600"/>
        </w:trPr>
        <w:tc>
          <w:tcPr>
            <w:tcW w:w="3823" w:type="dxa"/>
            <w:tcBorders>
              <w:top w:val="single" w:sz="4" w:space="0" w:color="auto"/>
              <w:left w:val="single" w:sz="4" w:space="0" w:color="auto"/>
              <w:bottom w:val="single" w:sz="4" w:space="0" w:color="auto"/>
              <w:right w:val="single" w:sz="4" w:space="0" w:color="auto"/>
            </w:tcBorders>
            <w:noWrap/>
            <w:vAlign w:val="center"/>
          </w:tcPr>
          <w:p w14:paraId="7D7FF688" w14:textId="77777777" w:rsidR="009F642F" w:rsidRPr="002358B7" w:rsidRDefault="009F642F" w:rsidP="004651EE">
            <w:pPr>
              <w:spacing w:before="200" w:after="80" w:line="240" w:lineRule="auto"/>
              <w:jc w:val="both"/>
              <w:rPr>
                <w:rFonts w:eastAsia="Calibri" w:cstheme="minorHAnsi"/>
                <w:sz w:val="24"/>
                <w:szCs w:val="24"/>
                <w:lang w:eastAsia="en-IE"/>
              </w:rPr>
            </w:pPr>
            <w:r w:rsidRPr="002358B7">
              <w:rPr>
                <w:rFonts w:eastAsia="Calibri" w:cstheme="minorHAnsi"/>
                <w:b/>
                <w:bCs/>
                <w:sz w:val="24"/>
                <w:szCs w:val="24"/>
                <w:lang w:eastAsia="en-IE"/>
              </w:rPr>
              <w:t>E6. Single Point of Contact</w:t>
            </w:r>
          </w:p>
          <w:p w14:paraId="67A6409B" w14:textId="7F744118" w:rsidR="009F642F" w:rsidRPr="002358B7" w:rsidRDefault="009F642F" w:rsidP="004651EE">
            <w:pPr>
              <w:spacing w:after="200" w:line="240" w:lineRule="auto"/>
              <w:jc w:val="both"/>
              <w:rPr>
                <w:rFonts w:eastAsia="Calibri" w:cstheme="minorHAnsi"/>
                <w:sz w:val="24"/>
                <w:szCs w:val="24"/>
                <w:lang w:eastAsia="en-IE"/>
              </w:rPr>
            </w:pPr>
            <w:r w:rsidRPr="002358B7">
              <w:rPr>
                <w:rFonts w:eastAsia="Calibri" w:cstheme="minorHAnsi"/>
                <w:sz w:val="24"/>
                <w:szCs w:val="24"/>
                <w:lang w:eastAsia="en-IE"/>
              </w:rPr>
              <w:t>The Tenderer must nominate a dedicated account manager/single point of contact for SVUH for the duration of the Goods Contract. Tenderers must provide details of the proposed account management structure and contact arrangements.</w:t>
            </w:r>
          </w:p>
        </w:tc>
        <w:tc>
          <w:tcPr>
            <w:tcW w:w="1417" w:type="dxa"/>
            <w:tcBorders>
              <w:top w:val="single" w:sz="4" w:space="0" w:color="auto"/>
              <w:left w:val="nil"/>
              <w:bottom w:val="single" w:sz="4" w:space="0" w:color="auto"/>
              <w:right w:val="single" w:sz="4" w:space="0" w:color="auto"/>
            </w:tcBorders>
            <w:noWrap/>
            <w:vAlign w:val="center"/>
          </w:tcPr>
          <w:p w14:paraId="70095678" w14:textId="75B51C80" w:rsidR="00E17245" w:rsidRPr="002358B7" w:rsidRDefault="008D251E" w:rsidP="005E695F">
            <w:pPr>
              <w:spacing w:after="0" w:line="240" w:lineRule="auto"/>
              <w:jc w:val="center"/>
              <w:rPr>
                <w:rFonts w:eastAsia="Times New Roman" w:cstheme="minorHAnsi"/>
                <w:b/>
                <w:bCs/>
                <w:color w:val="FF0000"/>
                <w:sz w:val="24"/>
                <w:szCs w:val="24"/>
                <w:lang w:eastAsia="en-IE"/>
              </w:rPr>
            </w:pPr>
            <w:r w:rsidRPr="002358B7">
              <w:rPr>
                <w:rFonts w:eastAsia="Times New Roman" w:cstheme="minorHAnsi"/>
                <w:b/>
                <w:bCs/>
                <w:color w:val="FF0000"/>
                <w:sz w:val="24"/>
                <w:szCs w:val="24"/>
                <w:lang w:eastAsia="en-IE"/>
              </w:rPr>
              <w:t>Mandatory</w:t>
            </w:r>
          </w:p>
        </w:tc>
        <w:tc>
          <w:tcPr>
            <w:tcW w:w="1276" w:type="dxa"/>
            <w:tcBorders>
              <w:top w:val="single" w:sz="4" w:space="0" w:color="auto"/>
              <w:left w:val="nil"/>
              <w:bottom w:val="single" w:sz="4" w:space="0" w:color="auto"/>
              <w:right w:val="single" w:sz="4" w:space="0" w:color="auto"/>
            </w:tcBorders>
            <w:noWrap/>
            <w:vAlign w:val="center"/>
          </w:tcPr>
          <w:p w14:paraId="31472378" w14:textId="77777777" w:rsidR="00E17245" w:rsidRPr="002358B7" w:rsidRDefault="00E17245" w:rsidP="005E695F">
            <w:pPr>
              <w:spacing w:after="0" w:line="240" w:lineRule="auto"/>
              <w:jc w:val="center"/>
              <w:rPr>
                <w:rFonts w:eastAsia="Times New Roman" w:cstheme="minorHAnsi"/>
                <w:b/>
                <w:bCs/>
                <w:color w:val="000000"/>
                <w:sz w:val="24"/>
                <w:szCs w:val="24"/>
                <w:lang w:eastAsia="en-IE"/>
              </w:rPr>
            </w:pPr>
          </w:p>
        </w:tc>
        <w:tc>
          <w:tcPr>
            <w:tcW w:w="2693" w:type="dxa"/>
            <w:tcBorders>
              <w:top w:val="single" w:sz="4" w:space="0" w:color="auto"/>
              <w:left w:val="nil"/>
              <w:bottom w:val="single" w:sz="4" w:space="0" w:color="auto"/>
              <w:right w:val="single" w:sz="4" w:space="0" w:color="auto"/>
            </w:tcBorders>
            <w:noWrap/>
            <w:vAlign w:val="center"/>
          </w:tcPr>
          <w:p w14:paraId="11287F66" w14:textId="77777777" w:rsidR="00E17245" w:rsidRPr="002358B7" w:rsidRDefault="00E17245" w:rsidP="005E695F">
            <w:pPr>
              <w:spacing w:after="0" w:line="240" w:lineRule="auto"/>
              <w:jc w:val="center"/>
              <w:rPr>
                <w:rFonts w:eastAsia="Times New Roman" w:cstheme="minorHAnsi"/>
                <w:b/>
                <w:bCs/>
                <w:color w:val="000000"/>
                <w:sz w:val="24"/>
                <w:szCs w:val="24"/>
                <w:lang w:eastAsia="en-IE"/>
              </w:rPr>
            </w:pPr>
          </w:p>
        </w:tc>
      </w:tr>
      <w:bookmarkEnd w:id="1"/>
    </w:tbl>
    <w:p w14:paraId="2BCC74EC" w14:textId="77777777" w:rsidR="009F642F" w:rsidRPr="002358B7" w:rsidRDefault="009F642F" w:rsidP="00A3524B">
      <w:pPr>
        <w:rPr>
          <w:rFonts w:eastAsia="Times New Roman" w:cstheme="minorHAnsi"/>
          <w:b/>
          <w:color w:val="333399"/>
          <w:sz w:val="24"/>
          <w:szCs w:val="24"/>
          <w:lang w:val="en-US"/>
        </w:rPr>
      </w:pPr>
    </w:p>
    <w:p w14:paraId="3315A8D0" w14:textId="77777777" w:rsidR="005A21C6" w:rsidRPr="00DB2ACC" w:rsidRDefault="005A21C6" w:rsidP="005A21C6">
      <w:pPr>
        <w:pStyle w:val="ListParagraph"/>
        <w:ind w:left="1080"/>
        <w:rPr>
          <w:rFonts w:eastAsia="Times New Roman" w:cstheme="minorHAnsi"/>
          <w:b/>
          <w:color w:val="333399"/>
          <w:sz w:val="24"/>
          <w:szCs w:val="24"/>
          <w:lang w:val="en-US"/>
        </w:rPr>
      </w:pPr>
    </w:p>
    <w:p w14:paraId="750B000C" w14:textId="73A6AF6C" w:rsidR="00C1689E" w:rsidRDefault="00761226" w:rsidP="006A147C">
      <w:pPr>
        <w:pStyle w:val="ListParagraph"/>
        <w:numPr>
          <w:ilvl w:val="0"/>
          <w:numId w:val="16"/>
        </w:numPr>
        <w:jc w:val="both"/>
        <w:rPr>
          <w:rFonts w:eastAsia="Times New Roman" w:cstheme="minorHAnsi"/>
          <w:b/>
          <w:sz w:val="24"/>
          <w:szCs w:val="24"/>
          <w:lang w:val="en-US"/>
        </w:rPr>
      </w:pPr>
      <w:r>
        <w:rPr>
          <w:rFonts w:eastAsia="Times New Roman" w:cstheme="minorHAnsi"/>
          <w:b/>
          <w:sz w:val="24"/>
          <w:szCs w:val="24"/>
          <w:lang w:val="en-US"/>
        </w:rPr>
        <w:t xml:space="preserve">TENDER </w:t>
      </w:r>
      <w:r w:rsidR="00721D98" w:rsidRPr="00DB2ACC">
        <w:rPr>
          <w:rFonts w:eastAsia="Times New Roman" w:cstheme="minorHAnsi"/>
          <w:b/>
          <w:sz w:val="24"/>
          <w:szCs w:val="24"/>
          <w:lang w:val="en-US"/>
        </w:rPr>
        <w:t>RESPONSE DOCUMENT</w:t>
      </w:r>
    </w:p>
    <w:p w14:paraId="3CAADC9E" w14:textId="0F5A337F" w:rsidR="00C1689E" w:rsidRPr="00C1689E" w:rsidRDefault="00C1689E" w:rsidP="006A147C">
      <w:pPr>
        <w:jc w:val="both"/>
        <w:rPr>
          <w:rFonts w:eastAsia="Times New Roman" w:cstheme="minorHAnsi"/>
          <w:bCs/>
          <w:sz w:val="24"/>
          <w:szCs w:val="24"/>
          <w:lang w:val="en-US"/>
        </w:rPr>
      </w:pPr>
      <w:r w:rsidRPr="00C1689E">
        <w:rPr>
          <w:rFonts w:eastAsia="Times New Roman" w:cstheme="minorHAnsi"/>
          <w:bCs/>
          <w:sz w:val="24"/>
          <w:szCs w:val="24"/>
          <w:lang w:val="en-US"/>
        </w:rPr>
        <w:t xml:space="preserve">Tenderers </w:t>
      </w:r>
      <w:r w:rsidR="006242E5">
        <w:rPr>
          <w:rFonts w:eastAsia="Times New Roman" w:cstheme="minorHAnsi"/>
          <w:bCs/>
          <w:sz w:val="24"/>
          <w:szCs w:val="24"/>
          <w:lang w:val="en-US"/>
        </w:rPr>
        <w:t xml:space="preserve">are required </w:t>
      </w:r>
      <w:r w:rsidRPr="00C1689E">
        <w:rPr>
          <w:rFonts w:eastAsia="Times New Roman" w:cstheme="minorHAnsi"/>
          <w:bCs/>
          <w:sz w:val="24"/>
          <w:szCs w:val="24"/>
          <w:lang w:val="en-US"/>
        </w:rPr>
        <w:t xml:space="preserve">to formulate their proposals when they are responding to the Qualitative Award Criteria under </w:t>
      </w:r>
      <w:r w:rsidR="00F47DCD">
        <w:rPr>
          <w:rFonts w:eastAsia="Times New Roman" w:cstheme="minorHAnsi"/>
          <w:bCs/>
          <w:sz w:val="24"/>
          <w:szCs w:val="24"/>
          <w:lang w:val="en-US"/>
        </w:rPr>
        <w:t>1-</w:t>
      </w:r>
      <w:r w:rsidR="00D95517">
        <w:rPr>
          <w:rFonts w:eastAsia="Times New Roman" w:cstheme="minorHAnsi"/>
          <w:bCs/>
          <w:sz w:val="24"/>
          <w:szCs w:val="24"/>
          <w:lang w:val="en-US"/>
        </w:rPr>
        <w:t>2</w:t>
      </w:r>
      <w:r w:rsidR="00F47DCD">
        <w:rPr>
          <w:rFonts w:eastAsia="Times New Roman" w:cstheme="minorHAnsi"/>
          <w:bCs/>
          <w:sz w:val="24"/>
          <w:szCs w:val="24"/>
          <w:lang w:val="en-US"/>
        </w:rPr>
        <w:t xml:space="preserve"> of </w:t>
      </w:r>
      <w:r w:rsidRPr="00C1689E">
        <w:rPr>
          <w:rFonts w:eastAsia="Times New Roman" w:cstheme="minorHAnsi"/>
          <w:bCs/>
          <w:sz w:val="24"/>
          <w:szCs w:val="24"/>
          <w:lang w:val="en-US"/>
        </w:rPr>
        <w:t>Section 3.3 of the RFT.</w:t>
      </w:r>
    </w:p>
    <w:p w14:paraId="01DE8107" w14:textId="539A3421" w:rsidR="00C1689E" w:rsidRPr="00C1689E" w:rsidRDefault="00C1689E" w:rsidP="006A147C">
      <w:pPr>
        <w:jc w:val="both"/>
        <w:rPr>
          <w:rFonts w:eastAsia="Times New Roman" w:cstheme="minorHAnsi"/>
          <w:bCs/>
          <w:sz w:val="24"/>
          <w:szCs w:val="24"/>
          <w:lang w:val="en-US"/>
        </w:rPr>
      </w:pPr>
      <w:r w:rsidRPr="00C1689E">
        <w:rPr>
          <w:rFonts w:eastAsia="Times New Roman" w:cstheme="minorHAnsi"/>
          <w:bCs/>
          <w:sz w:val="24"/>
          <w:szCs w:val="24"/>
          <w:lang w:val="en-US"/>
        </w:rPr>
        <w:t xml:space="preserve">SVUH will use the responses below to determine if a proposal meets the minimum service requirements. </w:t>
      </w:r>
    </w:p>
    <w:p w14:paraId="5008A509" w14:textId="494ABBE5" w:rsidR="00C1689E" w:rsidRPr="00C1689E" w:rsidRDefault="00C1689E" w:rsidP="006A147C">
      <w:pPr>
        <w:jc w:val="both"/>
        <w:rPr>
          <w:rFonts w:eastAsia="Times New Roman" w:cstheme="minorHAnsi"/>
          <w:bCs/>
          <w:sz w:val="24"/>
          <w:szCs w:val="24"/>
          <w:lang w:val="en-US"/>
        </w:rPr>
      </w:pPr>
      <w:r w:rsidRPr="00C1689E">
        <w:rPr>
          <w:rFonts w:eastAsia="Times New Roman" w:cstheme="minorHAnsi"/>
          <w:bCs/>
          <w:sz w:val="24"/>
          <w:szCs w:val="24"/>
          <w:lang w:val="en-US"/>
        </w:rPr>
        <w:t xml:space="preserve">The standard expected to be met is elaborated in Appendix 1 to this RFT. In conjunction with Appendix 1, Tenderers are required to outline details of how their proposal responds to the criteria below as in 3.3 of RFT. </w:t>
      </w:r>
    </w:p>
    <w:p w14:paraId="76B02CA6" w14:textId="77777777" w:rsidR="00C1689E" w:rsidRPr="00C1689E" w:rsidRDefault="00C1689E" w:rsidP="006A147C">
      <w:pPr>
        <w:jc w:val="both"/>
        <w:rPr>
          <w:rFonts w:eastAsia="Times New Roman" w:cstheme="minorHAnsi"/>
          <w:bCs/>
          <w:sz w:val="24"/>
          <w:szCs w:val="24"/>
          <w:lang w:val="en-US"/>
        </w:rPr>
      </w:pPr>
      <w:r w:rsidRPr="00C1689E">
        <w:rPr>
          <w:rFonts w:eastAsia="Times New Roman" w:cstheme="minorHAnsi"/>
          <w:bCs/>
          <w:sz w:val="24"/>
          <w:szCs w:val="24"/>
          <w:lang w:val="en-US"/>
        </w:rPr>
        <w:t>As reiterated in Appendix 1: Tenderers must address each of the issues and requirements in Appendix 1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6A42ABE9" w14:textId="5FADE01A" w:rsidR="00C1689E" w:rsidRDefault="00C1689E" w:rsidP="006A147C">
      <w:pPr>
        <w:jc w:val="both"/>
        <w:rPr>
          <w:rFonts w:eastAsia="Times New Roman" w:cstheme="minorHAnsi"/>
          <w:bCs/>
          <w:sz w:val="24"/>
          <w:szCs w:val="24"/>
          <w:lang w:val="en-US"/>
        </w:rPr>
      </w:pPr>
      <w:r w:rsidRPr="00C1689E">
        <w:rPr>
          <w:rFonts w:eastAsia="Times New Roman" w:cstheme="minorHAnsi"/>
          <w:bCs/>
          <w:sz w:val="24"/>
          <w:szCs w:val="24"/>
          <w:lang w:val="en-US"/>
        </w:rPr>
        <w:t>The page limits mentioned below do not include the questions / details on the criteria.</w:t>
      </w:r>
    </w:p>
    <w:p w14:paraId="350658C3" w14:textId="77777777" w:rsidR="00F47DCD" w:rsidRDefault="00F47DCD" w:rsidP="00C1689E">
      <w:pPr>
        <w:rPr>
          <w:rFonts w:eastAsia="Times New Roman" w:cstheme="minorHAnsi"/>
          <w:bCs/>
          <w:sz w:val="24"/>
          <w:szCs w:val="24"/>
          <w:lang w:val="en-US"/>
        </w:rPr>
      </w:pPr>
    </w:p>
    <w:p w14:paraId="5CE39E58" w14:textId="77777777" w:rsidR="00D95517" w:rsidRDefault="00D95517" w:rsidP="00C1689E">
      <w:pPr>
        <w:rPr>
          <w:rFonts w:eastAsia="Times New Roman" w:cstheme="minorHAnsi"/>
          <w:bCs/>
          <w:sz w:val="24"/>
          <w:szCs w:val="24"/>
          <w:lang w:val="en-US"/>
        </w:rPr>
      </w:pPr>
    </w:p>
    <w:p w14:paraId="3119FE6B" w14:textId="77777777" w:rsidR="00D95517" w:rsidRDefault="00D95517" w:rsidP="00C1689E">
      <w:pPr>
        <w:rPr>
          <w:rFonts w:eastAsia="Times New Roman" w:cstheme="minorHAnsi"/>
          <w:bCs/>
          <w:sz w:val="24"/>
          <w:szCs w:val="24"/>
          <w:lang w:val="en-US"/>
        </w:rPr>
      </w:pPr>
    </w:p>
    <w:p w14:paraId="54DC86C2" w14:textId="2B2A9333" w:rsidR="000D6328" w:rsidRDefault="00F47DCD" w:rsidP="000D6328">
      <w:pPr>
        <w:jc w:val="center"/>
        <w:rPr>
          <w:rFonts w:eastAsia="Times New Roman" w:cstheme="minorHAnsi"/>
          <w:b/>
          <w:color w:val="000000" w:themeColor="text1"/>
          <w:sz w:val="24"/>
          <w:szCs w:val="24"/>
          <w:lang w:val="en-GB" w:eastAsia="en-IE"/>
        </w:rPr>
      </w:pPr>
      <w:r w:rsidRPr="00A563BF">
        <w:rPr>
          <w:rFonts w:cstheme="minorHAnsi"/>
          <w:b/>
          <w:color w:val="000000" w:themeColor="text1"/>
          <w:sz w:val="24"/>
          <w:szCs w:val="24"/>
          <w:lang w:val="en-GB"/>
        </w:rPr>
        <w:lastRenderedPageBreak/>
        <w:t xml:space="preserve">QUALITATIVE AWARD CRITERIA </w:t>
      </w:r>
      <w:r w:rsidRPr="00A563BF">
        <w:rPr>
          <w:rFonts w:eastAsia="Times New Roman" w:cstheme="minorHAnsi"/>
          <w:b/>
          <w:color w:val="000000" w:themeColor="text1"/>
          <w:sz w:val="24"/>
          <w:szCs w:val="24"/>
          <w:lang w:val="en-GB" w:eastAsia="en-IE"/>
        </w:rPr>
        <w:t>(</w:t>
      </w:r>
      <w:r w:rsidR="00A563BF" w:rsidRPr="00A563BF">
        <w:rPr>
          <w:rFonts w:eastAsia="Times New Roman" w:cstheme="minorHAnsi"/>
          <w:b/>
          <w:color w:val="000000" w:themeColor="text1"/>
          <w:sz w:val="24"/>
          <w:szCs w:val="24"/>
          <w:lang w:val="en-GB" w:eastAsia="en-IE"/>
        </w:rPr>
        <w:t>1</w:t>
      </w:r>
      <w:r w:rsidRPr="00A563BF">
        <w:rPr>
          <w:rFonts w:eastAsia="Times New Roman" w:cstheme="minorHAnsi"/>
          <w:b/>
          <w:color w:val="000000" w:themeColor="text1"/>
          <w:sz w:val="24"/>
          <w:szCs w:val="24"/>
          <w:lang w:val="en-GB" w:eastAsia="en-IE"/>
        </w:rPr>
        <w:t xml:space="preserve"> to </w:t>
      </w:r>
      <w:r w:rsidR="001555FD">
        <w:rPr>
          <w:rFonts w:eastAsia="Times New Roman" w:cstheme="minorHAnsi"/>
          <w:b/>
          <w:color w:val="000000" w:themeColor="text1"/>
          <w:sz w:val="24"/>
          <w:szCs w:val="24"/>
          <w:lang w:val="en-GB" w:eastAsia="en-IE"/>
        </w:rPr>
        <w:t>2</w:t>
      </w:r>
      <w:r w:rsidRPr="00A563BF">
        <w:rPr>
          <w:rFonts w:eastAsia="Times New Roman" w:cstheme="minorHAnsi"/>
          <w:b/>
          <w:color w:val="000000" w:themeColor="text1"/>
          <w:sz w:val="24"/>
          <w:szCs w:val="24"/>
          <w:lang w:val="en-GB" w:eastAsia="en-IE"/>
        </w:rPr>
        <w:t xml:space="preserve"> below)</w:t>
      </w:r>
    </w:p>
    <w:p w14:paraId="6235F0CE" w14:textId="77777777" w:rsidR="00DF12D3" w:rsidRPr="000D6328" w:rsidRDefault="00DF12D3" w:rsidP="000D6328">
      <w:pPr>
        <w:jc w:val="center"/>
        <w:rPr>
          <w:rFonts w:eastAsia="Times New Roman" w:cstheme="minorHAnsi"/>
          <w:b/>
          <w:color w:val="000000" w:themeColor="text1"/>
          <w:sz w:val="24"/>
          <w:szCs w:val="24"/>
          <w:lang w:val="en-GB" w:eastAsia="en-IE"/>
        </w:rPr>
      </w:pPr>
    </w:p>
    <w:p w14:paraId="426C1E72" w14:textId="77777777" w:rsidR="000D6328" w:rsidRPr="00E61E62" w:rsidRDefault="000D6328" w:rsidP="000D6328">
      <w:pPr>
        <w:spacing w:before="160" w:after="120" w:line="240" w:lineRule="auto"/>
        <w:rPr>
          <w:rFonts w:ascii="Calibri" w:eastAsia="Calibri" w:hAnsi="Calibri" w:cs="Calibri"/>
          <w:sz w:val="24"/>
          <w:szCs w:val="24"/>
          <w:lang w:eastAsia="en-IE"/>
        </w:rPr>
      </w:pPr>
      <w:r w:rsidRPr="00E61E62">
        <w:rPr>
          <w:rFonts w:ascii="Calibri" w:eastAsia="Calibri" w:hAnsi="Calibri" w:cs="Calibri"/>
          <w:b/>
          <w:bCs/>
          <w:sz w:val="24"/>
          <w:szCs w:val="24"/>
          <w:lang w:eastAsia="en-IE"/>
        </w:rPr>
        <w:t>Criterion 1 – Technical/Clinical Merit (40%)</w:t>
      </w:r>
    </w:p>
    <w:p w14:paraId="48D8D1CE" w14:textId="77777777" w:rsidR="000D6328" w:rsidRPr="00E61E62" w:rsidRDefault="000D6328" w:rsidP="000D6328">
      <w:pPr>
        <w:spacing w:after="120" w:line="240" w:lineRule="auto"/>
        <w:rPr>
          <w:rFonts w:ascii="Calibri" w:eastAsia="Calibri" w:hAnsi="Calibri" w:cs="Calibri"/>
          <w:sz w:val="24"/>
          <w:szCs w:val="24"/>
          <w:lang w:eastAsia="en-IE"/>
        </w:rPr>
      </w:pPr>
      <w:r w:rsidRPr="00E61E62">
        <w:rPr>
          <w:rFonts w:ascii="Calibri" w:eastAsia="Calibri" w:hAnsi="Calibri" w:cs="Calibri"/>
          <w:sz w:val="24"/>
          <w:szCs w:val="24"/>
          <w:lang w:eastAsia="en-IE"/>
        </w:rPr>
        <w:t>Tenderers will be evaluated on the technical and clinical quality of the proposed Gamma Detection Systems. The evaluation will consider, inter alia:</w:t>
      </w:r>
    </w:p>
    <w:p w14:paraId="40F5B63C" w14:textId="77777777" w:rsidR="000D6328" w:rsidRPr="00E61E62" w:rsidRDefault="000D6328" w:rsidP="000D6328">
      <w:pPr>
        <w:numPr>
          <w:ilvl w:val="0"/>
          <w:numId w:val="18"/>
        </w:numPr>
        <w:spacing w:after="0" w:line="240" w:lineRule="auto"/>
        <w:jc w:val="both"/>
        <w:rPr>
          <w:rFonts w:ascii="Calibri" w:eastAsia="Calibri" w:hAnsi="Calibri" w:cs="Calibri"/>
          <w:sz w:val="24"/>
          <w:szCs w:val="24"/>
          <w:lang w:eastAsia="en-IE"/>
        </w:rPr>
      </w:pPr>
      <w:r w:rsidRPr="00E61E62">
        <w:rPr>
          <w:rFonts w:ascii="Calibri" w:eastAsia="Calibri" w:hAnsi="Calibri" w:cs="Calibri"/>
          <w:sz w:val="24"/>
          <w:szCs w:val="24"/>
          <w:lang w:eastAsia="en-IE"/>
        </w:rPr>
        <w:t>The technical specifications and performance characteristics of the proposed system (e.g., sensitivity, spatial resolution, energy range, detector type);</w:t>
      </w:r>
    </w:p>
    <w:p w14:paraId="2D5CF2F1" w14:textId="77777777" w:rsidR="000D6328" w:rsidRPr="00E61E62" w:rsidRDefault="000D6328" w:rsidP="000D6328">
      <w:pPr>
        <w:numPr>
          <w:ilvl w:val="0"/>
          <w:numId w:val="18"/>
        </w:numPr>
        <w:spacing w:after="0" w:line="240" w:lineRule="auto"/>
        <w:jc w:val="both"/>
        <w:rPr>
          <w:rFonts w:ascii="Calibri" w:eastAsia="Calibri" w:hAnsi="Calibri" w:cs="Calibri"/>
          <w:sz w:val="24"/>
          <w:szCs w:val="24"/>
          <w:lang w:eastAsia="en-IE"/>
        </w:rPr>
      </w:pPr>
      <w:r w:rsidRPr="00E61E62">
        <w:rPr>
          <w:rFonts w:ascii="Calibri" w:eastAsia="Calibri" w:hAnsi="Calibri" w:cs="Calibri"/>
          <w:sz w:val="24"/>
          <w:szCs w:val="24"/>
          <w:lang w:eastAsia="en-IE"/>
        </w:rPr>
        <w:t xml:space="preserve">Clinical suitability for the intended applications at SVUH, including sentinel lymph node biopsy, </w:t>
      </w:r>
      <w:proofErr w:type="spellStart"/>
      <w:r w:rsidRPr="00E61E62">
        <w:rPr>
          <w:rFonts w:ascii="Calibri" w:eastAsia="Calibri" w:hAnsi="Calibri" w:cs="Calibri"/>
          <w:sz w:val="24"/>
          <w:szCs w:val="24"/>
          <w:lang w:eastAsia="en-IE"/>
        </w:rPr>
        <w:t>radioguided</w:t>
      </w:r>
      <w:proofErr w:type="spellEnd"/>
      <w:r w:rsidRPr="00E61E62">
        <w:rPr>
          <w:rFonts w:ascii="Calibri" w:eastAsia="Calibri" w:hAnsi="Calibri" w:cs="Calibri"/>
          <w:sz w:val="24"/>
          <w:szCs w:val="24"/>
          <w:lang w:eastAsia="en-IE"/>
        </w:rPr>
        <w:t xml:space="preserve"> surgery, and other intraoperative procedures;</w:t>
      </w:r>
    </w:p>
    <w:p w14:paraId="61E0C48A" w14:textId="77777777" w:rsidR="000D6328" w:rsidRPr="00E61E62" w:rsidRDefault="000D6328" w:rsidP="000D6328">
      <w:pPr>
        <w:numPr>
          <w:ilvl w:val="0"/>
          <w:numId w:val="18"/>
        </w:numPr>
        <w:spacing w:after="0" w:line="240" w:lineRule="auto"/>
        <w:jc w:val="both"/>
        <w:rPr>
          <w:rFonts w:ascii="Calibri" w:eastAsia="Calibri" w:hAnsi="Calibri" w:cs="Calibri"/>
          <w:sz w:val="24"/>
          <w:szCs w:val="24"/>
          <w:lang w:eastAsia="en-IE"/>
        </w:rPr>
      </w:pPr>
      <w:r w:rsidRPr="00E61E62">
        <w:rPr>
          <w:rFonts w:ascii="Calibri" w:eastAsia="Calibri" w:hAnsi="Calibri" w:cs="Calibri"/>
          <w:sz w:val="24"/>
          <w:szCs w:val="24"/>
          <w:lang w:eastAsia="en-IE"/>
        </w:rPr>
        <w:t>Ergonomics, ease of use, and suitability for the clinical environment;</w:t>
      </w:r>
    </w:p>
    <w:p w14:paraId="06E0DCCB" w14:textId="77777777" w:rsidR="000D6328" w:rsidRPr="00E61E62" w:rsidRDefault="000D6328" w:rsidP="000D6328">
      <w:pPr>
        <w:numPr>
          <w:ilvl w:val="0"/>
          <w:numId w:val="18"/>
        </w:numPr>
        <w:spacing w:after="0" w:line="240" w:lineRule="auto"/>
        <w:jc w:val="both"/>
        <w:rPr>
          <w:rFonts w:ascii="Calibri" w:eastAsia="Calibri" w:hAnsi="Calibri" w:cs="Calibri"/>
          <w:sz w:val="24"/>
          <w:szCs w:val="24"/>
          <w:lang w:eastAsia="en-IE"/>
        </w:rPr>
      </w:pPr>
      <w:r w:rsidRPr="00E61E62">
        <w:rPr>
          <w:rFonts w:ascii="Calibri" w:eastAsia="Calibri" w:hAnsi="Calibri" w:cs="Calibri"/>
          <w:sz w:val="24"/>
          <w:szCs w:val="24"/>
          <w:lang w:eastAsia="en-IE"/>
        </w:rPr>
        <w:t>Quality and comprehensiveness of accompanying accessories and consumables;</w:t>
      </w:r>
    </w:p>
    <w:p w14:paraId="7B83187B" w14:textId="77777777" w:rsidR="000D6328" w:rsidRPr="00E61E62" w:rsidRDefault="000D6328" w:rsidP="000D6328">
      <w:pPr>
        <w:numPr>
          <w:ilvl w:val="0"/>
          <w:numId w:val="18"/>
        </w:numPr>
        <w:spacing w:after="0" w:line="240" w:lineRule="auto"/>
        <w:jc w:val="both"/>
        <w:rPr>
          <w:rFonts w:ascii="Calibri" w:eastAsia="Calibri" w:hAnsi="Calibri" w:cs="Calibri"/>
          <w:sz w:val="24"/>
          <w:szCs w:val="24"/>
          <w:lang w:eastAsia="en-IE"/>
        </w:rPr>
      </w:pPr>
      <w:r w:rsidRPr="00E61E62">
        <w:rPr>
          <w:rFonts w:ascii="Calibri" w:eastAsia="Calibri" w:hAnsi="Calibri" w:cs="Calibri"/>
          <w:sz w:val="24"/>
          <w:szCs w:val="24"/>
          <w:lang w:eastAsia="en-IE"/>
        </w:rPr>
        <w:t>Evidence of clinical validation and peer-reviewed performance data;</w:t>
      </w:r>
    </w:p>
    <w:p w14:paraId="6F4F247C" w14:textId="77777777" w:rsidR="000D6328" w:rsidRPr="00E61E62" w:rsidRDefault="000D6328" w:rsidP="000D6328">
      <w:pPr>
        <w:numPr>
          <w:ilvl w:val="0"/>
          <w:numId w:val="18"/>
        </w:numPr>
        <w:spacing w:after="0" w:line="240" w:lineRule="auto"/>
        <w:jc w:val="both"/>
        <w:rPr>
          <w:rFonts w:ascii="Calibri" w:eastAsia="Calibri" w:hAnsi="Calibri" w:cs="Calibri"/>
          <w:sz w:val="24"/>
          <w:szCs w:val="24"/>
          <w:lang w:eastAsia="en-IE"/>
        </w:rPr>
      </w:pPr>
      <w:r w:rsidRPr="00E61E62">
        <w:rPr>
          <w:rFonts w:ascii="Calibri" w:eastAsia="Calibri" w:hAnsi="Calibri" w:cs="Calibri"/>
          <w:sz w:val="24"/>
          <w:szCs w:val="24"/>
          <w:lang w:eastAsia="en-IE"/>
        </w:rPr>
        <w:t>Compliance with all Mandatory Requirements as set out in Appendix 1.</w:t>
      </w:r>
    </w:p>
    <w:p w14:paraId="7DC9D137" w14:textId="54639A42" w:rsidR="000D6328" w:rsidRPr="00E61E62" w:rsidRDefault="000D6328" w:rsidP="00E61E62">
      <w:pPr>
        <w:spacing w:before="120" w:after="200" w:line="240" w:lineRule="auto"/>
        <w:rPr>
          <w:rFonts w:ascii="Calibri" w:eastAsia="Calibri" w:hAnsi="Calibri" w:cs="Calibri"/>
          <w:sz w:val="24"/>
          <w:szCs w:val="24"/>
          <w:lang w:eastAsia="en-IE"/>
        </w:rPr>
      </w:pPr>
      <w:r w:rsidRPr="00E61E62">
        <w:rPr>
          <w:rFonts w:ascii="Calibri" w:eastAsia="Calibri" w:hAnsi="Calibri" w:cs="Calibri"/>
          <w:sz w:val="24"/>
          <w:szCs w:val="24"/>
          <w:lang w:eastAsia="en-IE"/>
        </w:rPr>
        <w:t>Tenderers must address each technical and clinical requirement in Appendix 1 in full, providing detailed descriptive responses and supporting technical documentation. A mere affirmative statement that requirements will be met is not sufficient.</w:t>
      </w:r>
    </w:p>
    <w:p w14:paraId="12D49BD8" w14:textId="02A22502" w:rsidR="00F47DCD" w:rsidRPr="001C6437" w:rsidRDefault="00F47DCD" w:rsidP="00BC6D48">
      <w:pPr>
        <w:autoSpaceDE w:val="0"/>
        <w:autoSpaceDN w:val="0"/>
        <w:adjustRightInd w:val="0"/>
        <w:spacing w:before="240" w:after="240" w:line="276" w:lineRule="auto"/>
        <w:jc w:val="both"/>
        <w:rPr>
          <w:rFonts w:eastAsia="Times New Roman"/>
          <w:color w:val="000000" w:themeColor="text1"/>
          <w:sz w:val="24"/>
          <w:szCs w:val="24"/>
          <w:lang w:val="en-GB"/>
        </w:rPr>
      </w:pPr>
      <w:r w:rsidRPr="00A563BF">
        <w:rPr>
          <w:rFonts w:eastAsia="Times New Roman"/>
          <w:color w:val="000000" w:themeColor="text1"/>
          <w:sz w:val="24"/>
          <w:szCs w:val="24"/>
          <w:lang w:val="en-GB"/>
        </w:rPr>
        <w:t xml:space="preserve">Tenderers are required to outline in the </w:t>
      </w:r>
      <w:r w:rsidR="00883FE1">
        <w:rPr>
          <w:rFonts w:eastAsia="Times New Roman"/>
          <w:color w:val="000000" w:themeColor="text1"/>
          <w:sz w:val="24"/>
          <w:szCs w:val="24"/>
          <w:lang w:val="en-GB"/>
        </w:rPr>
        <w:t>four</w:t>
      </w:r>
      <w:r w:rsidRPr="00A563BF">
        <w:rPr>
          <w:rFonts w:eastAsia="Times New Roman"/>
          <w:color w:val="000000" w:themeColor="text1"/>
          <w:sz w:val="24"/>
          <w:szCs w:val="24"/>
          <w:lang w:val="en-GB"/>
        </w:rPr>
        <w:t xml:space="preserve"> (</w:t>
      </w:r>
      <w:r w:rsidR="00883FE1">
        <w:rPr>
          <w:rFonts w:eastAsia="Times New Roman"/>
          <w:color w:val="000000" w:themeColor="text1"/>
          <w:sz w:val="24"/>
          <w:szCs w:val="24"/>
          <w:lang w:val="en-GB"/>
        </w:rPr>
        <w:t>4</w:t>
      </w:r>
      <w:r w:rsidRPr="00A563BF">
        <w:rPr>
          <w:rFonts w:eastAsia="Times New Roman"/>
          <w:color w:val="000000" w:themeColor="text1"/>
          <w:sz w:val="24"/>
          <w:szCs w:val="24"/>
          <w:lang w:val="en-GB"/>
        </w:rPr>
        <w:t>) A4 pages (excess of this number will NOT be assessed)</w:t>
      </w:r>
      <w:r w:rsidR="001C6437">
        <w:rPr>
          <w:rFonts w:eastAsia="Times New Roman"/>
          <w:color w:val="000000" w:themeColor="text1"/>
          <w:sz w:val="24"/>
          <w:szCs w:val="24"/>
          <w:lang w:val="en-GB"/>
        </w:rPr>
        <w:t xml:space="preserve"> </w:t>
      </w:r>
      <w:r w:rsidR="001C6437" w:rsidRPr="001C6437">
        <w:rPr>
          <w:rFonts w:eastAsia="Times New Roman"/>
          <w:color w:val="000000" w:themeColor="text1"/>
          <w:sz w:val="24"/>
          <w:szCs w:val="24"/>
          <w:lang w:val="en-GB"/>
        </w:rPr>
        <w:t>how</w:t>
      </w:r>
      <w:r w:rsidRPr="001C6437">
        <w:rPr>
          <w:rFonts w:eastAsia="Times New Roman"/>
          <w:color w:val="000000" w:themeColor="text1"/>
          <w:sz w:val="24"/>
          <w:szCs w:val="24"/>
          <w:lang w:val="en-GB"/>
        </w:rPr>
        <w:t xml:space="preserve"> their proposal</w:t>
      </w:r>
      <w:r w:rsidR="000F719E" w:rsidRPr="001C6437">
        <w:rPr>
          <w:rFonts w:eastAsia="Times New Roman"/>
          <w:color w:val="000000" w:themeColor="text1"/>
          <w:sz w:val="24"/>
          <w:szCs w:val="24"/>
          <w:lang w:val="en-GB"/>
        </w:rPr>
        <w:t xml:space="preserve"> </w:t>
      </w:r>
      <w:r w:rsidR="006C084C" w:rsidRPr="001C6437">
        <w:rPr>
          <w:rFonts w:eastAsia="Times New Roman"/>
          <w:color w:val="000000" w:themeColor="text1"/>
          <w:sz w:val="24"/>
          <w:szCs w:val="24"/>
          <w:lang w:val="en-GB"/>
        </w:rPr>
        <w:t>meet</w:t>
      </w:r>
      <w:r w:rsidR="00053A8A">
        <w:rPr>
          <w:rFonts w:eastAsia="Times New Roman"/>
          <w:color w:val="000000" w:themeColor="text1"/>
          <w:sz w:val="24"/>
          <w:szCs w:val="24"/>
          <w:lang w:val="en-GB"/>
        </w:rPr>
        <w:t>s</w:t>
      </w:r>
      <w:r w:rsidR="006C084C" w:rsidRPr="001C6437">
        <w:rPr>
          <w:rFonts w:eastAsia="Times New Roman"/>
          <w:color w:val="000000" w:themeColor="text1"/>
          <w:sz w:val="24"/>
          <w:szCs w:val="24"/>
          <w:lang w:val="en-GB"/>
        </w:rPr>
        <w:t xml:space="preserve"> </w:t>
      </w:r>
      <w:r w:rsidR="000F719E" w:rsidRPr="001C6437">
        <w:rPr>
          <w:rFonts w:eastAsia="Times New Roman"/>
          <w:color w:val="000000" w:themeColor="text1"/>
          <w:sz w:val="24"/>
          <w:szCs w:val="24"/>
          <w:lang w:val="en-GB"/>
        </w:rPr>
        <w:t>technical requirements</w:t>
      </w:r>
      <w:r w:rsidR="006C084C" w:rsidRPr="001C6437">
        <w:rPr>
          <w:rFonts w:eastAsia="Times New Roman"/>
          <w:color w:val="000000" w:themeColor="text1"/>
          <w:sz w:val="24"/>
          <w:szCs w:val="24"/>
          <w:lang w:val="en-GB"/>
        </w:rPr>
        <w:t>.</w:t>
      </w:r>
    </w:p>
    <w:p w14:paraId="1FF5215B" w14:textId="77777777" w:rsidR="00047EE9" w:rsidRDefault="00047EE9" w:rsidP="00047EE9">
      <w:pPr>
        <w:pBdr>
          <w:bottom w:val="single" w:sz="6" w:space="1" w:color="auto"/>
        </w:pBdr>
        <w:tabs>
          <w:tab w:val="left" w:pos="6203"/>
        </w:tabs>
        <w:jc w:val="both"/>
      </w:pPr>
    </w:p>
    <w:p w14:paraId="1A0D557C" w14:textId="33876F08" w:rsidR="00047EE9" w:rsidRPr="00047EE9" w:rsidRDefault="00E61E62" w:rsidP="00047EE9">
      <w:pPr>
        <w:spacing w:after="0" w:line="240" w:lineRule="auto"/>
        <w:jc w:val="both"/>
        <w:rPr>
          <w:rFonts w:eastAsia="Times New Roman"/>
          <w:b/>
          <w:color w:val="000000" w:themeColor="text1"/>
          <w:sz w:val="24"/>
          <w:szCs w:val="24"/>
          <w:lang w:val="en-GB"/>
        </w:rPr>
      </w:pPr>
      <w:r>
        <w:rPr>
          <w:rFonts w:eastAsia="Times New Roman"/>
          <w:b/>
          <w:color w:val="000000" w:themeColor="text1"/>
          <w:sz w:val="24"/>
          <w:szCs w:val="24"/>
          <w:lang w:val="en-GB"/>
        </w:rPr>
        <w:t xml:space="preserve">Criterion </w:t>
      </w:r>
      <w:r w:rsidR="00047EE9" w:rsidRPr="00047EE9">
        <w:rPr>
          <w:rFonts w:eastAsia="Times New Roman"/>
          <w:b/>
          <w:color w:val="000000" w:themeColor="text1"/>
          <w:sz w:val="24"/>
          <w:szCs w:val="24"/>
          <w:lang w:val="en-GB"/>
        </w:rPr>
        <w:t>1 – Response:</w:t>
      </w:r>
    </w:p>
    <w:p w14:paraId="0C953D15" w14:textId="77777777" w:rsidR="00047EE9" w:rsidRDefault="00047EE9" w:rsidP="00047EE9">
      <w:pPr>
        <w:pBdr>
          <w:bottom w:val="single" w:sz="6" w:space="1" w:color="auto"/>
        </w:pBdr>
        <w:tabs>
          <w:tab w:val="left" w:pos="6203"/>
        </w:tabs>
        <w:jc w:val="both"/>
      </w:pPr>
    </w:p>
    <w:p w14:paraId="3BC97802" w14:textId="77777777" w:rsidR="00047EE9" w:rsidRDefault="00047EE9" w:rsidP="00BC6D48">
      <w:pPr>
        <w:autoSpaceDE w:val="0"/>
        <w:autoSpaceDN w:val="0"/>
        <w:adjustRightInd w:val="0"/>
        <w:spacing w:before="240" w:after="240" w:line="276" w:lineRule="auto"/>
        <w:jc w:val="both"/>
        <w:rPr>
          <w:rFonts w:eastAsia="Times New Roman"/>
          <w:color w:val="000000" w:themeColor="text1"/>
          <w:sz w:val="24"/>
          <w:szCs w:val="24"/>
          <w:lang w:val="en-GB"/>
        </w:rPr>
      </w:pPr>
    </w:p>
    <w:p w14:paraId="34C0A2C4" w14:textId="77777777" w:rsidR="00361835" w:rsidRPr="00361835" w:rsidRDefault="00361835" w:rsidP="00361835">
      <w:pPr>
        <w:spacing w:before="160" w:after="120" w:line="240" w:lineRule="auto"/>
        <w:rPr>
          <w:rFonts w:ascii="Calibri" w:eastAsia="Calibri" w:hAnsi="Calibri" w:cs="Calibri"/>
          <w:sz w:val="24"/>
          <w:szCs w:val="24"/>
          <w:lang w:eastAsia="en-IE"/>
        </w:rPr>
      </w:pPr>
      <w:r w:rsidRPr="00361835">
        <w:rPr>
          <w:rFonts w:ascii="Calibri" w:eastAsia="Calibri" w:hAnsi="Calibri" w:cs="Calibri"/>
          <w:b/>
          <w:bCs/>
          <w:sz w:val="24"/>
          <w:szCs w:val="24"/>
          <w:lang w:eastAsia="en-IE"/>
        </w:rPr>
        <w:t>Criterion 2 – After-Sales Support (20%)</w:t>
      </w:r>
    </w:p>
    <w:p w14:paraId="5D31101E" w14:textId="77777777" w:rsidR="00361835" w:rsidRPr="00361835" w:rsidRDefault="00361835" w:rsidP="00361835">
      <w:pPr>
        <w:spacing w:after="120" w:line="240" w:lineRule="auto"/>
        <w:rPr>
          <w:rFonts w:ascii="Calibri" w:eastAsia="Calibri" w:hAnsi="Calibri" w:cs="Calibri"/>
          <w:sz w:val="24"/>
          <w:szCs w:val="24"/>
          <w:lang w:eastAsia="en-IE"/>
        </w:rPr>
      </w:pPr>
      <w:r w:rsidRPr="00361835">
        <w:rPr>
          <w:rFonts w:ascii="Calibri" w:eastAsia="Calibri" w:hAnsi="Calibri" w:cs="Calibri"/>
          <w:sz w:val="24"/>
          <w:szCs w:val="24"/>
          <w:lang w:eastAsia="en-IE"/>
        </w:rPr>
        <w:t>Tenderers will be evaluated on the quality and comprehensiveness of the after-sales support package offered. The evaluation will consider, inter alia:</w:t>
      </w:r>
    </w:p>
    <w:p w14:paraId="3E4443B6"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Warranty terms and conditions offered (duration, scope, inclusions/exclusions);</w:t>
      </w:r>
    </w:p>
    <w:p w14:paraId="5BE67DC6"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Preventive maintenance programme (frequency, scope, documentation);</w:t>
      </w:r>
    </w:p>
    <w:p w14:paraId="3473FAE8"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Corrective maintenance response times (on-site response, resolution times);</w:t>
      </w:r>
    </w:p>
    <w:p w14:paraId="606D7849"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Availability of loan/replacement equipment during periods of repair;</w:t>
      </w:r>
    </w:p>
    <w:p w14:paraId="62AC78D6"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Availability and qualifications of service engineers in Ireland;</w:t>
      </w:r>
    </w:p>
    <w:p w14:paraId="0DA48E4D"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Availability of spare parts and consumables;</w:t>
      </w:r>
    </w:p>
    <w:p w14:paraId="7CF3CA4E" w14:textId="77777777" w:rsidR="00361835"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User training programme (initial training, refresher training, training materials);</w:t>
      </w:r>
    </w:p>
    <w:p w14:paraId="73B3C149" w14:textId="1AB044F3" w:rsidR="007334A1" w:rsidRPr="00361835" w:rsidRDefault="00361835" w:rsidP="00361835">
      <w:pPr>
        <w:numPr>
          <w:ilvl w:val="0"/>
          <w:numId w:val="18"/>
        </w:numPr>
        <w:spacing w:after="0" w:line="240" w:lineRule="auto"/>
        <w:jc w:val="both"/>
        <w:rPr>
          <w:rFonts w:ascii="Calibri" w:eastAsia="Calibri" w:hAnsi="Calibri" w:cs="Calibri"/>
          <w:sz w:val="24"/>
          <w:szCs w:val="24"/>
          <w:lang w:eastAsia="en-IE"/>
        </w:rPr>
      </w:pPr>
      <w:r w:rsidRPr="00361835">
        <w:rPr>
          <w:rFonts w:ascii="Calibri" w:eastAsia="Calibri" w:hAnsi="Calibri" w:cs="Calibri"/>
          <w:sz w:val="24"/>
          <w:szCs w:val="24"/>
          <w:lang w:eastAsia="en-IE"/>
        </w:rPr>
        <w:t>Helpdesk/technical support availability (hours of operation, contact methods).</w:t>
      </w:r>
    </w:p>
    <w:p w14:paraId="37AC4504" w14:textId="27DED971" w:rsidR="000F719E" w:rsidRDefault="000F719E" w:rsidP="000F719E">
      <w:pPr>
        <w:autoSpaceDE w:val="0"/>
        <w:autoSpaceDN w:val="0"/>
        <w:adjustRightInd w:val="0"/>
        <w:spacing w:before="240" w:after="240" w:line="276" w:lineRule="auto"/>
        <w:jc w:val="both"/>
        <w:rPr>
          <w:rFonts w:eastAsia="Times New Roman"/>
          <w:color w:val="000000" w:themeColor="text1"/>
          <w:sz w:val="24"/>
          <w:szCs w:val="24"/>
          <w:lang w:val="en-GB"/>
        </w:rPr>
      </w:pPr>
      <w:r w:rsidRPr="00A563BF">
        <w:rPr>
          <w:rFonts w:eastAsia="Times New Roman"/>
          <w:color w:val="000000" w:themeColor="text1"/>
          <w:sz w:val="24"/>
          <w:szCs w:val="24"/>
          <w:lang w:val="en-GB"/>
        </w:rPr>
        <w:t xml:space="preserve">Tenderers are required to outline in the </w:t>
      </w:r>
      <w:r w:rsidR="00361835">
        <w:rPr>
          <w:rFonts w:eastAsia="Times New Roman"/>
          <w:color w:val="000000" w:themeColor="text1"/>
          <w:sz w:val="24"/>
          <w:szCs w:val="24"/>
          <w:lang w:val="en-GB"/>
        </w:rPr>
        <w:t>four</w:t>
      </w:r>
      <w:r w:rsidRPr="00A563BF">
        <w:rPr>
          <w:rFonts w:eastAsia="Times New Roman"/>
          <w:color w:val="000000" w:themeColor="text1"/>
          <w:sz w:val="24"/>
          <w:szCs w:val="24"/>
          <w:lang w:val="en-GB"/>
        </w:rPr>
        <w:t xml:space="preserve"> (</w:t>
      </w:r>
      <w:r w:rsidR="00361835">
        <w:rPr>
          <w:rFonts w:eastAsia="Times New Roman"/>
          <w:color w:val="000000" w:themeColor="text1"/>
          <w:sz w:val="24"/>
          <w:szCs w:val="24"/>
          <w:lang w:val="en-GB"/>
        </w:rPr>
        <w:t>4</w:t>
      </w:r>
      <w:r w:rsidRPr="00A563BF">
        <w:rPr>
          <w:rFonts w:eastAsia="Times New Roman"/>
          <w:color w:val="000000" w:themeColor="text1"/>
          <w:sz w:val="24"/>
          <w:szCs w:val="24"/>
          <w:lang w:val="en-GB"/>
        </w:rPr>
        <w:t xml:space="preserve">) A4 pages (excess of this number will NOT be assessed) </w:t>
      </w:r>
      <w:r w:rsidR="00F975B5">
        <w:rPr>
          <w:rFonts w:eastAsia="Times New Roman"/>
          <w:color w:val="000000" w:themeColor="text1"/>
          <w:sz w:val="24"/>
          <w:szCs w:val="24"/>
          <w:lang w:val="en-GB"/>
        </w:rPr>
        <w:t xml:space="preserve">how their proposed offer meets </w:t>
      </w:r>
      <w:r w:rsidR="00F975B5" w:rsidRPr="00F975B5">
        <w:rPr>
          <w:rFonts w:eastAsia="Times New Roman"/>
          <w:color w:val="000000" w:themeColor="text1"/>
          <w:sz w:val="24"/>
          <w:szCs w:val="24"/>
          <w:lang w:val="en-GB"/>
        </w:rPr>
        <w:t>clinical quality and regulatory compliance requirements</w:t>
      </w:r>
      <w:r w:rsidR="00F975B5">
        <w:rPr>
          <w:rFonts w:eastAsia="Times New Roman"/>
          <w:color w:val="000000" w:themeColor="text1"/>
          <w:sz w:val="24"/>
          <w:szCs w:val="24"/>
          <w:lang w:val="en-GB"/>
        </w:rPr>
        <w:t>.</w:t>
      </w:r>
    </w:p>
    <w:p w14:paraId="35ED2341" w14:textId="77777777" w:rsidR="00DF12D3" w:rsidRDefault="00DF12D3" w:rsidP="000F719E">
      <w:pPr>
        <w:autoSpaceDE w:val="0"/>
        <w:autoSpaceDN w:val="0"/>
        <w:adjustRightInd w:val="0"/>
        <w:spacing w:before="240" w:after="240" w:line="276" w:lineRule="auto"/>
        <w:jc w:val="both"/>
        <w:rPr>
          <w:rFonts w:eastAsia="Times New Roman"/>
          <w:color w:val="000000" w:themeColor="text1"/>
          <w:sz w:val="24"/>
          <w:szCs w:val="24"/>
          <w:lang w:val="en-GB"/>
        </w:rPr>
      </w:pPr>
    </w:p>
    <w:p w14:paraId="52B655F8" w14:textId="77777777" w:rsidR="00DF12D3" w:rsidRDefault="00DF12D3" w:rsidP="000F719E">
      <w:pPr>
        <w:autoSpaceDE w:val="0"/>
        <w:autoSpaceDN w:val="0"/>
        <w:adjustRightInd w:val="0"/>
        <w:spacing w:before="240" w:after="240" w:line="276" w:lineRule="auto"/>
        <w:jc w:val="both"/>
        <w:rPr>
          <w:rFonts w:eastAsia="Times New Roman"/>
          <w:color w:val="000000" w:themeColor="text1"/>
          <w:sz w:val="24"/>
          <w:szCs w:val="24"/>
          <w:lang w:val="en-GB"/>
        </w:rPr>
      </w:pPr>
    </w:p>
    <w:p w14:paraId="66E06B1D" w14:textId="77777777" w:rsidR="000F719E" w:rsidRDefault="000F719E" w:rsidP="000F719E">
      <w:pPr>
        <w:pBdr>
          <w:bottom w:val="single" w:sz="6" w:space="1" w:color="auto"/>
        </w:pBdr>
        <w:tabs>
          <w:tab w:val="left" w:pos="6203"/>
        </w:tabs>
        <w:jc w:val="both"/>
      </w:pPr>
    </w:p>
    <w:p w14:paraId="4A7A2E5F" w14:textId="2998614C" w:rsidR="000F719E" w:rsidRPr="00047EE9" w:rsidRDefault="00361835" w:rsidP="000F719E">
      <w:pPr>
        <w:spacing w:after="0" w:line="240" w:lineRule="auto"/>
        <w:jc w:val="both"/>
        <w:rPr>
          <w:rFonts w:eastAsia="Times New Roman"/>
          <w:b/>
          <w:color w:val="000000" w:themeColor="text1"/>
          <w:sz w:val="24"/>
          <w:szCs w:val="24"/>
          <w:lang w:val="en-GB"/>
        </w:rPr>
      </w:pPr>
      <w:r>
        <w:rPr>
          <w:rFonts w:eastAsia="Times New Roman"/>
          <w:b/>
          <w:color w:val="000000" w:themeColor="text1"/>
          <w:sz w:val="24"/>
          <w:szCs w:val="24"/>
          <w:lang w:val="en-GB"/>
        </w:rPr>
        <w:t xml:space="preserve">Criterion </w:t>
      </w:r>
      <w:r w:rsidR="000F719E">
        <w:rPr>
          <w:rFonts w:eastAsia="Times New Roman"/>
          <w:b/>
          <w:color w:val="000000" w:themeColor="text1"/>
          <w:sz w:val="24"/>
          <w:szCs w:val="24"/>
          <w:lang w:val="en-GB"/>
        </w:rPr>
        <w:t>2</w:t>
      </w:r>
      <w:r w:rsidR="000F719E" w:rsidRPr="00047EE9">
        <w:rPr>
          <w:rFonts w:eastAsia="Times New Roman"/>
          <w:b/>
          <w:color w:val="000000" w:themeColor="text1"/>
          <w:sz w:val="24"/>
          <w:szCs w:val="24"/>
          <w:lang w:val="en-GB"/>
        </w:rPr>
        <w:t xml:space="preserve"> – Response:</w:t>
      </w:r>
    </w:p>
    <w:p w14:paraId="4C51CF7F" w14:textId="77777777" w:rsidR="000F719E" w:rsidRDefault="000F719E" w:rsidP="000F719E">
      <w:pPr>
        <w:pBdr>
          <w:bottom w:val="single" w:sz="6" w:space="1" w:color="auto"/>
        </w:pBdr>
        <w:tabs>
          <w:tab w:val="left" w:pos="6203"/>
        </w:tabs>
        <w:jc w:val="both"/>
      </w:pPr>
    </w:p>
    <w:p w14:paraId="16499566" w14:textId="77777777" w:rsidR="00047EE9" w:rsidRDefault="00047EE9" w:rsidP="00BC6D48">
      <w:pPr>
        <w:autoSpaceDE w:val="0"/>
        <w:autoSpaceDN w:val="0"/>
        <w:adjustRightInd w:val="0"/>
        <w:spacing w:before="240" w:after="240" w:line="276" w:lineRule="auto"/>
        <w:jc w:val="both"/>
        <w:rPr>
          <w:rFonts w:eastAsia="Times New Roman"/>
          <w:color w:val="000000" w:themeColor="text1"/>
          <w:sz w:val="24"/>
          <w:szCs w:val="24"/>
          <w:lang w:val="en-GB"/>
        </w:rPr>
      </w:pPr>
    </w:p>
    <w:p w14:paraId="7F34EE99" w14:textId="77777777" w:rsidR="00BF682B" w:rsidRDefault="00BF682B" w:rsidP="00E2203A">
      <w:pPr>
        <w:jc w:val="center"/>
        <w:rPr>
          <w:rFonts w:eastAsia="Times New Roman" w:cstheme="minorHAnsi"/>
          <w:color w:val="FF0000"/>
          <w:sz w:val="24"/>
          <w:szCs w:val="24"/>
          <w:lang w:val="en-GB"/>
        </w:rPr>
      </w:pPr>
    </w:p>
    <w:p w14:paraId="53268248" w14:textId="77777777" w:rsidR="00BF682B" w:rsidRDefault="00BF682B" w:rsidP="00E2203A">
      <w:pPr>
        <w:jc w:val="center"/>
        <w:rPr>
          <w:rFonts w:eastAsia="Times New Roman" w:cstheme="minorHAnsi"/>
          <w:color w:val="FF0000"/>
          <w:sz w:val="24"/>
          <w:szCs w:val="24"/>
          <w:lang w:val="en-GB"/>
        </w:rPr>
      </w:pPr>
    </w:p>
    <w:p w14:paraId="0FF2E0C8" w14:textId="2CB26702" w:rsidR="00E2203A" w:rsidRPr="00DB2ACC" w:rsidRDefault="004777DB" w:rsidP="00E2203A">
      <w:pPr>
        <w:jc w:val="center"/>
        <w:rPr>
          <w:rFonts w:eastAsia="Times New Roman" w:cstheme="minorHAnsi"/>
          <w:color w:val="FF0000"/>
          <w:sz w:val="24"/>
          <w:szCs w:val="24"/>
          <w:lang w:val="en-GB"/>
        </w:rPr>
      </w:pPr>
      <w:r w:rsidRPr="00DB2ACC">
        <w:rPr>
          <w:rFonts w:eastAsia="Times New Roman" w:cstheme="minorHAnsi"/>
          <w:color w:val="FF0000"/>
          <w:sz w:val="24"/>
          <w:szCs w:val="24"/>
          <w:lang w:val="en-GB"/>
        </w:rPr>
        <w:t>E</w:t>
      </w:r>
      <w:r w:rsidR="00E2203A" w:rsidRPr="00DB2ACC">
        <w:rPr>
          <w:rFonts w:eastAsia="Times New Roman" w:cstheme="minorHAnsi"/>
          <w:color w:val="FF0000"/>
          <w:sz w:val="24"/>
          <w:szCs w:val="24"/>
          <w:lang w:val="en-GB"/>
        </w:rPr>
        <w:t>nd of Document</w:t>
      </w:r>
    </w:p>
    <w:sectPr w:rsidR="00E2203A" w:rsidRPr="00DB2AC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8219" w14:textId="77777777" w:rsidR="00EF6545" w:rsidRDefault="00EF6545" w:rsidP="00111E38">
      <w:pPr>
        <w:spacing w:after="0" w:line="240" w:lineRule="auto"/>
      </w:pPr>
      <w:r>
        <w:separator/>
      </w:r>
    </w:p>
  </w:endnote>
  <w:endnote w:type="continuationSeparator" w:id="0">
    <w:p w14:paraId="3D445F8B" w14:textId="77777777" w:rsidR="00EF6545" w:rsidRDefault="00EF6545" w:rsidP="0011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1348" w14:textId="77777777" w:rsidR="001D31F0" w:rsidRDefault="001D3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468464"/>
      <w:docPartObj>
        <w:docPartGallery w:val="Page Numbers (Bottom of Page)"/>
        <w:docPartUnique/>
      </w:docPartObj>
    </w:sdtPr>
    <w:sdtEndPr/>
    <w:sdtContent>
      <w:sdt>
        <w:sdtPr>
          <w:id w:val="1728636285"/>
          <w:docPartObj>
            <w:docPartGallery w:val="Page Numbers (Top of Page)"/>
            <w:docPartUnique/>
          </w:docPartObj>
        </w:sdtPr>
        <w:sdtEndPr/>
        <w:sdtContent>
          <w:p w14:paraId="6EA7F5A2" w14:textId="77777777" w:rsidR="00E2203A" w:rsidRDefault="00E2203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017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1702">
              <w:rPr>
                <w:b/>
                <w:bCs/>
                <w:noProof/>
              </w:rPr>
              <w:t>4</w:t>
            </w:r>
            <w:r>
              <w:rPr>
                <w:b/>
                <w:bCs/>
                <w:sz w:val="24"/>
                <w:szCs w:val="24"/>
              </w:rPr>
              <w:fldChar w:fldCharType="end"/>
            </w:r>
          </w:p>
        </w:sdtContent>
      </w:sdt>
    </w:sdtContent>
  </w:sdt>
  <w:p w14:paraId="3C873446" w14:textId="77777777" w:rsidR="00E2203A" w:rsidRDefault="00E220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B434" w14:textId="77777777" w:rsidR="001D31F0" w:rsidRDefault="001D3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1B13" w14:textId="77777777" w:rsidR="00EF6545" w:rsidRDefault="00EF6545" w:rsidP="00111E38">
      <w:pPr>
        <w:spacing w:after="0" w:line="240" w:lineRule="auto"/>
      </w:pPr>
      <w:r>
        <w:separator/>
      </w:r>
    </w:p>
  </w:footnote>
  <w:footnote w:type="continuationSeparator" w:id="0">
    <w:p w14:paraId="4B2C9EE7" w14:textId="77777777" w:rsidR="00EF6545" w:rsidRDefault="00EF6545" w:rsidP="00111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A6FE" w14:textId="77777777" w:rsidR="001D31F0" w:rsidRDefault="001D3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8416" w14:textId="2FDC2EB8" w:rsidR="001D31F0" w:rsidRDefault="001D31F0">
    <w:pPr>
      <w:pStyle w:val="Header"/>
    </w:pPr>
    <w:r>
      <w:t>Ref. SVUH-2</w:t>
    </w:r>
    <w:r w:rsidR="00155E90">
      <w:t>60</w:t>
    </w:r>
    <w:r w:rsidR="0083341C">
      <w:t>38</w:t>
    </w:r>
  </w:p>
  <w:p w14:paraId="4623F1E7" w14:textId="66F30959" w:rsidR="00111E38" w:rsidRDefault="00111E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A167" w14:textId="77777777" w:rsidR="001D31F0" w:rsidRDefault="001D3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149"/>
    <w:multiLevelType w:val="multilevel"/>
    <w:tmpl w:val="BB44C8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7811BB"/>
    <w:multiLevelType w:val="hybridMultilevel"/>
    <w:tmpl w:val="E83A7FD8"/>
    <w:lvl w:ilvl="0" w:tplc="18090001">
      <w:start w:val="1"/>
      <w:numFmt w:val="bullet"/>
      <w:lvlText w:val=""/>
      <w:lvlJc w:val="left"/>
      <w:pPr>
        <w:ind w:left="3195" w:hanging="360"/>
      </w:pPr>
      <w:rPr>
        <w:rFonts w:ascii="Symbol" w:hAnsi="Symbol" w:hint="default"/>
      </w:rPr>
    </w:lvl>
    <w:lvl w:ilvl="1" w:tplc="18090003" w:tentative="1">
      <w:start w:val="1"/>
      <w:numFmt w:val="bullet"/>
      <w:lvlText w:val="o"/>
      <w:lvlJc w:val="left"/>
      <w:pPr>
        <w:ind w:left="3915" w:hanging="360"/>
      </w:pPr>
      <w:rPr>
        <w:rFonts w:ascii="Courier New" w:hAnsi="Courier New" w:cs="Courier New" w:hint="default"/>
      </w:rPr>
    </w:lvl>
    <w:lvl w:ilvl="2" w:tplc="18090005" w:tentative="1">
      <w:start w:val="1"/>
      <w:numFmt w:val="bullet"/>
      <w:lvlText w:val=""/>
      <w:lvlJc w:val="left"/>
      <w:pPr>
        <w:ind w:left="4635" w:hanging="360"/>
      </w:pPr>
      <w:rPr>
        <w:rFonts w:ascii="Wingdings" w:hAnsi="Wingdings" w:hint="default"/>
      </w:rPr>
    </w:lvl>
    <w:lvl w:ilvl="3" w:tplc="18090001" w:tentative="1">
      <w:start w:val="1"/>
      <w:numFmt w:val="bullet"/>
      <w:lvlText w:val=""/>
      <w:lvlJc w:val="left"/>
      <w:pPr>
        <w:ind w:left="5355" w:hanging="360"/>
      </w:pPr>
      <w:rPr>
        <w:rFonts w:ascii="Symbol" w:hAnsi="Symbol" w:hint="default"/>
      </w:rPr>
    </w:lvl>
    <w:lvl w:ilvl="4" w:tplc="18090003" w:tentative="1">
      <w:start w:val="1"/>
      <w:numFmt w:val="bullet"/>
      <w:lvlText w:val="o"/>
      <w:lvlJc w:val="left"/>
      <w:pPr>
        <w:ind w:left="6075" w:hanging="360"/>
      </w:pPr>
      <w:rPr>
        <w:rFonts w:ascii="Courier New" w:hAnsi="Courier New" w:cs="Courier New" w:hint="default"/>
      </w:rPr>
    </w:lvl>
    <w:lvl w:ilvl="5" w:tplc="18090005" w:tentative="1">
      <w:start w:val="1"/>
      <w:numFmt w:val="bullet"/>
      <w:lvlText w:val=""/>
      <w:lvlJc w:val="left"/>
      <w:pPr>
        <w:ind w:left="6795" w:hanging="360"/>
      </w:pPr>
      <w:rPr>
        <w:rFonts w:ascii="Wingdings" w:hAnsi="Wingdings" w:hint="default"/>
      </w:rPr>
    </w:lvl>
    <w:lvl w:ilvl="6" w:tplc="18090001" w:tentative="1">
      <w:start w:val="1"/>
      <w:numFmt w:val="bullet"/>
      <w:lvlText w:val=""/>
      <w:lvlJc w:val="left"/>
      <w:pPr>
        <w:ind w:left="7515" w:hanging="360"/>
      </w:pPr>
      <w:rPr>
        <w:rFonts w:ascii="Symbol" w:hAnsi="Symbol" w:hint="default"/>
      </w:rPr>
    </w:lvl>
    <w:lvl w:ilvl="7" w:tplc="18090003" w:tentative="1">
      <w:start w:val="1"/>
      <w:numFmt w:val="bullet"/>
      <w:lvlText w:val="o"/>
      <w:lvlJc w:val="left"/>
      <w:pPr>
        <w:ind w:left="8235" w:hanging="360"/>
      </w:pPr>
      <w:rPr>
        <w:rFonts w:ascii="Courier New" w:hAnsi="Courier New" w:cs="Courier New" w:hint="default"/>
      </w:rPr>
    </w:lvl>
    <w:lvl w:ilvl="8" w:tplc="18090005" w:tentative="1">
      <w:start w:val="1"/>
      <w:numFmt w:val="bullet"/>
      <w:lvlText w:val=""/>
      <w:lvlJc w:val="left"/>
      <w:pPr>
        <w:ind w:left="8955" w:hanging="360"/>
      </w:pPr>
      <w:rPr>
        <w:rFonts w:ascii="Wingdings" w:hAnsi="Wingdings" w:hint="default"/>
      </w:rPr>
    </w:lvl>
  </w:abstractNum>
  <w:abstractNum w:abstractNumId="2" w15:restartNumberingAfterBreak="0">
    <w:nsid w:val="0D970FFE"/>
    <w:multiLevelType w:val="hybridMultilevel"/>
    <w:tmpl w:val="4BAA1CC6"/>
    <w:lvl w:ilvl="0" w:tplc="4508B960">
      <w:start w:val="1"/>
      <w:numFmt w:val="bullet"/>
      <w:lvlText w:val="●"/>
      <w:lvlJc w:val="left"/>
      <w:pPr>
        <w:ind w:left="720" w:hanging="360"/>
      </w:pPr>
    </w:lvl>
    <w:lvl w:ilvl="1" w:tplc="3BB4C2A8">
      <w:start w:val="1"/>
      <w:numFmt w:val="bullet"/>
      <w:lvlText w:val="○"/>
      <w:lvlJc w:val="left"/>
      <w:pPr>
        <w:ind w:left="1440" w:hanging="360"/>
      </w:pPr>
    </w:lvl>
    <w:lvl w:ilvl="2" w:tplc="38D0E352">
      <w:start w:val="1"/>
      <w:numFmt w:val="bullet"/>
      <w:lvlText w:val="■"/>
      <w:lvlJc w:val="left"/>
      <w:pPr>
        <w:ind w:left="2160" w:hanging="360"/>
      </w:pPr>
    </w:lvl>
    <w:lvl w:ilvl="3" w:tplc="866666E2">
      <w:start w:val="1"/>
      <w:numFmt w:val="bullet"/>
      <w:lvlText w:val="●"/>
      <w:lvlJc w:val="left"/>
      <w:pPr>
        <w:ind w:left="2880" w:hanging="360"/>
      </w:pPr>
    </w:lvl>
    <w:lvl w:ilvl="4" w:tplc="6F6CDE68">
      <w:start w:val="1"/>
      <w:numFmt w:val="bullet"/>
      <w:lvlText w:val="○"/>
      <w:lvlJc w:val="left"/>
      <w:pPr>
        <w:ind w:left="3600" w:hanging="360"/>
      </w:pPr>
    </w:lvl>
    <w:lvl w:ilvl="5" w:tplc="EFF8B98A">
      <w:start w:val="1"/>
      <w:numFmt w:val="bullet"/>
      <w:lvlText w:val="■"/>
      <w:lvlJc w:val="left"/>
      <w:pPr>
        <w:ind w:left="4320" w:hanging="360"/>
      </w:pPr>
    </w:lvl>
    <w:lvl w:ilvl="6" w:tplc="6FB61846">
      <w:start w:val="1"/>
      <w:numFmt w:val="bullet"/>
      <w:lvlText w:val="●"/>
      <w:lvlJc w:val="left"/>
      <w:pPr>
        <w:ind w:left="5040" w:hanging="360"/>
      </w:pPr>
    </w:lvl>
    <w:lvl w:ilvl="7" w:tplc="B2AA9B7C">
      <w:start w:val="1"/>
      <w:numFmt w:val="bullet"/>
      <w:lvlText w:val="●"/>
      <w:lvlJc w:val="left"/>
      <w:pPr>
        <w:ind w:left="5760" w:hanging="360"/>
      </w:pPr>
    </w:lvl>
    <w:lvl w:ilvl="8" w:tplc="4FCA4EBE">
      <w:start w:val="1"/>
      <w:numFmt w:val="bullet"/>
      <w:lvlText w:val="●"/>
      <w:lvlJc w:val="left"/>
      <w:pPr>
        <w:ind w:left="6480" w:hanging="360"/>
      </w:pPr>
    </w:lvl>
  </w:abstractNum>
  <w:abstractNum w:abstractNumId="3" w15:restartNumberingAfterBreak="0">
    <w:nsid w:val="1545213D"/>
    <w:multiLevelType w:val="hybridMultilevel"/>
    <w:tmpl w:val="1E4218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BA7F66"/>
    <w:multiLevelType w:val="hybridMultilevel"/>
    <w:tmpl w:val="BA641F90"/>
    <w:lvl w:ilvl="0" w:tplc="CC4E6A3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DF32105"/>
    <w:multiLevelType w:val="hybridMultilevel"/>
    <w:tmpl w:val="02CCB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13C2770"/>
    <w:multiLevelType w:val="hybridMultilevel"/>
    <w:tmpl w:val="C84246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41A767E"/>
    <w:multiLevelType w:val="hybridMultilevel"/>
    <w:tmpl w:val="0EDA2C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8572EBE"/>
    <w:multiLevelType w:val="multilevel"/>
    <w:tmpl w:val="B17EB0E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90E1618"/>
    <w:multiLevelType w:val="hybridMultilevel"/>
    <w:tmpl w:val="A2B22B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8DD128B"/>
    <w:multiLevelType w:val="hybridMultilevel"/>
    <w:tmpl w:val="27B0D9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CB87834"/>
    <w:multiLevelType w:val="hybridMultilevel"/>
    <w:tmpl w:val="FC5020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C6F1D00"/>
    <w:multiLevelType w:val="hybridMultilevel"/>
    <w:tmpl w:val="83C6CACA"/>
    <w:lvl w:ilvl="0" w:tplc="3FBA446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E160EEE"/>
    <w:multiLevelType w:val="hybridMultilevel"/>
    <w:tmpl w:val="EA80CFA0"/>
    <w:lvl w:ilvl="0" w:tplc="43023546">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FBF422C"/>
    <w:multiLevelType w:val="hybridMultilevel"/>
    <w:tmpl w:val="8D00D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36C5A2F"/>
    <w:multiLevelType w:val="hybridMultilevel"/>
    <w:tmpl w:val="A9E8D10C"/>
    <w:lvl w:ilvl="0" w:tplc="047A10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790102F"/>
    <w:multiLevelType w:val="hybridMultilevel"/>
    <w:tmpl w:val="08781E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E6669C3"/>
    <w:multiLevelType w:val="hybridMultilevel"/>
    <w:tmpl w:val="512A31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2208046">
    <w:abstractNumId w:val="1"/>
  </w:num>
  <w:num w:numId="2" w16cid:durableId="1267998399">
    <w:abstractNumId w:val="13"/>
  </w:num>
  <w:num w:numId="3" w16cid:durableId="1667397779">
    <w:abstractNumId w:val="12"/>
  </w:num>
  <w:num w:numId="4" w16cid:durableId="1633712211">
    <w:abstractNumId w:val="14"/>
  </w:num>
  <w:num w:numId="5" w16cid:durableId="1955363531">
    <w:abstractNumId w:val="7"/>
  </w:num>
  <w:num w:numId="6" w16cid:durableId="759908274">
    <w:abstractNumId w:val="15"/>
  </w:num>
  <w:num w:numId="7" w16cid:durableId="149948830">
    <w:abstractNumId w:val="4"/>
  </w:num>
  <w:num w:numId="8" w16cid:durableId="406197458">
    <w:abstractNumId w:val="16"/>
  </w:num>
  <w:num w:numId="9" w16cid:durableId="1730419420">
    <w:abstractNumId w:val="9"/>
  </w:num>
  <w:num w:numId="10" w16cid:durableId="1591967655">
    <w:abstractNumId w:val="6"/>
  </w:num>
  <w:num w:numId="11" w16cid:durableId="1587763172">
    <w:abstractNumId w:val="10"/>
  </w:num>
  <w:num w:numId="12" w16cid:durableId="902134454">
    <w:abstractNumId w:val="17"/>
  </w:num>
  <w:num w:numId="13" w16cid:durableId="1553997886">
    <w:abstractNumId w:val="0"/>
  </w:num>
  <w:num w:numId="14" w16cid:durableId="900100022">
    <w:abstractNumId w:val="8"/>
  </w:num>
  <w:num w:numId="15" w16cid:durableId="1883058727">
    <w:abstractNumId w:val="5"/>
  </w:num>
  <w:num w:numId="16" w16cid:durableId="342712590">
    <w:abstractNumId w:val="11"/>
  </w:num>
  <w:num w:numId="17" w16cid:durableId="14036249">
    <w:abstractNumId w:val="3"/>
  </w:num>
  <w:num w:numId="18" w16cid:durableId="26531325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E38"/>
    <w:rsid w:val="00000972"/>
    <w:rsid w:val="000069C1"/>
    <w:rsid w:val="000236FA"/>
    <w:rsid w:val="000346E3"/>
    <w:rsid w:val="000379B5"/>
    <w:rsid w:val="0004118C"/>
    <w:rsid w:val="000430A6"/>
    <w:rsid w:val="000444A0"/>
    <w:rsid w:val="00046763"/>
    <w:rsid w:val="00047B20"/>
    <w:rsid w:val="00047EE9"/>
    <w:rsid w:val="0005224E"/>
    <w:rsid w:val="00053A8A"/>
    <w:rsid w:val="000552A7"/>
    <w:rsid w:val="00061A1D"/>
    <w:rsid w:val="00062D7D"/>
    <w:rsid w:val="0008405D"/>
    <w:rsid w:val="000A2B0C"/>
    <w:rsid w:val="000B6D40"/>
    <w:rsid w:val="000D6328"/>
    <w:rsid w:val="000E6EF8"/>
    <w:rsid w:val="000F2740"/>
    <w:rsid w:val="000F719E"/>
    <w:rsid w:val="00104DE4"/>
    <w:rsid w:val="001052DA"/>
    <w:rsid w:val="00107BEF"/>
    <w:rsid w:val="00110438"/>
    <w:rsid w:val="00111594"/>
    <w:rsid w:val="00111E38"/>
    <w:rsid w:val="0013628A"/>
    <w:rsid w:val="00154801"/>
    <w:rsid w:val="001555FD"/>
    <w:rsid w:val="00155E90"/>
    <w:rsid w:val="00186854"/>
    <w:rsid w:val="00194D74"/>
    <w:rsid w:val="001969DC"/>
    <w:rsid w:val="001A43D4"/>
    <w:rsid w:val="001A499A"/>
    <w:rsid w:val="001B6348"/>
    <w:rsid w:val="001B74C9"/>
    <w:rsid w:val="001C2D91"/>
    <w:rsid w:val="001C6437"/>
    <w:rsid w:val="001D31F0"/>
    <w:rsid w:val="001D3217"/>
    <w:rsid w:val="001D4133"/>
    <w:rsid w:val="001D7AE1"/>
    <w:rsid w:val="001E09FA"/>
    <w:rsid w:val="001E37F4"/>
    <w:rsid w:val="001E59EB"/>
    <w:rsid w:val="001F01CE"/>
    <w:rsid w:val="001F01FB"/>
    <w:rsid w:val="001F1D1B"/>
    <w:rsid w:val="002140FF"/>
    <w:rsid w:val="00223DB4"/>
    <w:rsid w:val="00224BE8"/>
    <w:rsid w:val="002358B7"/>
    <w:rsid w:val="0023727F"/>
    <w:rsid w:val="00241097"/>
    <w:rsid w:val="002760CE"/>
    <w:rsid w:val="00291FF7"/>
    <w:rsid w:val="00295B08"/>
    <w:rsid w:val="002A0555"/>
    <w:rsid w:val="002C223D"/>
    <w:rsid w:val="002D7953"/>
    <w:rsid w:val="002F6365"/>
    <w:rsid w:val="00304A81"/>
    <w:rsid w:val="00306708"/>
    <w:rsid w:val="00316B1C"/>
    <w:rsid w:val="00320229"/>
    <w:rsid w:val="00321D2F"/>
    <w:rsid w:val="00322600"/>
    <w:rsid w:val="00323246"/>
    <w:rsid w:val="003242B3"/>
    <w:rsid w:val="003245D0"/>
    <w:rsid w:val="003278E8"/>
    <w:rsid w:val="00355CDC"/>
    <w:rsid w:val="00361835"/>
    <w:rsid w:val="003620A1"/>
    <w:rsid w:val="003B1BEE"/>
    <w:rsid w:val="003B41B7"/>
    <w:rsid w:val="003C548F"/>
    <w:rsid w:val="003C7D1A"/>
    <w:rsid w:val="003E6162"/>
    <w:rsid w:val="003F09A3"/>
    <w:rsid w:val="003F6D44"/>
    <w:rsid w:val="003F74F2"/>
    <w:rsid w:val="00402D42"/>
    <w:rsid w:val="0040450D"/>
    <w:rsid w:val="00404726"/>
    <w:rsid w:val="0040745B"/>
    <w:rsid w:val="004115F5"/>
    <w:rsid w:val="00426865"/>
    <w:rsid w:val="0044469A"/>
    <w:rsid w:val="00444F92"/>
    <w:rsid w:val="00454CC4"/>
    <w:rsid w:val="00462526"/>
    <w:rsid w:val="004651EE"/>
    <w:rsid w:val="00465AD5"/>
    <w:rsid w:val="00473B42"/>
    <w:rsid w:val="00474B48"/>
    <w:rsid w:val="004777DB"/>
    <w:rsid w:val="004816F5"/>
    <w:rsid w:val="004A00F2"/>
    <w:rsid w:val="004B28EF"/>
    <w:rsid w:val="004C0FFF"/>
    <w:rsid w:val="004C106E"/>
    <w:rsid w:val="004E0174"/>
    <w:rsid w:val="004E4909"/>
    <w:rsid w:val="00525C8F"/>
    <w:rsid w:val="005271AC"/>
    <w:rsid w:val="00534B99"/>
    <w:rsid w:val="00534EAC"/>
    <w:rsid w:val="005441F4"/>
    <w:rsid w:val="00552643"/>
    <w:rsid w:val="00552BF4"/>
    <w:rsid w:val="005560B2"/>
    <w:rsid w:val="00564E6A"/>
    <w:rsid w:val="00570E5D"/>
    <w:rsid w:val="00574749"/>
    <w:rsid w:val="00577E89"/>
    <w:rsid w:val="00584B5A"/>
    <w:rsid w:val="00594284"/>
    <w:rsid w:val="005A0DED"/>
    <w:rsid w:val="005A21C6"/>
    <w:rsid w:val="005C13B1"/>
    <w:rsid w:val="005C36CB"/>
    <w:rsid w:val="005C53AA"/>
    <w:rsid w:val="005D063B"/>
    <w:rsid w:val="005D0822"/>
    <w:rsid w:val="005E1DD3"/>
    <w:rsid w:val="005F2D17"/>
    <w:rsid w:val="006050A3"/>
    <w:rsid w:val="00615CE7"/>
    <w:rsid w:val="00617125"/>
    <w:rsid w:val="006242E5"/>
    <w:rsid w:val="0064711E"/>
    <w:rsid w:val="00655B3C"/>
    <w:rsid w:val="006641D8"/>
    <w:rsid w:val="00667BFF"/>
    <w:rsid w:val="006706F8"/>
    <w:rsid w:val="00671B32"/>
    <w:rsid w:val="00680004"/>
    <w:rsid w:val="00681FFA"/>
    <w:rsid w:val="00682D8E"/>
    <w:rsid w:val="006836C0"/>
    <w:rsid w:val="006944D2"/>
    <w:rsid w:val="006A147C"/>
    <w:rsid w:val="006B520E"/>
    <w:rsid w:val="006C084C"/>
    <w:rsid w:val="006D6776"/>
    <w:rsid w:val="006F2168"/>
    <w:rsid w:val="006F7B8D"/>
    <w:rsid w:val="00721D98"/>
    <w:rsid w:val="00731D79"/>
    <w:rsid w:val="007328B8"/>
    <w:rsid w:val="007334A1"/>
    <w:rsid w:val="00740EA3"/>
    <w:rsid w:val="00751575"/>
    <w:rsid w:val="007526DF"/>
    <w:rsid w:val="00761226"/>
    <w:rsid w:val="00764141"/>
    <w:rsid w:val="00764445"/>
    <w:rsid w:val="00767E23"/>
    <w:rsid w:val="00796C06"/>
    <w:rsid w:val="00797B13"/>
    <w:rsid w:val="007A74C2"/>
    <w:rsid w:val="007B223C"/>
    <w:rsid w:val="007B292C"/>
    <w:rsid w:val="007B4ADD"/>
    <w:rsid w:val="007B67A4"/>
    <w:rsid w:val="007C3BDC"/>
    <w:rsid w:val="007C6A0B"/>
    <w:rsid w:val="007E0563"/>
    <w:rsid w:val="0080432C"/>
    <w:rsid w:val="00807252"/>
    <w:rsid w:val="00815366"/>
    <w:rsid w:val="00816410"/>
    <w:rsid w:val="008171E6"/>
    <w:rsid w:val="008179DB"/>
    <w:rsid w:val="00826B39"/>
    <w:rsid w:val="00826FEA"/>
    <w:rsid w:val="0083067C"/>
    <w:rsid w:val="008326A2"/>
    <w:rsid w:val="0083341C"/>
    <w:rsid w:val="00837D67"/>
    <w:rsid w:val="008574E2"/>
    <w:rsid w:val="0088157F"/>
    <w:rsid w:val="00883FE1"/>
    <w:rsid w:val="008A4E6A"/>
    <w:rsid w:val="008A6962"/>
    <w:rsid w:val="008B2B7E"/>
    <w:rsid w:val="008B5211"/>
    <w:rsid w:val="008B72DC"/>
    <w:rsid w:val="008C05FA"/>
    <w:rsid w:val="008C59BA"/>
    <w:rsid w:val="008C5C26"/>
    <w:rsid w:val="008D251E"/>
    <w:rsid w:val="008D5A6E"/>
    <w:rsid w:val="008E008B"/>
    <w:rsid w:val="009151E6"/>
    <w:rsid w:val="009222EC"/>
    <w:rsid w:val="00930707"/>
    <w:rsid w:val="00930D8C"/>
    <w:rsid w:val="009445AD"/>
    <w:rsid w:val="009529E9"/>
    <w:rsid w:val="00957DB7"/>
    <w:rsid w:val="0096469D"/>
    <w:rsid w:val="00970216"/>
    <w:rsid w:val="0097180A"/>
    <w:rsid w:val="009921B5"/>
    <w:rsid w:val="00993316"/>
    <w:rsid w:val="009B00A6"/>
    <w:rsid w:val="009B41B0"/>
    <w:rsid w:val="009D1148"/>
    <w:rsid w:val="009D6C9B"/>
    <w:rsid w:val="009E47CF"/>
    <w:rsid w:val="009F642F"/>
    <w:rsid w:val="00A004A6"/>
    <w:rsid w:val="00A04D3E"/>
    <w:rsid w:val="00A1135E"/>
    <w:rsid w:val="00A12249"/>
    <w:rsid w:val="00A2221B"/>
    <w:rsid w:val="00A23D2A"/>
    <w:rsid w:val="00A3244A"/>
    <w:rsid w:val="00A34F40"/>
    <w:rsid w:val="00A3524B"/>
    <w:rsid w:val="00A41EB6"/>
    <w:rsid w:val="00A563BF"/>
    <w:rsid w:val="00A574D2"/>
    <w:rsid w:val="00A57D41"/>
    <w:rsid w:val="00A76F04"/>
    <w:rsid w:val="00A849B1"/>
    <w:rsid w:val="00A94E70"/>
    <w:rsid w:val="00A972F1"/>
    <w:rsid w:val="00AA1EBD"/>
    <w:rsid w:val="00AC4517"/>
    <w:rsid w:val="00AD7449"/>
    <w:rsid w:val="00AE32B0"/>
    <w:rsid w:val="00B06C21"/>
    <w:rsid w:val="00B11B69"/>
    <w:rsid w:val="00B16957"/>
    <w:rsid w:val="00B346E4"/>
    <w:rsid w:val="00B35370"/>
    <w:rsid w:val="00B45AEE"/>
    <w:rsid w:val="00B5055F"/>
    <w:rsid w:val="00B668AB"/>
    <w:rsid w:val="00B7243D"/>
    <w:rsid w:val="00B746F7"/>
    <w:rsid w:val="00B77081"/>
    <w:rsid w:val="00B94F6D"/>
    <w:rsid w:val="00B95EA3"/>
    <w:rsid w:val="00BA462E"/>
    <w:rsid w:val="00BC6720"/>
    <w:rsid w:val="00BC6D48"/>
    <w:rsid w:val="00BD091D"/>
    <w:rsid w:val="00BD237F"/>
    <w:rsid w:val="00BE2EA6"/>
    <w:rsid w:val="00BE3ADD"/>
    <w:rsid w:val="00BF1253"/>
    <w:rsid w:val="00BF65D0"/>
    <w:rsid w:val="00BF682B"/>
    <w:rsid w:val="00C01702"/>
    <w:rsid w:val="00C01E99"/>
    <w:rsid w:val="00C03C71"/>
    <w:rsid w:val="00C11E43"/>
    <w:rsid w:val="00C13E3C"/>
    <w:rsid w:val="00C1689E"/>
    <w:rsid w:val="00C17A29"/>
    <w:rsid w:val="00C264FF"/>
    <w:rsid w:val="00C61AB6"/>
    <w:rsid w:val="00C64F7C"/>
    <w:rsid w:val="00C6582C"/>
    <w:rsid w:val="00C71F21"/>
    <w:rsid w:val="00C86475"/>
    <w:rsid w:val="00C86779"/>
    <w:rsid w:val="00CA337E"/>
    <w:rsid w:val="00CA7B46"/>
    <w:rsid w:val="00CB3645"/>
    <w:rsid w:val="00CB69F4"/>
    <w:rsid w:val="00CB7350"/>
    <w:rsid w:val="00CC1006"/>
    <w:rsid w:val="00CC4F48"/>
    <w:rsid w:val="00CD2688"/>
    <w:rsid w:val="00CD32D3"/>
    <w:rsid w:val="00CE2C15"/>
    <w:rsid w:val="00CE44B1"/>
    <w:rsid w:val="00D03ABE"/>
    <w:rsid w:val="00D072AE"/>
    <w:rsid w:val="00D116D5"/>
    <w:rsid w:val="00D37E09"/>
    <w:rsid w:val="00D45EF3"/>
    <w:rsid w:val="00D47911"/>
    <w:rsid w:val="00D52B9A"/>
    <w:rsid w:val="00D5460F"/>
    <w:rsid w:val="00D556B5"/>
    <w:rsid w:val="00D624B4"/>
    <w:rsid w:val="00D63B07"/>
    <w:rsid w:val="00D65F06"/>
    <w:rsid w:val="00D7469A"/>
    <w:rsid w:val="00D76E41"/>
    <w:rsid w:val="00D803B1"/>
    <w:rsid w:val="00D8092C"/>
    <w:rsid w:val="00D900D0"/>
    <w:rsid w:val="00D95517"/>
    <w:rsid w:val="00D96CC7"/>
    <w:rsid w:val="00DA2F46"/>
    <w:rsid w:val="00DA3DF0"/>
    <w:rsid w:val="00DB2ACC"/>
    <w:rsid w:val="00DD4AA1"/>
    <w:rsid w:val="00DF12D3"/>
    <w:rsid w:val="00E137D8"/>
    <w:rsid w:val="00E15EA8"/>
    <w:rsid w:val="00E17245"/>
    <w:rsid w:val="00E2203A"/>
    <w:rsid w:val="00E228BF"/>
    <w:rsid w:val="00E330A8"/>
    <w:rsid w:val="00E346F8"/>
    <w:rsid w:val="00E35900"/>
    <w:rsid w:val="00E406F3"/>
    <w:rsid w:val="00E44870"/>
    <w:rsid w:val="00E50EA2"/>
    <w:rsid w:val="00E61579"/>
    <w:rsid w:val="00E61E62"/>
    <w:rsid w:val="00E65D5D"/>
    <w:rsid w:val="00E7086B"/>
    <w:rsid w:val="00E84387"/>
    <w:rsid w:val="00E903B3"/>
    <w:rsid w:val="00E9252D"/>
    <w:rsid w:val="00E958AB"/>
    <w:rsid w:val="00EA1048"/>
    <w:rsid w:val="00EA1A01"/>
    <w:rsid w:val="00EA6B89"/>
    <w:rsid w:val="00EA7B8A"/>
    <w:rsid w:val="00EC7BF7"/>
    <w:rsid w:val="00ED23C7"/>
    <w:rsid w:val="00ED2AFF"/>
    <w:rsid w:val="00ED7E3F"/>
    <w:rsid w:val="00EF3A18"/>
    <w:rsid w:val="00EF3F7F"/>
    <w:rsid w:val="00EF4B4D"/>
    <w:rsid w:val="00EF6545"/>
    <w:rsid w:val="00F129D6"/>
    <w:rsid w:val="00F16CAC"/>
    <w:rsid w:val="00F232DC"/>
    <w:rsid w:val="00F47DCD"/>
    <w:rsid w:val="00F6396E"/>
    <w:rsid w:val="00F67944"/>
    <w:rsid w:val="00F90D1C"/>
    <w:rsid w:val="00F96255"/>
    <w:rsid w:val="00F975B5"/>
    <w:rsid w:val="00FA084A"/>
    <w:rsid w:val="00FC1564"/>
    <w:rsid w:val="00FC1C34"/>
    <w:rsid w:val="00FD5C31"/>
    <w:rsid w:val="00FD7C09"/>
    <w:rsid w:val="00FE4D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FAE9"/>
  <w15:chartTrackingRefBased/>
  <w15:docId w15:val="{D22520C0-979B-4F10-87E3-98C38703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C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E38"/>
  </w:style>
  <w:style w:type="paragraph" w:styleId="Footer">
    <w:name w:val="footer"/>
    <w:basedOn w:val="Normal"/>
    <w:link w:val="FooterChar"/>
    <w:uiPriority w:val="99"/>
    <w:unhideWhenUsed/>
    <w:rsid w:val="0011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E38"/>
  </w:style>
  <w:style w:type="table" w:customStyle="1" w:styleId="TableGrid11">
    <w:name w:val="Table Grid11"/>
    <w:basedOn w:val="TableNormal"/>
    <w:next w:val="TableGrid"/>
    <w:uiPriority w:val="59"/>
    <w:rsid w:val="0076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7E23"/>
    <w:pPr>
      <w:ind w:left="720"/>
      <w:contextualSpacing/>
    </w:pPr>
  </w:style>
  <w:style w:type="paragraph" w:styleId="BalloonText">
    <w:name w:val="Balloon Text"/>
    <w:basedOn w:val="Normal"/>
    <w:link w:val="BalloonTextChar"/>
    <w:uiPriority w:val="99"/>
    <w:semiHidden/>
    <w:unhideWhenUsed/>
    <w:rsid w:val="009D1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148"/>
    <w:rPr>
      <w:rFonts w:ascii="Segoe UI" w:hAnsi="Segoe UI" w:cs="Segoe UI"/>
      <w:sz w:val="18"/>
      <w:szCs w:val="18"/>
    </w:rPr>
  </w:style>
  <w:style w:type="paragraph" w:styleId="NoSpacing">
    <w:name w:val="No Spacing"/>
    <w:uiPriority w:val="1"/>
    <w:qFormat/>
    <w:rsid w:val="005D0822"/>
    <w:pPr>
      <w:spacing w:after="0" w:line="240" w:lineRule="auto"/>
    </w:pPr>
  </w:style>
  <w:style w:type="character" w:styleId="PlaceholderText">
    <w:name w:val="Placeholder Text"/>
    <w:basedOn w:val="DefaultParagraphFont"/>
    <w:uiPriority w:val="99"/>
    <w:semiHidden/>
    <w:rsid w:val="005D0822"/>
    <w:rPr>
      <w:color w:val="666666"/>
    </w:rPr>
  </w:style>
  <w:style w:type="character" w:styleId="CommentReference">
    <w:name w:val="annotation reference"/>
    <w:basedOn w:val="DefaultParagraphFont"/>
    <w:uiPriority w:val="99"/>
    <w:semiHidden/>
    <w:unhideWhenUsed/>
    <w:rsid w:val="00761226"/>
    <w:rPr>
      <w:sz w:val="16"/>
      <w:szCs w:val="16"/>
    </w:rPr>
  </w:style>
  <w:style w:type="paragraph" w:styleId="CommentText">
    <w:name w:val="annotation text"/>
    <w:basedOn w:val="Normal"/>
    <w:link w:val="CommentTextChar"/>
    <w:uiPriority w:val="99"/>
    <w:unhideWhenUsed/>
    <w:rsid w:val="00761226"/>
    <w:pPr>
      <w:spacing w:line="240" w:lineRule="auto"/>
    </w:pPr>
    <w:rPr>
      <w:sz w:val="20"/>
      <w:szCs w:val="20"/>
    </w:rPr>
  </w:style>
  <w:style w:type="character" w:customStyle="1" w:styleId="CommentTextChar">
    <w:name w:val="Comment Text Char"/>
    <w:basedOn w:val="DefaultParagraphFont"/>
    <w:link w:val="CommentText"/>
    <w:uiPriority w:val="99"/>
    <w:rsid w:val="00761226"/>
    <w:rPr>
      <w:sz w:val="20"/>
      <w:szCs w:val="20"/>
    </w:rPr>
  </w:style>
  <w:style w:type="paragraph" w:styleId="CommentSubject">
    <w:name w:val="annotation subject"/>
    <w:basedOn w:val="CommentText"/>
    <w:next w:val="CommentText"/>
    <w:link w:val="CommentSubjectChar"/>
    <w:uiPriority w:val="99"/>
    <w:semiHidden/>
    <w:unhideWhenUsed/>
    <w:rsid w:val="00761226"/>
    <w:rPr>
      <w:b/>
      <w:bCs/>
    </w:rPr>
  </w:style>
  <w:style w:type="character" w:customStyle="1" w:styleId="CommentSubjectChar">
    <w:name w:val="Comment Subject Char"/>
    <w:basedOn w:val="CommentTextChar"/>
    <w:link w:val="CommentSubject"/>
    <w:uiPriority w:val="99"/>
    <w:semiHidden/>
    <w:rsid w:val="007612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8977">
      <w:bodyDiv w:val="1"/>
      <w:marLeft w:val="0"/>
      <w:marRight w:val="0"/>
      <w:marTop w:val="0"/>
      <w:marBottom w:val="0"/>
      <w:divBdr>
        <w:top w:val="none" w:sz="0" w:space="0" w:color="auto"/>
        <w:left w:val="none" w:sz="0" w:space="0" w:color="auto"/>
        <w:bottom w:val="none" w:sz="0" w:space="0" w:color="auto"/>
        <w:right w:val="none" w:sz="0" w:space="0" w:color="auto"/>
      </w:divBdr>
    </w:div>
    <w:div w:id="61490504">
      <w:bodyDiv w:val="1"/>
      <w:marLeft w:val="0"/>
      <w:marRight w:val="0"/>
      <w:marTop w:val="0"/>
      <w:marBottom w:val="0"/>
      <w:divBdr>
        <w:top w:val="none" w:sz="0" w:space="0" w:color="auto"/>
        <w:left w:val="none" w:sz="0" w:space="0" w:color="auto"/>
        <w:bottom w:val="none" w:sz="0" w:space="0" w:color="auto"/>
        <w:right w:val="none" w:sz="0" w:space="0" w:color="auto"/>
      </w:divBdr>
    </w:div>
    <w:div w:id="256407856">
      <w:bodyDiv w:val="1"/>
      <w:marLeft w:val="0"/>
      <w:marRight w:val="0"/>
      <w:marTop w:val="0"/>
      <w:marBottom w:val="0"/>
      <w:divBdr>
        <w:top w:val="none" w:sz="0" w:space="0" w:color="auto"/>
        <w:left w:val="none" w:sz="0" w:space="0" w:color="auto"/>
        <w:bottom w:val="none" w:sz="0" w:space="0" w:color="auto"/>
        <w:right w:val="none" w:sz="0" w:space="0" w:color="auto"/>
      </w:divBdr>
    </w:div>
    <w:div w:id="348527939">
      <w:bodyDiv w:val="1"/>
      <w:marLeft w:val="0"/>
      <w:marRight w:val="0"/>
      <w:marTop w:val="0"/>
      <w:marBottom w:val="0"/>
      <w:divBdr>
        <w:top w:val="none" w:sz="0" w:space="0" w:color="auto"/>
        <w:left w:val="none" w:sz="0" w:space="0" w:color="auto"/>
        <w:bottom w:val="none" w:sz="0" w:space="0" w:color="auto"/>
        <w:right w:val="none" w:sz="0" w:space="0" w:color="auto"/>
      </w:divBdr>
    </w:div>
    <w:div w:id="660695816">
      <w:bodyDiv w:val="1"/>
      <w:marLeft w:val="0"/>
      <w:marRight w:val="0"/>
      <w:marTop w:val="0"/>
      <w:marBottom w:val="0"/>
      <w:divBdr>
        <w:top w:val="none" w:sz="0" w:space="0" w:color="auto"/>
        <w:left w:val="none" w:sz="0" w:space="0" w:color="auto"/>
        <w:bottom w:val="none" w:sz="0" w:space="0" w:color="auto"/>
        <w:right w:val="none" w:sz="0" w:space="0" w:color="auto"/>
      </w:divBdr>
    </w:div>
    <w:div w:id="754404610">
      <w:bodyDiv w:val="1"/>
      <w:marLeft w:val="0"/>
      <w:marRight w:val="0"/>
      <w:marTop w:val="0"/>
      <w:marBottom w:val="0"/>
      <w:divBdr>
        <w:top w:val="none" w:sz="0" w:space="0" w:color="auto"/>
        <w:left w:val="none" w:sz="0" w:space="0" w:color="auto"/>
        <w:bottom w:val="none" w:sz="0" w:space="0" w:color="auto"/>
        <w:right w:val="none" w:sz="0" w:space="0" w:color="auto"/>
      </w:divBdr>
    </w:div>
    <w:div w:id="858006447">
      <w:bodyDiv w:val="1"/>
      <w:marLeft w:val="0"/>
      <w:marRight w:val="0"/>
      <w:marTop w:val="0"/>
      <w:marBottom w:val="0"/>
      <w:divBdr>
        <w:top w:val="none" w:sz="0" w:space="0" w:color="auto"/>
        <w:left w:val="none" w:sz="0" w:space="0" w:color="auto"/>
        <w:bottom w:val="none" w:sz="0" w:space="0" w:color="auto"/>
        <w:right w:val="none" w:sz="0" w:space="0" w:color="auto"/>
      </w:divBdr>
    </w:div>
    <w:div w:id="1079017200">
      <w:bodyDiv w:val="1"/>
      <w:marLeft w:val="0"/>
      <w:marRight w:val="0"/>
      <w:marTop w:val="0"/>
      <w:marBottom w:val="0"/>
      <w:divBdr>
        <w:top w:val="none" w:sz="0" w:space="0" w:color="auto"/>
        <w:left w:val="none" w:sz="0" w:space="0" w:color="auto"/>
        <w:bottom w:val="none" w:sz="0" w:space="0" w:color="auto"/>
        <w:right w:val="none" w:sz="0" w:space="0" w:color="auto"/>
      </w:divBdr>
    </w:div>
    <w:div w:id="1115634448">
      <w:bodyDiv w:val="1"/>
      <w:marLeft w:val="0"/>
      <w:marRight w:val="0"/>
      <w:marTop w:val="0"/>
      <w:marBottom w:val="0"/>
      <w:divBdr>
        <w:top w:val="none" w:sz="0" w:space="0" w:color="auto"/>
        <w:left w:val="none" w:sz="0" w:space="0" w:color="auto"/>
        <w:bottom w:val="none" w:sz="0" w:space="0" w:color="auto"/>
        <w:right w:val="none" w:sz="0" w:space="0" w:color="auto"/>
      </w:divBdr>
    </w:div>
    <w:div w:id="1140339305">
      <w:bodyDiv w:val="1"/>
      <w:marLeft w:val="0"/>
      <w:marRight w:val="0"/>
      <w:marTop w:val="0"/>
      <w:marBottom w:val="0"/>
      <w:divBdr>
        <w:top w:val="none" w:sz="0" w:space="0" w:color="auto"/>
        <w:left w:val="none" w:sz="0" w:space="0" w:color="auto"/>
        <w:bottom w:val="none" w:sz="0" w:space="0" w:color="auto"/>
        <w:right w:val="none" w:sz="0" w:space="0" w:color="auto"/>
      </w:divBdr>
    </w:div>
    <w:div w:id="1159227209">
      <w:bodyDiv w:val="1"/>
      <w:marLeft w:val="0"/>
      <w:marRight w:val="0"/>
      <w:marTop w:val="0"/>
      <w:marBottom w:val="0"/>
      <w:divBdr>
        <w:top w:val="none" w:sz="0" w:space="0" w:color="auto"/>
        <w:left w:val="none" w:sz="0" w:space="0" w:color="auto"/>
        <w:bottom w:val="none" w:sz="0" w:space="0" w:color="auto"/>
        <w:right w:val="none" w:sz="0" w:space="0" w:color="auto"/>
      </w:divBdr>
    </w:div>
    <w:div w:id="1441602290">
      <w:bodyDiv w:val="1"/>
      <w:marLeft w:val="0"/>
      <w:marRight w:val="0"/>
      <w:marTop w:val="0"/>
      <w:marBottom w:val="0"/>
      <w:divBdr>
        <w:top w:val="none" w:sz="0" w:space="0" w:color="auto"/>
        <w:left w:val="none" w:sz="0" w:space="0" w:color="auto"/>
        <w:bottom w:val="none" w:sz="0" w:space="0" w:color="auto"/>
        <w:right w:val="none" w:sz="0" w:space="0" w:color="auto"/>
      </w:divBdr>
    </w:div>
    <w:div w:id="1669867822">
      <w:bodyDiv w:val="1"/>
      <w:marLeft w:val="0"/>
      <w:marRight w:val="0"/>
      <w:marTop w:val="0"/>
      <w:marBottom w:val="0"/>
      <w:divBdr>
        <w:top w:val="none" w:sz="0" w:space="0" w:color="auto"/>
        <w:left w:val="none" w:sz="0" w:space="0" w:color="auto"/>
        <w:bottom w:val="none" w:sz="0" w:space="0" w:color="auto"/>
        <w:right w:val="none" w:sz="0" w:space="0" w:color="auto"/>
      </w:divBdr>
    </w:div>
    <w:div w:id="1770396082">
      <w:bodyDiv w:val="1"/>
      <w:marLeft w:val="0"/>
      <w:marRight w:val="0"/>
      <w:marTop w:val="0"/>
      <w:marBottom w:val="0"/>
      <w:divBdr>
        <w:top w:val="none" w:sz="0" w:space="0" w:color="auto"/>
        <w:left w:val="none" w:sz="0" w:space="0" w:color="auto"/>
        <w:bottom w:val="none" w:sz="0" w:space="0" w:color="auto"/>
        <w:right w:val="none" w:sz="0" w:space="0" w:color="auto"/>
      </w:divBdr>
    </w:div>
    <w:div w:id="1835797348">
      <w:bodyDiv w:val="1"/>
      <w:marLeft w:val="0"/>
      <w:marRight w:val="0"/>
      <w:marTop w:val="0"/>
      <w:marBottom w:val="0"/>
      <w:divBdr>
        <w:top w:val="none" w:sz="0" w:space="0" w:color="auto"/>
        <w:left w:val="none" w:sz="0" w:space="0" w:color="auto"/>
        <w:bottom w:val="none" w:sz="0" w:space="0" w:color="auto"/>
        <w:right w:val="none" w:sz="0" w:space="0" w:color="auto"/>
      </w:divBdr>
    </w:div>
    <w:div w:id="195710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2117</Words>
  <Characters>12072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St. Vincents Hospital Group</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Karfi, Zoi</dc:creator>
  <cp:keywords/>
  <dc:description/>
  <cp:lastModifiedBy>Maliszewska, Agnieszka (Procurement)</cp:lastModifiedBy>
  <cp:revision>25</cp:revision>
  <dcterms:created xsi:type="dcterms:W3CDTF">2026-07-24T08:17:00Z</dcterms:created>
  <dcterms:modified xsi:type="dcterms:W3CDTF">2026-07-24T10:18:00Z</dcterms:modified>
</cp:coreProperties>
</file>