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90FD3" w14:textId="05094195" w:rsidR="00AD6166" w:rsidRPr="00965F7F" w:rsidRDefault="00762A48" w:rsidP="00DA3FE0">
      <w:pPr>
        <w:pStyle w:val="HPRACoverGuidefor"/>
      </w:pPr>
      <w:r>
        <w:t>Request</w:t>
      </w:r>
      <w:r w:rsidR="00AD6166" w:rsidRPr="00965F7F">
        <w:t xml:space="preserve"> for</w:t>
      </w:r>
      <w:r w:rsidR="00CC0B66">
        <w:t xml:space="preserve"> Tenders for the Provision of</w:t>
      </w:r>
    </w:p>
    <w:p w14:paraId="4ABC8A42" w14:textId="4C133584" w:rsidR="004D47D8" w:rsidRPr="00965F7F" w:rsidRDefault="00CC0B66" w:rsidP="004D47D8">
      <w:pPr>
        <w:pStyle w:val="HPRACoverTitle"/>
      </w:pPr>
      <w:r>
        <w:t>Pharmacovigilance Safety Database and Case Management System</w:t>
      </w:r>
    </w:p>
    <w:p w14:paraId="78B90FD5" w14:textId="77777777" w:rsidR="00D1047B" w:rsidRDefault="00D1047B"/>
    <w:p w14:paraId="78B90FD6" w14:textId="77777777" w:rsidR="00D1047B" w:rsidRDefault="00D1047B">
      <w:pPr>
        <w:sectPr w:rsidR="00D1047B" w:rsidSect="003B5519">
          <w:headerReference w:type="even" r:id="rId11"/>
          <w:headerReference w:type="default" r:id="rId12"/>
          <w:footerReference w:type="even" r:id="rId13"/>
          <w:footerReference w:type="default" r:id="rId14"/>
          <w:headerReference w:type="first" r:id="rId15"/>
          <w:footerReference w:type="first" r:id="rId16"/>
          <w:pgSz w:w="11906" w:h="16838" w:code="9"/>
          <w:pgMar w:top="5443" w:right="1701" w:bottom="5954" w:left="1701" w:header="1134" w:footer="851" w:gutter="0"/>
          <w:cols w:space="708"/>
          <w:titlePg/>
          <w:docGrid w:linePitch="360"/>
        </w:sectPr>
      </w:pPr>
    </w:p>
    <w:p w14:paraId="137FF026" w14:textId="087CED53" w:rsidR="00A0367D" w:rsidRDefault="00A0367D" w:rsidP="00A0367D">
      <w:pPr>
        <w:pStyle w:val="HPRAHeadingL1"/>
        <w:numPr>
          <w:ilvl w:val="0"/>
          <w:numId w:val="0"/>
        </w:numPr>
        <w:ind w:left="709" w:hanging="709"/>
      </w:pPr>
    </w:p>
    <w:p w14:paraId="0F7A70C2" w14:textId="6324C15F" w:rsidR="00015763" w:rsidRPr="00B66447" w:rsidRDefault="00142B46">
      <w:pPr>
        <w:rPr>
          <w:rFonts w:ascii="Segoe UI" w:hAnsi="Segoe UI" w:cs="Segoe UI"/>
          <w:b/>
          <w:bCs/>
          <w:caps/>
          <w:color w:val="007041" w:themeColor="accent4"/>
          <w:sz w:val="20"/>
          <w:szCs w:val="24"/>
        </w:rPr>
      </w:pPr>
      <w:r>
        <w:br w:type="page"/>
      </w:r>
    </w:p>
    <w:sdt>
      <w:sdtPr>
        <w:rPr>
          <w:rFonts w:asciiTheme="minorHAnsi" w:eastAsiaTheme="minorHAnsi" w:hAnsiTheme="minorHAnsi" w:cstheme="minorBidi"/>
          <w:color w:val="auto"/>
          <w:sz w:val="22"/>
          <w:szCs w:val="22"/>
          <w:lang w:val="en-IE"/>
        </w:rPr>
        <w:id w:val="683412664"/>
        <w:docPartObj>
          <w:docPartGallery w:val="Table of Contents"/>
          <w:docPartUnique/>
        </w:docPartObj>
      </w:sdtPr>
      <w:sdtEndPr>
        <w:rPr>
          <w:b/>
          <w:bCs/>
          <w:noProof/>
        </w:rPr>
      </w:sdtEndPr>
      <w:sdtContent>
        <w:p w14:paraId="67446DEF" w14:textId="112DFDC3" w:rsidR="00015763" w:rsidRDefault="00015763" w:rsidP="00900861">
          <w:pPr>
            <w:pStyle w:val="TOCHeading"/>
            <w:tabs>
              <w:tab w:val="left" w:pos="4621"/>
            </w:tabs>
          </w:pPr>
          <w:r>
            <w:t>Table of Contents</w:t>
          </w:r>
          <w:r w:rsidR="00900861">
            <w:tab/>
          </w:r>
        </w:p>
        <w:p w14:paraId="4765ACFC" w14:textId="77777777" w:rsidR="00B66447" w:rsidRPr="00B66447" w:rsidRDefault="00B66447" w:rsidP="00B66447">
          <w:pPr>
            <w:rPr>
              <w:lang w:val="en-US"/>
            </w:rPr>
          </w:pPr>
        </w:p>
        <w:p w14:paraId="7E272093" w14:textId="566FF34A" w:rsidR="005D0E15" w:rsidRDefault="00015763">
          <w:pPr>
            <w:pStyle w:val="TOC1"/>
            <w:rPr>
              <w:rFonts w:asciiTheme="minorHAnsi" w:eastAsiaTheme="minorEastAsia" w:hAnsiTheme="minorHAnsi"/>
              <w:b w:val="0"/>
              <w:bCs w:val="0"/>
              <w:caps w:val="0"/>
              <w:color w:val="auto"/>
              <w:kern w:val="2"/>
              <w:sz w:val="24"/>
              <w:szCs w:val="24"/>
              <w:lang w:eastAsia="en-IE"/>
              <w14:ligatures w14:val="standardContextual"/>
            </w:rPr>
          </w:pPr>
          <w:r>
            <w:fldChar w:fldCharType="begin"/>
          </w:r>
          <w:r>
            <w:instrText xml:space="preserve"> TOC \o "1-3" \h \z \u </w:instrText>
          </w:r>
          <w:r>
            <w:fldChar w:fldCharType="separate"/>
          </w:r>
          <w:hyperlink w:anchor="_Toc235785005" w:history="1">
            <w:r w:rsidR="005D0E15" w:rsidRPr="009A461F">
              <w:rPr>
                <w:rStyle w:val="Hyperlink"/>
              </w:rPr>
              <w:t>1</w:t>
            </w:r>
            <w:r w:rsidR="005D0E15">
              <w:rPr>
                <w:rFonts w:asciiTheme="minorHAnsi" w:eastAsiaTheme="minorEastAsia" w:hAnsiTheme="minorHAnsi"/>
                <w:b w:val="0"/>
                <w:bCs w:val="0"/>
                <w:caps w:val="0"/>
                <w:color w:val="auto"/>
                <w:kern w:val="2"/>
                <w:sz w:val="24"/>
                <w:szCs w:val="24"/>
                <w:lang w:eastAsia="en-IE"/>
                <w14:ligatures w14:val="standardContextual"/>
              </w:rPr>
              <w:tab/>
            </w:r>
            <w:r w:rsidR="005D0E15" w:rsidRPr="009A461F">
              <w:rPr>
                <w:rStyle w:val="Hyperlink"/>
              </w:rPr>
              <w:t>ABOUT THE CONTRACTING AUTHORITY</w:t>
            </w:r>
            <w:r w:rsidR="005D0E15">
              <w:rPr>
                <w:webHidden/>
              </w:rPr>
              <w:tab/>
            </w:r>
            <w:r w:rsidR="005D0E15">
              <w:rPr>
                <w:webHidden/>
              </w:rPr>
              <w:fldChar w:fldCharType="begin"/>
            </w:r>
            <w:r w:rsidR="005D0E15">
              <w:rPr>
                <w:webHidden/>
              </w:rPr>
              <w:instrText xml:space="preserve"> PAGEREF _Toc235785005 \h </w:instrText>
            </w:r>
            <w:r w:rsidR="005D0E15">
              <w:rPr>
                <w:webHidden/>
              </w:rPr>
            </w:r>
            <w:r w:rsidR="005D0E15">
              <w:rPr>
                <w:webHidden/>
              </w:rPr>
              <w:fldChar w:fldCharType="separate"/>
            </w:r>
            <w:r w:rsidR="005D0E15">
              <w:rPr>
                <w:webHidden/>
              </w:rPr>
              <w:t>4</w:t>
            </w:r>
            <w:r w:rsidR="005D0E15">
              <w:rPr>
                <w:webHidden/>
              </w:rPr>
              <w:fldChar w:fldCharType="end"/>
            </w:r>
          </w:hyperlink>
        </w:p>
        <w:p w14:paraId="3E199699" w14:textId="50ED0FB5"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06" w:history="1">
            <w:r w:rsidRPr="009A461F">
              <w:rPr>
                <w:rStyle w:val="Hyperlink"/>
                <w:rFonts w:asciiTheme="majorHAnsi" w:hAnsiTheme="majorHAnsi"/>
                <w:b/>
                <w:noProof/>
              </w:rPr>
              <w:t>1.1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Introduction and Background</w:t>
            </w:r>
            <w:r>
              <w:rPr>
                <w:noProof/>
                <w:webHidden/>
              </w:rPr>
              <w:tab/>
            </w:r>
            <w:r>
              <w:rPr>
                <w:noProof/>
                <w:webHidden/>
              </w:rPr>
              <w:fldChar w:fldCharType="begin"/>
            </w:r>
            <w:r>
              <w:rPr>
                <w:noProof/>
                <w:webHidden/>
              </w:rPr>
              <w:instrText xml:space="preserve"> PAGEREF _Toc235785006 \h </w:instrText>
            </w:r>
            <w:r>
              <w:rPr>
                <w:noProof/>
                <w:webHidden/>
              </w:rPr>
            </w:r>
            <w:r>
              <w:rPr>
                <w:noProof/>
                <w:webHidden/>
              </w:rPr>
              <w:fldChar w:fldCharType="separate"/>
            </w:r>
            <w:r>
              <w:rPr>
                <w:noProof/>
                <w:webHidden/>
              </w:rPr>
              <w:t>4</w:t>
            </w:r>
            <w:r>
              <w:rPr>
                <w:noProof/>
                <w:webHidden/>
              </w:rPr>
              <w:fldChar w:fldCharType="end"/>
            </w:r>
          </w:hyperlink>
        </w:p>
        <w:p w14:paraId="76B33456" w14:textId="27B30ACE"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07" w:history="1">
            <w:r w:rsidRPr="009A461F">
              <w:rPr>
                <w:rStyle w:val="Hyperlink"/>
                <w:rFonts w:asciiTheme="majorHAnsi" w:hAnsiTheme="majorHAnsi"/>
                <w:b/>
                <w:noProof/>
              </w:rPr>
              <w:t>1.2</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Overview</w:t>
            </w:r>
            <w:r>
              <w:rPr>
                <w:noProof/>
                <w:webHidden/>
              </w:rPr>
              <w:tab/>
            </w:r>
            <w:r>
              <w:rPr>
                <w:noProof/>
                <w:webHidden/>
              </w:rPr>
              <w:fldChar w:fldCharType="begin"/>
            </w:r>
            <w:r>
              <w:rPr>
                <w:noProof/>
                <w:webHidden/>
              </w:rPr>
              <w:instrText xml:space="preserve"> PAGEREF _Toc235785007 \h </w:instrText>
            </w:r>
            <w:r>
              <w:rPr>
                <w:noProof/>
                <w:webHidden/>
              </w:rPr>
            </w:r>
            <w:r>
              <w:rPr>
                <w:noProof/>
                <w:webHidden/>
              </w:rPr>
              <w:fldChar w:fldCharType="separate"/>
            </w:r>
            <w:r>
              <w:rPr>
                <w:noProof/>
                <w:webHidden/>
              </w:rPr>
              <w:t>4</w:t>
            </w:r>
            <w:r>
              <w:rPr>
                <w:noProof/>
                <w:webHidden/>
              </w:rPr>
              <w:fldChar w:fldCharType="end"/>
            </w:r>
          </w:hyperlink>
        </w:p>
        <w:p w14:paraId="53EBAF64" w14:textId="450E8A62" w:rsidR="005D0E15" w:rsidRDefault="005D0E15">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5785008" w:history="1">
            <w:r w:rsidRPr="009A461F">
              <w:rPr>
                <w:rStyle w:val="Hyperlink"/>
              </w:rPr>
              <w:t>2</w:t>
            </w:r>
            <w:r>
              <w:rPr>
                <w:rFonts w:asciiTheme="minorHAnsi" w:eastAsiaTheme="minorEastAsia" w:hAnsiTheme="minorHAnsi"/>
                <w:b w:val="0"/>
                <w:bCs w:val="0"/>
                <w:caps w:val="0"/>
                <w:color w:val="auto"/>
                <w:kern w:val="2"/>
                <w:sz w:val="24"/>
                <w:szCs w:val="24"/>
                <w:lang w:eastAsia="en-IE"/>
                <w14:ligatures w14:val="standardContextual"/>
              </w:rPr>
              <w:tab/>
            </w:r>
            <w:r w:rsidRPr="009A461F">
              <w:rPr>
                <w:rStyle w:val="Hyperlink"/>
              </w:rPr>
              <w:t>Scope of Requirements under the CONTRACT</w:t>
            </w:r>
            <w:r>
              <w:rPr>
                <w:webHidden/>
              </w:rPr>
              <w:tab/>
            </w:r>
            <w:r>
              <w:rPr>
                <w:webHidden/>
              </w:rPr>
              <w:fldChar w:fldCharType="begin"/>
            </w:r>
            <w:r>
              <w:rPr>
                <w:webHidden/>
              </w:rPr>
              <w:instrText xml:space="preserve"> PAGEREF _Toc235785008 \h </w:instrText>
            </w:r>
            <w:r>
              <w:rPr>
                <w:webHidden/>
              </w:rPr>
            </w:r>
            <w:r>
              <w:rPr>
                <w:webHidden/>
              </w:rPr>
              <w:fldChar w:fldCharType="separate"/>
            </w:r>
            <w:r>
              <w:rPr>
                <w:webHidden/>
              </w:rPr>
              <w:t>5</w:t>
            </w:r>
            <w:r>
              <w:rPr>
                <w:webHidden/>
              </w:rPr>
              <w:fldChar w:fldCharType="end"/>
            </w:r>
          </w:hyperlink>
        </w:p>
        <w:p w14:paraId="13B47BC1" w14:textId="7778806C"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09" w:history="1">
            <w:r w:rsidRPr="009A461F">
              <w:rPr>
                <w:rStyle w:val="Hyperlink"/>
                <w:rFonts w:asciiTheme="majorHAnsi" w:hAnsiTheme="majorHAnsi"/>
                <w:b/>
                <w:noProof/>
              </w:rPr>
              <w:t>2.1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Solution Requirements</w:t>
            </w:r>
            <w:r>
              <w:rPr>
                <w:noProof/>
                <w:webHidden/>
              </w:rPr>
              <w:tab/>
            </w:r>
            <w:r>
              <w:rPr>
                <w:noProof/>
                <w:webHidden/>
              </w:rPr>
              <w:fldChar w:fldCharType="begin"/>
            </w:r>
            <w:r>
              <w:rPr>
                <w:noProof/>
                <w:webHidden/>
              </w:rPr>
              <w:instrText xml:space="preserve"> PAGEREF _Toc235785009 \h </w:instrText>
            </w:r>
            <w:r>
              <w:rPr>
                <w:noProof/>
                <w:webHidden/>
              </w:rPr>
            </w:r>
            <w:r>
              <w:rPr>
                <w:noProof/>
                <w:webHidden/>
              </w:rPr>
              <w:fldChar w:fldCharType="separate"/>
            </w:r>
            <w:r>
              <w:rPr>
                <w:noProof/>
                <w:webHidden/>
              </w:rPr>
              <w:t>6</w:t>
            </w:r>
            <w:r>
              <w:rPr>
                <w:noProof/>
                <w:webHidden/>
              </w:rPr>
              <w:fldChar w:fldCharType="end"/>
            </w:r>
          </w:hyperlink>
        </w:p>
        <w:p w14:paraId="0DFC4839" w14:textId="0DC2ADF4"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0" w:history="1">
            <w:r w:rsidRPr="009A461F">
              <w:rPr>
                <w:rStyle w:val="Hyperlink"/>
                <w:rFonts w:asciiTheme="majorHAnsi" w:hAnsiTheme="majorHAnsi"/>
                <w:b/>
                <w:noProof/>
              </w:rPr>
              <w:t>2.2</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Implementation Approach</w:t>
            </w:r>
            <w:r>
              <w:rPr>
                <w:noProof/>
                <w:webHidden/>
              </w:rPr>
              <w:tab/>
            </w:r>
            <w:r>
              <w:rPr>
                <w:noProof/>
                <w:webHidden/>
              </w:rPr>
              <w:fldChar w:fldCharType="begin"/>
            </w:r>
            <w:r>
              <w:rPr>
                <w:noProof/>
                <w:webHidden/>
              </w:rPr>
              <w:instrText xml:space="preserve"> PAGEREF _Toc235785010 \h </w:instrText>
            </w:r>
            <w:r>
              <w:rPr>
                <w:noProof/>
                <w:webHidden/>
              </w:rPr>
            </w:r>
            <w:r>
              <w:rPr>
                <w:noProof/>
                <w:webHidden/>
              </w:rPr>
              <w:fldChar w:fldCharType="separate"/>
            </w:r>
            <w:r>
              <w:rPr>
                <w:noProof/>
                <w:webHidden/>
              </w:rPr>
              <w:t>11</w:t>
            </w:r>
            <w:r>
              <w:rPr>
                <w:noProof/>
                <w:webHidden/>
              </w:rPr>
              <w:fldChar w:fldCharType="end"/>
            </w:r>
          </w:hyperlink>
        </w:p>
        <w:p w14:paraId="226B7386" w14:textId="6A1451DD"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1" w:history="1">
            <w:r w:rsidRPr="009A461F">
              <w:rPr>
                <w:rStyle w:val="Hyperlink"/>
                <w:rFonts w:asciiTheme="majorHAnsi" w:hAnsiTheme="majorHAnsi"/>
                <w:b/>
                <w:noProof/>
              </w:rPr>
              <w:t>2.3</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Previous Experience</w:t>
            </w:r>
            <w:r>
              <w:rPr>
                <w:noProof/>
                <w:webHidden/>
              </w:rPr>
              <w:tab/>
            </w:r>
            <w:r>
              <w:rPr>
                <w:noProof/>
                <w:webHidden/>
              </w:rPr>
              <w:fldChar w:fldCharType="begin"/>
            </w:r>
            <w:r>
              <w:rPr>
                <w:noProof/>
                <w:webHidden/>
              </w:rPr>
              <w:instrText xml:space="preserve"> PAGEREF _Toc235785011 \h </w:instrText>
            </w:r>
            <w:r>
              <w:rPr>
                <w:noProof/>
                <w:webHidden/>
              </w:rPr>
            </w:r>
            <w:r>
              <w:rPr>
                <w:noProof/>
                <w:webHidden/>
              </w:rPr>
              <w:fldChar w:fldCharType="separate"/>
            </w:r>
            <w:r>
              <w:rPr>
                <w:noProof/>
                <w:webHidden/>
              </w:rPr>
              <w:t>13</w:t>
            </w:r>
            <w:r>
              <w:rPr>
                <w:noProof/>
                <w:webHidden/>
              </w:rPr>
              <w:fldChar w:fldCharType="end"/>
            </w:r>
          </w:hyperlink>
        </w:p>
        <w:p w14:paraId="0F3B93BB" w14:textId="0C2376E7"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2" w:history="1">
            <w:r w:rsidRPr="009A461F">
              <w:rPr>
                <w:rStyle w:val="Hyperlink"/>
                <w:rFonts w:asciiTheme="majorHAnsi" w:hAnsiTheme="majorHAnsi"/>
                <w:b/>
                <w:noProof/>
              </w:rPr>
              <w:t>2.4</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Proposed Team</w:t>
            </w:r>
            <w:r>
              <w:rPr>
                <w:noProof/>
                <w:webHidden/>
              </w:rPr>
              <w:tab/>
            </w:r>
            <w:r>
              <w:rPr>
                <w:noProof/>
                <w:webHidden/>
              </w:rPr>
              <w:fldChar w:fldCharType="begin"/>
            </w:r>
            <w:r>
              <w:rPr>
                <w:noProof/>
                <w:webHidden/>
              </w:rPr>
              <w:instrText xml:space="preserve"> PAGEREF _Toc235785012 \h </w:instrText>
            </w:r>
            <w:r>
              <w:rPr>
                <w:noProof/>
                <w:webHidden/>
              </w:rPr>
            </w:r>
            <w:r>
              <w:rPr>
                <w:noProof/>
                <w:webHidden/>
              </w:rPr>
              <w:fldChar w:fldCharType="separate"/>
            </w:r>
            <w:r>
              <w:rPr>
                <w:noProof/>
                <w:webHidden/>
              </w:rPr>
              <w:t>13</w:t>
            </w:r>
            <w:r>
              <w:rPr>
                <w:noProof/>
                <w:webHidden/>
              </w:rPr>
              <w:fldChar w:fldCharType="end"/>
            </w:r>
          </w:hyperlink>
        </w:p>
        <w:p w14:paraId="7B9F1B50" w14:textId="42AC7754"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3" w:history="1">
            <w:r w:rsidRPr="009A461F">
              <w:rPr>
                <w:rStyle w:val="Hyperlink"/>
                <w:rFonts w:asciiTheme="majorHAnsi" w:hAnsiTheme="majorHAnsi"/>
                <w:b/>
                <w:noProof/>
              </w:rPr>
              <w:t>2.5</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Contract and Relationship Management</w:t>
            </w:r>
            <w:r>
              <w:rPr>
                <w:noProof/>
                <w:webHidden/>
              </w:rPr>
              <w:tab/>
            </w:r>
            <w:r>
              <w:rPr>
                <w:noProof/>
                <w:webHidden/>
              </w:rPr>
              <w:fldChar w:fldCharType="begin"/>
            </w:r>
            <w:r>
              <w:rPr>
                <w:noProof/>
                <w:webHidden/>
              </w:rPr>
              <w:instrText xml:space="preserve"> PAGEREF _Toc235785013 \h </w:instrText>
            </w:r>
            <w:r>
              <w:rPr>
                <w:noProof/>
                <w:webHidden/>
              </w:rPr>
            </w:r>
            <w:r>
              <w:rPr>
                <w:noProof/>
                <w:webHidden/>
              </w:rPr>
              <w:fldChar w:fldCharType="separate"/>
            </w:r>
            <w:r>
              <w:rPr>
                <w:noProof/>
                <w:webHidden/>
              </w:rPr>
              <w:t>14</w:t>
            </w:r>
            <w:r>
              <w:rPr>
                <w:noProof/>
                <w:webHidden/>
              </w:rPr>
              <w:fldChar w:fldCharType="end"/>
            </w:r>
          </w:hyperlink>
        </w:p>
        <w:p w14:paraId="21E7B69D" w14:textId="2E53E9B8"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4" w:history="1">
            <w:r w:rsidRPr="009A461F">
              <w:rPr>
                <w:rStyle w:val="Hyperlink"/>
                <w:rFonts w:asciiTheme="majorHAnsi" w:hAnsiTheme="majorHAnsi"/>
                <w:b/>
                <w:noProof/>
              </w:rPr>
              <w:t>2.6</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Quality of the proposal</w:t>
            </w:r>
            <w:r>
              <w:rPr>
                <w:noProof/>
                <w:webHidden/>
              </w:rPr>
              <w:tab/>
            </w:r>
            <w:r>
              <w:rPr>
                <w:noProof/>
                <w:webHidden/>
              </w:rPr>
              <w:fldChar w:fldCharType="begin"/>
            </w:r>
            <w:r>
              <w:rPr>
                <w:noProof/>
                <w:webHidden/>
              </w:rPr>
              <w:instrText xml:space="preserve"> PAGEREF _Toc235785014 \h </w:instrText>
            </w:r>
            <w:r>
              <w:rPr>
                <w:noProof/>
                <w:webHidden/>
              </w:rPr>
            </w:r>
            <w:r>
              <w:rPr>
                <w:noProof/>
                <w:webHidden/>
              </w:rPr>
              <w:fldChar w:fldCharType="separate"/>
            </w:r>
            <w:r>
              <w:rPr>
                <w:noProof/>
                <w:webHidden/>
              </w:rPr>
              <w:t>14</w:t>
            </w:r>
            <w:r>
              <w:rPr>
                <w:noProof/>
                <w:webHidden/>
              </w:rPr>
              <w:fldChar w:fldCharType="end"/>
            </w:r>
          </w:hyperlink>
        </w:p>
        <w:p w14:paraId="515563E6" w14:textId="1E7569E9"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5" w:history="1">
            <w:r w:rsidRPr="009A461F">
              <w:rPr>
                <w:rStyle w:val="Hyperlink"/>
                <w:rFonts w:asciiTheme="majorHAnsi" w:hAnsiTheme="majorHAnsi"/>
                <w:b/>
                <w:noProof/>
              </w:rPr>
              <w:t>2.7</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rPr>
              <w:t>Innovation</w:t>
            </w:r>
            <w:r>
              <w:rPr>
                <w:noProof/>
                <w:webHidden/>
              </w:rPr>
              <w:tab/>
            </w:r>
            <w:r>
              <w:rPr>
                <w:noProof/>
                <w:webHidden/>
              </w:rPr>
              <w:fldChar w:fldCharType="begin"/>
            </w:r>
            <w:r>
              <w:rPr>
                <w:noProof/>
                <w:webHidden/>
              </w:rPr>
              <w:instrText xml:space="preserve"> PAGEREF _Toc235785015 \h </w:instrText>
            </w:r>
            <w:r>
              <w:rPr>
                <w:noProof/>
                <w:webHidden/>
              </w:rPr>
            </w:r>
            <w:r>
              <w:rPr>
                <w:noProof/>
                <w:webHidden/>
              </w:rPr>
              <w:fldChar w:fldCharType="separate"/>
            </w:r>
            <w:r>
              <w:rPr>
                <w:noProof/>
                <w:webHidden/>
              </w:rPr>
              <w:t>14</w:t>
            </w:r>
            <w:r>
              <w:rPr>
                <w:noProof/>
                <w:webHidden/>
              </w:rPr>
              <w:fldChar w:fldCharType="end"/>
            </w:r>
          </w:hyperlink>
        </w:p>
        <w:p w14:paraId="53E6579A" w14:textId="7DE4FE27" w:rsidR="005D0E15" w:rsidRDefault="005D0E15">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5785016" w:history="1">
            <w:r w:rsidRPr="009A461F">
              <w:rPr>
                <w:rStyle w:val="Hyperlink"/>
              </w:rPr>
              <w:t>3</w:t>
            </w:r>
            <w:r>
              <w:rPr>
                <w:rFonts w:asciiTheme="minorHAnsi" w:eastAsiaTheme="minorEastAsia" w:hAnsiTheme="minorHAnsi"/>
                <w:b w:val="0"/>
                <w:bCs w:val="0"/>
                <w:caps w:val="0"/>
                <w:color w:val="auto"/>
                <w:kern w:val="2"/>
                <w:sz w:val="24"/>
                <w:szCs w:val="24"/>
                <w:lang w:eastAsia="en-IE"/>
                <w14:ligatures w14:val="standardContextual"/>
              </w:rPr>
              <w:tab/>
            </w:r>
            <w:r w:rsidRPr="009A461F">
              <w:rPr>
                <w:rStyle w:val="Hyperlink"/>
              </w:rPr>
              <w:t>PRICING</w:t>
            </w:r>
            <w:r>
              <w:rPr>
                <w:webHidden/>
              </w:rPr>
              <w:tab/>
            </w:r>
            <w:r>
              <w:rPr>
                <w:webHidden/>
              </w:rPr>
              <w:fldChar w:fldCharType="begin"/>
            </w:r>
            <w:r>
              <w:rPr>
                <w:webHidden/>
              </w:rPr>
              <w:instrText xml:space="preserve"> PAGEREF _Toc235785016 \h </w:instrText>
            </w:r>
            <w:r>
              <w:rPr>
                <w:webHidden/>
              </w:rPr>
            </w:r>
            <w:r>
              <w:rPr>
                <w:webHidden/>
              </w:rPr>
              <w:fldChar w:fldCharType="separate"/>
            </w:r>
            <w:r>
              <w:rPr>
                <w:webHidden/>
              </w:rPr>
              <w:t>14</w:t>
            </w:r>
            <w:r>
              <w:rPr>
                <w:webHidden/>
              </w:rPr>
              <w:fldChar w:fldCharType="end"/>
            </w:r>
          </w:hyperlink>
        </w:p>
        <w:p w14:paraId="46BBA21C" w14:textId="26A87C05"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7" w:history="1">
            <w:r w:rsidRPr="009A461F">
              <w:rPr>
                <w:rStyle w:val="Hyperlink"/>
                <w:rFonts w:asciiTheme="majorHAnsi" w:hAnsiTheme="majorHAnsi"/>
                <w:b/>
                <w:noProof/>
                <w:lang w:val="en-GB"/>
              </w:rPr>
              <w:t>3.1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Licensing/Subscription Costs</w:t>
            </w:r>
            <w:r>
              <w:rPr>
                <w:noProof/>
                <w:webHidden/>
              </w:rPr>
              <w:tab/>
            </w:r>
            <w:r>
              <w:rPr>
                <w:noProof/>
                <w:webHidden/>
              </w:rPr>
              <w:fldChar w:fldCharType="begin"/>
            </w:r>
            <w:r>
              <w:rPr>
                <w:noProof/>
                <w:webHidden/>
              </w:rPr>
              <w:instrText xml:space="preserve"> PAGEREF _Toc235785017 \h </w:instrText>
            </w:r>
            <w:r>
              <w:rPr>
                <w:noProof/>
                <w:webHidden/>
              </w:rPr>
            </w:r>
            <w:r>
              <w:rPr>
                <w:noProof/>
                <w:webHidden/>
              </w:rPr>
              <w:fldChar w:fldCharType="separate"/>
            </w:r>
            <w:r>
              <w:rPr>
                <w:noProof/>
                <w:webHidden/>
              </w:rPr>
              <w:t>15</w:t>
            </w:r>
            <w:r>
              <w:rPr>
                <w:noProof/>
                <w:webHidden/>
              </w:rPr>
              <w:fldChar w:fldCharType="end"/>
            </w:r>
          </w:hyperlink>
        </w:p>
        <w:p w14:paraId="2746ECFB" w14:textId="336BA92E"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8" w:history="1">
            <w:r w:rsidRPr="009A461F">
              <w:rPr>
                <w:rStyle w:val="Hyperlink"/>
                <w:rFonts w:asciiTheme="majorHAnsi" w:hAnsiTheme="majorHAnsi"/>
                <w:b/>
                <w:noProof/>
                <w:lang w:val="en-GB"/>
              </w:rPr>
              <w:t>3.2</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Implementation Costs</w:t>
            </w:r>
            <w:r>
              <w:rPr>
                <w:noProof/>
                <w:webHidden/>
              </w:rPr>
              <w:tab/>
            </w:r>
            <w:r>
              <w:rPr>
                <w:noProof/>
                <w:webHidden/>
              </w:rPr>
              <w:fldChar w:fldCharType="begin"/>
            </w:r>
            <w:r>
              <w:rPr>
                <w:noProof/>
                <w:webHidden/>
              </w:rPr>
              <w:instrText xml:space="preserve"> PAGEREF _Toc235785018 \h </w:instrText>
            </w:r>
            <w:r>
              <w:rPr>
                <w:noProof/>
                <w:webHidden/>
              </w:rPr>
            </w:r>
            <w:r>
              <w:rPr>
                <w:noProof/>
                <w:webHidden/>
              </w:rPr>
              <w:fldChar w:fldCharType="separate"/>
            </w:r>
            <w:r>
              <w:rPr>
                <w:noProof/>
                <w:webHidden/>
              </w:rPr>
              <w:t>17</w:t>
            </w:r>
            <w:r>
              <w:rPr>
                <w:noProof/>
                <w:webHidden/>
              </w:rPr>
              <w:fldChar w:fldCharType="end"/>
            </w:r>
          </w:hyperlink>
        </w:p>
        <w:p w14:paraId="66FE26BB" w14:textId="52ABFFF0"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19" w:history="1">
            <w:r w:rsidRPr="009A461F">
              <w:rPr>
                <w:rStyle w:val="Hyperlink"/>
                <w:rFonts w:asciiTheme="majorHAnsi" w:hAnsiTheme="majorHAnsi"/>
                <w:b/>
                <w:noProof/>
                <w:lang w:val="en-GB"/>
              </w:rPr>
              <w:t>3.3</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Professional Services</w:t>
            </w:r>
            <w:r>
              <w:rPr>
                <w:noProof/>
                <w:webHidden/>
              </w:rPr>
              <w:tab/>
            </w:r>
            <w:r>
              <w:rPr>
                <w:noProof/>
                <w:webHidden/>
              </w:rPr>
              <w:fldChar w:fldCharType="begin"/>
            </w:r>
            <w:r>
              <w:rPr>
                <w:noProof/>
                <w:webHidden/>
              </w:rPr>
              <w:instrText xml:space="preserve"> PAGEREF _Toc235785019 \h </w:instrText>
            </w:r>
            <w:r>
              <w:rPr>
                <w:noProof/>
                <w:webHidden/>
              </w:rPr>
            </w:r>
            <w:r>
              <w:rPr>
                <w:noProof/>
                <w:webHidden/>
              </w:rPr>
              <w:fldChar w:fldCharType="separate"/>
            </w:r>
            <w:r>
              <w:rPr>
                <w:noProof/>
                <w:webHidden/>
              </w:rPr>
              <w:t>17</w:t>
            </w:r>
            <w:r>
              <w:rPr>
                <w:noProof/>
                <w:webHidden/>
              </w:rPr>
              <w:fldChar w:fldCharType="end"/>
            </w:r>
          </w:hyperlink>
        </w:p>
        <w:p w14:paraId="3F20D410" w14:textId="5E7D34F7" w:rsidR="005D0E15" w:rsidRDefault="005D0E15">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5785020" w:history="1">
            <w:r w:rsidRPr="009A461F">
              <w:rPr>
                <w:rStyle w:val="Hyperlink"/>
              </w:rPr>
              <w:t>4</w:t>
            </w:r>
            <w:r>
              <w:rPr>
                <w:rFonts w:asciiTheme="minorHAnsi" w:eastAsiaTheme="minorEastAsia" w:hAnsiTheme="minorHAnsi"/>
                <w:b w:val="0"/>
                <w:bCs w:val="0"/>
                <w:caps w:val="0"/>
                <w:color w:val="auto"/>
                <w:kern w:val="2"/>
                <w:sz w:val="24"/>
                <w:szCs w:val="24"/>
                <w:lang w:eastAsia="en-IE"/>
                <w14:ligatures w14:val="standardContextual"/>
              </w:rPr>
              <w:tab/>
            </w:r>
            <w:r w:rsidRPr="009A461F">
              <w:rPr>
                <w:rStyle w:val="Hyperlink"/>
              </w:rPr>
              <w:t>Anticipated Timeline</w:t>
            </w:r>
            <w:r>
              <w:rPr>
                <w:webHidden/>
              </w:rPr>
              <w:tab/>
            </w:r>
            <w:r>
              <w:rPr>
                <w:webHidden/>
              </w:rPr>
              <w:fldChar w:fldCharType="begin"/>
            </w:r>
            <w:r>
              <w:rPr>
                <w:webHidden/>
              </w:rPr>
              <w:instrText xml:space="preserve"> PAGEREF _Toc235785020 \h </w:instrText>
            </w:r>
            <w:r>
              <w:rPr>
                <w:webHidden/>
              </w:rPr>
            </w:r>
            <w:r>
              <w:rPr>
                <w:webHidden/>
              </w:rPr>
              <w:fldChar w:fldCharType="separate"/>
            </w:r>
            <w:r>
              <w:rPr>
                <w:webHidden/>
              </w:rPr>
              <w:t>18</w:t>
            </w:r>
            <w:r>
              <w:rPr>
                <w:webHidden/>
              </w:rPr>
              <w:fldChar w:fldCharType="end"/>
            </w:r>
          </w:hyperlink>
        </w:p>
        <w:p w14:paraId="69743484" w14:textId="51FE8A56"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21" w:history="1">
            <w:r w:rsidRPr="009A461F">
              <w:rPr>
                <w:rStyle w:val="Hyperlink"/>
                <w:rFonts w:asciiTheme="majorHAnsi" w:hAnsiTheme="majorHAnsi"/>
                <w:b/>
                <w:noProof/>
                <w:lang w:val="en-GB"/>
              </w:rPr>
              <w:t>4.1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Award to Runner Up</w:t>
            </w:r>
            <w:r>
              <w:rPr>
                <w:noProof/>
                <w:webHidden/>
              </w:rPr>
              <w:tab/>
            </w:r>
            <w:r>
              <w:rPr>
                <w:noProof/>
                <w:webHidden/>
              </w:rPr>
              <w:fldChar w:fldCharType="begin"/>
            </w:r>
            <w:r>
              <w:rPr>
                <w:noProof/>
                <w:webHidden/>
              </w:rPr>
              <w:instrText xml:space="preserve"> PAGEREF _Toc235785021 \h </w:instrText>
            </w:r>
            <w:r>
              <w:rPr>
                <w:noProof/>
                <w:webHidden/>
              </w:rPr>
            </w:r>
            <w:r>
              <w:rPr>
                <w:noProof/>
                <w:webHidden/>
              </w:rPr>
              <w:fldChar w:fldCharType="separate"/>
            </w:r>
            <w:r>
              <w:rPr>
                <w:noProof/>
                <w:webHidden/>
              </w:rPr>
              <w:t>19</w:t>
            </w:r>
            <w:r>
              <w:rPr>
                <w:noProof/>
                <w:webHidden/>
              </w:rPr>
              <w:fldChar w:fldCharType="end"/>
            </w:r>
          </w:hyperlink>
        </w:p>
        <w:p w14:paraId="2A0F8977" w14:textId="07E09E0E" w:rsidR="005D0E15" w:rsidRDefault="005D0E15">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5785022" w:history="1">
            <w:r w:rsidRPr="009A461F">
              <w:rPr>
                <w:rStyle w:val="Hyperlink"/>
              </w:rPr>
              <w:t>5</w:t>
            </w:r>
            <w:r>
              <w:rPr>
                <w:rFonts w:asciiTheme="minorHAnsi" w:eastAsiaTheme="minorEastAsia" w:hAnsiTheme="minorHAnsi"/>
                <w:b w:val="0"/>
                <w:bCs w:val="0"/>
                <w:caps w:val="0"/>
                <w:color w:val="auto"/>
                <w:kern w:val="2"/>
                <w:sz w:val="24"/>
                <w:szCs w:val="24"/>
                <w:lang w:eastAsia="en-IE"/>
                <w14:ligatures w14:val="standardContextual"/>
              </w:rPr>
              <w:tab/>
            </w:r>
            <w:r w:rsidRPr="009A461F">
              <w:rPr>
                <w:rStyle w:val="Hyperlink"/>
              </w:rPr>
              <w:t>Selection Criteria</w:t>
            </w:r>
            <w:r>
              <w:rPr>
                <w:webHidden/>
              </w:rPr>
              <w:tab/>
            </w:r>
            <w:r>
              <w:rPr>
                <w:webHidden/>
              </w:rPr>
              <w:fldChar w:fldCharType="begin"/>
            </w:r>
            <w:r>
              <w:rPr>
                <w:webHidden/>
              </w:rPr>
              <w:instrText xml:space="preserve"> PAGEREF _Toc235785022 \h </w:instrText>
            </w:r>
            <w:r>
              <w:rPr>
                <w:webHidden/>
              </w:rPr>
            </w:r>
            <w:r>
              <w:rPr>
                <w:webHidden/>
              </w:rPr>
              <w:fldChar w:fldCharType="separate"/>
            </w:r>
            <w:r>
              <w:rPr>
                <w:webHidden/>
              </w:rPr>
              <w:t>19</w:t>
            </w:r>
            <w:r>
              <w:rPr>
                <w:webHidden/>
              </w:rPr>
              <w:fldChar w:fldCharType="end"/>
            </w:r>
          </w:hyperlink>
        </w:p>
        <w:p w14:paraId="31196815" w14:textId="0864E922"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23" w:history="1">
            <w:r w:rsidRPr="009A461F">
              <w:rPr>
                <w:rStyle w:val="Hyperlink"/>
                <w:rFonts w:asciiTheme="majorHAnsi" w:hAnsiTheme="majorHAnsi"/>
                <w:b/>
                <w:noProof/>
                <w:lang w:val="en-GB"/>
              </w:rPr>
              <w:t>5.1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Declarations &amp; Requirements</w:t>
            </w:r>
            <w:r>
              <w:rPr>
                <w:noProof/>
                <w:webHidden/>
              </w:rPr>
              <w:tab/>
            </w:r>
            <w:r>
              <w:rPr>
                <w:noProof/>
                <w:webHidden/>
              </w:rPr>
              <w:fldChar w:fldCharType="begin"/>
            </w:r>
            <w:r>
              <w:rPr>
                <w:noProof/>
                <w:webHidden/>
              </w:rPr>
              <w:instrText xml:space="preserve"> PAGEREF _Toc235785023 \h </w:instrText>
            </w:r>
            <w:r>
              <w:rPr>
                <w:noProof/>
                <w:webHidden/>
              </w:rPr>
            </w:r>
            <w:r>
              <w:rPr>
                <w:noProof/>
                <w:webHidden/>
              </w:rPr>
              <w:fldChar w:fldCharType="separate"/>
            </w:r>
            <w:r>
              <w:rPr>
                <w:noProof/>
                <w:webHidden/>
              </w:rPr>
              <w:t>19</w:t>
            </w:r>
            <w:r>
              <w:rPr>
                <w:noProof/>
                <w:webHidden/>
              </w:rPr>
              <w:fldChar w:fldCharType="end"/>
            </w:r>
          </w:hyperlink>
        </w:p>
        <w:p w14:paraId="36BABCE7" w14:textId="04B7532A" w:rsidR="005D0E15" w:rsidRDefault="005D0E15">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5785024" w:history="1">
            <w:r w:rsidRPr="009A461F">
              <w:rPr>
                <w:rStyle w:val="Hyperlink"/>
              </w:rPr>
              <w:t>6</w:t>
            </w:r>
            <w:r>
              <w:rPr>
                <w:rFonts w:asciiTheme="minorHAnsi" w:eastAsiaTheme="minorEastAsia" w:hAnsiTheme="minorHAnsi"/>
                <w:b w:val="0"/>
                <w:bCs w:val="0"/>
                <w:caps w:val="0"/>
                <w:color w:val="auto"/>
                <w:kern w:val="2"/>
                <w:sz w:val="24"/>
                <w:szCs w:val="24"/>
                <w:lang w:eastAsia="en-IE"/>
                <w14:ligatures w14:val="standardContextual"/>
              </w:rPr>
              <w:tab/>
            </w:r>
            <w:r w:rsidRPr="009A461F">
              <w:rPr>
                <w:rStyle w:val="Hyperlink"/>
              </w:rPr>
              <w:t>Award Criteria</w:t>
            </w:r>
            <w:r>
              <w:rPr>
                <w:webHidden/>
              </w:rPr>
              <w:tab/>
            </w:r>
            <w:r>
              <w:rPr>
                <w:webHidden/>
              </w:rPr>
              <w:fldChar w:fldCharType="begin"/>
            </w:r>
            <w:r>
              <w:rPr>
                <w:webHidden/>
              </w:rPr>
              <w:instrText xml:space="preserve"> PAGEREF _Toc235785024 \h </w:instrText>
            </w:r>
            <w:r>
              <w:rPr>
                <w:webHidden/>
              </w:rPr>
            </w:r>
            <w:r>
              <w:rPr>
                <w:webHidden/>
              </w:rPr>
              <w:fldChar w:fldCharType="separate"/>
            </w:r>
            <w:r>
              <w:rPr>
                <w:webHidden/>
              </w:rPr>
              <w:t>19</w:t>
            </w:r>
            <w:r>
              <w:rPr>
                <w:webHidden/>
              </w:rPr>
              <w:fldChar w:fldCharType="end"/>
            </w:r>
          </w:hyperlink>
        </w:p>
        <w:p w14:paraId="34EDCA80" w14:textId="3AA45E5C"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25" w:history="1">
            <w:r w:rsidRPr="009A461F">
              <w:rPr>
                <w:rStyle w:val="Hyperlink"/>
                <w:rFonts w:asciiTheme="majorHAnsi" w:hAnsiTheme="majorHAnsi"/>
                <w:b/>
                <w:noProof/>
                <w:lang w:val="en-GB"/>
              </w:rPr>
              <w:t>6.1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Methodology for evaluating Criterion A – Ultimate Cost</w:t>
            </w:r>
            <w:r>
              <w:rPr>
                <w:noProof/>
                <w:webHidden/>
              </w:rPr>
              <w:tab/>
            </w:r>
            <w:r>
              <w:rPr>
                <w:noProof/>
                <w:webHidden/>
              </w:rPr>
              <w:fldChar w:fldCharType="begin"/>
            </w:r>
            <w:r>
              <w:rPr>
                <w:noProof/>
                <w:webHidden/>
              </w:rPr>
              <w:instrText xml:space="preserve"> PAGEREF _Toc235785025 \h </w:instrText>
            </w:r>
            <w:r>
              <w:rPr>
                <w:noProof/>
                <w:webHidden/>
              </w:rPr>
            </w:r>
            <w:r>
              <w:rPr>
                <w:noProof/>
                <w:webHidden/>
              </w:rPr>
              <w:fldChar w:fldCharType="separate"/>
            </w:r>
            <w:r>
              <w:rPr>
                <w:noProof/>
                <w:webHidden/>
              </w:rPr>
              <w:t>21</w:t>
            </w:r>
            <w:r>
              <w:rPr>
                <w:noProof/>
                <w:webHidden/>
              </w:rPr>
              <w:fldChar w:fldCharType="end"/>
            </w:r>
          </w:hyperlink>
        </w:p>
        <w:p w14:paraId="217E6F83" w14:textId="6D199024"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26" w:history="1">
            <w:r w:rsidRPr="009A461F">
              <w:rPr>
                <w:rStyle w:val="Hyperlink"/>
                <w:rFonts w:asciiTheme="majorHAnsi" w:hAnsiTheme="majorHAnsi"/>
                <w:b/>
                <w:noProof/>
                <w:lang w:val="en-GB"/>
              </w:rPr>
              <w:t>6.2</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Methodology for calculating Scoring of Qualitative Criteria</w:t>
            </w:r>
            <w:r>
              <w:rPr>
                <w:noProof/>
                <w:webHidden/>
              </w:rPr>
              <w:tab/>
            </w:r>
            <w:r>
              <w:rPr>
                <w:noProof/>
                <w:webHidden/>
              </w:rPr>
              <w:fldChar w:fldCharType="begin"/>
            </w:r>
            <w:r>
              <w:rPr>
                <w:noProof/>
                <w:webHidden/>
              </w:rPr>
              <w:instrText xml:space="preserve"> PAGEREF _Toc235785026 \h </w:instrText>
            </w:r>
            <w:r>
              <w:rPr>
                <w:noProof/>
                <w:webHidden/>
              </w:rPr>
            </w:r>
            <w:r>
              <w:rPr>
                <w:noProof/>
                <w:webHidden/>
              </w:rPr>
              <w:fldChar w:fldCharType="separate"/>
            </w:r>
            <w:r>
              <w:rPr>
                <w:noProof/>
                <w:webHidden/>
              </w:rPr>
              <w:t>21</w:t>
            </w:r>
            <w:r>
              <w:rPr>
                <w:noProof/>
                <w:webHidden/>
              </w:rPr>
              <w:fldChar w:fldCharType="end"/>
            </w:r>
          </w:hyperlink>
        </w:p>
        <w:p w14:paraId="0A88B45B" w14:textId="2199DA30"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27" w:history="1">
            <w:r w:rsidRPr="009A461F">
              <w:rPr>
                <w:rStyle w:val="Hyperlink"/>
                <w:rFonts w:asciiTheme="majorHAnsi" w:hAnsiTheme="majorHAnsi"/>
                <w:b/>
                <w:noProof/>
                <w:lang w:val="en-GB"/>
              </w:rPr>
              <w:t>6.3</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Clarification/Verification/Negotiation meetings</w:t>
            </w:r>
            <w:r>
              <w:rPr>
                <w:noProof/>
                <w:webHidden/>
              </w:rPr>
              <w:tab/>
            </w:r>
            <w:r>
              <w:rPr>
                <w:noProof/>
                <w:webHidden/>
              </w:rPr>
              <w:fldChar w:fldCharType="begin"/>
            </w:r>
            <w:r>
              <w:rPr>
                <w:noProof/>
                <w:webHidden/>
              </w:rPr>
              <w:instrText xml:space="preserve"> PAGEREF _Toc235785027 \h </w:instrText>
            </w:r>
            <w:r>
              <w:rPr>
                <w:noProof/>
                <w:webHidden/>
              </w:rPr>
            </w:r>
            <w:r>
              <w:rPr>
                <w:noProof/>
                <w:webHidden/>
              </w:rPr>
              <w:fldChar w:fldCharType="separate"/>
            </w:r>
            <w:r>
              <w:rPr>
                <w:noProof/>
                <w:webHidden/>
              </w:rPr>
              <w:t>22</w:t>
            </w:r>
            <w:r>
              <w:rPr>
                <w:noProof/>
                <w:webHidden/>
              </w:rPr>
              <w:fldChar w:fldCharType="end"/>
            </w:r>
          </w:hyperlink>
        </w:p>
        <w:p w14:paraId="397BD0A4" w14:textId="0524E7FB"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28" w:history="1">
            <w:r w:rsidRPr="009A461F">
              <w:rPr>
                <w:rStyle w:val="Hyperlink"/>
                <w:rFonts w:asciiTheme="majorHAnsi" w:hAnsiTheme="majorHAnsi"/>
                <w:b/>
                <w:noProof/>
                <w:lang w:val="en-GB"/>
              </w:rPr>
              <w:t>6.4</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Clarification of Abnormally Low Tenders</w:t>
            </w:r>
            <w:r>
              <w:rPr>
                <w:noProof/>
                <w:webHidden/>
              </w:rPr>
              <w:tab/>
            </w:r>
            <w:r>
              <w:rPr>
                <w:noProof/>
                <w:webHidden/>
              </w:rPr>
              <w:fldChar w:fldCharType="begin"/>
            </w:r>
            <w:r>
              <w:rPr>
                <w:noProof/>
                <w:webHidden/>
              </w:rPr>
              <w:instrText xml:space="preserve"> PAGEREF _Toc235785028 \h </w:instrText>
            </w:r>
            <w:r>
              <w:rPr>
                <w:noProof/>
                <w:webHidden/>
              </w:rPr>
            </w:r>
            <w:r>
              <w:rPr>
                <w:noProof/>
                <w:webHidden/>
              </w:rPr>
              <w:fldChar w:fldCharType="separate"/>
            </w:r>
            <w:r>
              <w:rPr>
                <w:noProof/>
                <w:webHidden/>
              </w:rPr>
              <w:t>22</w:t>
            </w:r>
            <w:r>
              <w:rPr>
                <w:noProof/>
                <w:webHidden/>
              </w:rPr>
              <w:fldChar w:fldCharType="end"/>
            </w:r>
          </w:hyperlink>
        </w:p>
        <w:p w14:paraId="5DFFE54A" w14:textId="188654E7" w:rsidR="005D0E15" w:rsidRDefault="005D0E15">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5785029" w:history="1">
            <w:r w:rsidRPr="009A461F">
              <w:rPr>
                <w:rStyle w:val="Hyperlink"/>
              </w:rPr>
              <w:t>7</w:t>
            </w:r>
            <w:r>
              <w:rPr>
                <w:rFonts w:asciiTheme="minorHAnsi" w:eastAsiaTheme="minorEastAsia" w:hAnsiTheme="minorHAnsi"/>
                <w:b w:val="0"/>
                <w:bCs w:val="0"/>
                <w:caps w:val="0"/>
                <w:color w:val="auto"/>
                <w:kern w:val="2"/>
                <w:sz w:val="24"/>
                <w:szCs w:val="24"/>
                <w:lang w:eastAsia="en-IE"/>
                <w14:ligatures w14:val="standardContextual"/>
              </w:rPr>
              <w:tab/>
            </w:r>
            <w:r w:rsidRPr="009A461F">
              <w:rPr>
                <w:rStyle w:val="Hyperlink"/>
              </w:rPr>
              <w:t>Instructions For Tenderers</w:t>
            </w:r>
            <w:r>
              <w:rPr>
                <w:webHidden/>
              </w:rPr>
              <w:tab/>
            </w:r>
            <w:r>
              <w:rPr>
                <w:webHidden/>
              </w:rPr>
              <w:fldChar w:fldCharType="begin"/>
            </w:r>
            <w:r>
              <w:rPr>
                <w:webHidden/>
              </w:rPr>
              <w:instrText xml:space="preserve"> PAGEREF _Toc235785029 \h </w:instrText>
            </w:r>
            <w:r>
              <w:rPr>
                <w:webHidden/>
              </w:rPr>
            </w:r>
            <w:r>
              <w:rPr>
                <w:webHidden/>
              </w:rPr>
              <w:fldChar w:fldCharType="separate"/>
            </w:r>
            <w:r>
              <w:rPr>
                <w:webHidden/>
              </w:rPr>
              <w:t>22</w:t>
            </w:r>
            <w:r>
              <w:rPr>
                <w:webHidden/>
              </w:rPr>
              <w:fldChar w:fldCharType="end"/>
            </w:r>
          </w:hyperlink>
        </w:p>
        <w:p w14:paraId="3D0C2D30" w14:textId="1B63CEA4"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0" w:history="1">
            <w:r w:rsidRPr="009A461F">
              <w:rPr>
                <w:rStyle w:val="Hyperlink"/>
                <w:rFonts w:asciiTheme="majorHAnsi" w:hAnsiTheme="majorHAnsi"/>
                <w:b/>
                <w:noProof/>
                <w:lang w:val="en-GB"/>
              </w:rPr>
              <w:t>7.1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Submissions of tenders</w:t>
            </w:r>
            <w:r>
              <w:rPr>
                <w:noProof/>
                <w:webHidden/>
              </w:rPr>
              <w:tab/>
            </w:r>
            <w:r>
              <w:rPr>
                <w:noProof/>
                <w:webHidden/>
              </w:rPr>
              <w:fldChar w:fldCharType="begin"/>
            </w:r>
            <w:r>
              <w:rPr>
                <w:noProof/>
                <w:webHidden/>
              </w:rPr>
              <w:instrText xml:space="preserve"> PAGEREF _Toc235785030 \h </w:instrText>
            </w:r>
            <w:r>
              <w:rPr>
                <w:noProof/>
                <w:webHidden/>
              </w:rPr>
            </w:r>
            <w:r>
              <w:rPr>
                <w:noProof/>
                <w:webHidden/>
              </w:rPr>
              <w:fldChar w:fldCharType="separate"/>
            </w:r>
            <w:r>
              <w:rPr>
                <w:noProof/>
                <w:webHidden/>
              </w:rPr>
              <w:t>22</w:t>
            </w:r>
            <w:r>
              <w:rPr>
                <w:noProof/>
                <w:webHidden/>
              </w:rPr>
              <w:fldChar w:fldCharType="end"/>
            </w:r>
          </w:hyperlink>
        </w:p>
        <w:p w14:paraId="172E5418" w14:textId="64EC58DB"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1" w:history="1">
            <w:r w:rsidRPr="009A461F">
              <w:rPr>
                <w:rStyle w:val="Hyperlink"/>
                <w:rFonts w:asciiTheme="majorHAnsi" w:hAnsiTheme="majorHAnsi"/>
                <w:b/>
                <w:noProof/>
                <w:lang w:val="en-GB"/>
              </w:rPr>
              <w:t>7.2</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Closing date for Tenders</w:t>
            </w:r>
            <w:r>
              <w:rPr>
                <w:noProof/>
                <w:webHidden/>
              </w:rPr>
              <w:tab/>
            </w:r>
            <w:r>
              <w:rPr>
                <w:noProof/>
                <w:webHidden/>
              </w:rPr>
              <w:fldChar w:fldCharType="begin"/>
            </w:r>
            <w:r>
              <w:rPr>
                <w:noProof/>
                <w:webHidden/>
              </w:rPr>
              <w:instrText xml:space="preserve"> PAGEREF _Toc235785031 \h </w:instrText>
            </w:r>
            <w:r>
              <w:rPr>
                <w:noProof/>
                <w:webHidden/>
              </w:rPr>
            </w:r>
            <w:r>
              <w:rPr>
                <w:noProof/>
                <w:webHidden/>
              </w:rPr>
              <w:fldChar w:fldCharType="separate"/>
            </w:r>
            <w:r>
              <w:rPr>
                <w:noProof/>
                <w:webHidden/>
              </w:rPr>
              <w:t>23</w:t>
            </w:r>
            <w:r>
              <w:rPr>
                <w:noProof/>
                <w:webHidden/>
              </w:rPr>
              <w:fldChar w:fldCharType="end"/>
            </w:r>
          </w:hyperlink>
        </w:p>
        <w:p w14:paraId="675CE566" w14:textId="2852E70D"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2" w:history="1">
            <w:r w:rsidRPr="009A461F">
              <w:rPr>
                <w:rStyle w:val="Hyperlink"/>
                <w:rFonts w:asciiTheme="majorHAnsi" w:hAnsiTheme="majorHAnsi"/>
                <w:b/>
                <w:noProof/>
                <w:lang w:val="en-GB"/>
              </w:rPr>
              <w:t>7.3</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Queries</w:t>
            </w:r>
            <w:r>
              <w:rPr>
                <w:noProof/>
                <w:webHidden/>
              </w:rPr>
              <w:tab/>
            </w:r>
            <w:r>
              <w:rPr>
                <w:noProof/>
                <w:webHidden/>
              </w:rPr>
              <w:fldChar w:fldCharType="begin"/>
            </w:r>
            <w:r>
              <w:rPr>
                <w:noProof/>
                <w:webHidden/>
              </w:rPr>
              <w:instrText xml:space="preserve"> PAGEREF _Toc235785032 \h </w:instrText>
            </w:r>
            <w:r>
              <w:rPr>
                <w:noProof/>
                <w:webHidden/>
              </w:rPr>
            </w:r>
            <w:r>
              <w:rPr>
                <w:noProof/>
                <w:webHidden/>
              </w:rPr>
              <w:fldChar w:fldCharType="separate"/>
            </w:r>
            <w:r>
              <w:rPr>
                <w:noProof/>
                <w:webHidden/>
              </w:rPr>
              <w:t>23</w:t>
            </w:r>
            <w:r>
              <w:rPr>
                <w:noProof/>
                <w:webHidden/>
              </w:rPr>
              <w:fldChar w:fldCharType="end"/>
            </w:r>
          </w:hyperlink>
        </w:p>
        <w:p w14:paraId="71D95B3C" w14:textId="55C67F81"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3" w:history="1">
            <w:r w:rsidRPr="009A461F">
              <w:rPr>
                <w:rStyle w:val="Hyperlink"/>
                <w:rFonts w:asciiTheme="majorHAnsi" w:hAnsiTheme="majorHAnsi"/>
                <w:b/>
                <w:noProof/>
                <w:lang w:val="en-GB"/>
              </w:rPr>
              <w:t>7.4</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Extension of Tender Period</w:t>
            </w:r>
            <w:r>
              <w:rPr>
                <w:noProof/>
                <w:webHidden/>
              </w:rPr>
              <w:tab/>
            </w:r>
            <w:r>
              <w:rPr>
                <w:noProof/>
                <w:webHidden/>
              </w:rPr>
              <w:fldChar w:fldCharType="begin"/>
            </w:r>
            <w:r>
              <w:rPr>
                <w:noProof/>
                <w:webHidden/>
              </w:rPr>
              <w:instrText xml:space="preserve"> PAGEREF _Toc235785033 \h </w:instrText>
            </w:r>
            <w:r>
              <w:rPr>
                <w:noProof/>
                <w:webHidden/>
              </w:rPr>
            </w:r>
            <w:r>
              <w:rPr>
                <w:noProof/>
                <w:webHidden/>
              </w:rPr>
              <w:fldChar w:fldCharType="separate"/>
            </w:r>
            <w:r>
              <w:rPr>
                <w:noProof/>
                <w:webHidden/>
              </w:rPr>
              <w:t>23</w:t>
            </w:r>
            <w:r>
              <w:rPr>
                <w:noProof/>
                <w:webHidden/>
              </w:rPr>
              <w:fldChar w:fldCharType="end"/>
            </w:r>
          </w:hyperlink>
        </w:p>
        <w:p w14:paraId="3A8DFD31" w14:textId="643D618F"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4" w:history="1">
            <w:r w:rsidRPr="009A461F">
              <w:rPr>
                <w:rStyle w:val="Hyperlink"/>
                <w:rFonts w:asciiTheme="majorHAnsi" w:hAnsiTheme="majorHAnsi"/>
                <w:b/>
                <w:noProof/>
                <w:lang w:val="en-GB"/>
              </w:rPr>
              <w:t>7.5</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Tender validity period</w:t>
            </w:r>
            <w:r>
              <w:rPr>
                <w:noProof/>
                <w:webHidden/>
              </w:rPr>
              <w:tab/>
            </w:r>
            <w:r>
              <w:rPr>
                <w:noProof/>
                <w:webHidden/>
              </w:rPr>
              <w:fldChar w:fldCharType="begin"/>
            </w:r>
            <w:r>
              <w:rPr>
                <w:noProof/>
                <w:webHidden/>
              </w:rPr>
              <w:instrText xml:space="preserve"> PAGEREF _Toc235785034 \h </w:instrText>
            </w:r>
            <w:r>
              <w:rPr>
                <w:noProof/>
                <w:webHidden/>
              </w:rPr>
            </w:r>
            <w:r>
              <w:rPr>
                <w:noProof/>
                <w:webHidden/>
              </w:rPr>
              <w:fldChar w:fldCharType="separate"/>
            </w:r>
            <w:r>
              <w:rPr>
                <w:noProof/>
                <w:webHidden/>
              </w:rPr>
              <w:t>23</w:t>
            </w:r>
            <w:r>
              <w:rPr>
                <w:noProof/>
                <w:webHidden/>
              </w:rPr>
              <w:fldChar w:fldCharType="end"/>
            </w:r>
          </w:hyperlink>
        </w:p>
        <w:p w14:paraId="743705F5" w14:textId="72ABF765"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5" w:history="1">
            <w:r w:rsidRPr="009A461F">
              <w:rPr>
                <w:rStyle w:val="Hyperlink"/>
                <w:rFonts w:asciiTheme="majorHAnsi" w:hAnsiTheme="majorHAnsi"/>
                <w:b/>
                <w:noProof/>
                <w:lang w:val="en-GB"/>
              </w:rPr>
              <w:t>7.6</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Formatting of Tenders/ Amending Tender Documentation</w:t>
            </w:r>
            <w:r>
              <w:rPr>
                <w:noProof/>
                <w:webHidden/>
              </w:rPr>
              <w:tab/>
            </w:r>
            <w:r>
              <w:rPr>
                <w:noProof/>
                <w:webHidden/>
              </w:rPr>
              <w:fldChar w:fldCharType="begin"/>
            </w:r>
            <w:r>
              <w:rPr>
                <w:noProof/>
                <w:webHidden/>
              </w:rPr>
              <w:instrText xml:space="preserve"> PAGEREF _Toc235785035 \h </w:instrText>
            </w:r>
            <w:r>
              <w:rPr>
                <w:noProof/>
                <w:webHidden/>
              </w:rPr>
            </w:r>
            <w:r>
              <w:rPr>
                <w:noProof/>
                <w:webHidden/>
              </w:rPr>
              <w:fldChar w:fldCharType="separate"/>
            </w:r>
            <w:r>
              <w:rPr>
                <w:noProof/>
                <w:webHidden/>
              </w:rPr>
              <w:t>23</w:t>
            </w:r>
            <w:r>
              <w:rPr>
                <w:noProof/>
                <w:webHidden/>
              </w:rPr>
              <w:fldChar w:fldCharType="end"/>
            </w:r>
          </w:hyperlink>
        </w:p>
        <w:p w14:paraId="7DEC7AF1" w14:textId="66DF4270"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6" w:history="1">
            <w:r w:rsidRPr="009A461F">
              <w:rPr>
                <w:rStyle w:val="Hyperlink"/>
                <w:rFonts w:asciiTheme="majorHAnsi" w:hAnsiTheme="majorHAnsi"/>
                <w:b/>
                <w:noProof/>
                <w:lang w:val="en-GB"/>
              </w:rPr>
              <w:t>7.7</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Confidentiality</w:t>
            </w:r>
            <w:r>
              <w:rPr>
                <w:noProof/>
                <w:webHidden/>
              </w:rPr>
              <w:tab/>
            </w:r>
            <w:r>
              <w:rPr>
                <w:noProof/>
                <w:webHidden/>
              </w:rPr>
              <w:fldChar w:fldCharType="begin"/>
            </w:r>
            <w:r>
              <w:rPr>
                <w:noProof/>
                <w:webHidden/>
              </w:rPr>
              <w:instrText xml:space="preserve"> PAGEREF _Toc235785036 \h </w:instrText>
            </w:r>
            <w:r>
              <w:rPr>
                <w:noProof/>
                <w:webHidden/>
              </w:rPr>
            </w:r>
            <w:r>
              <w:rPr>
                <w:noProof/>
                <w:webHidden/>
              </w:rPr>
              <w:fldChar w:fldCharType="separate"/>
            </w:r>
            <w:r>
              <w:rPr>
                <w:noProof/>
                <w:webHidden/>
              </w:rPr>
              <w:t>24</w:t>
            </w:r>
            <w:r>
              <w:rPr>
                <w:noProof/>
                <w:webHidden/>
              </w:rPr>
              <w:fldChar w:fldCharType="end"/>
            </w:r>
          </w:hyperlink>
        </w:p>
        <w:p w14:paraId="743561F7" w14:textId="36E95FAF"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7" w:history="1">
            <w:r w:rsidRPr="009A461F">
              <w:rPr>
                <w:rStyle w:val="Hyperlink"/>
                <w:rFonts w:asciiTheme="majorHAnsi" w:hAnsiTheme="majorHAnsi"/>
                <w:b/>
                <w:noProof/>
                <w:lang w:val="en-GB"/>
              </w:rPr>
              <w:t>7.8</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Clarification of Tenders</w:t>
            </w:r>
            <w:r>
              <w:rPr>
                <w:noProof/>
                <w:webHidden/>
              </w:rPr>
              <w:tab/>
            </w:r>
            <w:r>
              <w:rPr>
                <w:noProof/>
                <w:webHidden/>
              </w:rPr>
              <w:fldChar w:fldCharType="begin"/>
            </w:r>
            <w:r>
              <w:rPr>
                <w:noProof/>
                <w:webHidden/>
              </w:rPr>
              <w:instrText xml:space="preserve"> PAGEREF _Toc235785037 \h </w:instrText>
            </w:r>
            <w:r>
              <w:rPr>
                <w:noProof/>
                <w:webHidden/>
              </w:rPr>
            </w:r>
            <w:r>
              <w:rPr>
                <w:noProof/>
                <w:webHidden/>
              </w:rPr>
              <w:fldChar w:fldCharType="separate"/>
            </w:r>
            <w:r>
              <w:rPr>
                <w:noProof/>
                <w:webHidden/>
              </w:rPr>
              <w:t>24</w:t>
            </w:r>
            <w:r>
              <w:rPr>
                <w:noProof/>
                <w:webHidden/>
              </w:rPr>
              <w:fldChar w:fldCharType="end"/>
            </w:r>
          </w:hyperlink>
        </w:p>
        <w:p w14:paraId="3EFC28A8" w14:textId="0C48EBA9"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8" w:history="1">
            <w:r w:rsidRPr="009A461F">
              <w:rPr>
                <w:rStyle w:val="Hyperlink"/>
                <w:rFonts w:asciiTheme="majorHAnsi" w:hAnsiTheme="majorHAnsi"/>
                <w:b/>
                <w:noProof/>
                <w:lang w:val="en-GB"/>
              </w:rPr>
              <w:t>7.9</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Correction of Errors</w:t>
            </w:r>
            <w:r>
              <w:rPr>
                <w:noProof/>
                <w:webHidden/>
              </w:rPr>
              <w:tab/>
            </w:r>
            <w:r>
              <w:rPr>
                <w:noProof/>
                <w:webHidden/>
              </w:rPr>
              <w:fldChar w:fldCharType="begin"/>
            </w:r>
            <w:r>
              <w:rPr>
                <w:noProof/>
                <w:webHidden/>
              </w:rPr>
              <w:instrText xml:space="preserve"> PAGEREF _Toc235785038 \h </w:instrText>
            </w:r>
            <w:r>
              <w:rPr>
                <w:noProof/>
                <w:webHidden/>
              </w:rPr>
            </w:r>
            <w:r>
              <w:rPr>
                <w:noProof/>
                <w:webHidden/>
              </w:rPr>
              <w:fldChar w:fldCharType="separate"/>
            </w:r>
            <w:r>
              <w:rPr>
                <w:noProof/>
                <w:webHidden/>
              </w:rPr>
              <w:t>24</w:t>
            </w:r>
            <w:r>
              <w:rPr>
                <w:noProof/>
                <w:webHidden/>
              </w:rPr>
              <w:fldChar w:fldCharType="end"/>
            </w:r>
          </w:hyperlink>
        </w:p>
        <w:p w14:paraId="6AB08C78" w14:textId="6D7F43B9"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39" w:history="1">
            <w:r w:rsidRPr="009A461F">
              <w:rPr>
                <w:rStyle w:val="Hyperlink"/>
                <w:rFonts w:asciiTheme="majorHAnsi" w:hAnsiTheme="majorHAnsi"/>
                <w:b/>
                <w:noProof/>
                <w:lang w:val="en-GB"/>
              </w:rPr>
              <w:t>7.10</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Conflict of interest</w:t>
            </w:r>
            <w:r>
              <w:rPr>
                <w:noProof/>
                <w:webHidden/>
              </w:rPr>
              <w:tab/>
            </w:r>
            <w:r>
              <w:rPr>
                <w:noProof/>
                <w:webHidden/>
              </w:rPr>
              <w:fldChar w:fldCharType="begin"/>
            </w:r>
            <w:r>
              <w:rPr>
                <w:noProof/>
                <w:webHidden/>
              </w:rPr>
              <w:instrText xml:space="preserve"> PAGEREF _Toc235785039 \h </w:instrText>
            </w:r>
            <w:r>
              <w:rPr>
                <w:noProof/>
                <w:webHidden/>
              </w:rPr>
            </w:r>
            <w:r>
              <w:rPr>
                <w:noProof/>
                <w:webHidden/>
              </w:rPr>
              <w:fldChar w:fldCharType="separate"/>
            </w:r>
            <w:r>
              <w:rPr>
                <w:noProof/>
                <w:webHidden/>
              </w:rPr>
              <w:t>24</w:t>
            </w:r>
            <w:r>
              <w:rPr>
                <w:noProof/>
                <w:webHidden/>
              </w:rPr>
              <w:fldChar w:fldCharType="end"/>
            </w:r>
          </w:hyperlink>
        </w:p>
        <w:p w14:paraId="1209D6D3" w14:textId="6D1F90B7"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0" w:history="1">
            <w:r w:rsidRPr="009A461F">
              <w:rPr>
                <w:rStyle w:val="Hyperlink"/>
                <w:rFonts w:asciiTheme="majorHAnsi" w:hAnsiTheme="majorHAnsi"/>
                <w:b/>
                <w:noProof/>
                <w:lang w:val="en-GB"/>
              </w:rPr>
              <w:t>7.11</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Interference with the tender evaluation process</w:t>
            </w:r>
            <w:r>
              <w:rPr>
                <w:noProof/>
                <w:webHidden/>
              </w:rPr>
              <w:tab/>
            </w:r>
            <w:r>
              <w:rPr>
                <w:noProof/>
                <w:webHidden/>
              </w:rPr>
              <w:fldChar w:fldCharType="begin"/>
            </w:r>
            <w:r>
              <w:rPr>
                <w:noProof/>
                <w:webHidden/>
              </w:rPr>
              <w:instrText xml:space="preserve"> PAGEREF _Toc235785040 \h </w:instrText>
            </w:r>
            <w:r>
              <w:rPr>
                <w:noProof/>
                <w:webHidden/>
              </w:rPr>
            </w:r>
            <w:r>
              <w:rPr>
                <w:noProof/>
                <w:webHidden/>
              </w:rPr>
              <w:fldChar w:fldCharType="separate"/>
            </w:r>
            <w:r>
              <w:rPr>
                <w:noProof/>
                <w:webHidden/>
              </w:rPr>
              <w:t>25</w:t>
            </w:r>
            <w:r>
              <w:rPr>
                <w:noProof/>
                <w:webHidden/>
              </w:rPr>
              <w:fldChar w:fldCharType="end"/>
            </w:r>
          </w:hyperlink>
        </w:p>
        <w:p w14:paraId="1E832077" w14:textId="638BFC2E"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1" w:history="1">
            <w:r w:rsidRPr="009A461F">
              <w:rPr>
                <w:rStyle w:val="Hyperlink"/>
                <w:rFonts w:asciiTheme="majorHAnsi" w:hAnsiTheme="majorHAnsi"/>
                <w:b/>
                <w:noProof/>
                <w:lang w:val="en-GB"/>
              </w:rPr>
              <w:t>7.12</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Right not to award</w:t>
            </w:r>
            <w:r>
              <w:rPr>
                <w:noProof/>
                <w:webHidden/>
              </w:rPr>
              <w:tab/>
            </w:r>
            <w:r>
              <w:rPr>
                <w:noProof/>
                <w:webHidden/>
              </w:rPr>
              <w:fldChar w:fldCharType="begin"/>
            </w:r>
            <w:r>
              <w:rPr>
                <w:noProof/>
                <w:webHidden/>
              </w:rPr>
              <w:instrText xml:space="preserve"> PAGEREF _Toc235785041 \h </w:instrText>
            </w:r>
            <w:r>
              <w:rPr>
                <w:noProof/>
                <w:webHidden/>
              </w:rPr>
            </w:r>
            <w:r>
              <w:rPr>
                <w:noProof/>
                <w:webHidden/>
              </w:rPr>
              <w:fldChar w:fldCharType="separate"/>
            </w:r>
            <w:r>
              <w:rPr>
                <w:noProof/>
                <w:webHidden/>
              </w:rPr>
              <w:t>25</w:t>
            </w:r>
            <w:r>
              <w:rPr>
                <w:noProof/>
                <w:webHidden/>
              </w:rPr>
              <w:fldChar w:fldCharType="end"/>
            </w:r>
          </w:hyperlink>
        </w:p>
        <w:p w14:paraId="27813778" w14:textId="6759BF2A"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2" w:history="1">
            <w:r w:rsidRPr="009A461F">
              <w:rPr>
                <w:rStyle w:val="Hyperlink"/>
                <w:rFonts w:asciiTheme="majorHAnsi" w:hAnsiTheme="majorHAnsi"/>
                <w:b/>
                <w:noProof/>
                <w:lang w:val="en-GB"/>
              </w:rPr>
              <w:t>7.13</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Notification of Tender Evaluations</w:t>
            </w:r>
            <w:r>
              <w:rPr>
                <w:noProof/>
                <w:webHidden/>
              </w:rPr>
              <w:tab/>
            </w:r>
            <w:r>
              <w:rPr>
                <w:noProof/>
                <w:webHidden/>
              </w:rPr>
              <w:fldChar w:fldCharType="begin"/>
            </w:r>
            <w:r>
              <w:rPr>
                <w:noProof/>
                <w:webHidden/>
              </w:rPr>
              <w:instrText xml:space="preserve"> PAGEREF _Toc235785042 \h </w:instrText>
            </w:r>
            <w:r>
              <w:rPr>
                <w:noProof/>
                <w:webHidden/>
              </w:rPr>
            </w:r>
            <w:r>
              <w:rPr>
                <w:noProof/>
                <w:webHidden/>
              </w:rPr>
              <w:fldChar w:fldCharType="separate"/>
            </w:r>
            <w:r>
              <w:rPr>
                <w:noProof/>
                <w:webHidden/>
              </w:rPr>
              <w:t>25</w:t>
            </w:r>
            <w:r>
              <w:rPr>
                <w:noProof/>
                <w:webHidden/>
              </w:rPr>
              <w:fldChar w:fldCharType="end"/>
            </w:r>
          </w:hyperlink>
        </w:p>
        <w:p w14:paraId="2339BFF3" w14:textId="36667A6B"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3" w:history="1">
            <w:r w:rsidRPr="009A461F">
              <w:rPr>
                <w:rStyle w:val="Hyperlink"/>
                <w:rFonts w:asciiTheme="majorHAnsi" w:hAnsiTheme="majorHAnsi"/>
                <w:b/>
                <w:noProof/>
                <w:lang w:val="en-GB"/>
              </w:rPr>
              <w:t>7.14</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Award Notices</w:t>
            </w:r>
            <w:r>
              <w:rPr>
                <w:noProof/>
                <w:webHidden/>
              </w:rPr>
              <w:tab/>
            </w:r>
            <w:r>
              <w:rPr>
                <w:noProof/>
                <w:webHidden/>
              </w:rPr>
              <w:fldChar w:fldCharType="begin"/>
            </w:r>
            <w:r>
              <w:rPr>
                <w:noProof/>
                <w:webHidden/>
              </w:rPr>
              <w:instrText xml:space="preserve"> PAGEREF _Toc235785043 \h </w:instrText>
            </w:r>
            <w:r>
              <w:rPr>
                <w:noProof/>
                <w:webHidden/>
              </w:rPr>
            </w:r>
            <w:r>
              <w:rPr>
                <w:noProof/>
                <w:webHidden/>
              </w:rPr>
              <w:fldChar w:fldCharType="separate"/>
            </w:r>
            <w:r>
              <w:rPr>
                <w:noProof/>
                <w:webHidden/>
              </w:rPr>
              <w:t>25</w:t>
            </w:r>
            <w:r>
              <w:rPr>
                <w:noProof/>
                <w:webHidden/>
              </w:rPr>
              <w:fldChar w:fldCharType="end"/>
            </w:r>
          </w:hyperlink>
        </w:p>
        <w:p w14:paraId="7985A072" w14:textId="23F06DD3"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4" w:history="1">
            <w:r w:rsidRPr="009A461F">
              <w:rPr>
                <w:rStyle w:val="Hyperlink"/>
                <w:rFonts w:asciiTheme="majorHAnsi" w:hAnsiTheme="majorHAnsi"/>
                <w:b/>
                <w:noProof/>
                <w:lang w:val="en-GB"/>
              </w:rPr>
              <w:t>7.15</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Policy on personal debriefings</w:t>
            </w:r>
            <w:r>
              <w:rPr>
                <w:noProof/>
                <w:webHidden/>
              </w:rPr>
              <w:tab/>
            </w:r>
            <w:r>
              <w:rPr>
                <w:noProof/>
                <w:webHidden/>
              </w:rPr>
              <w:fldChar w:fldCharType="begin"/>
            </w:r>
            <w:r>
              <w:rPr>
                <w:noProof/>
                <w:webHidden/>
              </w:rPr>
              <w:instrText xml:space="preserve"> PAGEREF _Toc235785044 \h </w:instrText>
            </w:r>
            <w:r>
              <w:rPr>
                <w:noProof/>
                <w:webHidden/>
              </w:rPr>
            </w:r>
            <w:r>
              <w:rPr>
                <w:noProof/>
                <w:webHidden/>
              </w:rPr>
              <w:fldChar w:fldCharType="separate"/>
            </w:r>
            <w:r>
              <w:rPr>
                <w:noProof/>
                <w:webHidden/>
              </w:rPr>
              <w:t>25</w:t>
            </w:r>
            <w:r>
              <w:rPr>
                <w:noProof/>
                <w:webHidden/>
              </w:rPr>
              <w:fldChar w:fldCharType="end"/>
            </w:r>
          </w:hyperlink>
        </w:p>
        <w:p w14:paraId="16692715" w14:textId="1BCF490E"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5" w:history="1">
            <w:r w:rsidRPr="009A461F">
              <w:rPr>
                <w:rStyle w:val="Hyperlink"/>
                <w:rFonts w:asciiTheme="majorHAnsi" w:hAnsiTheme="majorHAnsi"/>
                <w:b/>
                <w:noProof/>
                <w:lang w:val="en-GB"/>
              </w:rPr>
              <w:t>7.16</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Environmental Aspects</w:t>
            </w:r>
            <w:r>
              <w:rPr>
                <w:noProof/>
                <w:webHidden/>
              </w:rPr>
              <w:tab/>
            </w:r>
            <w:r>
              <w:rPr>
                <w:noProof/>
                <w:webHidden/>
              </w:rPr>
              <w:fldChar w:fldCharType="begin"/>
            </w:r>
            <w:r>
              <w:rPr>
                <w:noProof/>
                <w:webHidden/>
              </w:rPr>
              <w:instrText xml:space="preserve"> PAGEREF _Toc235785045 \h </w:instrText>
            </w:r>
            <w:r>
              <w:rPr>
                <w:noProof/>
                <w:webHidden/>
              </w:rPr>
            </w:r>
            <w:r>
              <w:rPr>
                <w:noProof/>
                <w:webHidden/>
              </w:rPr>
              <w:fldChar w:fldCharType="separate"/>
            </w:r>
            <w:r>
              <w:rPr>
                <w:noProof/>
                <w:webHidden/>
              </w:rPr>
              <w:t>25</w:t>
            </w:r>
            <w:r>
              <w:rPr>
                <w:noProof/>
                <w:webHidden/>
              </w:rPr>
              <w:fldChar w:fldCharType="end"/>
            </w:r>
          </w:hyperlink>
        </w:p>
        <w:p w14:paraId="5B0D193C" w14:textId="7B91A364"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6" w:history="1">
            <w:r w:rsidRPr="009A461F">
              <w:rPr>
                <w:rStyle w:val="Hyperlink"/>
                <w:rFonts w:asciiTheme="majorHAnsi" w:hAnsiTheme="majorHAnsi"/>
                <w:b/>
                <w:noProof/>
                <w:lang w:val="en-GB"/>
              </w:rPr>
              <w:t>7.17</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Price, currency, tax, and tender validity</w:t>
            </w:r>
            <w:r>
              <w:rPr>
                <w:noProof/>
                <w:webHidden/>
              </w:rPr>
              <w:tab/>
            </w:r>
            <w:r>
              <w:rPr>
                <w:noProof/>
                <w:webHidden/>
              </w:rPr>
              <w:fldChar w:fldCharType="begin"/>
            </w:r>
            <w:r>
              <w:rPr>
                <w:noProof/>
                <w:webHidden/>
              </w:rPr>
              <w:instrText xml:space="preserve"> PAGEREF _Toc235785046 \h </w:instrText>
            </w:r>
            <w:r>
              <w:rPr>
                <w:noProof/>
                <w:webHidden/>
              </w:rPr>
            </w:r>
            <w:r>
              <w:rPr>
                <w:noProof/>
                <w:webHidden/>
              </w:rPr>
              <w:fldChar w:fldCharType="separate"/>
            </w:r>
            <w:r>
              <w:rPr>
                <w:noProof/>
                <w:webHidden/>
              </w:rPr>
              <w:t>26</w:t>
            </w:r>
            <w:r>
              <w:rPr>
                <w:noProof/>
                <w:webHidden/>
              </w:rPr>
              <w:fldChar w:fldCharType="end"/>
            </w:r>
          </w:hyperlink>
        </w:p>
        <w:p w14:paraId="208DED03" w14:textId="404A5DD9"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7" w:history="1">
            <w:r w:rsidRPr="009A461F">
              <w:rPr>
                <w:rStyle w:val="Hyperlink"/>
                <w:rFonts w:asciiTheme="majorHAnsi" w:hAnsiTheme="majorHAnsi"/>
                <w:b/>
                <w:noProof/>
                <w:lang w:val="en-GB"/>
              </w:rPr>
              <w:t>7.18</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Review of supplier performance</w:t>
            </w:r>
            <w:r>
              <w:rPr>
                <w:noProof/>
                <w:webHidden/>
              </w:rPr>
              <w:tab/>
            </w:r>
            <w:r>
              <w:rPr>
                <w:noProof/>
                <w:webHidden/>
              </w:rPr>
              <w:fldChar w:fldCharType="begin"/>
            </w:r>
            <w:r>
              <w:rPr>
                <w:noProof/>
                <w:webHidden/>
              </w:rPr>
              <w:instrText xml:space="preserve"> PAGEREF _Toc235785047 \h </w:instrText>
            </w:r>
            <w:r>
              <w:rPr>
                <w:noProof/>
                <w:webHidden/>
              </w:rPr>
            </w:r>
            <w:r>
              <w:rPr>
                <w:noProof/>
                <w:webHidden/>
              </w:rPr>
              <w:fldChar w:fldCharType="separate"/>
            </w:r>
            <w:r>
              <w:rPr>
                <w:noProof/>
                <w:webHidden/>
              </w:rPr>
              <w:t>26</w:t>
            </w:r>
            <w:r>
              <w:rPr>
                <w:noProof/>
                <w:webHidden/>
              </w:rPr>
              <w:fldChar w:fldCharType="end"/>
            </w:r>
          </w:hyperlink>
        </w:p>
        <w:p w14:paraId="7FCA5A3D" w14:textId="79966F2E" w:rsidR="005D0E15" w:rsidRDefault="005D0E15">
          <w:pPr>
            <w:pStyle w:val="TOC2"/>
            <w:rPr>
              <w:rFonts w:asciiTheme="minorHAnsi" w:eastAsiaTheme="minorEastAsia" w:hAnsiTheme="minorHAnsi"/>
              <w:noProof/>
              <w:color w:val="auto"/>
              <w:kern w:val="2"/>
              <w:sz w:val="24"/>
              <w:szCs w:val="24"/>
              <w:lang w:eastAsia="en-IE"/>
              <w14:ligatures w14:val="standardContextual"/>
            </w:rPr>
          </w:pPr>
          <w:hyperlink w:anchor="_Toc235785048" w:history="1">
            <w:r w:rsidRPr="009A461F">
              <w:rPr>
                <w:rStyle w:val="Hyperlink"/>
                <w:rFonts w:asciiTheme="majorHAnsi" w:hAnsiTheme="majorHAnsi"/>
                <w:b/>
                <w:noProof/>
                <w:lang w:val="en-GB"/>
              </w:rPr>
              <w:t>7.19</w:t>
            </w:r>
            <w:r>
              <w:rPr>
                <w:rFonts w:asciiTheme="minorHAnsi" w:eastAsiaTheme="minorEastAsia" w:hAnsiTheme="minorHAnsi"/>
                <w:noProof/>
                <w:color w:val="auto"/>
                <w:kern w:val="2"/>
                <w:sz w:val="24"/>
                <w:szCs w:val="24"/>
                <w:lang w:eastAsia="en-IE"/>
                <w14:ligatures w14:val="standardContextual"/>
              </w:rPr>
              <w:tab/>
            </w:r>
            <w:r w:rsidRPr="009A461F">
              <w:rPr>
                <w:rStyle w:val="Hyperlink"/>
                <w:noProof/>
                <w:lang w:val="en-GB"/>
              </w:rPr>
              <w:t>Payment terms</w:t>
            </w:r>
            <w:r>
              <w:rPr>
                <w:noProof/>
                <w:webHidden/>
              </w:rPr>
              <w:tab/>
            </w:r>
            <w:r>
              <w:rPr>
                <w:noProof/>
                <w:webHidden/>
              </w:rPr>
              <w:fldChar w:fldCharType="begin"/>
            </w:r>
            <w:r>
              <w:rPr>
                <w:noProof/>
                <w:webHidden/>
              </w:rPr>
              <w:instrText xml:space="preserve"> PAGEREF _Toc235785048 \h </w:instrText>
            </w:r>
            <w:r>
              <w:rPr>
                <w:noProof/>
                <w:webHidden/>
              </w:rPr>
            </w:r>
            <w:r>
              <w:rPr>
                <w:noProof/>
                <w:webHidden/>
              </w:rPr>
              <w:fldChar w:fldCharType="separate"/>
            </w:r>
            <w:r>
              <w:rPr>
                <w:noProof/>
                <w:webHidden/>
              </w:rPr>
              <w:t>26</w:t>
            </w:r>
            <w:r>
              <w:rPr>
                <w:noProof/>
                <w:webHidden/>
              </w:rPr>
              <w:fldChar w:fldCharType="end"/>
            </w:r>
          </w:hyperlink>
        </w:p>
        <w:p w14:paraId="473A5126" w14:textId="10F4C150" w:rsidR="00015763" w:rsidRDefault="00015763">
          <w:r>
            <w:rPr>
              <w:b/>
              <w:bCs/>
              <w:noProof/>
            </w:rPr>
            <w:fldChar w:fldCharType="end"/>
          </w:r>
        </w:p>
      </w:sdtContent>
    </w:sdt>
    <w:p w14:paraId="22575519" w14:textId="502751D0" w:rsidR="00015763" w:rsidRDefault="00015763">
      <w:pPr>
        <w:rPr>
          <w:rFonts w:ascii="Segoe UI" w:eastAsiaTheme="majorEastAsia" w:hAnsi="Segoe UI" w:cs="Segoe UI"/>
          <w:caps/>
          <w:color w:val="007041" w:themeColor="accent4"/>
          <w:sz w:val="20"/>
          <w:szCs w:val="24"/>
        </w:rPr>
      </w:pPr>
    </w:p>
    <w:p w14:paraId="702FAA1E" w14:textId="77777777" w:rsidR="00A0367D" w:rsidRDefault="00A0367D" w:rsidP="00A0367D">
      <w:pPr>
        <w:pStyle w:val="HPRAHeadingL1"/>
        <w:numPr>
          <w:ilvl w:val="0"/>
          <w:numId w:val="0"/>
        </w:numPr>
        <w:ind w:left="709" w:hanging="709"/>
      </w:pPr>
    </w:p>
    <w:p w14:paraId="58198A82" w14:textId="2A0A0430" w:rsidR="003B620C" w:rsidRDefault="003B620C">
      <w:pPr>
        <w:rPr>
          <w:rFonts w:ascii="Segoe UI" w:eastAsiaTheme="majorEastAsia" w:hAnsi="Segoe UI" w:cs="Segoe UI"/>
          <w:caps/>
          <w:color w:val="007041" w:themeColor="accent4"/>
          <w:sz w:val="20"/>
          <w:szCs w:val="24"/>
        </w:rPr>
      </w:pPr>
      <w:r>
        <w:br w:type="page"/>
      </w:r>
    </w:p>
    <w:p w14:paraId="5D4F784F" w14:textId="77777777" w:rsidR="00A0367D" w:rsidRDefault="00A0367D" w:rsidP="00A0367D">
      <w:pPr>
        <w:pStyle w:val="HPRAHeadingL1"/>
        <w:numPr>
          <w:ilvl w:val="0"/>
          <w:numId w:val="0"/>
        </w:numPr>
        <w:ind w:left="709" w:hanging="709"/>
      </w:pPr>
    </w:p>
    <w:p w14:paraId="2D2E045C" w14:textId="1EA5A878" w:rsidR="00A0367D" w:rsidRPr="00787B4B" w:rsidRDefault="00A0367D" w:rsidP="00BA5882">
      <w:pPr>
        <w:pStyle w:val="HPRAHeadingL1"/>
        <w:ind w:left="284" w:right="567" w:hanging="284"/>
        <w:rPr>
          <w:sz w:val="32"/>
        </w:rPr>
      </w:pPr>
      <w:bookmarkStart w:id="0" w:name="_Toc66117029"/>
      <w:bookmarkStart w:id="1" w:name="_Toc235785005"/>
      <w:bookmarkStart w:id="2" w:name="_Toc109452565"/>
      <w:bookmarkStart w:id="3" w:name="_Toc118690792"/>
      <w:r w:rsidRPr="00787B4B">
        <w:rPr>
          <w:sz w:val="32"/>
        </w:rPr>
        <w:t>ABOUT THE CONTRACTING AUTHORITY</w:t>
      </w:r>
      <w:bookmarkEnd w:id="0"/>
      <w:bookmarkEnd w:id="1"/>
    </w:p>
    <w:p w14:paraId="0016D10B" w14:textId="3069E05A" w:rsidR="00A0367D" w:rsidRPr="00647A26" w:rsidRDefault="00FB47E7" w:rsidP="00C13E8A">
      <w:pPr>
        <w:pStyle w:val="HPRAHeadingL2"/>
        <w:rPr>
          <w:rStyle w:val="HPRABodyTextItalic"/>
          <w:i w:val="0"/>
          <w:sz w:val="28"/>
        </w:rPr>
      </w:pPr>
      <w:bookmarkStart w:id="4" w:name="_Toc235785006"/>
      <w:r w:rsidRPr="00A8219A">
        <w:rPr>
          <w:rStyle w:val="HPRABodyTextItalic"/>
          <w:i w:val="0"/>
          <w:sz w:val="28"/>
        </w:rPr>
        <w:t>Introduction</w:t>
      </w:r>
      <w:r w:rsidRPr="00647A26">
        <w:rPr>
          <w:rStyle w:val="HPRABodyTextItalic"/>
          <w:i w:val="0"/>
          <w:sz w:val="28"/>
        </w:rPr>
        <w:t xml:space="preserve"> and Background</w:t>
      </w:r>
      <w:bookmarkEnd w:id="4"/>
    </w:p>
    <w:p w14:paraId="087DB393" w14:textId="77777777" w:rsidR="00C75BE1" w:rsidRPr="00C75BE1" w:rsidRDefault="00C75BE1" w:rsidP="00C75BE1">
      <w:pPr>
        <w:pStyle w:val="HPRAMainBodyText"/>
        <w:jc w:val="both"/>
        <w:rPr>
          <w:szCs w:val="22"/>
          <w:lang w:val="en-GB"/>
        </w:rPr>
      </w:pPr>
      <w:r w:rsidRPr="00C75BE1">
        <w:rPr>
          <w:szCs w:val="22"/>
          <w:lang w:val="en-GB"/>
        </w:rPr>
        <w:t>The Health Products Regulatory Authority (HPRA) is a state agency in the Republic of Ireland. It regulates medicines and devices for the benefit of people and animals. The HPRA is committed to excellence in health product regulation through science, collaboration, and innovation. The HPRA operates not just at a national level, but as part of a wider European community of health regulators.</w:t>
      </w:r>
    </w:p>
    <w:p w14:paraId="595EC0FA" w14:textId="77777777" w:rsidR="00C75BE1" w:rsidRPr="00C75BE1" w:rsidRDefault="00C75BE1" w:rsidP="00C75BE1">
      <w:pPr>
        <w:pStyle w:val="HPRAMainBodyText"/>
        <w:jc w:val="both"/>
        <w:rPr>
          <w:szCs w:val="22"/>
          <w:lang w:val="en-GB"/>
        </w:rPr>
      </w:pPr>
    </w:p>
    <w:p w14:paraId="231E27F7" w14:textId="77777777" w:rsidR="00C75BE1" w:rsidRPr="00C75BE1" w:rsidRDefault="00C75BE1" w:rsidP="00C75BE1">
      <w:pPr>
        <w:pStyle w:val="HPRAMainBodyText"/>
        <w:jc w:val="both"/>
        <w:rPr>
          <w:szCs w:val="22"/>
          <w:lang w:val="en-GB"/>
        </w:rPr>
      </w:pPr>
      <w:r w:rsidRPr="00C75BE1">
        <w:rPr>
          <w:szCs w:val="22"/>
          <w:lang w:val="en-GB"/>
        </w:rPr>
        <w:t xml:space="preserve">Since its establishment, the scale and remit of the HPRA’s activities have expanded significantly. Today, the HPRA is staffed by 420 personnel, operating across nine departments; five functions provide a regulatory service and four support functions providing services to the organisation itself. The HPRA’s broad regulatory remit includes human medicines, veterinary medicines, medical devices, clinical trials, blood, human tissues and organs for transplantation, controlled substances, cosmetics, and the use of animals for scientific purposes. </w:t>
      </w:r>
    </w:p>
    <w:p w14:paraId="56EFECD8" w14:textId="77777777" w:rsidR="00C75BE1" w:rsidRPr="00C75BE1" w:rsidRDefault="00C75BE1" w:rsidP="00C75BE1">
      <w:pPr>
        <w:pStyle w:val="HPRAMainBodyText"/>
        <w:jc w:val="both"/>
        <w:rPr>
          <w:szCs w:val="22"/>
          <w:lang w:val="en-GB"/>
        </w:rPr>
      </w:pPr>
    </w:p>
    <w:p w14:paraId="4D5E0A90" w14:textId="53542EC9" w:rsidR="00C75BE1" w:rsidRPr="00C75BE1" w:rsidRDefault="00C75BE1" w:rsidP="00C75BE1">
      <w:pPr>
        <w:pStyle w:val="HPRAMainBodyText"/>
        <w:jc w:val="both"/>
        <w:rPr>
          <w:szCs w:val="22"/>
          <w:lang w:val="en-GB"/>
        </w:rPr>
      </w:pPr>
      <w:r w:rsidRPr="00C75BE1">
        <w:rPr>
          <w:szCs w:val="22"/>
          <w:lang w:val="en-GB"/>
        </w:rPr>
        <w:t xml:space="preserve">The mission of the Health Products Regulatory Authority is ‘to regulate medicines and devices for the benefit of people and animal’ with a vision of ‘excellence in health product regulation through science, collaboration and innovation’. </w:t>
      </w:r>
    </w:p>
    <w:p w14:paraId="2BC805F6" w14:textId="77777777" w:rsidR="00C75BE1" w:rsidRPr="00C75BE1" w:rsidRDefault="00C75BE1" w:rsidP="00C75BE1">
      <w:pPr>
        <w:pStyle w:val="HPRAMainBodyText"/>
        <w:jc w:val="both"/>
        <w:rPr>
          <w:szCs w:val="22"/>
          <w:lang w:val="en-GB"/>
        </w:rPr>
      </w:pPr>
    </w:p>
    <w:p w14:paraId="33998B6E" w14:textId="77777777" w:rsidR="00C75BE1" w:rsidRPr="00C75BE1" w:rsidRDefault="00C75BE1" w:rsidP="00C75BE1">
      <w:pPr>
        <w:pStyle w:val="HPRAMainBodyText"/>
        <w:jc w:val="both"/>
        <w:rPr>
          <w:szCs w:val="22"/>
          <w:lang w:val="en-GB"/>
        </w:rPr>
      </w:pPr>
      <w:r w:rsidRPr="00C75BE1">
        <w:rPr>
          <w:szCs w:val="22"/>
          <w:lang w:val="en-GB"/>
        </w:rPr>
        <w:t>The HPRA is the national competent authority for pharmacovigilance and is responsible for managing Ireland’s adverse reaction reporting system for licensed human medicines and clinical trials. This includes the collection, processing, and onward reporting of suspected adverse reactions for medicines from healthcare professionals, the public, and marketing authorisation holders, in compliance with national and international regulations, including Good Pharmacovigilance Practice Module VI.</w:t>
      </w:r>
    </w:p>
    <w:p w14:paraId="2486C55E" w14:textId="77777777" w:rsidR="00C75BE1" w:rsidRPr="00C75BE1" w:rsidRDefault="00C75BE1" w:rsidP="00C75BE1">
      <w:pPr>
        <w:pStyle w:val="HPRAMainBodyText"/>
        <w:jc w:val="both"/>
        <w:rPr>
          <w:szCs w:val="22"/>
          <w:lang w:val="en-GB"/>
        </w:rPr>
      </w:pPr>
    </w:p>
    <w:p w14:paraId="614E68C9" w14:textId="77777777" w:rsidR="00C75BE1" w:rsidRPr="00C75BE1" w:rsidRDefault="00C75BE1" w:rsidP="00C75BE1">
      <w:pPr>
        <w:pStyle w:val="HPRAMainBodyText"/>
        <w:jc w:val="both"/>
        <w:rPr>
          <w:szCs w:val="22"/>
          <w:lang w:val="en-GB"/>
        </w:rPr>
      </w:pPr>
      <w:r w:rsidRPr="00C75BE1">
        <w:rPr>
          <w:szCs w:val="22"/>
          <w:lang w:val="en-GB"/>
        </w:rPr>
        <w:t>The HPRA ensures the quality, safety and efficacy of medicines (including vaccines) available in Ireland, consistent with current medical and scientific knowledge, and participates in systems designed to do that throughout the European Union.</w:t>
      </w:r>
    </w:p>
    <w:p w14:paraId="1816C55B" w14:textId="77777777" w:rsidR="00C75BE1" w:rsidRPr="00C75BE1" w:rsidRDefault="00C75BE1" w:rsidP="00C75BE1">
      <w:pPr>
        <w:pStyle w:val="HPRAMainBodyText"/>
        <w:jc w:val="both"/>
        <w:rPr>
          <w:szCs w:val="22"/>
          <w:lang w:val="en-GB"/>
        </w:rPr>
      </w:pPr>
    </w:p>
    <w:p w14:paraId="3C9E01D6" w14:textId="136E40A1" w:rsidR="00C75BE1" w:rsidRPr="00C75BE1" w:rsidRDefault="00C75BE1" w:rsidP="00C75BE1">
      <w:pPr>
        <w:pStyle w:val="HPRAMainBodyText"/>
        <w:jc w:val="both"/>
        <w:rPr>
          <w:szCs w:val="22"/>
          <w:lang w:val="en-GB"/>
        </w:rPr>
      </w:pPr>
      <w:r w:rsidRPr="00C75BE1">
        <w:rPr>
          <w:szCs w:val="22"/>
          <w:lang w:val="en-GB"/>
        </w:rPr>
        <w:t>The HPRA currently uses a commercially available pharmacovigilance safety database and Individual Case Safety Report (ICSRs) case management system. The solution is hosted on premise, accessed via a web</w:t>
      </w:r>
      <w:r w:rsidR="0055295E">
        <w:rPr>
          <w:szCs w:val="22"/>
          <w:lang w:val="en-GB"/>
        </w:rPr>
        <w:t xml:space="preserve"> </w:t>
      </w:r>
      <w:r w:rsidRPr="00C75BE1">
        <w:rPr>
          <w:szCs w:val="22"/>
          <w:lang w:val="en-GB"/>
        </w:rPr>
        <w:t>based user interface and is supported by a dedicated back</w:t>
      </w:r>
      <w:r w:rsidR="0055295E">
        <w:rPr>
          <w:szCs w:val="22"/>
          <w:lang w:val="en-GB"/>
        </w:rPr>
        <w:t xml:space="preserve"> </w:t>
      </w:r>
      <w:r w:rsidRPr="00C75BE1">
        <w:rPr>
          <w:szCs w:val="22"/>
          <w:lang w:val="en-GB"/>
        </w:rPr>
        <w:t>end database environment and managed network storage for case</w:t>
      </w:r>
      <w:r w:rsidR="0055295E">
        <w:rPr>
          <w:szCs w:val="22"/>
          <w:lang w:val="en-GB"/>
        </w:rPr>
        <w:t xml:space="preserve"> </w:t>
      </w:r>
      <w:r w:rsidRPr="00C75BE1">
        <w:rPr>
          <w:szCs w:val="22"/>
          <w:lang w:val="en-GB"/>
        </w:rPr>
        <w:t xml:space="preserve">related documents. The current system has been in operation for over 15 years and contains all adverse reaction reports received since the system was first established. The technology and application </w:t>
      </w:r>
      <w:proofErr w:type="gramStart"/>
      <w:r w:rsidRPr="00C75BE1">
        <w:rPr>
          <w:szCs w:val="22"/>
          <w:lang w:val="en-GB"/>
        </w:rPr>
        <w:t>is</w:t>
      </w:r>
      <w:proofErr w:type="gramEnd"/>
      <w:r w:rsidRPr="00C75BE1">
        <w:rPr>
          <w:szCs w:val="22"/>
          <w:lang w:val="en-GB"/>
        </w:rPr>
        <w:t xml:space="preserve"> dated and requires upgrade.  </w:t>
      </w:r>
    </w:p>
    <w:p w14:paraId="14B9370D" w14:textId="77777777" w:rsidR="00C75BE1" w:rsidRPr="00C75BE1" w:rsidRDefault="00C75BE1" w:rsidP="00C75BE1">
      <w:pPr>
        <w:pStyle w:val="HPRAMainBodyText"/>
        <w:jc w:val="both"/>
        <w:rPr>
          <w:szCs w:val="22"/>
          <w:lang w:val="en-GB"/>
        </w:rPr>
      </w:pPr>
    </w:p>
    <w:p w14:paraId="467BB9CE" w14:textId="5CE9ED5B" w:rsidR="00B34306" w:rsidRDefault="00C75BE1" w:rsidP="00C75BE1">
      <w:pPr>
        <w:pStyle w:val="HPRAMainBodyText"/>
        <w:jc w:val="both"/>
        <w:rPr>
          <w:szCs w:val="22"/>
          <w:lang w:val="en-GB"/>
        </w:rPr>
      </w:pPr>
      <w:r w:rsidRPr="00C75BE1">
        <w:rPr>
          <w:szCs w:val="22"/>
          <w:lang w:val="en-GB"/>
        </w:rPr>
        <w:t xml:space="preserve">A replacement solution is now sought that will support the HPRA to meet its legal obligations regarding the collection, data management and submission of individual reports of suspected adverse reactions (serious and </w:t>
      </w:r>
      <w:proofErr w:type="spellStart"/>
      <w:r w:rsidRPr="00C75BE1">
        <w:rPr>
          <w:szCs w:val="22"/>
          <w:lang w:val="en-GB"/>
        </w:rPr>
        <w:t>non</w:t>
      </w:r>
      <w:r w:rsidR="0055295E">
        <w:rPr>
          <w:szCs w:val="22"/>
          <w:lang w:val="en-GB"/>
        </w:rPr>
        <w:t xml:space="preserve"> </w:t>
      </w:r>
      <w:r w:rsidRPr="00C75BE1">
        <w:rPr>
          <w:szCs w:val="22"/>
          <w:lang w:val="en-GB"/>
        </w:rPr>
        <w:t>serious</w:t>
      </w:r>
      <w:proofErr w:type="spellEnd"/>
      <w:r w:rsidRPr="00C75BE1">
        <w:rPr>
          <w:szCs w:val="22"/>
          <w:lang w:val="en-GB"/>
        </w:rPr>
        <w:t>) associated with medicinal products for human use in an efficient and effective manner using state of the art technologies.</w:t>
      </w:r>
    </w:p>
    <w:p w14:paraId="0D9A8430" w14:textId="77777777" w:rsidR="0096616C" w:rsidRDefault="0096616C" w:rsidP="00C75BE1">
      <w:pPr>
        <w:pStyle w:val="HPRAMainBodyText"/>
        <w:jc w:val="both"/>
        <w:rPr>
          <w:szCs w:val="22"/>
          <w:lang w:val="en-GB"/>
        </w:rPr>
      </w:pPr>
    </w:p>
    <w:p w14:paraId="42476722" w14:textId="77777777" w:rsidR="0096616C" w:rsidRPr="0096616C" w:rsidRDefault="0096616C" w:rsidP="00EC0F92">
      <w:pPr>
        <w:jc w:val="both"/>
        <w:rPr>
          <w:rFonts w:ascii="Segoe UI" w:hAnsi="Segoe UI" w:cs="Segoe UI"/>
          <w:sz w:val="20"/>
          <w:lang w:val="en-GB"/>
        </w:rPr>
      </w:pPr>
      <w:r w:rsidRPr="0096616C">
        <w:rPr>
          <w:rFonts w:ascii="Segoe UI" w:hAnsi="Segoe UI" w:cs="Segoe UI"/>
          <w:sz w:val="20"/>
          <w:lang w:val="en-GB"/>
        </w:rPr>
        <w:t xml:space="preserve">The HPRA is a self-funded agency, in that income for core activities (85%) is generated from fees charged to the pharmaceutical industry for services provided. In addition to industry fees the HPRA receives grants (15% of income) to carry out specific work agreed with the Department of Health. Value for money is a key objective of the HPRA. </w:t>
      </w:r>
    </w:p>
    <w:p w14:paraId="1393FB64" w14:textId="154F6137" w:rsidR="00B34306" w:rsidRDefault="00B34306" w:rsidP="00B34306">
      <w:pPr>
        <w:pStyle w:val="HPRAMainBodyText"/>
        <w:jc w:val="both"/>
        <w:rPr>
          <w:szCs w:val="22"/>
          <w:lang w:val="en-GB"/>
        </w:rPr>
      </w:pPr>
    </w:p>
    <w:p w14:paraId="21513C8C" w14:textId="1809B7B2" w:rsidR="00E6394F" w:rsidRPr="00566B51" w:rsidRDefault="00F71936" w:rsidP="00C13E8A">
      <w:pPr>
        <w:pStyle w:val="HPRAHeadingL2"/>
        <w:rPr>
          <w:rStyle w:val="HPRABodyTextItalic"/>
          <w:rFonts w:eastAsiaTheme="minorHAnsi"/>
          <w:i w:val="0"/>
          <w:color w:val="auto"/>
          <w:sz w:val="28"/>
        </w:rPr>
      </w:pPr>
      <w:bookmarkStart w:id="5" w:name="_Toc235785007"/>
      <w:r>
        <w:rPr>
          <w:rStyle w:val="HPRABodyTextItalic"/>
          <w:i w:val="0"/>
          <w:sz w:val="28"/>
          <w:szCs w:val="28"/>
        </w:rPr>
        <w:t>Overview</w:t>
      </w:r>
      <w:bookmarkEnd w:id="5"/>
    </w:p>
    <w:p w14:paraId="47D2576D" w14:textId="77777777" w:rsidR="00E6394F" w:rsidRPr="00647A26" w:rsidRDefault="00E6394F" w:rsidP="00B34306">
      <w:pPr>
        <w:pStyle w:val="HPRAMainBodyText"/>
        <w:jc w:val="both"/>
        <w:rPr>
          <w:szCs w:val="22"/>
          <w:lang w:val="en-GB"/>
        </w:rPr>
      </w:pPr>
    </w:p>
    <w:p w14:paraId="061397DE" w14:textId="77777777" w:rsidR="006F6189" w:rsidRDefault="006F6189" w:rsidP="006F6189">
      <w:pPr>
        <w:pStyle w:val="HPRAMainBodyText"/>
        <w:jc w:val="both"/>
      </w:pPr>
      <w:r>
        <w:t xml:space="preserve">Additional background information on the HPRAs adverse reaction reporting system is provided below: </w:t>
      </w:r>
    </w:p>
    <w:p w14:paraId="38B5D3CD" w14:textId="77777777" w:rsidR="006F6189" w:rsidRDefault="006F6189" w:rsidP="006F6189">
      <w:pPr>
        <w:pStyle w:val="HPRAMainBodyText"/>
        <w:jc w:val="both"/>
      </w:pPr>
    </w:p>
    <w:p w14:paraId="328B2322" w14:textId="1B7C7FD0" w:rsidR="006F6189" w:rsidRDefault="006F6189">
      <w:pPr>
        <w:pStyle w:val="HPRAMainBodyText"/>
        <w:numPr>
          <w:ilvl w:val="0"/>
          <w:numId w:val="27"/>
        </w:numPr>
        <w:spacing w:after="120"/>
        <w:ind w:left="714" w:hanging="357"/>
        <w:jc w:val="both"/>
      </w:pPr>
      <w:r>
        <w:lastRenderedPageBreak/>
        <w:t>The HPRA receives reports through a variety of channels from healthcare professionals, members of the public, marketing authorisation holders, and clinical trial sponsors associated with medicines. From</w:t>
      </w:r>
      <w:r w:rsidR="000544DD">
        <w:t xml:space="preserve"> </w:t>
      </w:r>
      <w:r>
        <w:t>a technical perspective this includes submission sent and received from the European Medicines Agency, reports received directly through the HPRA’s website or other channels direct to the organisation</w:t>
      </w:r>
    </w:p>
    <w:p w14:paraId="1ECFAA04" w14:textId="77777777" w:rsidR="006F6189" w:rsidRDefault="006F6189">
      <w:pPr>
        <w:pStyle w:val="HPRAMainBodyText"/>
        <w:numPr>
          <w:ilvl w:val="0"/>
          <w:numId w:val="27"/>
        </w:numPr>
        <w:spacing w:after="120"/>
        <w:ind w:left="714" w:hanging="357"/>
        <w:jc w:val="both"/>
      </w:pPr>
      <w:r>
        <w:t>Management of the national adverse reaction reporting system is undertaken by the Human Products Monitoring section within HPRA. Ongoing surveillance is conducted using submitted information to identify issues of concern through continuous triage and review, with signals being escalated as necessary.</w:t>
      </w:r>
    </w:p>
    <w:p w14:paraId="1FBA2D0D" w14:textId="1D8C321A" w:rsidR="006F6189" w:rsidRDefault="006F6189">
      <w:pPr>
        <w:pStyle w:val="HPRAMainBodyText"/>
        <w:numPr>
          <w:ilvl w:val="0"/>
          <w:numId w:val="27"/>
        </w:numPr>
        <w:spacing w:after="120"/>
        <w:ind w:left="714" w:hanging="357"/>
        <w:jc w:val="both"/>
      </w:pPr>
      <w:r>
        <w:t>Obligations regarding report management are defined by legislation and guidance, including promotion of the reporting system, mandatory processing protocols, adherence to ICH (International Council for Harmonisation of Technical Requirements for Pharmaceuticals for Human Use) reporting standards and medical dictionaries. This involves duplicate case detection, case follow</w:t>
      </w:r>
      <w:r w:rsidR="0055295E">
        <w:t xml:space="preserve"> </w:t>
      </w:r>
      <w:r>
        <w:t xml:space="preserve">up, and timely onward submission of cases to EudraVigilance, a system for reporting and evaluation of suspected adverse reactions to medicines or devices, operated by the European Medicines Agency on behalf of the European Union medicines regulatory network. </w:t>
      </w:r>
    </w:p>
    <w:p w14:paraId="445F1E25" w14:textId="77777777" w:rsidR="006F6189" w:rsidRDefault="006F6189">
      <w:pPr>
        <w:pStyle w:val="HPRAMainBodyText"/>
        <w:numPr>
          <w:ilvl w:val="0"/>
          <w:numId w:val="27"/>
        </w:numPr>
        <w:spacing w:after="120"/>
        <w:ind w:left="714" w:hanging="357"/>
        <w:jc w:val="both"/>
      </w:pPr>
      <w:r>
        <w:t>Reports are also used to respond to data requests from media, political stakeholders, healthcare professionals, health system partners, coroners and the public, supporting regulatory and product reviews.</w:t>
      </w:r>
    </w:p>
    <w:p w14:paraId="101443CA" w14:textId="6237E949" w:rsidR="006F6189" w:rsidRDefault="006F6189">
      <w:pPr>
        <w:pStyle w:val="HPRAMainBodyText"/>
        <w:numPr>
          <w:ilvl w:val="0"/>
          <w:numId w:val="27"/>
        </w:numPr>
        <w:spacing w:after="120"/>
        <w:ind w:left="714" w:hanging="357"/>
        <w:jc w:val="both"/>
      </w:pPr>
      <w:r>
        <w:t xml:space="preserve">As of October 2025, the national database contains </w:t>
      </w:r>
      <w:r w:rsidR="000544DD">
        <w:t xml:space="preserve">approximately </w:t>
      </w:r>
      <w:r>
        <w:t>1</w:t>
      </w:r>
      <w:r w:rsidR="000544DD">
        <w:t>70</w:t>
      </w:r>
      <w:r>
        <w:t>,</w:t>
      </w:r>
      <w:r w:rsidR="000544DD">
        <w:t>000</w:t>
      </w:r>
      <w:r>
        <w:t xml:space="preserve"> records (unique ICSRs) dating back to the 1960s, and it is the singular repository of all processed adverse reaction report information for Ireland. Some but not all reports have been shared with WHO since the 1960s and incrementally with EMA’s EudraVigilance from 2001. Ireland is ranked 5th in reporting rate per 1000 population in the EU/EEA, based on aggregate report numbers in WHO </w:t>
      </w:r>
      <w:proofErr w:type="spellStart"/>
      <w:r>
        <w:t>Vigilyze</w:t>
      </w:r>
      <w:proofErr w:type="spellEnd"/>
      <w:r>
        <w:t xml:space="preserve"> system.</w:t>
      </w:r>
    </w:p>
    <w:p w14:paraId="747967C2" w14:textId="10885568" w:rsidR="006F6189" w:rsidRDefault="006F6189">
      <w:pPr>
        <w:pStyle w:val="HPRAMainBodyText"/>
        <w:numPr>
          <w:ilvl w:val="0"/>
          <w:numId w:val="27"/>
        </w:numPr>
        <w:spacing w:after="120"/>
        <w:ind w:left="714" w:hanging="357"/>
        <w:jc w:val="both"/>
      </w:pPr>
      <w:r>
        <w:t>From 2019 to 2025, the mean number of reports (initial and follow</w:t>
      </w:r>
      <w:r w:rsidR="0055295E">
        <w:t xml:space="preserve"> </w:t>
      </w:r>
      <w:r>
        <w:t>up) received annually was 19,683 (14,768 min – 33,616 max), with volumes peaking during the pandemic. In the post</w:t>
      </w:r>
      <w:r w:rsidR="0055295E">
        <w:t xml:space="preserve"> </w:t>
      </w:r>
      <w:r>
        <w:t>pandemic period, report volumes were approximately 15,000 in 2024.</w:t>
      </w:r>
    </w:p>
    <w:p w14:paraId="708E7356" w14:textId="5469C372" w:rsidR="006F6189" w:rsidRDefault="006F6189">
      <w:pPr>
        <w:pStyle w:val="HPRAMainBodyText"/>
        <w:numPr>
          <w:ilvl w:val="0"/>
          <w:numId w:val="27"/>
        </w:numPr>
        <w:spacing w:after="120"/>
        <w:ind w:left="714" w:hanging="357"/>
        <w:jc w:val="both"/>
      </w:pPr>
      <w:r>
        <w:t>Initial reports constitute approximately 58% of submissions with 42% being follow</w:t>
      </w:r>
      <w:r w:rsidR="0055295E">
        <w:t xml:space="preserve"> </w:t>
      </w:r>
      <w:r>
        <w:t>up reports.</w:t>
      </w:r>
    </w:p>
    <w:p w14:paraId="23EB9FCF" w14:textId="77777777" w:rsidR="006F6189" w:rsidRDefault="006F6189">
      <w:pPr>
        <w:pStyle w:val="HPRAMainBodyText"/>
        <w:numPr>
          <w:ilvl w:val="0"/>
          <w:numId w:val="27"/>
        </w:numPr>
        <w:spacing w:after="120"/>
        <w:ind w:left="714" w:hanging="357"/>
        <w:jc w:val="both"/>
      </w:pPr>
      <w:r>
        <w:t>Healthcare professionals and the public account for between 10-20% of these reports.</w:t>
      </w:r>
    </w:p>
    <w:p w14:paraId="51CA6216" w14:textId="5F1C4993" w:rsidR="000E1703" w:rsidRDefault="006F6189">
      <w:pPr>
        <w:pStyle w:val="HPRAMainBodyText"/>
        <w:numPr>
          <w:ilvl w:val="0"/>
          <w:numId w:val="27"/>
        </w:numPr>
        <w:spacing w:after="120"/>
        <w:ind w:left="714" w:hanging="357"/>
        <w:jc w:val="both"/>
      </w:pPr>
      <w:r>
        <w:t>The current pharmacovigilance application in use is ARISg (version 7.4.1.2) hosted on premise. Application servers run Windows 2012 (R2 64 bit) hosted on virtual machines, and an Oracle database (version 12c, 64 bit) hosted on a dedicated physical machine.</w:t>
      </w:r>
    </w:p>
    <w:p w14:paraId="7539C64E" w14:textId="77777777" w:rsidR="00BB6886" w:rsidRPr="00762A48" w:rsidRDefault="00BB6886" w:rsidP="00BB6886">
      <w:pPr>
        <w:pStyle w:val="HPRAMainBodyText"/>
        <w:ind w:right="567"/>
        <w:rPr>
          <w:lang w:val="en-GB"/>
        </w:rPr>
      </w:pPr>
    </w:p>
    <w:p w14:paraId="462B1D0A" w14:textId="69854741" w:rsidR="004318D0" w:rsidRDefault="04AAD8CC" w:rsidP="00D0399C">
      <w:pPr>
        <w:pStyle w:val="HPRAHeadingL1"/>
        <w:rPr>
          <w:rStyle w:val="HPRABodyTextItalic"/>
          <w:i w:val="0"/>
          <w:sz w:val="28"/>
          <w:szCs w:val="28"/>
        </w:rPr>
      </w:pPr>
      <w:bookmarkStart w:id="6" w:name="_Toc66117033"/>
      <w:r w:rsidRPr="6BA51E08">
        <w:rPr>
          <w:rStyle w:val="HPRABodyTextItalic"/>
          <w:i w:val="0"/>
          <w:sz w:val="28"/>
          <w:szCs w:val="28"/>
        </w:rPr>
        <w:t xml:space="preserve"> </w:t>
      </w:r>
      <w:bookmarkStart w:id="7" w:name="_Toc235785008"/>
      <w:r w:rsidR="003B149B" w:rsidRPr="6BA51E08">
        <w:rPr>
          <w:rStyle w:val="HPRABodyTextItalic"/>
          <w:i w:val="0"/>
          <w:sz w:val="28"/>
          <w:szCs w:val="28"/>
        </w:rPr>
        <w:t>Scope of Require</w:t>
      </w:r>
      <w:r w:rsidR="00A0367D" w:rsidRPr="6BA51E08">
        <w:rPr>
          <w:rStyle w:val="HPRABodyTextItalic"/>
          <w:i w:val="0"/>
          <w:sz w:val="28"/>
          <w:szCs w:val="28"/>
        </w:rPr>
        <w:t xml:space="preserve">ments under the </w:t>
      </w:r>
      <w:bookmarkEnd w:id="6"/>
      <w:r w:rsidR="006A7516">
        <w:rPr>
          <w:rStyle w:val="HPRABodyTextItalic"/>
          <w:i w:val="0"/>
          <w:sz w:val="28"/>
          <w:szCs w:val="28"/>
        </w:rPr>
        <w:t>CONTRACT</w:t>
      </w:r>
      <w:bookmarkEnd w:id="7"/>
    </w:p>
    <w:p w14:paraId="1BC672DF" w14:textId="29E3A8FA" w:rsidR="000E3055" w:rsidRPr="00B84631" w:rsidRDefault="000E3055" w:rsidP="000E3055">
      <w:pPr>
        <w:spacing w:after="120"/>
        <w:jc w:val="both"/>
        <w:rPr>
          <w:sz w:val="20"/>
        </w:rPr>
      </w:pPr>
      <w:r w:rsidRPr="00B84631">
        <w:rPr>
          <w:sz w:val="20"/>
        </w:rPr>
        <w:t xml:space="preserve">The overall objective of modernising the </w:t>
      </w:r>
      <w:r w:rsidR="007C505A">
        <w:rPr>
          <w:sz w:val="20"/>
        </w:rPr>
        <w:t xml:space="preserve">HPRA’s pharmacovigilance </w:t>
      </w:r>
      <w:r w:rsidRPr="00B84631">
        <w:rPr>
          <w:sz w:val="20"/>
        </w:rPr>
        <w:t xml:space="preserve">application is to provide the organisation with a future ready application that will enable the </w:t>
      </w:r>
      <w:r w:rsidR="00C57D8C">
        <w:rPr>
          <w:sz w:val="20"/>
        </w:rPr>
        <w:t>organisation</w:t>
      </w:r>
      <w:r w:rsidRPr="00B84631">
        <w:rPr>
          <w:sz w:val="20"/>
        </w:rPr>
        <w:t xml:space="preserve"> </w:t>
      </w:r>
      <w:proofErr w:type="gramStart"/>
      <w:r w:rsidRPr="00B84631">
        <w:rPr>
          <w:sz w:val="20"/>
        </w:rPr>
        <w:t>fulfil</w:t>
      </w:r>
      <w:proofErr w:type="gramEnd"/>
      <w:r w:rsidRPr="00B84631">
        <w:rPr>
          <w:sz w:val="20"/>
        </w:rPr>
        <w:t xml:space="preserve"> its required legal obligations in respect of safety monitoring of human medicinal products. Additionally, it is anticipated that the application will improve the quality, timeliness, and effectiveness of pharmacovigilance activities and reduce the process complexity for the organisation. Ultimately the application will enable the HPRA conduct its regulatory obligations more efficiently and contribute to improving public health.</w:t>
      </w:r>
    </w:p>
    <w:p w14:paraId="09629D2E" w14:textId="6A7A1628" w:rsidR="00B84631" w:rsidRPr="00B84631" w:rsidRDefault="000E3055" w:rsidP="00B84631">
      <w:pPr>
        <w:spacing w:after="120"/>
        <w:jc w:val="both"/>
        <w:rPr>
          <w:sz w:val="20"/>
        </w:rPr>
      </w:pPr>
      <w:r>
        <w:rPr>
          <w:sz w:val="20"/>
        </w:rPr>
        <w:t>T</w:t>
      </w:r>
      <w:r w:rsidR="00B84631" w:rsidRPr="00B84631">
        <w:rPr>
          <w:sz w:val="20"/>
        </w:rPr>
        <w:t xml:space="preserve">he objective of this contract is to provide a pharmacovigilance solution for human medicines, migration of data from the existing legacy pharmacovigilance application, integration with external platforms, solution hosting and management, and application support and maintenance services to the HPRA. </w:t>
      </w:r>
    </w:p>
    <w:p w14:paraId="6F4FC280" w14:textId="776FFAC0" w:rsidR="00C35044" w:rsidRPr="00DC36E4" w:rsidRDefault="00C35044" w:rsidP="00DC36E4">
      <w:pPr>
        <w:spacing w:after="120"/>
        <w:jc w:val="both"/>
        <w:rPr>
          <w:sz w:val="20"/>
        </w:rPr>
      </w:pPr>
      <w:r w:rsidRPr="00C35044">
        <w:rPr>
          <w:rFonts w:ascii="Segoe UI" w:hAnsi="Segoe UI" w:cs="Segoe UI"/>
          <w:sz w:val="20"/>
          <w:szCs w:val="20"/>
        </w:rPr>
        <w:t xml:space="preserve">Subject to satisfactory performance, the contract will run for </w:t>
      </w:r>
      <w:r w:rsidR="00C1763B">
        <w:rPr>
          <w:rFonts w:ascii="Segoe UI" w:hAnsi="Segoe UI" w:cs="Segoe UI"/>
          <w:sz w:val="20"/>
          <w:szCs w:val="20"/>
        </w:rPr>
        <w:t>three</w:t>
      </w:r>
      <w:r w:rsidRPr="00C35044">
        <w:rPr>
          <w:rFonts w:ascii="Segoe UI" w:hAnsi="Segoe UI" w:cs="Segoe UI"/>
          <w:sz w:val="20"/>
          <w:szCs w:val="20"/>
        </w:rPr>
        <w:t xml:space="preserve"> years, extendable </w:t>
      </w:r>
      <w:r w:rsidR="00B81CDF">
        <w:rPr>
          <w:rFonts w:ascii="Segoe UI" w:hAnsi="Segoe UI" w:cs="Segoe UI"/>
          <w:sz w:val="20"/>
          <w:szCs w:val="20"/>
        </w:rPr>
        <w:t>annually</w:t>
      </w:r>
      <w:r w:rsidR="00C1763B">
        <w:rPr>
          <w:rFonts w:ascii="Segoe UI" w:hAnsi="Segoe UI" w:cs="Segoe UI"/>
          <w:sz w:val="20"/>
          <w:szCs w:val="20"/>
        </w:rPr>
        <w:t xml:space="preserve"> ther</w:t>
      </w:r>
      <w:r w:rsidR="00B81CDF">
        <w:rPr>
          <w:rFonts w:ascii="Segoe UI" w:hAnsi="Segoe UI" w:cs="Segoe UI"/>
          <w:sz w:val="20"/>
          <w:szCs w:val="20"/>
        </w:rPr>
        <w:t>e</w:t>
      </w:r>
      <w:r w:rsidR="00C1763B">
        <w:rPr>
          <w:rFonts w:ascii="Segoe UI" w:hAnsi="Segoe UI" w:cs="Segoe UI"/>
          <w:sz w:val="20"/>
          <w:szCs w:val="20"/>
        </w:rPr>
        <w:t>after</w:t>
      </w:r>
      <w:r w:rsidRPr="00C35044">
        <w:rPr>
          <w:rFonts w:ascii="Segoe UI" w:hAnsi="Segoe UI" w:cs="Segoe UI"/>
          <w:sz w:val="20"/>
          <w:szCs w:val="20"/>
        </w:rPr>
        <w:t>.</w:t>
      </w:r>
    </w:p>
    <w:p w14:paraId="006C4D23" w14:textId="6B731E0D" w:rsidR="0036630C" w:rsidRDefault="00AF0564" w:rsidP="00C13E8A">
      <w:pPr>
        <w:pStyle w:val="HPRAHeadingL2"/>
      </w:pPr>
      <w:bookmarkStart w:id="8" w:name="_Toc235785009"/>
      <w:r>
        <w:lastRenderedPageBreak/>
        <w:t>Solution</w:t>
      </w:r>
      <w:r w:rsidR="77713B0E">
        <w:t xml:space="preserve"> </w:t>
      </w:r>
      <w:r w:rsidR="2219D9C9">
        <w:t>Requirements</w:t>
      </w:r>
      <w:bookmarkEnd w:id="8"/>
    </w:p>
    <w:p w14:paraId="55D7E4D2" w14:textId="242CD5DC" w:rsidR="0036630C" w:rsidRDefault="00774482" w:rsidP="00C676B5">
      <w:pPr>
        <w:pStyle w:val="Body1"/>
      </w:pPr>
      <w:r>
        <w:t xml:space="preserve">Tender responses </w:t>
      </w:r>
      <w:r w:rsidR="0036630C" w:rsidRPr="00234405">
        <w:t>will be evaluated on the demonstrated cap</w:t>
      </w:r>
      <w:r w:rsidR="00B041CA">
        <w:t>ability</w:t>
      </w:r>
      <w:r w:rsidR="0036630C" w:rsidRPr="00234405">
        <w:t xml:space="preserve"> and evidence of the </w:t>
      </w:r>
      <w:r w:rsidR="005B10F3">
        <w:t>supplier</w:t>
      </w:r>
      <w:r w:rsidR="0036630C" w:rsidRPr="00234405">
        <w:t xml:space="preserve"> to meet the requirements as specified below. This includes the technical merits of proposed solution</w:t>
      </w:r>
      <w:r w:rsidR="007E7BA5">
        <w:t>s</w:t>
      </w:r>
      <w:r w:rsidR="0036630C" w:rsidRPr="00234405">
        <w:t xml:space="preserve">, features and </w:t>
      </w:r>
      <w:r w:rsidR="007E7BA5">
        <w:t>bene</w:t>
      </w:r>
      <w:r w:rsidR="00DE59C1">
        <w:t>fits the</w:t>
      </w:r>
      <w:r w:rsidR="00FF45A9">
        <w:t>y provide to the HPRA. It is recommend</w:t>
      </w:r>
      <w:r w:rsidR="00E42122">
        <w:t>ed</w:t>
      </w:r>
      <w:r w:rsidR="00FF45A9">
        <w:t xml:space="preserve"> that </w:t>
      </w:r>
      <w:r w:rsidR="00A63F55">
        <w:t>supplier</w:t>
      </w:r>
      <w:r w:rsidR="00FF45A9">
        <w:t>s</w:t>
      </w:r>
      <w:r w:rsidR="00A63F55">
        <w:t xml:space="preserve"> </w:t>
      </w:r>
      <w:r w:rsidR="0036630C" w:rsidRPr="00234405">
        <w:t>outline any additional value</w:t>
      </w:r>
      <w:r w:rsidR="00E42122">
        <w:t xml:space="preserve"> </w:t>
      </w:r>
      <w:r w:rsidR="0036630C" w:rsidRPr="00234405">
        <w:t xml:space="preserve">add services included in </w:t>
      </w:r>
      <w:r w:rsidR="00A61B1B">
        <w:t>their</w:t>
      </w:r>
      <w:r w:rsidR="0036630C" w:rsidRPr="00234405">
        <w:t xml:space="preserve"> proposal that </w:t>
      </w:r>
      <w:r w:rsidR="00FF45A9">
        <w:t>may be</w:t>
      </w:r>
      <w:r w:rsidR="0036630C" w:rsidRPr="00234405">
        <w:t xml:space="preserve"> unique to </w:t>
      </w:r>
      <w:r w:rsidR="00A054C6">
        <w:t>their</w:t>
      </w:r>
      <w:r w:rsidR="0036630C" w:rsidRPr="00234405">
        <w:t xml:space="preserve"> offering.</w:t>
      </w:r>
    </w:p>
    <w:p w14:paraId="56723377" w14:textId="1546B39A" w:rsidR="0036630C" w:rsidRDefault="0085670F" w:rsidP="00EE21C9">
      <w:pPr>
        <w:pStyle w:val="HPRAHeadingL3"/>
      </w:pPr>
      <w:r>
        <w:t xml:space="preserve">Minimum </w:t>
      </w:r>
      <w:r w:rsidR="005B274D">
        <w:t>R</w:t>
      </w:r>
      <w:r>
        <w:t>equirements</w:t>
      </w:r>
    </w:p>
    <w:p w14:paraId="00BCBF54" w14:textId="7874DA39" w:rsidR="00B76EEB" w:rsidRPr="005F26A2" w:rsidRDefault="00B76EEB" w:rsidP="00CF104A">
      <w:pPr>
        <w:pStyle w:val="Body1"/>
        <w:rPr>
          <w:rFonts w:ascii="Segoe UI" w:eastAsia="Times New Roman" w:hAnsi="Segoe UI" w:cs="Segoe UI"/>
          <w:color w:val="000000"/>
          <w:sz w:val="20"/>
          <w:szCs w:val="20"/>
        </w:rPr>
      </w:pPr>
      <w:r w:rsidRPr="005F26A2">
        <w:rPr>
          <w:rFonts w:ascii="Segoe UI" w:eastAsia="Times New Roman" w:hAnsi="Segoe UI" w:cs="Segoe UI"/>
          <w:color w:val="000000"/>
          <w:sz w:val="20"/>
          <w:szCs w:val="20"/>
        </w:rPr>
        <w:t xml:space="preserve">The </w:t>
      </w:r>
      <w:r w:rsidR="00141593">
        <w:rPr>
          <w:rFonts w:ascii="Segoe UI" w:eastAsia="Times New Roman" w:hAnsi="Segoe UI" w:cs="Segoe UI"/>
          <w:color w:val="000000"/>
          <w:sz w:val="20"/>
          <w:szCs w:val="20"/>
        </w:rPr>
        <w:t>proposed solution</w:t>
      </w:r>
      <w:r w:rsidRPr="005F26A2">
        <w:rPr>
          <w:rFonts w:ascii="Segoe UI" w:eastAsia="Times New Roman" w:hAnsi="Segoe UI" w:cs="Segoe UI"/>
          <w:color w:val="000000"/>
          <w:sz w:val="20"/>
          <w:szCs w:val="20"/>
        </w:rPr>
        <w:t xml:space="preserve"> must </w:t>
      </w:r>
      <w:r w:rsidR="00141593">
        <w:rPr>
          <w:rFonts w:ascii="Segoe UI" w:eastAsia="Times New Roman" w:hAnsi="Segoe UI" w:cs="Segoe UI"/>
          <w:color w:val="000000"/>
          <w:sz w:val="20"/>
          <w:szCs w:val="20"/>
        </w:rPr>
        <w:t>fulfil</w:t>
      </w:r>
      <w:r w:rsidRPr="005F26A2">
        <w:rPr>
          <w:rFonts w:ascii="Segoe UI" w:eastAsia="Times New Roman" w:hAnsi="Segoe UI" w:cs="Segoe UI"/>
          <w:color w:val="000000"/>
          <w:sz w:val="20"/>
          <w:szCs w:val="20"/>
        </w:rPr>
        <w:t xml:space="preserve"> all the minimum requirements listed below</w:t>
      </w:r>
      <w:r w:rsidR="00DD1722">
        <w:rPr>
          <w:rFonts w:ascii="Segoe UI" w:eastAsia="Times New Roman" w:hAnsi="Segoe UI" w:cs="Segoe UI"/>
          <w:color w:val="000000"/>
          <w:sz w:val="20"/>
          <w:szCs w:val="20"/>
        </w:rPr>
        <w:t xml:space="preserve">. </w:t>
      </w:r>
      <w:r w:rsidR="00886D48">
        <w:rPr>
          <w:rFonts w:ascii="Segoe UI" w:eastAsia="Times New Roman" w:hAnsi="Segoe UI" w:cs="Segoe UI"/>
          <w:color w:val="000000"/>
          <w:sz w:val="20"/>
          <w:szCs w:val="20"/>
        </w:rPr>
        <w:t xml:space="preserve">Tenderers must provide details </w:t>
      </w:r>
      <w:r w:rsidR="0025740B">
        <w:rPr>
          <w:rFonts w:ascii="Segoe UI" w:eastAsia="Times New Roman" w:hAnsi="Segoe UI" w:cs="Segoe UI"/>
          <w:color w:val="000000"/>
          <w:sz w:val="20"/>
          <w:szCs w:val="20"/>
        </w:rPr>
        <w:t xml:space="preserve">addressing how the requirements are addressed. </w:t>
      </w:r>
      <w:r w:rsidR="00DD1722">
        <w:rPr>
          <w:rFonts w:ascii="Segoe UI" w:eastAsia="Times New Roman" w:hAnsi="Segoe UI" w:cs="Segoe UI"/>
          <w:color w:val="000000"/>
          <w:sz w:val="20"/>
          <w:szCs w:val="20"/>
        </w:rPr>
        <w:t xml:space="preserve">The </w:t>
      </w:r>
      <w:r w:rsidR="00841406">
        <w:rPr>
          <w:rFonts w:ascii="Segoe UI" w:eastAsia="Times New Roman" w:hAnsi="Segoe UI" w:cs="Segoe UI"/>
          <w:color w:val="000000"/>
          <w:sz w:val="20"/>
          <w:szCs w:val="20"/>
        </w:rPr>
        <w:t>solution</w:t>
      </w:r>
      <w:r w:rsidR="00DD1722">
        <w:rPr>
          <w:rFonts w:ascii="Segoe UI" w:eastAsia="Times New Roman" w:hAnsi="Segoe UI" w:cs="Segoe UI"/>
          <w:color w:val="000000"/>
          <w:sz w:val="20"/>
          <w:szCs w:val="20"/>
        </w:rPr>
        <w:t>:</w:t>
      </w:r>
    </w:p>
    <w:p w14:paraId="1698EECB" w14:textId="60C4B221" w:rsidR="00841406" w:rsidRPr="0066488E" w:rsidRDefault="0025740B">
      <w:pPr>
        <w:pStyle w:val="Body1"/>
        <w:numPr>
          <w:ilvl w:val="0"/>
          <w:numId w:val="22"/>
        </w:numPr>
        <w:ind w:left="714" w:hanging="357"/>
        <w:rPr>
          <w:rFonts w:ascii="Segoe UI" w:eastAsia="Times New Roman" w:hAnsi="Segoe UI" w:cs="Segoe UI"/>
          <w:color w:val="000000"/>
          <w:sz w:val="20"/>
          <w:szCs w:val="20"/>
        </w:rPr>
      </w:pPr>
      <w:r>
        <w:rPr>
          <w:rFonts w:ascii="Segoe UI" w:hAnsi="Segoe UI" w:cs="Segoe UI"/>
          <w:sz w:val="20"/>
          <w:szCs w:val="20"/>
        </w:rPr>
        <w:t>M</w:t>
      </w:r>
      <w:r w:rsidR="005A2C12">
        <w:rPr>
          <w:rFonts w:ascii="Segoe UI" w:hAnsi="Segoe UI" w:cs="Segoe UI"/>
          <w:sz w:val="20"/>
          <w:szCs w:val="20"/>
        </w:rPr>
        <w:t xml:space="preserve">ust be </w:t>
      </w:r>
      <w:r w:rsidR="00C723C3">
        <w:rPr>
          <w:rFonts w:ascii="Segoe UI" w:hAnsi="Segoe UI" w:cs="Segoe UI"/>
          <w:sz w:val="20"/>
          <w:szCs w:val="20"/>
        </w:rPr>
        <w:t>hosted in a secure cloud environment</w:t>
      </w:r>
      <w:r w:rsidR="00841406" w:rsidRPr="00C35044">
        <w:rPr>
          <w:rFonts w:ascii="Segoe UI" w:hAnsi="Segoe UI" w:cs="Segoe UI"/>
          <w:sz w:val="20"/>
          <w:szCs w:val="20"/>
        </w:rPr>
        <w:t>.</w:t>
      </w:r>
    </w:p>
    <w:p w14:paraId="2437113F" w14:textId="430B8C2D" w:rsidR="0066488E" w:rsidRPr="0066488E" w:rsidRDefault="00B46FF2">
      <w:pPr>
        <w:pStyle w:val="Body1"/>
        <w:numPr>
          <w:ilvl w:val="0"/>
          <w:numId w:val="22"/>
        </w:numPr>
        <w:ind w:left="714" w:hanging="357"/>
        <w:rPr>
          <w:rFonts w:ascii="Segoe UI" w:eastAsia="Times New Roman" w:hAnsi="Segoe UI" w:cs="Segoe UI"/>
          <w:color w:val="000000"/>
          <w:sz w:val="20"/>
          <w:szCs w:val="20"/>
        </w:rPr>
      </w:pPr>
      <w:r>
        <w:rPr>
          <w:rFonts w:ascii="Segoe UI" w:hAnsi="Segoe UI" w:cs="Segoe UI"/>
          <w:sz w:val="20"/>
          <w:szCs w:val="20"/>
        </w:rPr>
        <w:t>M</w:t>
      </w:r>
      <w:r w:rsidR="0066488E">
        <w:rPr>
          <w:rFonts w:ascii="Segoe UI" w:hAnsi="Segoe UI" w:cs="Segoe UI"/>
          <w:sz w:val="20"/>
          <w:szCs w:val="20"/>
        </w:rPr>
        <w:t>ust provide a single sign</w:t>
      </w:r>
      <w:r w:rsidR="00E47E53">
        <w:rPr>
          <w:rFonts w:ascii="Segoe UI" w:hAnsi="Segoe UI" w:cs="Segoe UI"/>
          <w:sz w:val="20"/>
          <w:szCs w:val="20"/>
        </w:rPr>
        <w:t xml:space="preserve"> </w:t>
      </w:r>
      <w:r w:rsidR="0066488E">
        <w:rPr>
          <w:rFonts w:ascii="Segoe UI" w:hAnsi="Segoe UI" w:cs="Segoe UI"/>
          <w:sz w:val="20"/>
          <w:szCs w:val="20"/>
        </w:rPr>
        <w:t>on capability and integrate with the HPRA Active Directory infrastructure.</w:t>
      </w:r>
    </w:p>
    <w:p w14:paraId="15415545" w14:textId="0BA56BE5" w:rsidR="00DC7A40" w:rsidRPr="00DC7A40" w:rsidRDefault="00B46FF2">
      <w:pPr>
        <w:pStyle w:val="Body1"/>
        <w:numPr>
          <w:ilvl w:val="0"/>
          <w:numId w:val="22"/>
        </w:numPr>
        <w:ind w:left="714" w:hanging="357"/>
        <w:rPr>
          <w:rFonts w:ascii="Segoe UI" w:eastAsia="Times New Roman" w:hAnsi="Segoe UI" w:cs="Segoe UI"/>
          <w:color w:val="000000"/>
          <w:sz w:val="20"/>
          <w:szCs w:val="20"/>
        </w:rPr>
      </w:pPr>
      <w:r>
        <w:rPr>
          <w:rFonts w:ascii="Segoe UI" w:hAnsi="Segoe UI" w:cs="Segoe UI"/>
          <w:sz w:val="20"/>
          <w:szCs w:val="20"/>
        </w:rPr>
        <w:t>M</w:t>
      </w:r>
      <w:r w:rsidR="00031C20">
        <w:rPr>
          <w:rFonts w:ascii="Segoe UI" w:hAnsi="Segoe UI" w:cs="Segoe UI"/>
          <w:sz w:val="20"/>
          <w:szCs w:val="20"/>
        </w:rPr>
        <w:t xml:space="preserve">ust </w:t>
      </w:r>
      <w:r w:rsidR="00B02949" w:rsidRPr="00B02949">
        <w:rPr>
          <w:rFonts w:ascii="Segoe UI" w:hAnsi="Segoe UI" w:cs="Segoe UI"/>
          <w:sz w:val="20"/>
          <w:szCs w:val="20"/>
        </w:rPr>
        <w:t>be easily extensible to other product domains including veterinary medicines, medical devices and other categories in the future.</w:t>
      </w:r>
    </w:p>
    <w:p w14:paraId="2B6C79C9" w14:textId="25D4E657" w:rsidR="0066488E" w:rsidRPr="00841406" w:rsidRDefault="00EC3211">
      <w:pPr>
        <w:pStyle w:val="Body1"/>
        <w:numPr>
          <w:ilvl w:val="0"/>
          <w:numId w:val="22"/>
        </w:numPr>
        <w:ind w:left="714" w:hanging="357"/>
        <w:rPr>
          <w:rFonts w:ascii="Segoe UI" w:eastAsia="Times New Roman" w:hAnsi="Segoe UI" w:cs="Segoe UI"/>
          <w:color w:val="000000"/>
          <w:sz w:val="20"/>
          <w:szCs w:val="20"/>
        </w:rPr>
      </w:pPr>
      <w:r w:rsidRPr="005F26A2">
        <w:rPr>
          <w:rFonts w:ascii="Segoe UI" w:eastAsia="Times New Roman" w:hAnsi="Segoe UI" w:cs="Segoe UI"/>
          <w:color w:val="000000"/>
          <w:sz w:val="20"/>
          <w:szCs w:val="20"/>
        </w:rPr>
        <w:t xml:space="preserve">Must comply with </w:t>
      </w:r>
      <w:r>
        <w:rPr>
          <w:rFonts w:ascii="Segoe UI" w:eastAsia="Times New Roman" w:hAnsi="Segoe UI" w:cs="Segoe UI"/>
          <w:color w:val="000000"/>
          <w:sz w:val="20"/>
          <w:szCs w:val="20"/>
        </w:rPr>
        <w:t>all o</w:t>
      </w:r>
      <w:r w:rsidRPr="005F26A2">
        <w:rPr>
          <w:rFonts w:ascii="Segoe UI" w:eastAsia="Times New Roman" w:hAnsi="Segoe UI" w:cs="Segoe UI"/>
          <w:color w:val="000000"/>
          <w:sz w:val="20"/>
          <w:szCs w:val="20"/>
        </w:rPr>
        <w:t>bligations under relevant codes of practice, data protection legislation</w:t>
      </w:r>
      <w:r>
        <w:rPr>
          <w:rFonts w:ascii="Segoe UI" w:eastAsia="Times New Roman" w:hAnsi="Segoe UI" w:cs="Segoe UI"/>
          <w:color w:val="000000"/>
          <w:sz w:val="20"/>
          <w:szCs w:val="20"/>
        </w:rPr>
        <w:t xml:space="preserve">, security, operational resilience </w:t>
      </w:r>
      <w:r w:rsidRPr="005F26A2">
        <w:rPr>
          <w:rFonts w:ascii="Segoe UI" w:eastAsia="Times New Roman" w:hAnsi="Segoe UI" w:cs="Segoe UI"/>
          <w:color w:val="000000"/>
          <w:sz w:val="20"/>
          <w:szCs w:val="20"/>
        </w:rPr>
        <w:t>and privacy regulation</w:t>
      </w:r>
      <w:r>
        <w:rPr>
          <w:rFonts w:ascii="Segoe UI" w:eastAsia="Times New Roman" w:hAnsi="Segoe UI" w:cs="Segoe UI"/>
          <w:color w:val="000000"/>
          <w:sz w:val="20"/>
          <w:szCs w:val="20"/>
        </w:rPr>
        <w:t>s</w:t>
      </w:r>
      <w:r w:rsidRPr="005F26A2">
        <w:rPr>
          <w:rFonts w:ascii="Segoe UI" w:eastAsia="Times New Roman" w:hAnsi="Segoe UI" w:cs="Segoe UI"/>
          <w:color w:val="000000"/>
          <w:sz w:val="20"/>
          <w:szCs w:val="20"/>
        </w:rPr>
        <w:t>.</w:t>
      </w:r>
      <w:r w:rsidR="00031C20">
        <w:rPr>
          <w:rFonts w:ascii="Segoe UI" w:hAnsi="Segoe UI" w:cs="Segoe UI"/>
          <w:sz w:val="20"/>
          <w:szCs w:val="20"/>
        </w:rPr>
        <w:t xml:space="preserve"> </w:t>
      </w:r>
    </w:p>
    <w:p w14:paraId="4B59B32F" w14:textId="6F79FEB4" w:rsidR="0066488E" w:rsidRDefault="0045617B">
      <w:pPr>
        <w:pStyle w:val="ListParagraph"/>
        <w:numPr>
          <w:ilvl w:val="0"/>
          <w:numId w:val="22"/>
        </w:numPr>
        <w:spacing w:after="120"/>
        <w:ind w:left="714" w:right="57" w:hanging="357"/>
        <w:jc w:val="both"/>
        <w:rPr>
          <w:rFonts w:ascii="Segoe UI" w:hAnsi="Segoe UI" w:cs="Segoe UI"/>
          <w:sz w:val="20"/>
          <w:szCs w:val="20"/>
        </w:rPr>
      </w:pPr>
      <w:r>
        <w:rPr>
          <w:rFonts w:ascii="Segoe UI" w:hAnsi="Segoe UI" w:cs="Segoe UI"/>
          <w:sz w:val="20"/>
          <w:szCs w:val="20"/>
        </w:rPr>
        <w:t xml:space="preserve">Must be </w:t>
      </w:r>
      <w:r w:rsidR="00E474CF">
        <w:rPr>
          <w:rFonts w:ascii="Segoe UI" w:hAnsi="Segoe UI" w:cs="Segoe UI"/>
          <w:sz w:val="20"/>
          <w:szCs w:val="20"/>
        </w:rPr>
        <w:t xml:space="preserve">primarily useable </w:t>
      </w:r>
      <w:r w:rsidR="00737571">
        <w:rPr>
          <w:rFonts w:ascii="Segoe UI" w:hAnsi="Segoe UI" w:cs="Segoe UI"/>
          <w:sz w:val="20"/>
          <w:szCs w:val="20"/>
        </w:rPr>
        <w:t xml:space="preserve">in its ‘off the shelf’ form and be </w:t>
      </w:r>
      <w:r>
        <w:rPr>
          <w:rFonts w:ascii="Segoe UI" w:hAnsi="Segoe UI" w:cs="Segoe UI"/>
          <w:sz w:val="20"/>
          <w:szCs w:val="20"/>
        </w:rPr>
        <w:t>directly deploya</w:t>
      </w:r>
      <w:r w:rsidR="00E474CF">
        <w:rPr>
          <w:rFonts w:ascii="Segoe UI" w:hAnsi="Segoe UI" w:cs="Segoe UI"/>
          <w:sz w:val="20"/>
          <w:szCs w:val="20"/>
        </w:rPr>
        <w:t xml:space="preserve">ble without the need for extensive development or customisation. </w:t>
      </w:r>
      <w:r w:rsidR="00CC2F79">
        <w:rPr>
          <w:rFonts w:ascii="Segoe UI" w:hAnsi="Segoe UI" w:cs="Segoe UI"/>
          <w:sz w:val="20"/>
          <w:szCs w:val="20"/>
        </w:rPr>
        <w:t>It is accepted that configuration will be required to accommodate HPRA specific set up.</w:t>
      </w:r>
    </w:p>
    <w:p w14:paraId="27B3CA05" w14:textId="797B559F" w:rsidR="00CC2F79" w:rsidRDefault="00B2153F">
      <w:pPr>
        <w:pStyle w:val="ListParagraph"/>
        <w:numPr>
          <w:ilvl w:val="0"/>
          <w:numId w:val="22"/>
        </w:numPr>
        <w:spacing w:after="120"/>
        <w:ind w:left="714" w:right="57" w:hanging="357"/>
        <w:jc w:val="both"/>
        <w:rPr>
          <w:rFonts w:ascii="Segoe UI" w:hAnsi="Segoe UI" w:cs="Segoe UI"/>
          <w:sz w:val="20"/>
          <w:szCs w:val="20"/>
        </w:rPr>
      </w:pPr>
      <w:r>
        <w:rPr>
          <w:rFonts w:ascii="Segoe UI" w:hAnsi="Segoe UI" w:cs="Segoe UI"/>
          <w:sz w:val="20"/>
          <w:szCs w:val="20"/>
        </w:rPr>
        <w:t xml:space="preserve">Must </w:t>
      </w:r>
      <w:r w:rsidRPr="00C35044">
        <w:rPr>
          <w:rFonts w:ascii="Segoe UI" w:hAnsi="Segoe UI" w:cs="Segoe UI"/>
          <w:sz w:val="20"/>
          <w:szCs w:val="20"/>
        </w:rPr>
        <w:t>provide an easy to use intuitive interface which offers ease of navigation and requires minimum training or support to access key functionality.</w:t>
      </w:r>
    </w:p>
    <w:p w14:paraId="1FF422BE" w14:textId="21C81A59" w:rsidR="000201C1" w:rsidRPr="005F26A2" w:rsidRDefault="00D534BC">
      <w:pPr>
        <w:pStyle w:val="Body1"/>
        <w:numPr>
          <w:ilvl w:val="0"/>
          <w:numId w:val="22"/>
        </w:numPr>
        <w:ind w:left="714" w:hanging="357"/>
        <w:rPr>
          <w:rFonts w:ascii="Segoe UI" w:eastAsia="Times New Roman" w:hAnsi="Segoe UI" w:cs="Segoe UI"/>
          <w:color w:val="000000"/>
          <w:sz w:val="20"/>
          <w:szCs w:val="20"/>
        </w:rPr>
      </w:pPr>
      <w:r w:rsidRPr="005F26A2">
        <w:rPr>
          <w:rFonts w:ascii="Segoe UI" w:eastAsia="Times New Roman" w:hAnsi="Segoe UI" w:cs="Segoe UI"/>
          <w:color w:val="000000"/>
          <w:sz w:val="20"/>
          <w:szCs w:val="20"/>
        </w:rPr>
        <w:t>Must be future proofed for design and functional updates</w:t>
      </w:r>
      <w:r w:rsidR="00BF7E85" w:rsidRPr="005F26A2">
        <w:rPr>
          <w:rFonts w:ascii="Segoe UI" w:eastAsia="Times New Roman" w:hAnsi="Segoe UI" w:cs="Segoe UI"/>
          <w:color w:val="000000"/>
          <w:sz w:val="20"/>
          <w:szCs w:val="20"/>
        </w:rPr>
        <w:t xml:space="preserve"> to meet changing </w:t>
      </w:r>
      <w:r w:rsidR="0077730C">
        <w:rPr>
          <w:rFonts w:ascii="Segoe UI" w:eastAsia="Times New Roman" w:hAnsi="Segoe UI" w:cs="Segoe UI"/>
          <w:color w:val="000000"/>
          <w:sz w:val="20"/>
          <w:szCs w:val="20"/>
        </w:rPr>
        <w:t xml:space="preserve">regulatory </w:t>
      </w:r>
      <w:r w:rsidR="00FC4FCC">
        <w:rPr>
          <w:rFonts w:ascii="Segoe UI" w:eastAsia="Times New Roman" w:hAnsi="Segoe UI" w:cs="Segoe UI"/>
          <w:color w:val="000000"/>
          <w:sz w:val="20"/>
          <w:szCs w:val="20"/>
        </w:rPr>
        <w:t>requirements.</w:t>
      </w:r>
    </w:p>
    <w:p w14:paraId="40AE0469" w14:textId="77777777" w:rsidR="005B4126" w:rsidRDefault="005B4126" w:rsidP="005B4126">
      <w:pPr>
        <w:pStyle w:val="Body1"/>
        <w:rPr>
          <w:rFonts w:ascii="Segoe UI" w:hAnsi="Segoe UI" w:cs="Segoe UI"/>
          <w:sz w:val="20"/>
          <w:szCs w:val="20"/>
        </w:rPr>
      </w:pPr>
    </w:p>
    <w:p w14:paraId="30665247" w14:textId="394013C6" w:rsidR="002456E0" w:rsidRPr="004D47D8" w:rsidRDefault="2B637A5A" w:rsidP="00EE21C9">
      <w:pPr>
        <w:pStyle w:val="HPRAHeadingL3"/>
        <w:rPr>
          <w:sz w:val="20"/>
        </w:rPr>
      </w:pPr>
      <w:r w:rsidRPr="008B3854">
        <w:t xml:space="preserve">Detailed </w:t>
      </w:r>
      <w:r w:rsidR="00822405">
        <w:t>R</w:t>
      </w:r>
      <w:r w:rsidRPr="008B3854">
        <w:t xml:space="preserve">equirements </w:t>
      </w:r>
      <w:r w:rsidR="125A66C4" w:rsidRPr="008B3854">
        <w:t xml:space="preserve"> </w:t>
      </w:r>
    </w:p>
    <w:tbl>
      <w:tblPr>
        <w:tblStyle w:val="TableGrid"/>
        <w:tblpPr w:leftFromText="180" w:rightFromText="180" w:vertAnchor="text" w:horzAnchor="margin" w:tblpXSpec="right" w:tblpY="135"/>
        <w:tblW w:w="0" w:type="auto"/>
        <w:tblLayout w:type="fixed"/>
        <w:tblLook w:val="04A0" w:firstRow="1" w:lastRow="0" w:firstColumn="1" w:lastColumn="0" w:noHBand="0" w:noVBand="1"/>
      </w:tblPr>
      <w:tblGrid>
        <w:gridCol w:w="562"/>
        <w:gridCol w:w="9498"/>
      </w:tblGrid>
      <w:tr w:rsidR="00E45BB8" w:rsidRPr="00AA532D" w14:paraId="142AB151" w14:textId="77777777" w:rsidTr="032B68AC">
        <w:trPr>
          <w:trHeight w:val="555"/>
        </w:trPr>
        <w:tc>
          <w:tcPr>
            <w:tcW w:w="562" w:type="dxa"/>
          </w:tcPr>
          <w:p w14:paraId="18919FC1" w14:textId="77777777" w:rsidR="00E45BB8" w:rsidRPr="00AA532D" w:rsidRDefault="00E45BB8" w:rsidP="008B3854">
            <w:pPr>
              <w:pStyle w:val="HPRAMainBodyTextUnderline"/>
              <w:jc w:val="center"/>
              <w:rPr>
                <w:rFonts w:asciiTheme="minorHAnsi" w:hAnsiTheme="minorHAnsi" w:cstheme="minorHAnsi"/>
                <w:b/>
                <w:bCs/>
                <w:u w:val="none"/>
              </w:rPr>
            </w:pPr>
            <w:r w:rsidRPr="00AA532D">
              <w:rPr>
                <w:rFonts w:asciiTheme="minorHAnsi" w:hAnsiTheme="minorHAnsi" w:cstheme="minorHAnsi"/>
                <w:b/>
                <w:bCs/>
                <w:u w:val="none"/>
              </w:rPr>
              <w:t>#</w:t>
            </w:r>
          </w:p>
        </w:tc>
        <w:tc>
          <w:tcPr>
            <w:tcW w:w="9498" w:type="dxa"/>
          </w:tcPr>
          <w:p w14:paraId="25AA5FD2" w14:textId="77777777" w:rsidR="00E45BB8" w:rsidRPr="00AA532D" w:rsidRDefault="00E45BB8" w:rsidP="009F1237">
            <w:pPr>
              <w:pStyle w:val="Body1"/>
              <w:rPr>
                <w:rFonts w:asciiTheme="minorHAnsi" w:hAnsiTheme="minorHAnsi" w:cstheme="minorHAnsi"/>
              </w:rPr>
            </w:pPr>
            <w:r w:rsidRPr="00AA532D">
              <w:rPr>
                <w:rFonts w:asciiTheme="minorHAnsi" w:hAnsiTheme="minorHAnsi" w:cstheme="minorHAnsi"/>
                <w:sz w:val="28"/>
                <w:szCs w:val="28"/>
              </w:rPr>
              <w:t>Scope items and details</w:t>
            </w:r>
          </w:p>
        </w:tc>
      </w:tr>
      <w:tr w:rsidR="00E45BB8" w:rsidRPr="00AA532D" w14:paraId="3F3A6C53" w14:textId="77777777" w:rsidTr="032B68AC">
        <w:trPr>
          <w:trHeight w:val="360"/>
        </w:trPr>
        <w:tc>
          <w:tcPr>
            <w:tcW w:w="562" w:type="dxa"/>
          </w:tcPr>
          <w:p w14:paraId="44E1227A" w14:textId="77777777" w:rsidR="00E45BB8" w:rsidRPr="00AA532D" w:rsidRDefault="00E45BB8" w:rsidP="008B3854">
            <w:pPr>
              <w:pStyle w:val="HPRAMainBodyTextUnderline"/>
              <w:jc w:val="center"/>
              <w:rPr>
                <w:rFonts w:asciiTheme="minorHAnsi" w:hAnsiTheme="minorHAnsi" w:cstheme="minorHAnsi"/>
                <w:b/>
                <w:bCs/>
                <w:u w:val="none"/>
              </w:rPr>
            </w:pPr>
            <w:r>
              <w:rPr>
                <w:rFonts w:asciiTheme="minorHAnsi" w:hAnsiTheme="minorHAnsi" w:cstheme="minorHAnsi"/>
                <w:b/>
                <w:bCs/>
                <w:u w:val="none"/>
              </w:rPr>
              <w:t>A</w:t>
            </w:r>
          </w:p>
        </w:tc>
        <w:tc>
          <w:tcPr>
            <w:tcW w:w="9498" w:type="dxa"/>
          </w:tcPr>
          <w:p w14:paraId="0BF4890D" w14:textId="77777777" w:rsidR="00E45BB8" w:rsidRPr="00AA532D" w:rsidRDefault="00E45BB8" w:rsidP="00EC740F">
            <w:pPr>
              <w:pStyle w:val="Body1"/>
              <w:spacing w:after="0" w:line="240" w:lineRule="auto"/>
              <w:rPr>
                <w:rFonts w:asciiTheme="minorHAnsi" w:hAnsiTheme="minorHAnsi" w:cstheme="minorHAnsi"/>
                <w:b/>
                <w:bCs/>
              </w:rPr>
            </w:pPr>
            <w:r>
              <w:rPr>
                <w:rFonts w:asciiTheme="minorHAnsi" w:hAnsiTheme="minorHAnsi" w:cstheme="minorHAnsi"/>
                <w:b/>
                <w:bCs/>
              </w:rPr>
              <w:t>Functions &amp; Features</w:t>
            </w:r>
          </w:p>
        </w:tc>
      </w:tr>
      <w:tr w:rsidR="00E45BB8" w:rsidRPr="00AA532D" w14:paraId="350102BD" w14:textId="77777777" w:rsidTr="032B68AC">
        <w:tc>
          <w:tcPr>
            <w:tcW w:w="562" w:type="dxa"/>
          </w:tcPr>
          <w:p w14:paraId="3F5A7342" w14:textId="77777777" w:rsidR="00E45BB8" w:rsidRPr="00AA532D" w:rsidRDefault="00E45BB8" w:rsidP="008B3854">
            <w:pPr>
              <w:pStyle w:val="HPRAMainBodyTextUnderline"/>
              <w:jc w:val="center"/>
              <w:rPr>
                <w:rFonts w:asciiTheme="minorHAnsi" w:hAnsiTheme="minorHAnsi" w:cstheme="minorHAnsi"/>
                <w:b/>
                <w:bCs/>
              </w:rPr>
            </w:pPr>
          </w:p>
        </w:tc>
        <w:tc>
          <w:tcPr>
            <w:tcW w:w="9498" w:type="dxa"/>
          </w:tcPr>
          <w:p w14:paraId="0C049348" w14:textId="77777777" w:rsidR="00E45BB8" w:rsidRDefault="00E45BB8" w:rsidP="00571CD9">
            <w:pPr>
              <w:pStyle w:val="Default"/>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w:t>
            </w:r>
            <w:r w:rsidRPr="004C0257">
              <w:rPr>
                <w:rFonts w:asciiTheme="minorHAnsi" w:hAnsiTheme="minorHAnsi" w:cstheme="minorHAnsi"/>
                <w:color w:val="000000" w:themeColor="text1"/>
                <w:sz w:val="20"/>
                <w:szCs w:val="20"/>
              </w:rPr>
              <w:t xml:space="preserve">he pharmacovigilance solution </w:t>
            </w:r>
            <w:r>
              <w:rPr>
                <w:rFonts w:asciiTheme="minorHAnsi" w:hAnsiTheme="minorHAnsi" w:cstheme="minorHAnsi"/>
                <w:color w:val="000000" w:themeColor="text1"/>
                <w:sz w:val="20"/>
                <w:szCs w:val="20"/>
              </w:rPr>
              <w:t>must</w:t>
            </w:r>
            <w:r w:rsidRPr="004C0257">
              <w:rPr>
                <w:rFonts w:asciiTheme="minorHAnsi" w:hAnsiTheme="minorHAnsi" w:cstheme="minorHAnsi"/>
                <w:color w:val="000000" w:themeColor="text1"/>
                <w:sz w:val="20"/>
                <w:szCs w:val="20"/>
              </w:rPr>
              <w:t xml:space="preserve"> support the needs of a medicines regulator in receiving, managing, assessing, monitoring, reporting, and overseeing safety information and related regulatory activities</w:t>
            </w:r>
            <w:r>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 xml:space="preserve">This section </w:t>
            </w:r>
            <w:r>
              <w:rPr>
                <w:rFonts w:asciiTheme="minorHAnsi" w:hAnsiTheme="minorHAnsi" w:cstheme="minorHAnsi"/>
                <w:color w:val="000000" w:themeColor="text1"/>
                <w:sz w:val="20"/>
                <w:szCs w:val="20"/>
              </w:rPr>
              <w:t xml:space="preserve">specifies the minimum </w:t>
            </w:r>
            <w:r w:rsidRPr="006F0193">
              <w:rPr>
                <w:rFonts w:asciiTheme="minorHAnsi" w:hAnsiTheme="minorHAnsi" w:cstheme="minorHAnsi"/>
                <w:color w:val="000000" w:themeColor="text1"/>
                <w:sz w:val="20"/>
                <w:szCs w:val="20"/>
              </w:rPr>
              <w:t>functional and feature requirements</w:t>
            </w:r>
            <w:r>
              <w:rPr>
                <w:rFonts w:asciiTheme="minorHAnsi" w:hAnsiTheme="minorHAnsi" w:cstheme="minorHAnsi"/>
                <w:color w:val="000000" w:themeColor="text1"/>
                <w:sz w:val="20"/>
                <w:szCs w:val="20"/>
              </w:rPr>
              <w:t>.</w:t>
            </w:r>
          </w:p>
          <w:p w14:paraId="2692DEA4" w14:textId="77777777" w:rsidR="00E45BB8" w:rsidRPr="006F0193" w:rsidRDefault="00E45BB8" w:rsidP="00571CD9">
            <w:pPr>
              <w:pStyle w:val="Default"/>
              <w:jc w:val="both"/>
              <w:rPr>
                <w:rFonts w:asciiTheme="minorHAnsi" w:hAnsiTheme="minorHAnsi" w:cstheme="minorHAnsi"/>
                <w:color w:val="000000" w:themeColor="text1"/>
                <w:sz w:val="20"/>
                <w:szCs w:val="20"/>
              </w:rPr>
            </w:pPr>
          </w:p>
          <w:p w14:paraId="6B73F6DE" w14:textId="3E2B27EA"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 xml:space="preserve">must </w:t>
            </w:r>
            <w:r w:rsidRPr="006F0193">
              <w:rPr>
                <w:rFonts w:asciiTheme="minorHAnsi" w:hAnsiTheme="minorHAnsi" w:cstheme="minorHAnsi"/>
                <w:color w:val="000000" w:themeColor="text1"/>
                <w:sz w:val="20"/>
                <w:szCs w:val="20"/>
              </w:rPr>
              <w:t xml:space="preserve">support the HPRA to meet its ongoing legal obligations for the collection, processing, management, analysis and submission/exchange of ICSRs (serious and </w:t>
            </w:r>
            <w:proofErr w:type="spellStart"/>
            <w:r w:rsidRPr="006F0193">
              <w:rPr>
                <w:rFonts w:asciiTheme="minorHAnsi" w:hAnsiTheme="minorHAnsi" w:cstheme="minorHAnsi"/>
                <w:color w:val="000000" w:themeColor="text1"/>
                <w:sz w:val="20"/>
                <w:szCs w:val="20"/>
              </w:rPr>
              <w:t>non</w:t>
            </w:r>
            <w:r w:rsidR="0055295E">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serious</w:t>
            </w:r>
            <w:proofErr w:type="spellEnd"/>
            <w:r w:rsidRPr="006F0193">
              <w:rPr>
                <w:rFonts w:asciiTheme="minorHAnsi" w:hAnsiTheme="minorHAnsi" w:cstheme="minorHAnsi"/>
                <w:color w:val="000000" w:themeColor="text1"/>
                <w:sz w:val="20"/>
                <w:szCs w:val="20"/>
              </w:rPr>
              <w:t>) and SUSARs</w:t>
            </w:r>
            <w:r>
              <w:rPr>
                <w:rFonts w:asciiTheme="minorHAnsi" w:hAnsiTheme="minorHAnsi" w:cstheme="minorHAnsi"/>
                <w:color w:val="000000" w:themeColor="text1"/>
                <w:sz w:val="20"/>
                <w:szCs w:val="20"/>
              </w:rPr>
              <w:t xml:space="preserve"> (</w:t>
            </w:r>
            <w:r w:rsidRPr="00BB3EC9">
              <w:rPr>
                <w:rFonts w:asciiTheme="minorHAnsi" w:hAnsiTheme="minorHAnsi" w:cstheme="minorHAnsi"/>
                <w:color w:val="000000" w:themeColor="text1"/>
                <w:sz w:val="20"/>
                <w:szCs w:val="20"/>
              </w:rPr>
              <w:t>Suspected Unexpected Serious Adverse Reaction</w:t>
            </w:r>
            <w:r>
              <w:rPr>
                <w:rFonts w:asciiTheme="minorHAnsi" w:hAnsiTheme="minorHAnsi" w:cstheme="minorHAnsi"/>
                <w:color w:val="000000" w:themeColor="text1"/>
                <w:sz w:val="20"/>
                <w:szCs w:val="20"/>
              </w:rPr>
              <w:t>)</w:t>
            </w:r>
            <w:r w:rsidRPr="006F0193">
              <w:rPr>
                <w:rFonts w:asciiTheme="minorHAnsi" w:hAnsiTheme="minorHAnsi" w:cstheme="minorHAnsi"/>
                <w:color w:val="000000" w:themeColor="text1"/>
                <w:sz w:val="20"/>
                <w:szCs w:val="20"/>
              </w:rPr>
              <w:t>, in line with applicable pharmacovigilance and GDPR legislation, guidance and standards.</w:t>
            </w:r>
          </w:p>
          <w:p w14:paraId="5AD292D1" w14:textId="5B2EEDD5"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support end</w:t>
            </w:r>
            <w:r w:rsidR="00B874CC">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to</w:t>
            </w:r>
            <w:r w:rsidR="00B874CC">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end case management workflows for ICSRs and SUSARs, including intake, triage, allocation, follow</w:t>
            </w:r>
            <w:r w:rsidR="00B874CC">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up, medical/scientific assessment and completion, across a multidisciplinary team.</w:t>
            </w:r>
          </w:p>
          <w:p w14:paraId="5B57329E" w14:textId="77777777"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provide a </w:t>
            </w:r>
            <w:r w:rsidRPr="006F0193">
              <w:rPr>
                <w:rFonts w:asciiTheme="minorHAnsi" w:hAnsiTheme="minorHAnsi" w:cstheme="minorHAnsi"/>
                <w:color w:val="000000" w:themeColor="text1"/>
                <w:sz w:val="20"/>
                <w:szCs w:val="20"/>
              </w:rPr>
              <w:t>configurable workflow and notifications (e.g., assignment, escalations, timers/alerts, task lists) to maximise operational efficiency.</w:t>
            </w:r>
          </w:p>
          <w:p w14:paraId="3B3DB74F" w14:textId="09946C2A"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provide comprehensive case data management, including unique identifiers, date/time stamping, versioning, record linking/merging, cross</w:t>
            </w:r>
            <w:r w:rsidR="00B874CC">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referencing and duplicate management, with appropriate controls.</w:t>
            </w:r>
          </w:p>
          <w:p w14:paraId="49AE185B" w14:textId="77777777"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lastRenderedPageBreak/>
              <w:t xml:space="preserve">The system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support duplicate </w:t>
            </w:r>
            <w:r>
              <w:rPr>
                <w:rFonts w:asciiTheme="minorHAnsi" w:hAnsiTheme="minorHAnsi" w:cstheme="minorHAnsi"/>
                <w:color w:val="000000" w:themeColor="text1"/>
                <w:sz w:val="20"/>
                <w:szCs w:val="20"/>
              </w:rPr>
              <w:t xml:space="preserve">case </w:t>
            </w:r>
            <w:r w:rsidRPr="006F0193">
              <w:rPr>
                <w:rFonts w:asciiTheme="minorHAnsi" w:hAnsiTheme="minorHAnsi" w:cstheme="minorHAnsi"/>
                <w:color w:val="000000" w:themeColor="text1"/>
                <w:sz w:val="20"/>
                <w:szCs w:val="20"/>
              </w:rPr>
              <w:t>detection and de-duplication workflows (including case linking/merging) with a complete audit trail of decisions and actions.</w:t>
            </w:r>
          </w:p>
          <w:p w14:paraId="36E93FEA" w14:textId="3335D364"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support case processing and coding using up</w:t>
            </w:r>
            <w:r w:rsidR="00B874CC">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to</w:t>
            </w:r>
            <w:r w:rsidR="00B874CC">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 xml:space="preserve">date regulatory dictionaries (including MedDRA) and shall support regular dictionary updates; it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also support coding to HPRA</w:t>
            </w:r>
            <w:r>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specific dictionaries where required (e.g., product/licence dictionary).</w:t>
            </w:r>
          </w:p>
          <w:p w14:paraId="2D45BA38" w14:textId="77777777"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support the secure electronic submission/exchange of safety information with external systems, including EudraVigilance, in accordance with applicable standards (e.g., ICH E2B (R3)) and include management of acknowledgements.</w:t>
            </w:r>
          </w:p>
          <w:p w14:paraId="1BC672FB" w14:textId="68380E72" w:rsidR="00D677F6" w:rsidRPr="00D677F6" w:rsidRDefault="00E45BB8" w:rsidP="00D677F6">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must</w:t>
            </w:r>
            <w:r w:rsidRPr="006F0193">
              <w:rPr>
                <w:rFonts w:asciiTheme="minorHAnsi" w:hAnsiTheme="minorHAnsi" w:cstheme="minorHAnsi"/>
                <w:color w:val="000000" w:themeColor="text1"/>
                <w:sz w:val="20"/>
                <w:szCs w:val="20"/>
              </w:rPr>
              <w:t xml:space="preserve"> provide </w:t>
            </w:r>
            <w:proofErr w:type="gramStart"/>
            <w:r w:rsidRPr="006F0193">
              <w:rPr>
                <w:rFonts w:asciiTheme="minorHAnsi" w:hAnsiTheme="minorHAnsi" w:cstheme="minorHAnsi"/>
                <w:color w:val="000000" w:themeColor="text1"/>
                <w:sz w:val="20"/>
                <w:szCs w:val="20"/>
              </w:rPr>
              <w:t>role</w:t>
            </w:r>
            <w:r w:rsidR="001C666D">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based</w:t>
            </w:r>
            <w:proofErr w:type="gramEnd"/>
            <w:r w:rsidRPr="006F0193">
              <w:rPr>
                <w:rFonts w:asciiTheme="minorHAnsi" w:hAnsiTheme="minorHAnsi" w:cstheme="minorHAnsi"/>
                <w:color w:val="000000" w:themeColor="text1"/>
                <w:sz w:val="20"/>
                <w:szCs w:val="20"/>
              </w:rPr>
              <w:t xml:space="preserve"> access control and configurable access to data</w:t>
            </w:r>
            <w:r>
              <w:rPr>
                <w:rFonts w:asciiTheme="minorHAnsi" w:hAnsiTheme="minorHAnsi" w:cstheme="minorHAnsi"/>
                <w:color w:val="000000" w:themeColor="text1"/>
                <w:sz w:val="20"/>
                <w:szCs w:val="20"/>
              </w:rPr>
              <w:t xml:space="preserve"> including personal/identifiable </w:t>
            </w:r>
            <w:proofErr w:type="gramStart"/>
            <w:r w:rsidRPr="005C395A">
              <w:rPr>
                <w:rFonts w:asciiTheme="minorHAnsi" w:hAnsiTheme="minorHAnsi" w:cstheme="minorHAnsi"/>
                <w:color w:val="000000" w:themeColor="text1"/>
                <w:sz w:val="20"/>
                <w:szCs w:val="20"/>
              </w:rPr>
              <w:t>data,</w:t>
            </w:r>
            <w:r w:rsidR="00710EF4">
              <w:rPr>
                <w:rFonts w:asciiTheme="minorHAnsi" w:hAnsiTheme="minorHAnsi" w:cstheme="minorHAnsi"/>
                <w:color w:val="000000" w:themeColor="text1"/>
                <w:sz w:val="20"/>
                <w:szCs w:val="20"/>
              </w:rPr>
              <w:t xml:space="preserve"> </w:t>
            </w:r>
            <w:r w:rsidRPr="005C395A">
              <w:rPr>
                <w:rFonts w:asciiTheme="minorHAnsi" w:hAnsiTheme="minorHAnsi" w:cstheme="minorHAnsi"/>
                <w:color w:val="000000" w:themeColor="text1"/>
                <w:sz w:val="20"/>
                <w:szCs w:val="20"/>
              </w:rPr>
              <w:t>and</w:t>
            </w:r>
            <w:proofErr w:type="gramEnd"/>
            <w:r w:rsidRPr="005C395A">
              <w:rPr>
                <w:rFonts w:asciiTheme="minorHAnsi" w:hAnsiTheme="minorHAnsi" w:cstheme="minorHAnsi"/>
                <w:color w:val="000000" w:themeColor="text1"/>
                <w:sz w:val="20"/>
                <w:szCs w:val="20"/>
              </w:rPr>
              <w:t xml:space="preserve"> provide anonymisation and/or</w:t>
            </w:r>
            <w:r w:rsidRPr="006F0193">
              <w:rPr>
                <w:rFonts w:asciiTheme="minorHAnsi" w:hAnsiTheme="minorHAnsi" w:cstheme="minorHAnsi"/>
                <w:color w:val="000000" w:themeColor="text1"/>
                <w:sz w:val="20"/>
                <w:szCs w:val="20"/>
              </w:rPr>
              <w:t xml:space="preserve"> pseudonymisation controls appropriate to pharmacovigilance processing and GDPR obligations.</w:t>
            </w:r>
          </w:p>
          <w:p w14:paraId="607301E6" w14:textId="77777777"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The system should support configurable templates and standard text to support case processing outputs, including narrative generation where applicable.</w:t>
            </w:r>
          </w:p>
          <w:p w14:paraId="371CB3B7" w14:textId="077C4AA3" w:rsidR="00E45BB8"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The system should provide standard automation capabilities to improve efficiency and quality e.g. in case intake, coding, duplicate checking, narrative creation and quality checks (e.g., validations, QC/QA checks, spell</w:t>
            </w:r>
            <w:r w:rsidR="001C666D">
              <w:rPr>
                <w:rFonts w:asciiTheme="minorHAnsi" w:hAnsiTheme="minorHAnsi" w:cstheme="minorHAnsi"/>
                <w:color w:val="000000" w:themeColor="text1"/>
                <w:sz w:val="20"/>
                <w:szCs w:val="20"/>
              </w:rPr>
              <w:t xml:space="preserve"> </w:t>
            </w:r>
            <w:r w:rsidRPr="006F0193">
              <w:rPr>
                <w:rFonts w:asciiTheme="minorHAnsi" w:hAnsiTheme="minorHAnsi" w:cstheme="minorHAnsi"/>
                <w:color w:val="000000" w:themeColor="text1"/>
                <w:sz w:val="20"/>
                <w:szCs w:val="20"/>
              </w:rPr>
              <w:t>check</w:t>
            </w:r>
            <w:r w:rsidR="001C666D">
              <w:rPr>
                <w:rFonts w:asciiTheme="minorHAnsi" w:hAnsiTheme="minorHAnsi" w:cstheme="minorHAnsi"/>
                <w:color w:val="000000" w:themeColor="text1"/>
                <w:sz w:val="20"/>
                <w:szCs w:val="20"/>
              </w:rPr>
              <w:t>ing</w:t>
            </w:r>
            <w:r w:rsidRPr="006F0193">
              <w:rPr>
                <w:rFonts w:asciiTheme="minorHAnsi" w:hAnsiTheme="minorHAnsi" w:cstheme="minorHAnsi"/>
                <w:color w:val="000000" w:themeColor="text1"/>
                <w:sz w:val="20"/>
                <w:szCs w:val="20"/>
              </w:rPr>
              <w:t xml:space="preserve"> for free text).</w:t>
            </w:r>
          </w:p>
          <w:p w14:paraId="69491E33" w14:textId="6D123359" w:rsidR="00BF194E" w:rsidRPr="006F0193" w:rsidRDefault="00BF194E">
            <w:pPr>
              <w:pStyle w:val="Default"/>
              <w:numPr>
                <w:ilvl w:val="0"/>
                <w:numId w:val="28"/>
              </w:numPr>
              <w:spacing w:after="120"/>
              <w:jc w:val="both"/>
              <w:rPr>
                <w:rFonts w:asciiTheme="minorHAnsi" w:hAnsiTheme="minorHAnsi" w:cstheme="minorHAnsi"/>
                <w:color w:val="000000" w:themeColor="text1"/>
                <w:sz w:val="20"/>
                <w:szCs w:val="20"/>
              </w:rPr>
            </w:pPr>
            <w:r w:rsidRPr="00BF194E">
              <w:rPr>
                <w:rFonts w:asciiTheme="minorHAnsi" w:hAnsiTheme="minorHAnsi" w:cstheme="minorHAnsi"/>
                <w:color w:val="000000" w:themeColor="text1"/>
                <w:sz w:val="20"/>
                <w:szCs w:val="20"/>
              </w:rPr>
              <w:t xml:space="preserve">The system </w:t>
            </w:r>
            <w:r>
              <w:rPr>
                <w:rFonts w:asciiTheme="minorHAnsi" w:hAnsiTheme="minorHAnsi" w:cstheme="minorHAnsi"/>
                <w:color w:val="000000" w:themeColor="text1"/>
                <w:sz w:val="20"/>
                <w:szCs w:val="20"/>
              </w:rPr>
              <w:t>must</w:t>
            </w:r>
            <w:r w:rsidRPr="00BF194E">
              <w:rPr>
                <w:rFonts w:asciiTheme="minorHAnsi" w:hAnsiTheme="minorHAnsi" w:cstheme="minorHAnsi"/>
                <w:color w:val="000000" w:themeColor="text1"/>
                <w:sz w:val="20"/>
                <w:szCs w:val="20"/>
              </w:rPr>
              <w:t xml:space="preserve"> support advanced search across all data elements, including structured fields and free-text fields, and shall support configurable queries, including for example the use of Standard MedDRA Queries (SMQs) and other types of aggregate data searches.</w:t>
            </w:r>
          </w:p>
          <w:p w14:paraId="6327412E" w14:textId="77777777" w:rsidR="00E45BB8" w:rsidRPr="006F0193" w:rsidRDefault="00E45BB8">
            <w:pPr>
              <w:pStyle w:val="Default"/>
              <w:numPr>
                <w:ilvl w:val="0"/>
                <w:numId w:val="28"/>
              </w:numPr>
              <w:spacing w:after="120"/>
              <w:jc w:val="both"/>
              <w:rPr>
                <w:rFonts w:asciiTheme="minorHAnsi" w:hAnsiTheme="minorHAnsi" w:cstheme="minorHAnsi"/>
                <w:color w:val="000000" w:themeColor="text1"/>
                <w:sz w:val="20"/>
                <w:szCs w:val="20"/>
              </w:rPr>
            </w:pPr>
            <w:r w:rsidRPr="006F0193">
              <w:rPr>
                <w:rFonts w:asciiTheme="minorHAnsi" w:hAnsiTheme="minorHAnsi" w:cstheme="minorHAnsi"/>
                <w:color w:val="000000" w:themeColor="text1"/>
                <w:sz w:val="20"/>
                <w:szCs w:val="20"/>
              </w:rPr>
              <w:t>The system should support the use of Artificial Intelligence (AI) / Natural Language Processing (NLP) features to assist with extraction and interpretation of safety information, subject to appropriate human oversight and controls.</w:t>
            </w:r>
          </w:p>
          <w:p w14:paraId="73FC6969" w14:textId="77777777" w:rsidR="00E45BB8" w:rsidRPr="00B471CE" w:rsidRDefault="00E45BB8">
            <w:pPr>
              <w:pStyle w:val="ListParagraph"/>
              <w:numPr>
                <w:ilvl w:val="0"/>
                <w:numId w:val="28"/>
              </w:numPr>
              <w:spacing w:after="120" w:line="252" w:lineRule="auto"/>
              <w:rPr>
                <w:rFonts w:eastAsia="Times New Roman" w:cstheme="minorHAnsi"/>
                <w:color w:val="000000"/>
                <w:sz w:val="20"/>
                <w:szCs w:val="20"/>
                <w:lang w:eastAsia="en-IE"/>
              </w:rPr>
            </w:pPr>
            <w:r w:rsidRPr="006F0193">
              <w:rPr>
                <w:rFonts w:cstheme="minorHAnsi"/>
                <w:color w:val="000000" w:themeColor="text1"/>
                <w:sz w:val="20"/>
                <w:szCs w:val="20"/>
              </w:rPr>
              <w:t>The system should support use in other vigilance areas (with additional configuration if necessary), including but not limited to vigilance of substances of human origin, medical devices</w:t>
            </w:r>
            <w:r>
              <w:rPr>
                <w:rFonts w:cstheme="minorHAnsi"/>
                <w:color w:val="000000" w:themeColor="text1"/>
                <w:sz w:val="20"/>
                <w:szCs w:val="20"/>
              </w:rPr>
              <w:t xml:space="preserve"> and other areas</w:t>
            </w:r>
            <w:r w:rsidRPr="006F0193">
              <w:rPr>
                <w:rFonts w:cstheme="minorHAnsi"/>
                <w:color w:val="000000" w:themeColor="text1"/>
                <w:sz w:val="20"/>
                <w:szCs w:val="20"/>
              </w:rPr>
              <w:t>.</w:t>
            </w:r>
          </w:p>
          <w:p w14:paraId="3564C9F8" w14:textId="77777777" w:rsidR="00E45BB8" w:rsidRPr="006F0193" w:rsidRDefault="00E45BB8">
            <w:pPr>
              <w:pStyle w:val="ListParagraph"/>
              <w:numPr>
                <w:ilvl w:val="0"/>
                <w:numId w:val="28"/>
              </w:numPr>
              <w:spacing w:after="120" w:line="252" w:lineRule="auto"/>
              <w:rPr>
                <w:rFonts w:eastAsia="Times New Roman" w:cstheme="minorHAnsi"/>
                <w:color w:val="000000"/>
                <w:sz w:val="20"/>
                <w:szCs w:val="20"/>
                <w:lang w:eastAsia="en-IE"/>
              </w:rPr>
            </w:pPr>
            <w:r>
              <w:rPr>
                <w:rFonts w:cstheme="minorHAnsi"/>
                <w:color w:val="000000" w:themeColor="text1"/>
                <w:sz w:val="20"/>
                <w:szCs w:val="20"/>
              </w:rPr>
              <w:t xml:space="preserve">The Tenderer must </w:t>
            </w:r>
            <w:r>
              <w:rPr>
                <w:rFonts w:eastAsia="Times New Roman" w:cstheme="minorHAnsi"/>
                <w:color w:val="000000" w:themeColor="text1"/>
                <w:sz w:val="20"/>
                <w:szCs w:val="20"/>
                <w:lang w:eastAsia="en-IE"/>
              </w:rPr>
              <w:t>provide details of how the solution remains current with evolving mandated regulatory requirements.</w:t>
            </w:r>
          </w:p>
          <w:p w14:paraId="76A50D6D" w14:textId="77777777" w:rsidR="00E45BB8" w:rsidRPr="00AA532D" w:rsidRDefault="00E45BB8" w:rsidP="00571CD9">
            <w:pPr>
              <w:spacing w:after="160" w:line="252" w:lineRule="auto"/>
              <w:rPr>
                <w:lang w:eastAsia="en-IE"/>
              </w:rPr>
            </w:pPr>
            <w:r w:rsidRPr="00AA532D">
              <w:rPr>
                <w:rFonts w:eastAsia="Times New Roman" w:cstheme="minorHAnsi"/>
                <w:color w:val="000000" w:themeColor="text1"/>
                <w:sz w:val="20"/>
                <w:szCs w:val="20"/>
                <w:lang w:eastAsia="en-IE"/>
              </w:rPr>
              <w:t xml:space="preserve">The supplier </w:t>
            </w:r>
            <w:r>
              <w:rPr>
                <w:rFonts w:eastAsia="Times New Roman" w:cstheme="minorHAnsi"/>
                <w:color w:val="000000" w:themeColor="text1"/>
                <w:sz w:val="20"/>
                <w:szCs w:val="20"/>
                <w:lang w:eastAsia="en-IE"/>
              </w:rPr>
              <w:t xml:space="preserve">is encouraged to provide comprehensive details of the functions and features of their proposed </w:t>
            </w:r>
            <w:proofErr w:type="gramStart"/>
            <w:r>
              <w:rPr>
                <w:rFonts w:eastAsia="Times New Roman" w:cstheme="minorHAnsi"/>
                <w:color w:val="000000" w:themeColor="text1"/>
                <w:sz w:val="20"/>
                <w:szCs w:val="20"/>
                <w:lang w:eastAsia="en-IE"/>
              </w:rPr>
              <w:t>solution, and</w:t>
            </w:r>
            <w:proofErr w:type="gramEnd"/>
            <w:r>
              <w:rPr>
                <w:rFonts w:eastAsia="Times New Roman" w:cstheme="minorHAnsi"/>
                <w:color w:val="000000" w:themeColor="text1"/>
                <w:sz w:val="20"/>
                <w:szCs w:val="20"/>
                <w:lang w:eastAsia="en-IE"/>
              </w:rPr>
              <w:t xml:space="preserve"> outline how it provides capabilities to enhance oversight of medicines safety and efficiencies to the HPRA</w:t>
            </w:r>
            <w:r w:rsidRPr="00AA532D">
              <w:rPr>
                <w:rFonts w:eastAsia="Times New Roman" w:cstheme="minorHAnsi"/>
                <w:color w:val="000000" w:themeColor="text1"/>
                <w:sz w:val="20"/>
                <w:szCs w:val="20"/>
                <w:lang w:eastAsia="en-IE"/>
              </w:rPr>
              <w:t>.</w:t>
            </w:r>
            <w:r>
              <w:rPr>
                <w:rFonts w:eastAsia="Times New Roman" w:cstheme="minorHAnsi"/>
                <w:color w:val="000000" w:themeColor="text1"/>
                <w:sz w:val="20"/>
                <w:szCs w:val="20"/>
                <w:lang w:eastAsia="en-IE"/>
              </w:rPr>
              <w:t xml:space="preserve"> </w:t>
            </w:r>
          </w:p>
        </w:tc>
      </w:tr>
      <w:tr w:rsidR="00E45BB8" w:rsidRPr="00AA532D" w14:paraId="4B4810BE" w14:textId="77777777" w:rsidTr="032B68AC">
        <w:trPr>
          <w:trHeight w:val="228"/>
        </w:trPr>
        <w:tc>
          <w:tcPr>
            <w:tcW w:w="562" w:type="dxa"/>
          </w:tcPr>
          <w:p w14:paraId="02D2D51F" w14:textId="77777777" w:rsidR="00E45BB8" w:rsidRPr="00AA532D" w:rsidRDefault="00E45BB8" w:rsidP="008B3854">
            <w:pPr>
              <w:pStyle w:val="HPRAMainBodyText"/>
              <w:jc w:val="center"/>
              <w:rPr>
                <w:rFonts w:asciiTheme="minorHAnsi" w:hAnsiTheme="minorHAnsi" w:cstheme="minorHAnsi"/>
                <w:b/>
                <w:bCs/>
              </w:rPr>
            </w:pPr>
            <w:r>
              <w:rPr>
                <w:rFonts w:asciiTheme="minorHAnsi" w:hAnsiTheme="minorHAnsi" w:cstheme="minorHAnsi"/>
                <w:b/>
                <w:bCs/>
              </w:rPr>
              <w:lastRenderedPageBreak/>
              <w:t>B</w:t>
            </w:r>
          </w:p>
        </w:tc>
        <w:tc>
          <w:tcPr>
            <w:tcW w:w="9498" w:type="dxa"/>
          </w:tcPr>
          <w:p w14:paraId="6D46AC2C" w14:textId="77777777" w:rsidR="00E45BB8" w:rsidRPr="00AA532D" w:rsidRDefault="00E45BB8" w:rsidP="00EC740F">
            <w:pPr>
              <w:pStyle w:val="Body1"/>
              <w:spacing w:after="0"/>
              <w:rPr>
                <w:rFonts w:asciiTheme="minorHAnsi" w:hAnsiTheme="minorHAnsi" w:cstheme="minorHAnsi"/>
                <w:b/>
                <w:bCs/>
              </w:rPr>
            </w:pPr>
            <w:r>
              <w:rPr>
                <w:rFonts w:asciiTheme="minorHAnsi" w:hAnsiTheme="minorHAnsi" w:cstheme="minorHAnsi"/>
                <w:b/>
                <w:bCs/>
              </w:rPr>
              <w:t>Auditability</w:t>
            </w:r>
          </w:p>
        </w:tc>
      </w:tr>
      <w:tr w:rsidR="00E45BB8" w:rsidRPr="00AA532D" w14:paraId="7D797531" w14:textId="77777777" w:rsidTr="032B68AC">
        <w:tc>
          <w:tcPr>
            <w:tcW w:w="562" w:type="dxa"/>
          </w:tcPr>
          <w:p w14:paraId="26B72410" w14:textId="77777777" w:rsidR="00E45BB8" w:rsidRPr="00AA532D" w:rsidRDefault="00E45BB8" w:rsidP="008B3854">
            <w:pPr>
              <w:pStyle w:val="HPRAMainBodyText"/>
              <w:jc w:val="center"/>
              <w:rPr>
                <w:rFonts w:asciiTheme="minorHAnsi" w:hAnsiTheme="minorHAnsi" w:cstheme="minorHAnsi"/>
                <w:b/>
                <w:bCs/>
              </w:rPr>
            </w:pPr>
          </w:p>
        </w:tc>
        <w:tc>
          <w:tcPr>
            <w:tcW w:w="9498" w:type="dxa"/>
          </w:tcPr>
          <w:p w14:paraId="5AEF47E3" w14:textId="77777777" w:rsidR="00E45BB8" w:rsidRPr="00073F4D" w:rsidRDefault="00E45BB8" w:rsidP="001A0250">
            <w:pPr>
              <w:pStyle w:val="Default"/>
              <w:spacing w:after="120"/>
              <w:jc w:val="both"/>
              <w:rPr>
                <w:rFonts w:asciiTheme="minorHAnsi" w:hAnsiTheme="minorHAnsi" w:cstheme="minorHAnsi"/>
                <w:color w:val="000000" w:themeColor="text1"/>
                <w:sz w:val="20"/>
                <w:szCs w:val="20"/>
              </w:rPr>
            </w:pPr>
            <w:r w:rsidRPr="00073F4D">
              <w:rPr>
                <w:rFonts w:asciiTheme="minorHAnsi" w:hAnsiTheme="minorHAnsi" w:cstheme="minorHAnsi"/>
                <w:color w:val="000000" w:themeColor="text1"/>
                <w:sz w:val="20"/>
                <w:szCs w:val="20"/>
              </w:rPr>
              <w:t xml:space="preserve">The solution must provide an audit trail and traceability of changes to data, capturing and retaining user and system activity.  This section specifies the minimum activity </w:t>
            </w:r>
            <w:r>
              <w:rPr>
                <w:rFonts w:asciiTheme="minorHAnsi" w:hAnsiTheme="minorHAnsi" w:cstheme="minorHAnsi"/>
                <w:color w:val="000000" w:themeColor="text1"/>
                <w:sz w:val="20"/>
                <w:szCs w:val="20"/>
              </w:rPr>
              <w:t xml:space="preserve">tracking </w:t>
            </w:r>
            <w:r w:rsidRPr="00073F4D">
              <w:rPr>
                <w:rFonts w:asciiTheme="minorHAnsi" w:hAnsiTheme="minorHAnsi" w:cstheme="minorHAnsi"/>
                <w:color w:val="000000" w:themeColor="text1"/>
                <w:sz w:val="20"/>
                <w:szCs w:val="20"/>
              </w:rPr>
              <w:t>and auditability requirements.</w:t>
            </w:r>
          </w:p>
          <w:p w14:paraId="28A5B3A5" w14:textId="77777777" w:rsidR="00E45BB8" w:rsidRPr="00073F4D" w:rsidRDefault="00E45BB8">
            <w:pPr>
              <w:pStyle w:val="Default"/>
              <w:numPr>
                <w:ilvl w:val="0"/>
                <w:numId w:val="29"/>
              </w:numPr>
              <w:spacing w:after="120"/>
              <w:jc w:val="both"/>
              <w:rPr>
                <w:rFonts w:asciiTheme="minorHAnsi" w:hAnsiTheme="minorHAnsi" w:cstheme="minorHAnsi"/>
                <w:color w:val="000000" w:themeColor="text1"/>
                <w:sz w:val="20"/>
                <w:szCs w:val="20"/>
              </w:rPr>
            </w:pPr>
            <w:r w:rsidRPr="00073F4D">
              <w:rPr>
                <w:rFonts w:asciiTheme="minorHAnsi" w:hAnsiTheme="minorHAnsi" w:cstheme="minorHAnsi"/>
                <w:color w:val="000000" w:themeColor="text1"/>
                <w:sz w:val="20"/>
                <w:szCs w:val="20"/>
              </w:rPr>
              <w:t>The solution must at minimum provide traceability of create/read/update/delete activity for records, workflow actions, attachments, data imports/exports, and report generation. The audit trail should include details of date/time and user/system attribution.</w:t>
            </w:r>
          </w:p>
          <w:p w14:paraId="77E99528" w14:textId="3DB3CF75" w:rsidR="00E45BB8" w:rsidRPr="00073F4D" w:rsidRDefault="00E45BB8">
            <w:pPr>
              <w:pStyle w:val="Default"/>
              <w:numPr>
                <w:ilvl w:val="0"/>
                <w:numId w:val="29"/>
              </w:numPr>
              <w:spacing w:after="120"/>
              <w:jc w:val="both"/>
              <w:rPr>
                <w:rFonts w:asciiTheme="minorHAnsi" w:hAnsiTheme="minorHAnsi" w:cstheme="minorHAnsi"/>
                <w:color w:val="000000" w:themeColor="text1"/>
                <w:sz w:val="20"/>
                <w:szCs w:val="20"/>
              </w:rPr>
            </w:pPr>
            <w:r w:rsidRPr="00073F4D">
              <w:rPr>
                <w:rFonts w:asciiTheme="minorHAnsi" w:hAnsiTheme="minorHAnsi" w:cstheme="minorHAnsi"/>
                <w:color w:val="000000" w:themeColor="text1"/>
                <w:sz w:val="20"/>
                <w:szCs w:val="20"/>
              </w:rPr>
              <w:t>The system should support granular logging of field</w:t>
            </w:r>
            <w:r w:rsidR="001C666D">
              <w:rPr>
                <w:rFonts w:asciiTheme="minorHAnsi" w:hAnsiTheme="minorHAnsi" w:cstheme="minorHAnsi"/>
                <w:color w:val="000000" w:themeColor="text1"/>
                <w:sz w:val="20"/>
                <w:szCs w:val="20"/>
              </w:rPr>
              <w:t xml:space="preserve"> </w:t>
            </w:r>
            <w:r w:rsidRPr="00073F4D">
              <w:rPr>
                <w:rFonts w:asciiTheme="minorHAnsi" w:hAnsiTheme="minorHAnsi" w:cstheme="minorHAnsi"/>
                <w:color w:val="000000" w:themeColor="text1"/>
                <w:sz w:val="20"/>
                <w:szCs w:val="20"/>
              </w:rPr>
              <w:t xml:space="preserve">level changes (before/after values) and </w:t>
            </w:r>
            <w:proofErr w:type="gramStart"/>
            <w:r w:rsidRPr="00073F4D">
              <w:rPr>
                <w:rFonts w:asciiTheme="minorHAnsi" w:hAnsiTheme="minorHAnsi" w:cstheme="minorHAnsi"/>
                <w:color w:val="000000" w:themeColor="text1"/>
                <w:sz w:val="20"/>
                <w:szCs w:val="20"/>
              </w:rPr>
              <w:t>should  retain</w:t>
            </w:r>
            <w:proofErr w:type="gramEnd"/>
            <w:r w:rsidRPr="00073F4D">
              <w:rPr>
                <w:rFonts w:asciiTheme="minorHAnsi" w:hAnsiTheme="minorHAnsi" w:cstheme="minorHAnsi"/>
                <w:color w:val="000000" w:themeColor="text1"/>
                <w:sz w:val="20"/>
                <w:szCs w:val="20"/>
              </w:rPr>
              <w:t xml:space="preserve"> sufficient information to support reconstruction of case history.</w:t>
            </w:r>
          </w:p>
          <w:p w14:paraId="570C2607" w14:textId="77777777" w:rsidR="00E45BB8" w:rsidRPr="00073F4D" w:rsidRDefault="00E45BB8">
            <w:pPr>
              <w:pStyle w:val="Default"/>
              <w:numPr>
                <w:ilvl w:val="0"/>
                <w:numId w:val="29"/>
              </w:numPr>
              <w:spacing w:after="120"/>
              <w:jc w:val="both"/>
              <w:rPr>
                <w:rFonts w:asciiTheme="minorHAnsi" w:hAnsiTheme="minorHAnsi" w:cstheme="minorHAnsi"/>
                <w:color w:val="000000" w:themeColor="text1"/>
                <w:sz w:val="20"/>
                <w:szCs w:val="20"/>
              </w:rPr>
            </w:pPr>
            <w:r w:rsidRPr="00073F4D">
              <w:rPr>
                <w:rFonts w:asciiTheme="minorHAnsi" w:hAnsiTheme="minorHAnsi" w:cstheme="minorHAnsi"/>
                <w:color w:val="000000" w:themeColor="text1"/>
                <w:sz w:val="20"/>
                <w:szCs w:val="20"/>
              </w:rPr>
              <w:t>Audit trail records should be searchable, retrievable and exportable for inspection and investigation purposes.</w:t>
            </w:r>
          </w:p>
          <w:p w14:paraId="081BB62F" w14:textId="77777777" w:rsidR="00E45BB8" w:rsidRPr="00303C45" w:rsidRDefault="00E45BB8">
            <w:pPr>
              <w:pStyle w:val="Default"/>
              <w:numPr>
                <w:ilvl w:val="0"/>
                <w:numId w:val="29"/>
              </w:numPr>
              <w:spacing w:after="120"/>
              <w:jc w:val="both"/>
              <w:rPr>
                <w:rFonts w:asciiTheme="minorHAnsi" w:hAnsiTheme="minorHAnsi" w:cstheme="minorHAnsi"/>
                <w:color w:val="000000" w:themeColor="text1"/>
                <w:sz w:val="20"/>
                <w:szCs w:val="20"/>
              </w:rPr>
            </w:pPr>
            <w:r w:rsidRPr="00073F4D">
              <w:rPr>
                <w:rFonts w:asciiTheme="minorHAnsi" w:hAnsiTheme="minorHAnsi" w:cstheme="minorHAnsi"/>
                <w:color w:val="000000" w:themeColor="text1"/>
                <w:sz w:val="20"/>
                <w:szCs w:val="20"/>
              </w:rPr>
              <w:t>All inbound/outbound data exchanges (including acknowledgements) must be logged and traceable within the system.</w:t>
            </w:r>
          </w:p>
          <w:p w14:paraId="2A28E22C" w14:textId="77777777" w:rsidR="00E45BB8" w:rsidRPr="00AA532D" w:rsidRDefault="00E45BB8" w:rsidP="004B3DBD">
            <w:pPr>
              <w:pStyle w:val="ListParagraph"/>
              <w:ind w:left="0"/>
              <w:jc w:val="both"/>
              <w:rPr>
                <w:rFonts w:cstheme="minorHAnsi"/>
                <w:sz w:val="24"/>
                <w:szCs w:val="18"/>
              </w:rPr>
            </w:pPr>
          </w:p>
        </w:tc>
      </w:tr>
      <w:tr w:rsidR="00E45BB8" w:rsidRPr="00AA532D" w14:paraId="7DAC317B" w14:textId="77777777" w:rsidTr="032B68AC">
        <w:tc>
          <w:tcPr>
            <w:tcW w:w="562" w:type="dxa"/>
          </w:tcPr>
          <w:p w14:paraId="3791D662" w14:textId="77777777" w:rsidR="00E45BB8" w:rsidRPr="00AA532D" w:rsidRDefault="00E45BB8" w:rsidP="008B3854">
            <w:pPr>
              <w:pStyle w:val="HPRAMainBodyText"/>
              <w:jc w:val="center"/>
              <w:rPr>
                <w:rFonts w:asciiTheme="minorHAnsi" w:hAnsiTheme="minorHAnsi" w:cstheme="minorHAnsi"/>
                <w:b/>
                <w:bCs/>
              </w:rPr>
            </w:pPr>
            <w:r>
              <w:rPr>
                <w:rFonts w:asciiTheme="minorHAnsi" w:hAnsiTheme="minorHAnsi" w:cstheme="minorHAnsi"/>
                <w:b/>
                <w:bCs/>
              </w:rPr>
              <w:lastRenderedPageBreak/>
              <w:t>C</w:t>
            </w:r>
          </w:p>
        </w:tc>
        <w:tc>
          <w:tcPr>
            <w:tcW w:w="9498" w:type="dxa"/>
          </w:tcPr>
          <w:p w14:paraId="70DA318F" w14:textId="77777777" w:rsidR="00E45BB8" w:rsidRPr="00AA532D" w:rsidRDefault="00E45BB8" w:rsidP="00EC740F">
            <w:pPr>
              <w:pStyle w:val="Body1"/>
              <w:spacing w:after="0"/>
              <w:rPr>
                <w:rFonts w:asciiTheme="minorHAnsi" w:hAnsiTheme="minorHAnsi" w:cstheme="minorHAnsi"/>
                <w:b/>
                <w:bCs/>
              </w:rPr>
            </w:pPr>
            <w:r>
              <w:rPr>
                <w:rFonts w:asciiTheme="minorHAnsi" w:hAnsiTheme="minorHAnsi" w:cstheme="minorHAnsi"/>
                <w:b/>
                <w:bCs/>
              </w:rPr>
              <w:t>Reporting, Analytics &amp; Insight</w:t>
            </w:r>
          </w:p>
        </w:tc>
      </w:tr>
      <w:tr w:rsidR="00E45BB8" w:rsidRPr="00AA532D" w14:paraId="5E59BB23" w14:textId="77777777" w:rsidTr="032B68AC">
        <w:tc>
          <w:tcPr>
            <w:tcW w:w="562" w:type="dxa"/>
          </w:tcPr>
          <w:p w14:paraId="51F349AC" w14:textId="77777777" w:rsidR="00E45BB8" w:rsidRPr="00AA532D" w:rsidRDefault="00E45BB8" w:rsidP="008B3854">
            <w:pPr>
              <w:pStyle w:val="HPRAMainBodyText"/>
              <w:jc w:val="center"/>
              <w:rPr>
                <w:rFonts w:asciiTheme="minorHAnsi" w:hAnsiTheme="minorHAnsi" w:cstheme="minorHAnsi"/>
                <w:b/>
                <w:bCs/>
              </w:rPr>
            </w:pPr>
          </w:p>
        </w:tc>
        <w:tc>
          <w:tcPr>
            <w:tcW w:w="9498" w:type="dxa"/>
          </w:tcPr>
          <w:p w14:paraId="7D5E2D6A" w14:textId="489E9E6F" w:rsidR="00E45BB8" w:rsidRDefault="00E45BB8">
            <w:pPr>
              <w:pStyle w:val="Default"/>
              <w:spacing w:after="120"/>
              <w:jc w:val="both"/>
              <w:rPr>
                <w:kern w:val="2"/>
                <w14:ligatures w14:val="standardContextual"/>
              </w:rPr>
            </w:pPr>
            <w:r>
              <w:rPr>
                <w:rFonts w:ascii="Segoe UI" w:hAnsi="Segoe UI" w:cs="Segoe UI"/>
                <w:sz w:val="20"/>
                <w:szCs w:val="20"/>
              </w:rPr>
              <w:t>The solution must provide comprehensive reporting, analytics and insight capabilities to support operational, regulatory and management oversight of pharmacovigilance activities. The supplier should provide comprehensive details of the reporting, analytics, insight and artificial intelligence capabilities of their proposed solution. They should specify how these capabilities support proactive identification of emerging safety issues, interpretation of pharmacovigilance data, operational decision</w:t>
            </w:r>
            <w:r w:rsidR="0055295E">
              <w:rPr>
                <w:rFonts w:ascii="Segoe UI" w:hAnsi="Segoe UI" w:cs="Segoe UI"/>
                <w:sz w:val="20"/>
                <w:szCs w:val="20"/>
              </w:rPr>
              <w:t xml:space="preserve"> </w:t>
            </w:r>
            <w:r>
              <w:rPr>
                <w:rFonts w:ascii="Segoe UI" w:hAnsi="Segoe UI" w:cs="Segoe UI"/>
                <w:sz w:val="20"/>
                <w:szCs w:val="20"/>
              </w:rPr>
              <w:t>making, workload prioritisation, and data quality improvement.</w:t>
            </w:r>
          </w:p>
          <w:p w14:paraId="210124DC" w14:textId="77777777" w:rsidR="00E45BB8" w:rsidRPr="00823B5B" w:rsidRDefault="00E45BB8">
            <w:pPr>
              <w:pStyle w:val="Default"/>
              <w:numPr>
                <w:ilvl w:val="0"/>
                <w:numId w:val="30"/>
              </w:numPr>
              <w:spacing w:after="120"/>
              <w:jc w:val="both"/>
              <w:rPr>
                <w:rFonts w:asciiTheme="minorHAnsi" w:hAnsiTheme="minorHAnsi" w:cstheme="minorHAnsi"/>
                <w:color w:val="000000" w:themeColor="text1"/>
                <w:sz w:val="20"/>
                <w:szCs w:val="20"/>
              </w:rPr>
            </w:pPr>
            <w:r>
              <w:rPr>
                <w:rFonts w:ascii="Segoe UI" w:hAnsi="Segoe UI" w:cs="Segoe UI"/>
                <w:sz w:val="20"/>
                <w:szCs w:val="20"/>
              </w:rPr>
              <w:t>Tenderers must specify how their proposed solution enables authorised users to access, analyse and interpret case, workflow, signal, data quality and service performance information. This should include standard reports, ad hoc reporting, user defined queries and configurable dashboards.</w:t>
            </w:r>
          </w:p>
          <w:p w14:paraId="43EFCE62" w14:textId="77777777" w:rsidR="00E45BB8" w:rsidRPr="00923E08" w:rsidRDefault="00E45BB8">
            <w:pPr>
              <w:pStyle w:val="Default"/>
              <w:numPr>
                <w:ilvl w:val="0"/>
                <w:numId w:val="30"/>
              </w:numPr>
              <w:spacing w:after="120"/>
              <w:jc w:val="both"/>
              <w:rPr>
                <w:rFonts w:asciiTheme="minorHAnsi" w:hAnsiTheme="minorHAnsi" w:cstheme="minorHAnsi"/>
                <w:color w:val="000000" w:themeColor="text1"/>
                <w:sz w:val="20"/>
                <w:szCs w:val="20"/>
              </w:rPr>
            </w:pPr>
            <w:r>
              <w:rPr>
                <w:rFonts w:ascii="Segoe UI" w:hAnsi="Segoe UI" w:cs="Segoe UI"/>
                <w:sz w:val="20"/>
                <w:szCs w:val="20"/>
              </w:rPr>
              <w:t>Tenderers must describe how the solution supports users to create, schedule, run and export reports, and how reporting outputs can be used to generate actionable insight.</w:t>
            </w:r>
          </w:p>
          <w:p w14:paraId="61CD63DC" w14:textId="21FE543F" w:rsidR="00E45BB8" w:rsidRPr="007F3266" w:rsidRDefault="00E45BB8">
            <w:pPr>
              <w:pStyle w:val="Default"/>
              <w:numPr>
                <w:ilvl w:val="0"/>
                <w:numId w:val="30"/>
              </w:numPr>
              <w:spacing w:after="120"/>
              <w:jc w:val="both"/>
              <w:rPr>
                <w:rFonts w:asciiTheme="minorHAnsi" w:hAnsiTheme="minorHAnsi" w:cstheme="minorHAnsi"/>
                <w:color w:val="000000" w:themeColor="text1"/>
                <w:sz w:val="20"/>
                <w:szCs w:val="20"/>
              </w:rPr>
            </w:pPr>
            <w:r>
              <w:rPr>
                <w:rFonts w:ascii="Segoe UI" w:hAnsi="Segoe UI" w:cs="Segoe UI"/>
                <w:sz w:val="20"/>
                <w:szCs w:val="20"/>
              </w:rPr>
              <w:t>They should highlight how their solution supports decision</w:t>
            </w:r>
            <w:r w:rsidR="0055295E">
              <w:rPr>
                <w:rFonts w:ascii="Segoe UI" w:hAnsi="Segoe UI" w:cs="Segoe UI"/>
                <w:sz w:val="20"/>
                <w:szCs w:val="20"/>
              </w:rPr>
              <w:t xml:space="preserve"> </w:t>
            </w:r>
            <w:r>
              <w:rPr>
                <w:rFonts w:ascii="Segoe UI" w:hAnsi="Segoe UI" w:cs="Segoe UI"/>
                <w:sz w:val="20"/>
                <w:szCs w:val="20"/>
              </w:rPr>
              <w:t>making, identifies emerging safety issues, assess workload and performance, and improve the quality and efficiency of pharmacovigilance processes and data.</w:t>
            </w:r>
          </w:p>
          <w:p w14:paraId="1F7CDC18" w14:textId="77777777" w:rsidR="00E45BB8" w:rsidRPr="00EE7E02" w:rsidRDefault="00E45BB8">
            <w:pPr>
              <w:pStyle w:val="Default"/>
              <w:numPr>
                <w:ilvl w:val="0"/>
                <w:numId w:val="30"/>
              </w:numPr>
              <w:spacing w:after="120"/>
              <w:jc w:val="both"/>
              <w:rPr>
                <w:rFonts w:asciiTheme="minorHAnsi" w:hAnsiTheme="minorHAnsi" w:cstheme="minorHAnsi"/>
                <w:color w:val="000000" w:themeColor="text1"/>
                <w:sz w:val="20"/>
                <w:szCs w:val="20"/>
              </w:rPr>
            </w:pPr>
            <w:r w:rsidRPr="00EE7E02">
              <w:rPr>
                <w:rFonts w:asciiTheme="minorHAnsi" w:hAnsiTheme="minorHAnsi" w:cstheme="minorHAnsi"/>
                <w:color w:val="000000" w:themeColor="text1"/>
                <w:sz w:val="20"/>
                <w:szCs w:val="20"/>
              </w:rPr>
              <w:t xml:space="preserve">The solution </w:t>
            </w:r>
            <w:r>
              <w:rPr>
                <w:rFonts w:asciiTheme="minorHAnsi" w:hAnsiTheme="minorHAnsi" w:cstheme="minorHAnsi"/>
                <w:color w:val="000000" w:themeColor="text1"/>
                <w:sz w:val="20"/>
                <w:szCs w:val="20"/>
              </w:rPr>
              <w:t xml:space="preserve">must </w:t>
            </w:r>
            <w:r w:rsidRPr="00EE7E02">
              <w:rPr>
                <w:rFonts w:asciiTheme="minorHAnsi" w:hAnsiTheme="minorHAnsi" w:cstheme="minorHAnsi"/>
                <w:color w:val="000000" w:themeColor="text1"/>
                <w:sz w:val="20"/>
                <w:szCs w:val="20"/>
              </w:rPr>
              <w:t xml:space="preserve">support signal management reporting, including </w:t>
            </w:r>
            <w:r>
              <w:rPr>
                <w:rFonts w:asciiTheme="minorHAnsi" w:hAnsiTheme="minorHAnsi" w:cstheme="minorHAnsi"/>
                <w:color w:val="000000" w:themeColor="text1"/>
                <w:sz w:val="20"/>
                <w:szCs w:val="20"/>
              </w:rPr>
              <w:t xml:space="preserve">for example, </w:t>
            </w:r>
            <w:r w:rsidRPr="00EE7E02">
              <w:rPr>
                <w:rFonts w:asciiTheme="minorHAnsi" w:hAnsiTheme="minorHAnsi" w:cstheme="minorHAnsi"/>
                <w:color w:val="000000" w:themeColor="text1"/>
                <w:sz w:val="20"/>
                <w:szCs w:val="20"/>
              </w:rPr>
              <w:t>counts of potential signals, signals under review, assessment timelines, outcomes, linked cases, and actions taken.</w:t>
            </w:r>
          </w:p>
          <w:p w14:paraId="14145126" w14:textId="216718AA" w:rsidR="00E45BB8" w:rsidRPr="00EE7E02" w:rsidRDefault="00E45BB8">
            <w:pPr>
              <w:pStyle w:val="Default"/>
              <w:numPr>
                <w:ilvl w:val="0"/>
                <w:numId w:val="30"/>
              </w:numPr>
              <w:spacing w:after="120"/>
              <w:jc w:val="both"/>
              <w:rPr>
                <w:rFonts w:asciiTheme="minorHAnsi" w:hAnsiTheme="minorHAnsi" w:cstheme="minorHAnsi"/>
                <w:color w:val="000000" w:themeColor="text1"/>
                <w:sz w:val="20"/>
                <w:szCs w:val="20"/>
              </w:rPr>
            </w:pPr>
            <w:r w:rsidRPr="00EE7E02">
              <w:rPr>
                <w:rFonts w:asciiTheme="minorHAnsi" w:hAnsiTheme="minorHAnsi" w:cstheme="minorHAnsi"/>
                <w:color w:val="000000" w:themeColor="text1"/>
                <w:sz w:val="20"/>
                <w:szCs w:val="20"/>
              </w:rPr>
              <w:t xml:space="preserve">The solution </w:t>
            </w:r>
            <w:r>
              <w:rPr>
                <w:rFonts w:asciiTheme="minorHAnsi" w:hAnsiTheme="minorHAnsi" w:cstheme="minorHAnsi"/>
                <w:color w:val="000000" w:themeColor="text1"/>
                <w:sz w:val="20"/>
                <w:szCs w:val="20"/>
              </w:rPr>
              <w:t>must</w:t>
            </w:r>
            <w:r w:rsidRPr="00EE7E02">
              <w:rPr>
                <w:rFonts w:asciiTheme="minorHAnsi" w:hAnsiTheme="minorHAnsi" w:cstheme="minorHAnsi"/>
                <w:color w:val="000000" w:themeColor="text1"/>
                <w:sz w:val="20"/>
                <w:szCs w:val="20"/>
              </w:rPr>
              <w:t xml:space="preserve"> support data quality reporting covering missing mandatory fields, coding inconsistencies,</w:t>
            </w:r>
            <w:r>
              <w:rPr>
                <w:rFonts w:asciiTheme="minorHAnsi" w:hAnsiTheme="minorHAnsi" w:cstheme="minorHAnsi"/>
                <w:color w:val="000000" w:themeColor="text1"/>
                <w:sz w:val="20"/>
                <w:szCs w:val="20"/>
              </w:rPr>
              <w:t xml:space="preserve"> </w:t>
            </w:r>
            <w:r w:rsidRPr="00EE7E02">
              <w:rPr>
                <w:rFonts w:asciiTheme="minorHAnsi" w:hAnsiTheme="minorHAnsi" w:cstheme="minorHAnsi"/>
                <w:color w:val="000000" w:themeColor="text1"/>
                <w:sz w:val="20"/>
                <w:szCs w:val="20"/>
              </w:rPr>
              <w:t>incomplete follow</w:t>
            </w:r>
            <w:r w:rsidR="0055295E">
              <w:rPr>
                <w:rFonts w:asciiTheme="minorHAnsi" w:hAnsiTheme="minorHAnsi" w:cstheme="minorHAnsi"/>
                <w:color w:val="000000" w:themeColor="text1"/>
                <w:sz w:val="20"/>
                <w:szCs w:val="20"/>
              </w:rPr>
              <w:t xml:space="preserve"> </w:t>
            </w:r>
            <w:r w:rsidRPr="00EE7E02">
              <w:rPr>
                <w:rFonts w:asciiTheme="minorHAnsi" w:hAnsiTheme="minorHAnsi" w:cstheme="minorHAnsi"/>
                <w:color w:val="000000" w:themeColor="text1"/>
                <w:sz w:val="20"/>
                <w:szCs w:val="20"/>
              </w:rPr>
              <w:t>up, invalid product references, and records requiring remediation.</w:t>
            </w:r>
          </w:p>
          <w:p w14:paraId="6A79DCC5" w14:textId="77777777" w:rsidR="00E45BB8" w:rsidRPr="00EE7E02" w:rsidRDefault="00E45BB8">
            <w:pPr>
              <w:pStyle w:val="Default"/>
              <w:numPr>
                <w:ilvl w:val="0"/>
                <w:numId w:val="30"/>
              </w:numPr>
              <w:spacing w:after="120"/>
              <w:jc w:val="both"/>
              <w:rPr>
                <w:rFonts w:asciiTheme="minorHAnsi" w:hAnsiTheme="minorHAnsi" w:cstheme="minorHAnsi"/>
                <w:color w:val="000000" w:themeColor="text1"/>
                <w:sz w:val="20"/>
                <w:szCs w:val="20"/>
              </w:rPr>
            </w:pPr>
            <w:r w:rsidRPr="00EE7E02">
              <w:rPr>
                <w:rFonts w:asciiTheme="minorHAnsi" w:hAnsiTheme="minorHAnsi" w:cstheme="minorHAnsi"/>
                <w:color w:val="000000" w:themeColor="text1"/>
                <w:sz w:val="20"/>
                <w:szCs w:val="20"/>
              </w:rPr>
              <w:t xml:space="preserve">The solution </w:t>
            </w:r>
            <w:r>
              <w:rPr>
                <w:rFonts w:asciiTheme="minorHAnsi" w:hAnsiTheme="minorHAnsi" w:cstheme="minorHAnsi"/>
                <w:color w:val="000000" w:themeColor="text1"/>
                <w:sz w:val="20"/>
                <w:szCs w:val="20"/>
              </w:rPr>
              <w:t>must</w:t>
            </w:r>
            <w:r w:rsidRPr="00EE7E02">
              <w:rPr>
                <w:rFonts w:asciiTheme="minorHAnsi" w:hAnsiTheme="minorHAnsi" w:cstheme="minorHAnsi"/>
                <w:color w:val="000000" w:themeColor="text1"/>
                <w:sz w:val="20"/>
                <w:szCs w:val="20"/>
              </w:rPr>
              <w:t xml:space="preserve"> support workload and service performance reporting by team, user, process stage, case category, and reporting source to support management oversight and resource planning.</w:t>
            </w:r>
          </w:p>
          <w:p w14:paraId="601753B9" w14:textId="6DCFFE6F" w:rsidR="00E45BB8" w:rsidRPr="001E2AFA" w:rsidRDefault="00E45BB8">
            <w:pPr>
              <w:pStyle w:val="Default"/>
              <w:numPr>
                <w:ilvl w:val="0"/>
                <w:numId w:val="30"/>
              </w:numPr>
              <w:spacing w:after="120"/>
              <w:jc w:val="both"/>
              <w:rPr>
                <w:rFonts w:asciiTheme="minorHAnsi" w:hAnsiTheme="minorHAnsi" w:cstheme="minorHAnsi"/>
                <w:color w:val="000000" w:themeColor="text1"/>
                <w:sz w:val="20"/>
                <w:szCs w:val="20"/>
              </w:rPr>
            </w:pPr>
            <w:r w:rsidRPr="00EE7E02">
              <w:rPr>
                <w:rFonts w:asciiTheme="minorHAnsi" w:hAnsiTheme="minorHAnsi" w:cstheme="minorHAnsi"/>
                <w:color w:val="000000" w:themeColor="text1"/>
                <w:sz w:val="20"/>
                <w:szCs w:val="20"/>
              </w:rPr>
              <w:t xml:space="preserve">The solution </w:t>
            </w:r>
            <w:r>
              <w:rPr>
                <w:rFonts w:asciiTheme="minorHAnsi" w:hAnsiTheme="minorHAnsi" w:cstheme="minorHAnsi"/>
                <w:color w:val="000000" w:themeColor="text1"/>
                <w:sz w:val="20"/>
                <w:szCs w:val="20"/>
              </w:rPr>
              <w:t>must</w:t>
            </w:r>
            <w:r w:rsidRPr="00EE7E02">
              <w:rPr>
                <w:rFonts w:asciiTheme="minorHAnsi" w:hAnsiTheme="minorHAnsi" w:cstheme="minorHAnsi"/>
                <w:color w:val="000000" w:themeColor="text1"/>
                <w:sz w:val="20"/>
                <w:szCs w:val="20"/>
              </w:rPr>
              <w:t xml:space="preserve"> allow authorised users to design, save, rerun, and export reports using regulator</w:t>
            </w:r>
            <w:r w:rsidR="0055295E">
              <w:rPr>
                <w:rFonts w:asciiTheme="minorHAnsi" w:hAnsiTheme="minorHAnsi" w:cstheme="minorHAnsi"/>
                <w:color w:val="000000" w:themeColor="text1"/>
                <w:sz w:val="20"/>
                <w:szCs w:val="20"/>
              </w:rPr>
              <w:t xml:space="preserve"> </w:t>
            </w:r>
            <w:r w:rsidRPr="00EE7E02">
              <w:rPr>
                <w:rFonts w:asciiTheme="minorHAnsi" w:hAnsiTheme="minorHAnsi" w:cstheme="minorHAnsi"/>
                <w:color w:val="000000" w:themeColor="text1"/>
                <w:sz w:val="20"/>
                <w:szCs w:val="20"/>
              </w:rPr>
              <w:t>approved data fields and filters, with full auditability of report definitions and execution history.</w:t>
            </w:r>
          </w:p>
          <w:p w14:paraId="79F3B818" w14:textId="77777777" w:rsidR="00E45BB8" w:rsidRDefault="00E45BB8">
            <w:pPr>
              <w:pStyle w:val="Default"/>
              <w:spacing w:after="120"/>
              <w:jc w:val="both"/>
              <w:rPr>
                <w:kern w:val="2"/>
                <w14:ligatures w14:val="standardContextual"/>
              </w:rPr>
            </w:pPr>
            <w:r>
              <w:rPr>
                <w:rFonts w:ascii="Segoe UI" w:hAnsi="Segoe UI" w:cs="Segoe UI"/>
                <w:sz w:val="20"/>
                <w:szCs w:val="20"/>
              </w:rPr>
              <w:t>Where artificial intelligence, machine learning or natural language processing capabilities are proposed, the supplier should describe the intended use cases, the data used, the level of human oversight, controls to ensure accuracy and explainability, auditability of outputs, management of bias and error, and compliance with applicable regulatory, data protection, information security and governance requirements.</w:t>
            </w:r>
          </w:p>
          <w:p w14:paraId="15EA7366" w14:textId="77777777" w:rsidR="00E45BB8" w:rsidRPr="00AA532D" w:rsidRDefault="00E45BB8" w:rsidP="00E14208">
            <w:pPr>
              <w:rPr>
                <w:rFonts w:cstheme="minorHAnsi"/>
              </w:rPr>
            </w:pPr>
          </w:p>
        </w:tc>
      </w:tr>
      <w:tr w:rsidR="00E45BB8" w:rsidRPr="00AA532D" w14:paraId="6665368B" w14:textId="77777777" w:rsidTr="032B68AC">
        <w:tc>
          <w:tcPr>
            <w:tcW w:w="562" w:type="dxa"/>
          </w:tcPr>
          <w:p w14:paraId="336D1890" w14:textId="77777777" w:rsidR="00E45BB8" w:rsidRPr="00AA532D" w:rsidRDefault="00E45BB8" w:rsidP="008B3854">
            <w:pPr>
              <w:pStyle w:val="HPRAMainBodyText"/>
              <w:jc w:val="center"/>
              <w:rPr>
                <w:rFonts w:asciiTheme="minorHAnsi" w:hAnsiTheme="minorHAnsi" w:cstheme="minorHAnsi"/>
                <w:b/>
                <w:bCs/>
              </w:rPr>
            </w:pPr>
            <w:r>
              <w:rPr>
                <w:rFonts w:asciiTheme="minorHAnsi" w:hAnsiTheme="minorHAnsi" w:cstheme="minorHAnsi"/>
                <w:b/>
                <w:bCs/>
              </w:rPr>
              <w:t>D</w:t>
            </w:r>
          </w:p>
        </w:tc>
        <w:tc>
          <w:tcPr>
            <w:tcW w:w="9498" w:type="dxa"/>
          </w:tcPr>
          <w:p w14:paraId="7B5426E6" w14:textId="77777777" w:rsidR="00E45BB8" w:rsidRPr="00AA532D" w:rsidRDefault="00E45BB8" w:rsidP="008B3854">
            <w:pPr>
              <w:pStyle w:val="Body1"/>
              <w:rPr>
                <w:rFonts w:asciiTheme="minorHAnsi" w:eastAsia="Times New Roman" w:hAnsiTheme="minorHAnsi" w:cstheme="minorHAnsi"/>
                <w:color w:val="000000"/>
                <w:sz w:val="20"/>
                <w:szCs w:val="20"/>
                <w:highlight w:val="yellow"/>
              </w:rPr>
            </w:pPr>
            <w:r>
              <w:rPr>
                <w:rFonts w:asciiTheme="minorHAnsi" w:hAnsiTheme="minorHAnsi" w:cstheme="minorHAnsi"/>
                <w:b/>
                <w:bCs/>
              </w:rPr>
              <w:t>Application Integration</w:t>
            </w:r>
          </w:p>
        </w:tc>
      </w:tr>
      <w:tr w:rsidR="00E45BB8" w:rsidRPr="00AA532D" w14:paraId="7A77969E" w14:textId="77777777" w:rsidTr="032B68AC">
        <w:tc>
          <w:tcPr>
            <w:tcW w:w="562" w:type="dxa"/>
          </w:tcPr>
          <w:p w14:paraId="53EA6F67" w14:textId="77777777" w:rsidR="00E45BB8" w:rsidRPr="00AB4022" w:rsidRDefault="00E45BB8" w:rsidP="008B3854">
            <w:pPr>
              <w:pStyle w:val="HPRAMainBodyText"/>
              <w:jc w:val="center"/>
              <w:rPr>
                <w:rFonts w:asciiTheme="minorHAnsi" w:hAnsiTheme="minorHAnsi" w:cstheme="minorHAnsi"/>
                <w:b/>
                <w:bCs/>
              </w:rPr>
            </w:pPr>
          </w:p>
        </w:tc>
        <w:tc>
          <w:tcPr>
            <w:tcW w:w="9498" w:type="dxa"/>
          </w:tcPr>
          <w:p w14:paraId="63C09463" w14:textId="77777777" w:rsidR="00E45BB8" w:rsidRDefault="00E45BB8" w:rsidP="00836DA5">
            <w:pPr>
              <w:jc w:val="both"/>
              <w:rPr>
                <w:rFonts w:eastAsia="Times New Roman" w:cstheme="minorHAnsi"/>
                <w:sz w:val="20"/>
                <w:szCs w:val="20"/>
                <w:lang w:eastAsia="en-IE"/>
              </w:rPr>
            </w:pPr>
            <w:r w:rsidRPr="00AB4022">
              <w:rPr>
                <w:rFonts w:eastAsia="Times New Roman" w:cstheme="minorHAnsi"/>
                <w:sz w:val="20"/>
                <w:szCs w:val="20"/>
                <w:lang w:eastAsia="en-IE"/>
              </w:rPr>
              <w:t xml:space="preserve">The HPRA’s pharmacovigilance application integrates with </w:t>
            </w:r>
            <w:proofErr w:type="gramStart"/>
            <w:r w:rsidRPr="00AB4022">
              <w:rPr>
                <w:rFonts w:eastAsia="Times New Roman" w:cstheme="minorHAnsi"/>
                <w:sz w:val="20"/>
                <w:szCs w:val="20"/>
                <w:lang w:eastAsia="en-IE"/>
              </w:rPr>
              <w:t>a number of</w:t>
            </w:r>
            <w:proofErr w:type="gramEnd"/>
            <w:r w:rsidRPr="00AB4022">
              <w:rPr>
                <w:rFonts w:eastAsia="Times New Roman" w:cstheme="minorHAnsi"/>
                <w:sz w:val="20"/>
                <w:szCs w:val="20"/>
                <w:lang w:eastAsia="en-IE"/>
              </w:rPr>
              <w:t xml:space="preserve"> systems and data sources, internal and external. They include but are not limited to adverse reaction reports received via the HPRA’s website, adverse reaction reporting to/from the European Medicines Agency, and the HPRA’s medicinal product information database. Integration technologies are varied, with a combination of an Axway gateway for connectivity to the European Medicines Agency, Power Automate and REST APIs for connectivity with HPRA data sources.</w:t>
            </w:r>
          </w:p>
          <w:p w14:paraId="6E098F3A" w14:textId="77777777" w:rsidR="00E45BB8" w:rsidRDefault="00E45BB8" w:rsidP="00836DA5">
            <w:pPr>
              <w:jc w:val="both"/>
              <w:rPr>
                <w:rFonts w:eastAsia="Times New Roman" w:cstheme="minorHAnsi"/>
                <w:sz w:val="20"/>
                <w:szCs w:val="20"/>
                <w:lang w:eastAsia="en-IE"/>
              </w:rPr>
            </w:pPr>
          </w:p>
          <w:p w14:paraId="7FC8882C" w14:textId="77777777" w:rsidR="00E45BB8" w:rsidRPr="00AB4022" w:rsidRDefault="00E45BB8" w:rsidP="00836DA5">
            <w:pPr>
              <w:jc w:val="both"/>
              <w:rPr>
                <w:rFonts w:eastAsia="Times New Roman" w:cstheme="minorHAnsi"/>
                <w:sz w:val="20"/>
                <w:szCs w:val="20"/>
                <w:lang w:eastAsia="en-IE"/>
              </w:rPr>
            </w:pPr>
            <w:r w:rsidRPr="00AB4022">
              <w:rPr>
                <w:rFonts w:eastAsia="Times New Roman" w:cstheme="minorHAnsi"/>
                <w:color w:val="000000"/>
                <w:sz w:val="20"/>
                <w:szCs w:val="20"/>
                <w:lang w:eastAsia="en-IE"/>
              </w:rPr>
              <w:t>The proposed solution must support the intake of adverse reaction reports from HPRA reporting channels, including field mapping from online reporting forms without the need for manual intervention or re-mapping/re-coding. The solution must support secure ICSR/SUSAR transmission and exchange in accordance with ICH E2B (R3) and related EMA requirements, including management of acknowledgements via an Axway gateway connection for EudraVigilance submissions.</w:t>
            </w:r>
          </w:p>
          <w:p w14:paraId="4B1CF399" w14:textId="77777777" w:rsidR="00E45BB8" w:rsidRPr="00AB4022" w:rsidRDefault="00E45BB8" w:rsidP="00836DA5">
            <w:pPr>
              <w:jc w:val="both"/>
              <w:rPr>
                <w:rFonts w:eastAsia="Times New Roman" w:cstheme="minorHAnsi"/>
                <w:sz w:val="20"/>
                <w:szCs w:val="20"/>
                <w:lang w:eastAsia="en-IE"/>
              </w:rPr>
            </w:pPr>
          </w:p>
          <w:p w14:paraId="30BA18EA" w14:textId="019C6ABF" w:rsidR="00E45BB8" w:rsidRPr="00AB4022" w:rsidRDefault="00E45BB8" w:rsidP="00CE61DE">
            <w:pPr>
              <w:pStyle w:val="Default"/>
              <w:numPr>
                <w:ilvl w:val="0"/>
                <w:numId w:val="32"/>
              </w:numPr>
              <w:spacing w:after="120"/>
              <w:jc w:val="both"/>
              <w:rPr>
                <w:rFonts w:asciiTheme="minorHAnsi" w:hAnsiTheme="minorHAnsi" w:cstheme="minorHAnsi"/>
                <w:sz w:val="20"/>
                <w:szCs w:val="20"/>
              </w:rPr>
            </w:pPr>
            <w:r w:rsidRPr="00AB4022">
              <w:rPr>
                <w:rFonts w:asciiTheme="minorHAnsi" w:hAnsiTheme="minorHAnsi" w:cstheme="minorHAnsi"/>
                <w:sz w:val="20"/>
                <w:szCs w:val="20"/>
              </w:rPr>
              <w:lastRenderedPageBreak/>
              <w:t>Tenderers must provide a comprehensive description of the proposed machine</w:t>
            </w:r>
            <w:r w:rsidR="0055295E">
              <w:rPr>
                <w:rFonts w:asciiTheme="minorHAnsi" w:hAnsiTheme="minorHAnsi" w:cstheme="minorHAnsi"/>
                <w:sz w:val="20"/>
                <w:szCs w:val="20"/>
              </w:rPr>
              <w:t xml:space="preserve"> </w:t>
            </w:r>
            <w:r w:rsidRPr="00AB4022">
              <w:rPr>
                <w:rFonts w:asciiTheme="minorHAnsi" w:hAnsiTheme="minorHAnsi" w:cstheme="minorHAnsi"/>
                <w:sz w:val="20"/>
                <w:szCs w:val="20"/>
              </w:rPr>
              <w:t>to</w:t>
            </w:r>
            <w:r w:rsidR="0055295E">
              <w:rPr>
                <w:rFonts w:asciiTheme="minorHAnsi" w:hAnsiTheme="minorHAnsi" w:cstheme="minorHAnsi"/>
                <w:sz w:val="20"/>
                <w:szCs w:val="20"/>
              </w:rPr>
              <w:t xml:space="preserve"> </w:t>
            </w:r>
            <w:r w:rsidRPr="00AB4022">
              <w:rPr>
                <w:rFonts w:asciiTheme="minorHAnsi" w:hAnsiTheme="minorHAnsi" w:cstheme="minorHAnsi"/>
                <w:sz w:val="20"/>
                <w:szCs w:val="20"/>
              </w:rPr>
              <w:t>machine integration, including technologies</w:t>
            </w:r>
            <w:r>
              <w:rPr>
                <w:rFonts w:asciiTheme="minorHAnsi" w:hAnsiTheme="minorHAnsi" w:cstheme="minorHAnsi"/>
                <w:sz w:val="20"/>
                <w:szCs w:val="20"/>
              </w:rPr>
              <w:t xml:space="preserve"> to be used</w:t>
            </w:r>
            <w:r w:rsidRPr="00AB4022">
              <w:rPr>
                <w:rFonts w:asciiTheme="minorHAnsi" w:hAnsiTheme="minorHAnsi" w:cstheme="minorHAnsi"/>
                <w:sz w:val="20"/>
                <w:szCs w:val="20"/>
              </w:rPr>
              <w:t>, protocols, authentication and security controls, data mapping</w:t>
            </w:r>
            <w:r>
              <w:rPr>
                <w:rFonts w:asciiTheme="minorHAnsi" w:hAnsiTheme="minorHAnsi" w:cstheme="minorHAnsi"/>
                <w:sz w:val="20"/>
                <w:szCs w:val="20"/>
              </w:rPr>
              <w:t>.</w:t>
            </w:r>
          </w:p>
          <w:p w14:paraId="6E5A84CC" w14:textId="77777777" w:rsidR="00E45BB8" w:rsidRPr="00AB4022" w:rsidRDefault="00E45BB8" w:rsidP="00CE61DE">
            <w:pPr>
              <w:pStyle w:val="Default"/>
              <w:numPr>
                <w:ilvl w:val="0"/>
                <w:numId w:val="32"/>
              </w:numPr>
              <w:spacing w:after="120"/>
              <w:jc w:val="both"/>
              <w:rPr>
                <w:rFonts w:asciiTheme="minorHAnsi" w:hAnsiTheme="minorHAnsi" w:cstheme="minorHAnsi"/>
                <w:sz w:val="20"/>
                <w:szCs w:val="20"/>
              </w:rPr>
            </w:pPr>
            <w:r w:rsidRPr="00AB4022">
              <w:rPr>
                <w:rFonts w:asciiTheme="minorHAnsi" w:hAnsiTheme="minorHAnsi" w:cstheme="minorHAnsi"/>
                <w:sz w:val="20"/>
                <w:szCs w:val="20"/>
              </w:rPr>
              <w:t xml:space="preserve">Tenderers must provide details as to how interfaces and transmissions are monitored. This should include monitoring </w:t>
            </w:r>
            <w:r>
              <w:rPr>
                <w:rFonts w:asciiTheme="minorHAnsi" w:hAnsiTheme="minorHAnsi" w:cstheme="minorHAnsi"/>
                <w:sz w:val="20"/>
                <w:szCs w:val="20"/>
              </w:rPr>
              <w:t xml:space="preserve">of </w:t>
            </w:r>
            <w:r w:rsidRPr="00AB4022">
              <w:rPr>
                <w:rFonts w:asciiTheme="minorHAnsi" w:hAnsiTheme="minorHAnsi" w:cstheme="minorHAnsi"/>
                <w:sz w:val="20"/>
                <w:szCs w:val="20"/>
              </w:rPr>
              <w:t xml:space="preserve">interface availability and message status, </w:t>
            </w:r>
            <w:r>
              <w:rPr>
                <w:rFonts w:asciiTheme="minorHAnsi" w:hAnsiTheme="minorHAnsi" w:cstheme="minorHAnsi"/>
                <w:sz w:val="20"/>
                <w:szCs w:val="20"/>
              </w:rPr>
              <w:t xml:space="preserve">and </w:t>
            </w:r>
            <w:r w:rsidRPr="00AB4022">
              <w:rPr>
                <w:rFonts w:asciiTheme="minorHAnsi" w:hAnsiTheme="minorHAnsi" w:cstheme="minorHAnsi"/>
                <w:sz w:val="20"/>
                <w:szCs w:val="20"/>
              </w:rPr>
              <w:t>alerting features for message failures</w:t>
            </w:r>
            <w:r>
              <w:rPr>
                <w:rFonts w:asciiTheme="minorHAnsi" w:hAnsiTheme="minorHAnsi" w:cstheme="minorHAnsi"/>
                <w:sz w:val="20"/>
                <w:szCs w:val="20"/>
              </w:rPr>
              <w:t>.</w:t>
            </w:r>
          </w:p>
          <w:p w14:paraId="21A5845E" w14:textId="77777777" w:rsidR="00E45BB8" w:rsidRPr="00AB4022" w:rsidRDefault="00E45BB8" w:rsidP="00CE61DE">
            <w:pPr>
              <w:pStyle w:val="Default"/>
              <w:numPr>
                <w:ilvl w:val="0"/>
                <w:numId w:val="32"/>
              </w:numPr>
              <w:spacing w:after="120"/>
              <w:jc w:val="both"/>
              <w:rPr>
                <w:rFonts w:asciiTheme="minorHAnsi" w:hAnsiTheme="minorHAnsi" w:cstheme="minorHAnsi"/>
                <w:sz w:val="20"/>
                <w:szCs w:val="20"/>
              </w:rPr>
            </w:pPr>
            <w:r>
              <w:rPr>
                <w:rFonts w:asciiTheme="minorHAnsi" w:hAnsiTheme="minorHAnsi" w:cstheme="minorHAnsi"/>
                <w:sz w:val="20"/>
                <w:szCs w:val="20"/>
              </w:rPr>
              <w:t>Tenderers must provide details on d</w:t>
            </w:r>
            <w:r w:rsidRPr="00AB4022">
              <w:rPr>
                <w:rFonts w:asciiTheme="minorHAnsi" w:hAnsiTheme="minorHAnsi" w:cstheme="minorHAnsi"/>
                <w:sz w:val="20"/>
                <w:szCs w:val="20"/>
              </w:rPr>
              <w:t>ata mapping and transformation</w:t>
            </w:r>
            <w:r>
              <w:rPr>
                <w:rFonts w:asciiTheme="minorHAnsi" w:hAnsiTheme="minorHAnsi" w:cstheme="minorHAnsi"/>
                <w:sz w:val="20"/>
                <w:szCs w:val="20"/>
              </w:rPr>
              <w:t xml:space="preserve">. Details must be provided </w:t>
            </w:r>
            <w:r w:rsidRPr="00AB4022">
              <w:rPr>
                <w:rFonts w:asciiTheme="minorHAnsi" w:hAnsiTheme="minorHAnsi" w:cstheme="minorHAnsi"/>
                <w:sz w:val="20"/>
                <w:szCs w:val="20"/>
              </w:rPr>
              <w:t>explain</w:t>
            </w:r>
            <w:r>
              <w:rPr>
                <w:rFonts w:asciiTheme="minorHAnsi" w:hAnsiTheme="minorHAnsi" w:cstheme="minorHAnsi"/>
                <w:sz w:val="20"/>
                <w:szCs w:val="20"/>
              </w:rPr>
              <w:t>ing</w:t>
            </w:r>
            <w:r w:rsidRPr="00AB4022">
              <w:rPr>
                <w:rFonts w:asciiTheme="minorHAnsi" w:hAnsiTheme="minorHAnsi" w:cstheme="minorHAnsi"/>
                <w:sz w:val="20"/>
                <w:szCs w:val="20"/>
              </w:rPr>
              <w:t xml:space="preserve"> how data fields will be mapped, transformed, </w:t>
            </w:r>
            <w:r>
              <w:rPr>
                <w:rFonts w:asciiTheme="minorHAnsi" w:hAnsiTheme="minorHAnsi" w:cstheme="minorHAnsi"/>
                <w:sz w:val="20"/>
                <w:szCs w:val="20"/>
              </w:rPr>
              <w:t xml:space="preserve">and </w:t>
            </w:r>
            <w:r w:rsidRPr="00AB4022">
              <w:rPr>
                <w:rFonts w:asciiTheme="minorHAnsi" w:hAnsiTheme="minorHAnsi" w:cstheme="minorHAnsi"/>
                <w:sz w:val="20"/>
                <w:szCs w:val="20"/>
              </w:rPr>
              <w:t>validated between the pharmacovigilance system and HPRA or external systems.</w:t>
            </w:r>
          </w:p>
          <w:p w14:paraId="65D3C02B" w14:textId="77777777" w:rsidR="00E45BB8" w:rsidRPr="00AB4022" w:rsidRDefault="00E45BB8" w:rsidP="00CE61DE">
            <w:pPr>
              <w:pStyle w:val="Default"/>
              <w:numPr>
                <w:ilvl w:val="0"/>
                <w:numId w:val="32"/>
              </w:numPr>
              <w:spacing w:after="120"/>
              <w:jc w:val="both"/>
              <w:rPr>
                <w:rFonts w:asciiTheme="minorHAnsi" w:hAnsiTheme="minorHAnsi" w:cstheme="minorHAnsi"/>
                <w:sz w:val="20"/>
                <w:szCs w:val="20"/>
              </w:rPr>
            </w:pPr>
            <w:r w:rsidRPr="00AB4022">
              <w:rPr>
                <w:rFonts w:asciiTheme="minorHAnsi" w:hAnsiTheme="minorHAnsi" w:cstheme="minorHAnsi"/>
                <w:sz w:val="20"/>
                <w:szCs w:val="20"/>
              </w:rPr>
              <w:t>The response should clearly identify responsibilities of the tenderer, the HPRA, subcontractors and third parties, and should include details of any prerequisites, licences, certificates, network configuration, environments, documentation or support arrangements required to implement, operate and maintain integration</w:t>
            </w:r>
            <w:r>
              <w:rPr>
                <w:rFonts w:asciiTheme="minorHAnsi" w:hAnsiTheme="minorHAnsi" w:cstheme="minorHAnsi"/>
                <w:sz w:val="20"/>
                <w:szCs w:val="20"/>
              </w:rPr>
              <w:t xml:space="preserve"> between systems</w:t>
            </w:r>
            <w:r w:rsidRPr="00AB4022">
              <w:rPr>
                <w:rFonts w:asciiTheme="minorHAnsi" w:hAnsiTheme="minorHAnsi" w:cstheme="minorHAnsi"/>
                <w:sz w:val="20"/>
                <w:szCs w:val="20"/>
              </w:rPr>
              <w:t>.</w:t>
            </w:r>
          </w:p>
          <w:p w14:paraId="07803067" w14:textId="77777777" w:rsidR="00E45BB8" w:rsidRPr="00AB4022" w:rsidRDefault="00E45BB8" w:rsidP="00CE61DE">
            <w:pPr>
              <w:pStyle w:val="Default"/>
              <w:numPr>
                <w:ilvl w:val="0"/>
                <w:numId w:val="32"/>
              </w:numPr>
              <w:spacing w:after="120"/>
              <w:jc w:val="both"/>
              <w:rPr>
                <w:rFonts w:asciiTheme="minorHAnsi" w:hAnsiTheme="minorHAnsi" w:cstheme="minorHAnsi"/>
                <w:sz w:val="20"/>
                <w:szCs w:val="20"/>
              </w:rPr>
            </w:pPr>
            <w:r>
              <w:rPr>
                <w:rFonts w:asciiTheme="minorHAnsi" w:hAnsiTheme="minorHAnsi" w:cstheme="minorHAnsi"/>
                <w:sz w:val="20"/>
                <w:szCs w:val="20"/>
              </w:rPr>
              <w:t>The response should identify other i</w:t>
            </w:r>
            <w:r w:rsidRPr="00AB4022">
              <w:rPr>
                <w:rFonts w:asciiTheme="minorHAnsi" w:hAnsiTheme="minorHAnsi" w:cstheme="minorHAnsi"/>
                <w:sz w:val="20"/>
                <w:szCs w:val="20"/>
              </w:rPr>
              <w:t xml:space="preserve">ntegration </w:t>
            </w:r>
            <w:r>
              <w:rPr>
                <w:rFonts w:asciiTheme="minorHAnsi" w:hAnsiTheme="minorHAnsi" w:cstheme="minorHAnsi"/>
                <w:sz w:val="20"/>
                <w:szCs w:val="20"/>
              </w:rPr>
              <w:t xml:space="preserve">features available in their solution including </w:t>
            </w:r>
            <w:r w:rsidRPr="00AB4022">
              <w:rPr>
                <w:rFonts w:asciiTheme="minorHAnsi" w:hAnsiTheme="minorHAnsi" w:cstheme="minorHAnsi"/>
                <w:sz w:val="20"/>
                <w:szCs w:val="20"/>
              </w:rPr>
              <w:t>supported protocols and standards</w:t>
            </w:r>
            <w:r>
              <w:rPr>
                <w:rFonts w:asciiTheme="minorHAnsi" w:hAnsiTheme="minorHAnsi" w:cstheme="minorHAnsi"/>
                <w:sz w:val="20"/>
                <w:szCs w:val="20"/>
              </w:rPr>
              <w:t xml:space="preserve"> (</w:t>
            </w:r>
            <w:r w:rsidRPr="00AB4022">
              <w:rPr>
                <w:rFonts w:asciiTheme="minorHAnsi" w:hAnsiTheme="minorHAnsi" w:cstheme="minorHAnsi"/>
                <w:sz w:val="20"/>
                <w:szCs w:val="20"/>
              </w:rPr>
              <w:t>E2B(R3), XML/JSON, HL7/FHIR</w:t>
            </w:r>
            <w:r>
              <w:rPr>
                <w:rFonts w:asciiTheme="minorHAnsi" w:hAnsiTheme="minorHAnsi" w:cstheme="minorHAnsi"/>
                <w:sz w:val="20"/>
                <w:szCs w:val="20"/>
              </w:rPr>
              <w:t>)</w:t>
            </w:r>
            <w:r w:rsidRPr="00AB4022">
              <w:rPr>
                <w:rFonts w:asciiTheme="minorHAnsi" w:hAnsiTheme="minorHAnsi" w:cstheme="minorHAnsi"/>
                <w:sz w:val="20"/>
                <w:szCs w:val="20"/>
              </w:rPr>
              <w:t xml:space="preserve"> and any proprietary formats.</w:t>
            </w:r>
          </w:p>
          <w:p w14:paraId="5BCD9FC8" w14:textId="77777777" w:rsidR="00E45BB8" w:rsidRPr="00AB4022" w:rsidRDefault="00E45BB8" w:rsidP="00993E1B">
            <w:pPr>
              <w:jc w:val="both"/>
              <w:rPr>
                <w:rFonts w:cstheme="minorHAnsi"/>
                <w:b/>
                <w:sz w:val="20"/>
                <w:szCs w:val="20"/>
              </w:rPr>
            </w:pPr>
          </w:p>
        </w:tc>
      </w:tr>
      <w:tr w:rsidR="00E45BB8" w:rsidRPr="00AA532D" w14:paraId="0476F1FF" w14:textId="77777777" w:rsidTr="032B68AC">
        <w:trPr>
          <w:trHeight w:val="315"/>
        </w:trPr>
        <w:tc>
          <w:tcPr>
            <w:tcW w:w="562" w:type="dxa"/>
          </w:tcPr>
          <w:p w14:paraId="58DA18DE" w14:textId="77777777" w:rsidR="00E45BB8" w:rsidRPr="00AA532D" w:rsidRDefault="00E45BB8" w:rsidP="008B3854">
            <w:pPr>
              <w:pStyle w:val="HPRAMainBodyText"/>
              <w:jc w:val="center"/>
              <w:rPr>
                <w:rFonts w:asciiTheme="minorHAnsi" w:hAnsiTheme="minorHAnsi" w:cstheme="minorHAnsi"/>
                <w:b/>
                <w:bCs/>
              </w:rPr>
            </w:pPr>
            <w:r>
              <w:rPr>
                <w:rFonts w:asciiTheme="minorHAnsi" w:hAnsiTheme="minorHAnsi" w:cstheme="minorHAnsi"/>
                <w:b/>
                <w:bCs/>
              </w:rPr>
              <w:lastRenderedPageBreak/>
              <w:t>E</w:t>
            </w:r>
          </w:p>
        </w:tc>
        <w:tc>
          <w:tcPr>
            <w:tcW w:w="9498" w:type="dxa"/>
          </w:tcPr>
          <w:p w14:paraId="41F8E506" w14:textId="77777777" w:rsidR="00E45BB8" w:rsidRPr="00AA532D" w:rsidRDefault="00E45BB8" w:rsidP="75FBE822">
            <w:pPr>
              <w:pStyle w:val="Body1"/>
              <w:rPr>
                <w:rFonts w:asciiTheme="minorHAnsi" w:hAnsiTheme="minorHAnsi" w:cstheme="minorHAnsi"/>
                <w:b/>
                <w:bCs/>
              </w:rPr>
            </w:pPr>
            <w:r>
              <w:rPr>
                <w:rFonts w:asciiTheme="minorHAnsi" w:hAnsiTheme="minorHAnsi" w:cstheme="minorHAnsi"/>
                <w:b/>
                <w:bCs/>
              </w:rPr>
              <w:t>Data Migration</w:t>
            </w:r>
          </w:p>
        </w:tc>
      </w:tr>
      <w:tr w:rsidR="00E45BB8" w:rsidRPr="00AA532D" w14:paraId="096D5E4D" w14:textId="77777777" w:rsidTr="032B68AC">
        <w:tc>
          <w:tcPr>
            <w:tcW w:w="562" w:type="dxa"/>
          </w:tcPr>
          <w:p w14:paraId="622E7CCE" w14:textId="77777777" w:rsidR="00E45BB8" w:rsidRPr="00AA532D" w:rsidRDefault="00E45BB8" w:rsidP="008B3854">
            <w:pPr>
              <w:pStyle w:val="HPRAMainBodyText"/>
              <w:jc w:val="center"/>
              <w:rPr>
                <w:rFonts w:asciiTheme="minorHAnsi" w:hAnsiTheme="minorHAnsi" w:cstheme="minorHAnsi"/>
                <w:b/>
                <w:bCs/>
              </w:rPr>
            </w:pPr>
          </w:p>
        </w:tc>
        <w:tc>
          <w:tcPr>
            <w:tcW w:w="9498" w:type="dxa"/>
          </w:tcPr>
          <w:p w14:paraId="2C76DB61" w14:textId="589AC2F0" w:rsidR="00E45BB8" w:rsidRPr="0002060D" w:rsidRDefault="00E45BB8" w:rsidP="00DC654E">
            <w:pPr>
              <w:spacing w:after="120"/>
              <w:jc w:val="both"/>
              <w:rPr>
                <w:rFonts w:cstheme="minorHAnsi"/>
                <w:color w:val="000000"/>
                <w:sz w:val="20"/>
                <w:szCs w:val="20"/>
              </w:rPr>
            </w:pPr>
            <w:r w:rsidRPr="0002060D">
              <w:rPr>
                <w:rFonts w:cstheme="minorHAnsi"/>
                <w:color w:val="000000"/>
                <w:sz w:val="20"/>
                <w:szCs w:val="20"/>
              </w:rPr>
              <w:t>The supplier will be responsible for the end</w:t>
            </w:r>
            <w:r w:rsidR="0055295E">
              <w:rPr>
                <w:rFonts w:cstheme="minorHAnsi"/>
                <w:color w:val="000000"/>
                <w:sz w:val="20"/>
                <w:szCs w:val="20"/>
              </w:rPr>
              <w:t xml:space="preserve"> </w:t>
            </w:r>
            <w:r w:rsidRPr="0002060D">
              <w:rPr>
                <w:rFonts w:cstheme="minorHAnsi"/>
                <w:color w:val="000000"/>
                <w:sz w:val="20"/>
                <w:szCs w:val="20"/>
              </w:rPr>
              <w:t>to</w:t>
            </w:r>
            <w:r w:rsidR="0055295E">
              <w:rPr>
                <w:rFonts w:cstheme="minorHAnsi"/>
                <w:color w:val="000000"/>
                <w:sz w:val="20"/>
                <w:szCs w:val="20"/>
              </w:rPr>
              <w:t xml:space="preserve"> </w:t>
            </w:r>
            <w:r w:rsidRPr="0002060D">
              <w:rPr>
                <w:rFonts w:cstheme="minorHAnsi"/>
                <w:color w:val="000000"/>
                <w:sz w:val="20"/>
                <w:szCs w:val="20"/>
              </w:rPr>
              <w:t xml:space="preserve">end migration of data from the existing to the new application, ensuring completeness, accuracy, and preservation of data integrity and audit history. </w:t>
            </w:r>
            <w:r>
              <w:rPr>
                <w:rFonts w:cstheme="minorHAnsi"/>
                <w:color w:val="000000"/>
                <w:sz w:val="20"/>
                <w:szCs w:val="20"/>
              </w:rPr>
              <w:t>D</w:t>
            </w:r>
            <w:r w:rsidRPr="0002060D">
              <w:rPr>
                <w:rFonts w:cstheme="minorHAnsi"/>
                <w:color w:val="000000"/>
                <w:sz w:val="20"/>
                <w:szCs w:val="20"/>
              </w:rPr>
              <w:t xml:space="preserve">ata migration </w:t>
            </w:r>
            <w:r>
              <w:rPr>
                <w:rFonts w:cstheme="minorHAnsi"/>
                <w:color w:val="000000"/>
                <w:sz w:val="20"/>
                <w:szCs w:val="20"/>
              </w:rPr>
              <w:t>must be</w:t>
            </w:r>
            <w:r w:rsidRPr="0002060D">
              <w:rPr>
                <w:rFonts w:cstheme="minorHAnsi"/>
                <w:color w:val="000000"/>
                <w:sz w:val="20"/>
                <w:szCs w:val="20"/>
              </w:rPr>
              <w:t xml:space="preserve"> performed securely, in compliance with</w:t>
            </w:r>
            <w:r>
              <w:rPr>
                <w:rFonts w:cstheme="minorHAnsi"/>
                <w:color w:val="000000"/>
                <w:sz w:val="20"/>
                <w:szCs w:val="20"/>
              </w:rPr>
              <w:t xml:space="preserve"> </w:t>
            </w:r>
            <w:r w:rsidRPr="0002060D">
              <w:rPr>
                <w:rFonts w:cstheme="minorHAnsi"/>
                <w:color w:val="000000"/>
                <w:sz w:val="20"/>
                <w:szCs w:val="20"/>
              </w:rPr>
              <w:t>applicable data protection and information security requirements, with minimal disruption to HPRA operations.</w:t>
            </w:r>
            <w:r>
              <w:rPr>
                <w:rFonts w:cstheme="minorHAnsi"/>
                <w:color w:val="000000"/>
                <w:sz w:val="20"/>
                <w:szCs w:val="20"/>
              </w:rPr>
              <w:t xml:space="preserve"> </w:t>
            </w:r>
            <w:r w:rsidRPr="0002060D">
              <w:rPr>
                <w:rFonts w:cstheme="minorHAnsi"/>
                <w:color w:val="000000"/>
                <w:sz w:val="20"/>
                <w:szCs w:val="20"/>
              </w:rPr>
              <w:t>The supplier will be required to deliver full migration documentation (including cutover plan, rollback approach, and post</w:t>
            </w:r>
            <w:r w:rsidR="0055295E">
              <w:rPr>
                <w:rFonts w:cstheme="minorHAnsi"/>
                <w:color w:val="000000"/>
                <w:sz w:val="20"/>
                <w:szCs w:val="20"/>
              </w:rPr>
              <w:t xml:space="preserve"> </w:t>
            </w:r>
            <w:r w:rsidRPr="0002060D">
              <w:rPr>
                <w:rFonts w:cstheme="minorHAnsi"/>
                <w:color w:val="000000"/>
                <w:sz w:val="20"/>
                <w:szCs w:val="20"/>
              </w:rPr>
              <w:t>migration support) and will be required to obtain formal HPRA sign</w:t>
            </w:r>
            <w:r w:rsidR="0055295E">
              <w:rPr>
                <w:rFonts w:cstheme="minorHAnsi"/>
                <w:color w:val="000000"/>
                <w:sz w:val="20"/>
                <w:szCs w:val="20"/>
              </w:rPr>
              <w:t xml:space="preserve"> </w:t>
            </w:r>
            <w:r w:rsidRPr="0002060D">
              <w:rPr>
                <w:rFonts w:cstheme="minorHAnsi"/>
                <w:color w:val="000000"/>
                <w:sz w:val="20"/>
                <w:szCs w:val="20"/>
              </w:rPr>
              <w:t>off prior to go</w:t>
            </w:r>
            <w:r w:rsidR="0055295E">
              <w:rPr>
                <w:rFonts w:cstheme="minorHAnsi"/>
                <w:color w:val="000000"/>
                <w:sz w:val="20"/>
                <w:szCs w:val="20"/>
              </w:rPr>
              <w:t xml:space="preserve"> </w:t>
            </w:r>
            <w:r w:rsidRPr="0002060D">
              <w:rPr>
                <w:rFonts w:cstheme="minorHAnsi"/>
                <w:color w:val="000000"/>
                <w:sz w:val="20"/>
                <w:szCs w:val="20"/>
              </w:rPr>
              <w:t>live.</w:t>
            </w:r>
          </w:p>
          <w:p w14:paraId="66CAEB55" w14:textId="77777777" w:rsidR="00E45BB8" w:rsidRDefault="00E45BB8" w:rsidP="00CE61DE">
            <w:pPr>
              <w:pStyle w:val="Default"/>
              <w:numPr>
                <w:ilvl w:val="0"/>
                <w:numId w:val="33"/>
              </w:numPr>
              <w:spacing w:after="120"/>
              <w:jc w:val="both"/>
              <w:rPr>
                <w:rFonts w:asciiTheme="minorHAnsi" w:hAnsiTheme="minorHAnsi" w:cstheme="minorHAnsi"/>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of the data migration strategy for migrating data from the existing to the new application. This should include details of the approach to mapping </w:t>
            </w:r>
            <w:r>
              <w:rPr>
                <w:rFonts w:asciiTheme="minorHAnsi" w:hAnsiTheme="minorHAnsi" w:cstheme="minorHAnsi"/>
                <w:sz w:val="20"/>
                <w:szCs w:val="20"/>
              </w:rPr>
              <w:t>data, extract/</w:t>
            </w:r>
            <w:r w:rsidRPr="0002060D">
              <w:rPr>
                <w:rFonts w:asciiTheme="minorHAnsi" w:hAnsiTheme="minorHAnsi" w:cstheme="minorHAnsi"/>
                <w:sz w:val="20"/>
                <w:szCs w:val="20"/>
              </w:rPr>
              <w:t>cleansing and transformation as</w:t>
            </w:r>
            <w:r>
              <w:rPr>
                <w:rFonts w:asciiTheme="minorHAnsi" w:hAnsiTheme="minorHAnsi" w:cstheme="minorHAnsi"/>
                <w:sz w:val="20"/>
                <w:szCs w:val="20"/>
              </w:rPr>
              <w:t xml:space="preserve"> well as </w:t>
            </w:r>
            <w:r w:rsidRPr="0002060D">
              <w:rPr>
                <w:rFonts w:asciiTheme="minorHAnsi" w:hAnsiTheme="minorHAnsi" w:cstheme="minorHAnsi"/>
                <w:sz w:val="20"/>
                <w:szCs w:val="20"/>
              </w:rPr>
              <w:t>executing test migrations and a final production migration.</w:t>
            </w:r>
          </w:p>
          <w:p w14:paraId="11B30694" w14:textId="77777777" w:rsidR="00E45BB8" w:rsidRDefault="00E45BB8" w:rsidP="00CE61DE">
            <w:pPr>
              <w:pStyle w:val="Default"/>
              <w:numPr>
                <w:ilvl w:val="0"/>
                <w:numId w:val="33"/>
              </w:numPr>
              <w:spacing w:after="120"/>
              <w:jc w:val="both"/>
              <w:rPr>
                <w:rFonts w:asciiTheme="minorHAnsi" w:hAnsiTheme="minorHAnsi" w:cstheme="minorHAnsi"/>
                <w:sz w:val="20"/>
                <w:szCs w:val="20"/>
              </w:rPr>
            </w:pPr>
            <w:r>
              <w:rPr>
                <w:rFonts w:asciiTheme="minorHAnsi" w:hAnsiTheme="minorHAnsi" w:cstheme="minorHAnsi"/>
                <w:sz w:val="20"/>
                <w:szCs w:val="20"/>
              </w:rPr>
              <w:t xml:space="preserve">Tenderer must provide details of applications, </w:t>
            </w:r>
            <w:r w:rsidRPr="00570645">
              <w:rPr>
                <w:rFonts w:asciiTheme="minorHAnsi" w:hAnsiTheme="minorHAnsi" w:cstheme="minorHAnsi"/>
                <w:sz w:val="20"/>
                <w:szCs w:val="20"/>
              </w:rPr>
              <w:t>tools</w:t>
            </w:r>
            <w:r>
              <w:rPr>
                <w:rFonts w:asciiTheme="minorHAnsi" w:hAnsiTheme="minorHAnsi" w:cstheme="minorHAnsi"/>
                <w:sz w:val="20"/>
                <w:szCs w:val="20"/>
              </w:rPr>
              <w:t xml:space="preserve"> or services required for data migration.</w:t>
            </w:r>
          </w:p>
          <w:p w14:paraId="1C10286B" w14:textId="77777777" w:rsidR="00E45BB8" w:rsidRPr="0002060D" w:rsidRDefault="00E45BB8" w:rsidP="00CE61DE">
            <w:pPr>
              <w:pStyle w:val="Default"/>
              <w:numPr>
                <w:ilvl w:val="0"/>
                <w:numId w:val="33"/>
              </w:numPr>
              <w:spacing w:after="120"/>
              <w:jc w:val="both"/>
              <w:rPr>
                <w:rFonts w:asciiTheme="minorHAnsi" w:hAnsiTheme="minorHAnsi" w:cstheme="minorHAnsi"/>
                <w:sz w:val="20"/>
                <w:szCs w:val="20"/>
              </w:rPr>
            </w:pPr>
            <w:r>
              <w:rPr>
                <w:rFonts w:asciiTheme="minorHAnsi" w:hAnsiTheme="minorHAnsi" w:cstheme="minorHAnsi"/>
                <w:sz w:val="20"/>
                <w:szCs w:val="20"/>
              </w:rPr>
              <w:t xml:space="preserve">Tenderer must provide </w:t>
            </w:r>
            <w:r w:rsidRPr="0002060D">
              <w:rPr>
                <w:rFonts w:asciiTheme="minorHAnsi" w:hAnsiTheme="minorHAnsi" w:cstheme="minorHAnsi"/>
                <w:sz w:val="20"/>
                <w:szCs w:val="20"/>
              </w:rPr>
              <w:t xml:space="preserve">details of the roles and resources required for the data migration, </w:t>
            </w:r>
            <w:r>
              <w:rPr>
                <w:rFonts w:asciiTheme="minorHAnsi" w:hAnsiTheme="minorHAnsi" w:cstheme="minorHAnsi"/>
                <w:sz w:val="20"/>
                <w:szCs w:val="20"/>
              </w:rPr>
              <w:t xml:space="preserve">including </w:t>
            </w:r>
            <w:r w:rsidRPr="0002060D">
              <w:rPr>
                <w:rFonts w:asciiTheme="minorHAnsi" w:hAnsiTheme="minorHAnsi" w:cstheme="minorHAnsi"/>
                <w:sz w:val="20"/>
                <w:szCs w:val="20"/>
              </w:rPr>
              <w:t>identifying resources and skills required from the HPRA to support the migration.</w:t>
            </w:r>
            <w:r>
              <w:rPr>
                <w:rFonts w:asciiTheme="minorHAnsi" w:hAnsiTheme="minorHAnsi" w:cstheme="minorHAnsi"/>
                <w:sz w:val="20"/>
                <w:szCs w:val="20"/>
              </w:rPr>
              <w:t xml:space="preserve"> </w:t>
            </w:r>
            <w:r w:rsidRPr="0002060D">
              <w:rPr>
                <w:rFonts w:asciiTheme="minorHAnsi" w:hAnsiTheme="minorHAnsi" w:cstheme="minorHAnsi"/>
                <w:sz w:val="20"/>
                <w:szCs w:val="20"/>
              </w:rPr>
              <w:t xml:space="preserve"> The response should describe the responsibilities of each role, including any activities required to review, prepare, cleanse, de-duplicate, validate, transform or format data for migration into the proposed solution.</w:t>
            </w:r>
          </w:p>
          <w:p w14:paraId="32EB63BE" w14:textId="77777777" w:rsidR="00E45BB8" w:rsidRPr="0002060D" w:rsidRDefault="00E45BB8" w:rsidP="00CE61DE">
            <w:pPr>
              <w:pStyle w:val="Default"/>
              <w:numPr>
                <w:ilvl w:val="0"/>
                <w:numId w:val="33"/>
              </w:numPr>
              <w:spacing w:after="120"/>
              <w:jc w:val="both"/>
              <w:rPr>
                <w:rFonts w:asciiTheme="minorHAnsi" w:hAnsiTheme="minorHAnsi" w:cstheme="minorHAnsi"/>
                <w:sz w:val="20"/>
                <w:szCs w:val="20"/>
              </w:rPr>
            </w:pPr>
            <w:r>
              <w:rPr>
                <w:rFonts w:asciiTheme="minorHAnsi" w:hAnsiTheme="minorHAnsi" w:cstheme="minorHAnsi"/>
                <w:sz w:val="20"/>
                <w:szCs w:val="20"/>
              </w:rPr>
              <w:t>The tenderer must provide details as to h</w:t>
            </w:r>
            <w:r w:rsidRPr="0002060D">
              <w:rPr>
                <w:rFonts w:asciiTheme="minorHAnsi" w:hAnsiTheme="minorHAnsi" w:cstheme="minorHAnsi"/>
                <w:sz w:val="20"/>
                <w:szCs w:val="20"/>
              </w:rPr>
              <w:t xml:space="preserve">ow a successful </w:t>
            </w:r>
            <w:r>
              <w:rPr>
                <w:rFonts w:asciiTheme="minorHAnsi" w:hAnsiTheme="minorHAnsi" w:cstheme="minorHAnsi"/>
                <w:sz w:val="20"/>
                <w:szCs w:val="20"/>
              </w:rPr>
              <w:t xml:space="preserve">data </w:t>
            </w:r>
            <w:r w:rsidRPr="0002060D">
              <w:rPr>
                <w:rFonts w:asciiTheme="minorHAnsi" w:hAnsiTheme="minorHAnsi" w:cstheme="minorHAnsi"/>
                <w:sz w:val="20"/>
                <w:szCs w:val="20"/>
              </w:rPr>
              <w:t>migration is to be evidenced before final production load.</w:t>
            </w:r>
          </w:p>
          <w:p w14:paraId="0B5E45D2" w14:textId="687A8C89" w:rsidR="00E45BB8" w:rsidRPr="0002060D" w:rsidRDefault="00E45BB8" w:rsidP="00CE61DE">
            <w:pPr>
              <w:pStyle w:val="Default"/>
              <w:numPr>
                <w:ilvl w:val="0"/>
                <w:numId w:val="33"/>
              </w:numPr>
              <w:spacing w:after="120"/>
              <w:jc w:val="both"/>
              <w:rPr>
                <w:rFonts w:asciiTheme="minorHAnsi" w:hAnsiTheme="minorHAnsi" w:cstheme="minorHAnsi"/>
                <w:sz w:val="20"/>
                <w:szCs w:val="20"/>
              </w:rPr>
            </w:pPr>
            <w:r w:rsidRPr="0002060D">
              <w:rPr>
                <w:rFonts w:asciiTheme="minorHAnsi" w:hAnsiTheme="minorHAnsi" w:cstheme="minorHAnsi"/>
                <w:sz w:val="20"/>
                <w:szCs w:val="20"/>
              </w:rPr>
              <w:t xml:space="preserve">The </w:t>
            </w:r>
            <w:r>
              <w:rPr>
                <w:rFonts w:asciiTheme="minorHAnsi" w:hAnsiTheme="minorHAnsi" w:cstheme="minorHAnsi"/>
                <w:sz w:val="20"/>
                <w:szCs w:val="20"/>
              </w:rPr>
              <w:t>T</w:t>
            </w:r>
            <w:r w:rsidRPr="0002060D">
              <w:rPr>
                <w:rFonts w:asciiTheme="minorHAnsi" w:hAnsiTheme="minorHAnsi" w:cstheme="minorHAnsi"/>
                <w:sz w:val="20"/>
                <w:szCs w:val="20"/>
              </w:rPr>
              <w:t>enderer must supply details of how the HPRA’s data will be extracted and migrated from the supplier’s cloud</w:t>
            </w:r>
            <w:r w:rsidR="0055295E">
              <w:rPr>
                <w:rFonts w:asciiTheme="minorHAnsi" w:hAnsiTheme="minorHAnsi" w:cstheme="minorHAnsi"/>
                <w:sz w:val="20"/>
                <w:szCs w:val="20"/>
              </w:rPr>
              <w:t xml:space="preserve"> </w:t>
            </w:r>
            <w:r w:rsidRPr="0002060D">
              <w:rPr>
                <w:rFonts w:asciiTheme="minorHAnsi" w:hAnsiTheme="minorHAnsi" w:cstheme="minorHAnsi"/>
                <w:sz w:val="20"/>
                <w:szCs w:val="20"/>
              </w:rPr>
              <w:t>hosted service to an alternative service at the end of the contract or on request by the HPRA. The response should explain the proposed exit and transition approach, including the available export formats, data structures, transfer mechanisms, validation controls, and any prerequisites for migrating the data to a replacement service, whether hosted by another provider or deployed on premise.</w:t>
            </w:r>
          </w:p>
          <w:p w14:paraId="3AA93BF1" w14:textId="77777777" w:rsidR="00E45BB8" w:rsidRPr="007A2D09" w:rsidRDefault="00E45BB8" w:rsidP="00E3035B">
            <w:pPr>
              <w:spacing w:after="120"/>
              <w:jc w:val="both"/>
              <w:rPr>
                <w:rFonts w:cstheme="minorHAnsi"/>
                <w:b/>
                <w:sz w:val="20"/>
                <w:szCs w:val="20"/>
                <w:lang w:val="en-GB"/>
              </w:rPr>
            </w:pPr>
          </w:p>
        </w:tc>
      </w:tr>
      <w:tr w:rsidR="00E45BB8" w:rsidRPr="00AA532D" w14:paraId="2D8885A8" w14:textId="77777777" w:rsidTr="032B68AC">
        <w:tc>
          <w:tcPr>
            <w:tcW w:w="562" w:type="dxa"/>
          </w:tcPr>
          <w:p w14:paraId="43C769F8" w14:textId="77777777" w:rsidR="00E45BB8" w:rsidRPr="00AA532D" w:rsidRDefault="00E45BB8" w:rsidP="008B3854">
            <w:pPr>
              <w:pStyle w:val="HPRAMainBodyText"/>
              <w:jc w:val="center"/>
              <w:rPr>
                <w:rFonts w:asciiTheme="minorHAnsi" w:hAnsiTheme="minorHAnsi" w:cstheme="minorHAnsi"/>
                <w:b/>
                <w:bCs/>
              </w:rPr>
            </w:pPr>
            <w:r>
              <w:rPr>
                <w:rFonts w:asciiTheme="minorHAnsi" w:hAnsiTheme="minorHAnsi" w:cstheme="minorHAnsi"/>
                <w:b/>
                <w:bCs/>
              </w:rPr>
              <w:t>F</w:t>
            </w:r>
          </w:p>
        </w:tc>
        <w:tc>
          <w:tcPr>
            <w:tcW w:w="9498" w:type="dxa"/>
          </w:tcPr>
          <w:p w14:paraId="54391932" w14:textId="77777777" w:rsidR="00E45BB8" w:rsidRPr="00AA532D" w:rsidRDefault="00E45BB8" w:rsidP="008B3854">
            <w:pPr>
              <w:pStyle w:val="Body1"/>
              <w:rPr>
                <w:rFonts w:asciiTheme="minorHAnsi" w:hAnsiTheme="minorHAnsi" w:cstheme="minorHAnsi"/>
              </w:rPr>
            </w:pPr>
            <w:r>
              <w:rPr>
                <w:rFonts w:asciiTheme="minorHAnsi" w:hAnsiTheme="minorHAnsi" w:cstheme="minorHAnsi"/>
                <w:b/>
                <w:bCs/>
              </w:rPr>
              <w:t>Hosting &amp; Service Management</w:t>
            </w:r>
          </w:p>
        </w:tc>
      </w:tr>
      <w:tr w:rsidR="00E45BB8" w:rsidRPr="00AA532D" w14:paraId="0D1615D1" w14:textId="77777777" w:rsidTr="032B68AC">
        <w:tc>
          <w:tcPr>
            <w:tcW w:w="562" w:type="dxa"/>
          </w:tcPr>
          <w:p w14:paraId="697C467C" w14:textId="77777777" w:rsidR="00E45BB8" w:rsidRPr="00AA532D" w:rsidRDefault="00E45BB8" w:rsidP="008B3854">
            <w:pPr>
              <w:pStyle w:val="HPRAMainBodyText"/>
              <w:jc w:val="center"/>
              <w:rPr>
                <w:rFonts w:asciiTheme="minorHAnsi" w:hAnsiTheme="minorHAnsi" w:cstheme="minorHAnsi"/>
                <w:b/>
                <w:bCs/>
              </w:rPr>
            </w:pPr>
          </w:p>
        </w:tc>
        <w:tc>
          <w:tcPr>
            <w:tcW w:w="9498" w:type="dxa"/>
          </w:tcPr>
          <w:p w14:paraId="5FA8F5B0" w14:textId="77777777" w:rsidR="00E45BB8" w:rsidRPr="00936431" w:rsidRDefault="00E45BB8" w:rsidP="00184BEF">
            <w:pPr>
              <w:jc w:val="both"/>
              <w:rPr>
                <w:rFonts w:eastAsia="Times New Roman" w:cstheme="minorHAnsi"/>
                <w:color w:val="000000" w:themeColor="text1"/>
                <w:sz w:val="20"/>
                <w:szCs w:val="20"/>
                <w:lang w:eastAsia="en-IE"/>
              </w:rPr>
            </w:pPr>
            <w:r w:rsidRPr="00936431">
              <w:rPr>
                <w:rFonts w:eastAsia="Times New Roman" w:cstheme="minorHAnsi"/>
                <w:color w:val="000000" w:themeColor="text1"/>
                <w:sz w:val="20"/>
                <w:szCs w:val="20"/>
                <w:lang w:eastAsia="en-IE"/>
              </w:rPr>
              <w:t>The supplier will be responsible for providing a managed hosting platform and infrastructure for the application, interfaces and related technology components. Management of the platform must include normal technology service operations, patching and upgrades to the entire technology stack, backup, rollback and restore capabilities, and disaster recovery.</w:t>
            </w:r>
          </w:p>
          <w:p w14:paraId="6FE63754" w14:textId="77777777" w:rsidR="00E45BB8" w:rsidRPr="00936431" w:rsidRDefault="00E45BB8" w:rsidP="00184BEF">
            <w:pPr>
              <w:jc w:val="both"/>
              <w:rPr>
                <w:rFonts w:eastAsia="Times New Roman" w:cstheme="minorHAnsi"/>
                <w:color w:val="000000" w:themeColor="text1"/>
                <w:sz w:val="20"/>
                <w:szCs w:val="20"/>
                <w:lang w:eastAsia="en-IE"/>
              </w:rPr>
            </w:pPr>
          </w:p>
          <w:p w14:paraId="6DE57BE9" w14:textId="77777777" w:rsidR="00E45BB8" w:rsidRPr="00936431" w:rsidRDefault="00E45BB8" w:rsidP="00184BEF">
            <w:pPr>
              <w:jc w:val="both"/>
              <w:rPr>
                <w:rFonts w:eastAsia="Times New Roman" w:cstheme="minorHAnsi"/>
                <w:color w:val="000000" w:themeColor="text1"/>
                <w:sz w:val="20"/>
                <w:szCs w:val="20"/>
                <w:lang w:eastAsia="en-IE"/>
              </w:rPr>
            </w:pPr>
            <w:r w:rsidRPr="00936431">
              <w:rPr>
                <w:rFonts w:eastAsia="Times New Roman" w:cstheme="minorHAnsi"/>
                <w:color w:val="000000" w:themeColor="text1"/>
                <w:sz w:val="20"/>
                <w:szCs w:val="20"/>
                <w:lang w:eastAsia="en-IE"/>
              </w:rPr>
              <w:t>The entire hosting arrangement must comply with current best practice and in all respects comply with the provisions of GDPR, European and Irish data privacy legislation. It is anticipated that hosting and managing arrangements will extend for the duration of the Contract after which, at the HPRA’s discretion, it may be transferred to an alternative provider.</w:t>
            </w:r>
          </w:p>
          <w:p w14:paraId="17CF9727" w14:textId="77777777" w:rsidR="00E45BB8" w:rsidRPr="00936431" w:rsidRDefault="00E45BB8" w:rsidP="00184BEF">
            <w:pPr>
              <w:jc w:val="both"/>
              <w:rPr>
                <w:rFonts w:eastAsia="Times New Roman" w:cstheme="minorHAnsi"/>
                <w:color w:val="000000" w:themeColor="text1"/>
                <w:sz w:val="20"/>
                <w:szCs w:val="20"/>
                <w:lang w:eastAsia="en-IE"/>
              </w:rPr>
            </w:pPr>
          </w:p>
          <w:p w14:paraId="506C890F" w14:textId="64799E46" w:rsidR="00E45BB8" w:rsidRDefault="0092069D"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00E45BB8" w:rsidRPr="00AF4E69">
              <w:rPr>
                <w:rFonts w:asciiTheme="minorHAnsi" w:hAnsiTheme="minorHAnsi" w:cstheme="minorHAnsi"/>
                <w:sz w:val="20"/>
                <w:szCs w:val="20"/>
              </w:rPr>
              <w:t xml:space="preserve">of the </w:t>
            </w:r>
            <w:r w:rsidR="00E45BB8" w:rsidRPr="00AF4E69">
              <w:rPr>
                <w:rFonts w:asciiTheme="minorHAnsi" w:hAnsiTheme="minorHAnsi" w:cstheme="minorHAnsi"/>
                <w:color w:val="000000" w:themeColor="text1"/>
                <w:sz w:val="20"/>
                <w:szCs w:val="20"/>
              </w:rPr>
              <w:t>proposed hosting arrangements including technical architecture of their proposed solution and hosting locations.</w:t>
            </w:r>
            <w:r w:rsidR="00E45BB8">
              <w:rPr>
                <w:rFonts w:asciiTheme="minorHAnsi" w:hAnsiTheme="minorHAnsi" w:cstheme="minorHAnsi"/>
                <w:color w:val="000000" w:themeColor="text1"/>
                <w:sz w:val="20"/>
                <w:szCs w:val="20"/>
              </w:rPr>
              <w:t xml:space="preserve"> </w:t>
            </w:r>
            <w:r w:rsidR="00E45BB8" w:rsidRPr="00AF4E69">
              <w:rPr>
                <w:rFonts w:asciiTheme="minorHAnsi" w:hAnsiTheme="minorHAnsi" w:cstheme="minorHAnsi"/>
                <w:sz w:val="20"/>
                <w:szCs w:val="20"/>
              </w:rPr>
              <w:t>D</w:t>
            </w:r>
            <w:r w:rsidR="00E45BB8" w:rsidRPr="00AF4E69">
              <w:rPr>
                <w:rFonts w:asciiTheme="minorHAnsi" w:hAnsiTheme="minorHAnsi" w:cstheme="minorHAnsi"/>
                <w:color w:val="000000" w:themeColor="text1"/>
                <w:sz w:val="20"/>
                <w:szCs w:val="20"/>
              </w:rPr>
              <w:t xml:space="preserve">etails </w:t>
            </w:r>
            <w:r w:rsidR="00E45BB8">
              <w:rPr>
                <w:rFonts w:asciiTheme="minorHAnsi" w:hAnsiTheme="minorHAnsi" w:cstheme="minorHAnsi"/>
                <w:color w:val="000000" w:themeColor="text1"/>
                <w:sz w:val="20"/>
                <w:szCs w:val="20"/>
              </w:rPr>
              <w:t xml:space="preserve">must be provided </w:t>
            </w:r>
            <w:r w:rsidR="00E45BB8" w:rsidRPr="00AF4E69">
              <w:rPr>
                <w:rFonts w:asciiTheme="minorHAnsi" w:hAnsiTheme="minorHAnsi" w:cstheme="minorHAnsi"/>
                <w:color w:val="000000" w:themeColor="text1"/>
                <w:sz w:val="20"/>
                <w:szCs w:val="20"/>
              </w:rPr>
              <w:t>of any third parties used providing hosting and/or technology services.</w:t>
            </w:r>
          </w:p>
          <w:p w14:paraId="3A4FF281" w14:textId="7122FDE1" w:rsidR="00D903BA" w:rsidRDefault="00D903BA"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Pr="00AF4E69">
              <w:rPr>
                <w:rFonts w:asciiTheme="minorHAnsi" w:hAnsiTheme="minorHAnsi" w:cstheme="minorHAnsi"/>
                <w:sz w:val="20"/>
                <w:szCs w:val="20"/>
              </w:rPr>
              <w:t>of</w:t>
            </w:r>
            <w:r w:rsidRPr="00D903BA">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d</w:t>
            </w:r>
            <w:r w:rsidRPr="00D903BA">
              <w:rPr>
                <w:rFonts w:asciiTheme="minorHAnsi" w:hAnsiTheme="minorHAnsi" w:cstheme="minorHAnsi"/>
                <w:color w:val="000000" w:themeColor="text1"/>
                <w:sz w:val="20"/>
                <w:szCs w:val="20"/>
              </w:rPr>
              <w:t>ata residency and jurisdiction</w:t>
            </w:r>
            <w:r w:rsidR="00D64A76">
              <w:rPr>
                <w:rFonts w:asciiTheme="minorHAnsi" w:hAnsiTheme="minorHAnsi" w:cstheme="minorHAnsi"/>
                <w:color w:val="000000" w:themeColor="text1"/>
                <w:sz w:val="20"/>
                <w:szCs w:val="20"/>
              </w:rPr>
              <w:t xml:space="preserve"> </w:t>
            </w:r>
            <w:r w:rsidRPr="00D903BA">
              <w:rPr>
                <w:rFonts w:asciiTheme="minorHAnsi" w:hAnsiTheme="minorHAnsi" w:cstheme="minorHAnsi"/>
                <w:color w:val="000000" w:themeColor="text1"/>
                <w:sz w:val="20"/>
                <w:szCs w:val="20"/>
              </w:rPr>
              <w:t xml:space="preserve">of production, backup, support, monitoring and log data will be stored and processed. </w:t>
            </w:r>
            <w:r w:rsidR="00D64A76">
              <w:rPr>
                <w:rFonts w:asciiTheme="minorHAnsi" w:hAnsiTheme="minorHAnsi" w:cstheme="minorHAnsi"/>
                <w:color w:val="000000" w:themeColor="text1"/>
                <w:sz w:val="20"/>
                <w:szCs w:val="20"/>
              </w:rPr>
              <w:t>D</w:t>
            </w:r>
            <w:r w:rsidRPr="00D903BA">
              <w:rPr>
                <w:rFonts w:asciiTheme="minorHAnsi" w:hAnsiTheme="minorHAnsi" w:cstheme="minorHAnsi"/>
                <w:color w:val="000000" w:themeColor="text1"/>
                <w:sz w:val="20"/>
                <w:szCs w:val="20"/>
              </w:rPr>
              <w:t>ata must remain within the EU/EEA unless expressly approved by HPRA and supported by appropriate transfer safeguards.</w:t>
            </w:r>
          </w:p>
          <w:p w14:paraId="09C93740" w14:textId="609924FB" w:rsidR="000E2E09" w:rsidRDefault="000E2E09"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00A04FE8">
              <w:rPr>
                <w:rFonts w:asciiTheme="minorHAnsi" w:hAnsiTheme="minorHAnsi" w:cstheme="minorHAnsi"/>
                <w:sz w:val="20"/>
                <w:szCs w:val="20"/>
              </w:rPr>
              <w:t>of how the HPRA’s tenant and d</w:t>
            </w:r>
            <w:r w:rsidRPr="000E2E09">
              <w:rPr>
                <w:rFonts w:asciiTheme="minorHAnsi" w:hAnsiTheme="minorHAnsi" w:cstheme="minorHAnsi"/>
                <w:color w:val="000000" w:themeColor="text1"/>
                <w:sz w:val="20"/>
                <w:szCs w:val="20"/>
              </w:rPr>
              <w:t xml:space="preserve">ata is logically or physically segregated from other customers, including in backups, logs, </w:t>
            </w:r>
            <w:r w:rsidR="0057126B">
              <w:rPr>
                <w:rFonts w:asciiTheme="minorHAnsi" w:hAnsiTheme="minorHAnsi" w:cstheme="minorHAnsi"/>
                <w:color w:val="000000" w:themeColor="text1"/>
                <w:sz w:val="20"/>
                <w:szCs w:val="20"/>
              </w:rPr>
              <w:t xml:space="preserve">and </w:t>
            </w:r>
            <w:r w:rsidRPr="000E2E09">
              <w:rPr>
                <w:rFonts w:asciiTheme="minorHAnsi" w:hAnsiTheme="minorHAnsi" w:cstheme="minorHAnsi"/>
                <w:color w:val="000000" w:themeColor="text1"/>
                <w:sz w:val="20"/>
                <w:szCs w:val="20"/>
              </w:rPr>
              <w:t>support tools.</w:t>
            </w:r>
          </w:p>
          <w:p w14:paraId="6ED2E76D" w14:textId="400AF65F" w:rsidR="00E45BB8" w:rsidRPr="00AF4E69" w:rsidRDefault="0092069D"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00E45BB8" w:rsidRPr="00936431">
              <w:rPr>
                <w:rFonts w:asciiTheme="minorHAnsi" w:hAnsiTheme="minorHAnsi" w:cstheme="minorHAnsi"/>
                <w:color w:val="000000" w:themeColor="text1"/>
                <w:sz w:val="20"/>
                <w:szCs w:val="20"/>
              </w:rPr>
              <w:t>of expected performance characteristics of the infrastructure including expected response times</w:t>
            </w:r>
            <w:r w:rsidR="00E45BB8">
              <w:rPr>
                <w:rFonts w:asciiTheme="minorHAnsi" w:hAnsiTheme="minorHAnsi" w:cstheme="minorHAnsi"/>
                <w:color w:val="000000" w:themeColor="text1"/>
                <w:sz w:val="20"/>
                <w:szCs w:val="20"/>
              </w:rPr>
              <w:t xml:space="preserve"> and any technical limits</w:t>
            </w:r>
            <w:r w:rsidR="00E45BB8" w:rsidRPr="00936431">
              <w:rPr>
                <w:rFonts w:asciiTheme="minorHAnsi" w:hAnsiTheme="minorHAnsi" w:cstheme="minorHAnsi"/>
                <w:color w:val="000000" w:themeColor="text1"/>
                <w:sz w:val="20"/>
                <w:szCs w:val="20"/>
              </w:rPr>
              <w:t>.</w:t>
            </w:r>
            <w:r w:rsidR="00E45BB8">
              <w:rPr>
                <w:rFonts w:asciiTheme="minorHAnsi" w:hAnsiTheme="minorHAnsi" w:cstheme="minorHAnsi"/>
                <w:color w:val="000000" w:themeColor="text1"/>
                <w:sz w:val="20"/>
                <w:szCs w:val="20"/>
              </w:rPr>
              <w:t xml:space="preserve"> Details of the </w:t>
            </w:r>
            <w:r w:rsidR="00E45BB8" w:rsidRPr="00936431">
              <w:rPr>
                <w:rFonts w:asciiTheme="minorHAnsi" w:hAnsiTheme="minorHAnsi" w:cstheme="minorHAnsi"/>
                <w:color w:val="000000" w:themeColor="text1"/>
                <w:sz w:val="20"/>
                <w:szCs w:val="20"/>
              </w:rPr>
              <w:t>scalab</w:t>
            </w:r>
            <w:r w:rsidR="00E45BB8">
              <w:rPr>
                <w:rFonts w:asciiTheme="minorHAnsi" w:hAnsiTheme="minorHAnsi" w:cstheme="minorHAnsi"/>
                <w:color w:val="000000" w:themeColor="text1"/>
                <w:sz w:val="20"/>
                <w:szCs w:val="20"/>
              </w:rPr>
              <w:t>i</w:t>
            </w:r>
            <w:r w:rsidR="00E45BB8" w:rsidRPr="00936431">
              <w:rPr>
                <w:rFonts w:asciiTheme="minorHAnsi" w:hAnsiTheme="minorHAnsi" w:cstheme="minorHAnsi"/>
                <w:color w:val="000000" w:themeColor="text1"/>
                <w:sz w:val="20"/>
                <w:szCs w:val="20"/>
              </w:rPr>
              <w:t>l</w:t>
            </w:r>
            <w:r w:rsidR="00E45BB8">
              <w:rPr>
                <w:rFonts w:asciiTheme="minorHAnsi" w:hAnsiTheme="minorHAnsi" w:cstheme="minorHAnsi"/>
                <w:color w:val="000000" w:themeColor="text1"/>
                <w:sz w:val="20"/>
                <w:szCs w:val="20"/>
              </w:rPr>
              <w:t xml:space="preserve">ity of the hosting solution </w:t>
            </w:r>
            <w:r w:rsidR="00E45BB8" w:rsidRPr="00936431">
              <w:rPr>
                <w:rFonts w:asciiTheme="minorHAnsi" w:hAnsiTheme="minorHAnsi" w:cstheme="minorHAnsi"/>
                <w:color w:val="000000" w:themeColor="text1"/>
                <w:sz w:val="20"/>
                <w:szCs w:val="20"/>
              </w:rPr>
              <w:t xml:space="preserve">and </w:t>
            </w:r>
            <w:r w:rsidR="00E45BB8">
              <w:rPr>
                <w:rFonts w:asciiTheme="minorHAnsi" w:hAnsiTheme="minorHAnsi" w:cstheme="minorHAnsi"/>
                <w:color w:val="000000" w:themeColor="text1"/>
                <w:sz w:val="20"/>
                <w:szCs w:val="20"/>
              </w:rPr>
              <w:t>its ability handle</w:t>
            </w:r>
            <w:r w:rsidR="00E45BB8" w:rsidRPr="00936431">
              <w:rPr>
                <w:rFonts w:asciiTheme="minorHAnsi" w:hAnsiTheme="minorHAnsi" w:cstheme="minorHAnsi"/>
                <w:color w:val="000000" w:themeColor="text1"/>
                <w:sz w:val="20"/>
                <w:szCs w:val="20"/>
              </w:rPr>
              <w:t xml:space="preserve"> periods of high volumes of traffic.</w:t>
            </w:r>
          </w:p>
          <w:p w14:paraId="2C053EC7" w14:textId="364403A2" w:rsidR="00E45BB8" w:rsidRPr="00213BF2" w:rsidRDefault="0092069D"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00E45BB8">
              <w:rPr>
                <w:rFonts w:asciiTheme="minorHAnsi" w:hAnsiTheme="minorHAnsi" w:cstheme="minorHAnsi"/>
                <w:color w:val="000000" w:themeColor="text1"/>
                <w:sz w:val="20"/>
                <w:szCs w:val="20"/>
              </w:rPr>
              <w:t>of r</w:t>
            </w:r>
            <w:r w:rsidR="00E45BB8" w:rsidRPr="00936431">
              <w:rPr>
                <w:rFonts w:asciiTheme="minorHAnsi" w:hAnsiTheme="minorHAnsi" w:cstheme="minorHAnsi"/>
                <w:color w:val="000000" w:themeColor="text1"/>
                <w:sz w:val="20"/>
                <w:szCs w:val="20"/>
              </w:rPr>
              <w:t>elevant certifications</w:t>
            </w:r>
            <w:r w:rsidR="00E45BB8">
              <w:rPr>
                <w:rFonts w:asciiTheme="minorHAnsi" w:hAnsiTheme="minorHAnsi" w:cstheme="minorHAnsi"/>
                <w:color w:val="000000" w:themeColor="text1"/>
                <w:sz w:val="20"/>
                <w:szCs w:val="20"/>
              </w:rPr>
              <w:t xml:space="preserve"> </w:t>
            </w:r>
            <w:r w:rsidR="00E45BB8" w:rsidRPr="00936431">
              <w:rPr>
                <w:rFonts w:asciiTheme="minorHAnsi" w:hAnsiTheme="minorHAnsi" w:cstheme="minorHAnsi"/>
                <w:color w:val="000000" w:themeColor="text1"/>
                <w:sz w:val="20"/>
                <w:szCs w:val="20"/>
              </w:rPr>
              <w:t>in respect of operation</w:t>
            </w:r>
            <w:r w:rsidR="00406B2C">
              <w:rPr>
                <w:rFonts w:asciiTheme="minorHAnsi" w:hAnsiTheme="minorHAnsi" w:cstheme="minorHAnsi"/>
                <w:color w:val="000000" w:themeColor="text1"/>
                <w:sz w:val="20"/>
                <w:szCs w:val="20"/>
              </w:rPr>
              <w:t>, security</w:t>
            </w:r>
            <w:r w:rsidR="00E45BB8" w:rsidRPr="00936431">
              <w:rPr>
                <w:rFonts w:asciiTheme="minorHAnsi" w:hAnsiTheme="minorHAnsi" w:cstheme="minorHAnsi"/>
                <w:color w:val="000000" w:themeColor="text1"/>
                <w:sz w:val="20"/>
                <w:szCs w:val="20"/>
              </w:rPr>
              <w:t xml:space="preserve"> and management of the solution. </w:t>
            </w:r>
            <w:r w:rsidR="00E45BB8">
              <w:rPr>
                <w:rFonts w:asciiTheme="minorHAnsi" w:hAnsiTheme="minorHAnsi" w:cstheme="minorHAnsi"/>
                <w:color w:val="000000" w:themeColor="text1"/>
                <w:sz w:val="20"/>
                <w:szCs w:val="20"/>
              </w:rPr>
              <w:t>Tenders should provide a statement in respect of their proposed solutions compliance with the provisions of NIS2.</w:t>
            </w:r>
          </w:p>
          <w:p w14:paraId="60462DA2" w14:textId="7F1871C6" w:rsidR="00E45BB8" w:rsidRPr="000850EC" w:rsidRDefault="00F6490E"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00E45BB8" w:rsidRPr="000850EC">
              <w:rPr>
                <w:rFonts w:asciiTheme="minorHAnsi" w:hAnsiTheme="minorHAnsi" w:cstheme="minorHAnsi"/>
                <w:color w:val="000000" w:themeColor="text1"/>
                <w:sz w:val="20"/>
                <w:szCs w:val="20"/>
              </w:rPr>
              <w:t xml:space="preserve">of the environments that will be provisioned under the service. A production, </w:t>
            </w:r>
            <w:proofErr w:type="spellStart"/>
            <w:proofErr w:type="gramStart"/>
            <w:r w:rsidR="00E45BB8" w:rsidRPr="000850EC">
              <w:rPr>
                <w:rFonts w:asciiTheme="minorHAnsi" w:hAnsiTheme="minorHAnsi" w:cstheme="minorHAnsi"/>
                <w:color w:val="000000" w:themeColor="text1"/>
                <w:sz w:val="20"/>
                <w:szCs w:val="20"/>
              </w:rPr>
              <w:t>pre</w:t>
            </w:r>
            <w:r w:rsidR="0055295E">
              <w:rPr>
                <w:rFonts w:asciiTheme="minorHAnsi" w:hAnsiTheme="minorHAnsi" w:cstheme="minorHAnsi"/>
                <w:color w:val="000000" w:themeColor="text1"/>
                <w:sz w:val="20"/>
                <w:szCs w:val="20"/>
              </w:rPr>
              <w:t xml:space="preserve"> </w:t>
            </w:r>
            <w:r w:rsidR="00E45BB8" w:rsidRPr="000850EC">
              <w:rPr>
                <w:rFonts w:asciiTheme="minorHAnsi" w:hAnsiTheme="minorHAnsi" w:cstheme="minorHAnsi"/>
                <w:color w:val="000000" w:themeColor="text1"/>
                <w:sz w:val="20"/>
                <w:szCs w:val="20"/>
              </w:rPr>
              <w:t>production</w:t>
            </w:r>
            <w:proofErr w:type="spellEnd"/>
            <w:proofErr w:type="gramEnd"/>
            <w:r w:rsidR="00E45BB8" w:rsidRPr="000850EC">
              <w:rPr>
                <w:rFonts w:asciiTheme="minorHAnsi" w:hAnsiTheme="minorHAnsi" w:cstheme="minorHAnsi"/>
                <w:color w:val="000000" w:themeColor="text1"/>
                <w:sz w:val="20"/>
                <w:szCs w:val="20"/>
              </w:rPr>
              <w:t xml:space="preserve"> and testing environment are required. Details should be provided on how different environment interface with other application test environments.</w:t>
            </w:r>
          </w:p>
          <w:p w14:paraId="7F519BC8" w14:textId="30903653" w:rsidR="00E45BB8" w:rsidRPr="004629ED" w:rsidRDefault="00F6490E"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00E45BB8" w:rsidRPr="004629ED">
              <w:rPr>
                <w:rFonts w:asciiTheme="minorHAnsi" w:hAnsiTheme="minorHAnsi" w:cstheme="minorHAnsi"/>
                <w:color w:val="000000" w:themeColor="text1"/>
                <w:sz w:val="20"/>
                <w:szCs w:val="20"/>
              </w:rPr>
              <w:t>of the operational support model including support processes, hours of support, and support outside business hours. Details should include information on roles and responsibilities for operational support including incident management, change management, testing, certificate renewal, endpoint changes and third-party coordination.  A sample Service Level Agreement must be included in the response.</w:t>
            </w:r>
          </w:p>
          <w:p w14:paraId="6CB256BB" w14:textId="3E272843" w:rsidR="0066175C" w:rsidRPr="004629ED" w:rsidRDefault="00F6490E"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Tenderer must provide d</w:t>
            </w:r>
            <w:r w:rsidRPr="0002060D">
              <w:rPr>
                <w:rFonts w:asciiTheme="minorHAnsi" w:hAnsiTheme="minorHAnsi" w:cstheme="minorHAnsi"/>
                <w:sz w:val="20"/>
                <w:szCs w:val="20"/>
              </w:rPr>
              <w:t xml:space="preserve">etails </w:t>
            </w:r>
            <w:r w:rsidR="00E45BB8" w:rsidRPr="004629ED">
              <w:rPr>
                <w:rFonts w:asciiTheme="minorHAnsi" w:hAnsiTheme="minorHAnsi" w:cstheme="minorHAnsi"/>
                <w:color w:val="000000" w:themeColor="text1"/>
                <w:sz w:val="20"/>
                <w:szCs w:val="20"/>
              </w:rPr>
              <w:t>of measure</w:t>
            </w:r>
            <w:r w:rsidR="00B07B70" w:rsidRPr="004629ED">
              <w:rPr>
                <w:rFonts w:asciiTheme="minorHAnsi" w:hAnsiTheme="minorHAnsi" w:cstheme="minorHAnsi"/>
                <w:color w:val="000000" w:themeColor="text1"/>
                <w:sz w:val="20"/>
                <w:szCs w:val="20"/>
              </w:rPr>
              <w:t xml:space="preserve"> </w:t>
            </w:r>
            <w:r w:rsidR="008A6E46" w:rsidRPr="004629ED">
              <w:rPr>
                <w:rFonts w:asciiTheme="minorHAnsi" w:hAnsiTheme="minorHAnsi" w:cstheme="minorHAnsi"/>
                <w:color w:val="000000" w:themeColor="text1"/>
                <w:sz w:val="20"/>
                <w:szCs w:val="20"/>
              </w:rPr>
              <w:t xml:space="preserve">in place to ensure </w:t>
            </w:r>
            <w:r w:rsidR="00B07B70" w:rsidRPr="004629ED">
              <w:rPr>
                <w:rFonts w:asciiTheme="minorHAnsi" w:hAnsiTheme="minorHAnsi" w:cstheme="minorHAnsi"/>
                <w:color w:val="000000" w:themeColor="text1"/>
                <w:sz w:val="20"/>
                <w:szCs w:val="20"/>
              </w:rPr>
              <w:t>resilien</w:t>
            </w:r>
            <w:r w:rsidR="0066175C" w:rsidRPr="004629ED">
              <w:rPr>
                <w:rFonts w:asciiTheme="minorHAnsi" w:hAnsiTheme="minorHAnsi" w:cstheme="minorHAnsi"/>
                <w:color w:val="000000" w:themeColor="text1"/>
                <w:sz w:val="20"/>
                <w:szCs w:val="20"/>
              </w:rPr>
              <w:t xml:space="preserve">ce and </w:t>
            </w:r>
            <w:r w:rsidR="006D0D1D" w:rsidRPr="004629ED">
              <w:rPr>
                <w:rFonts w:asciiTheme="minorHAnsi" w:hAnsiTheme="minorHAnsi" w:cstheme="minorHAnsi"/>
                <w:color w:val="000000" w:themeColor="text1"/>
                <w:sz w:val="20"/>
                <w:szCs w:val="20"/>
              </w:rPr>
              <w:t>continuity of their proposed solution.</w:t>
            </w:r>
            <w:r w:rsidR="00595D6B" w:rsidRPr="004629ED">
              <w:rPr>
                <w:rFonts w:asciiTheme="minorHAnsi" w:hAnsiTheme="minorHAnsi" w:cstheme="minorHAnsi"/>
                <w:color w:val="000000" w:themeColor="text1"/>
                <w:sz w:val="20"/>
                <w:szCs w:val="20"/>
              </w:rPr>
              <w:t xml:space="preserve"> This should include </w:t>
            </w:r>
            <w:r w:rsidR="004D5F78" w:rsidRPr="004629ED">
              <w:rPr>
                <w:rFonts w:asciiTheme="minorHAnsi" w:hAnsiTheme="minorHAnsi" w:cstheme="minorHAnsi"/>
                <w:color w:val="000000" w:themeColor="text1"/>
                <w:sz w:val="20"/>
                <w:szCs w:val="20"/>
              </w:rPr>
              <w:t xml:space="preserve">information on </w:t>
            </w:r>
            <w:r w:rsidR="00885AE1" w:rsidRPr="004629ED">
              <w:rPr>
                <w:rFonts w:asciiTheme="minorHAnsi" w:hAnsiTheme="minorHAnsi" w:cstheme="minorHAnsi"/>
                <w:color w:val="000000" w:themeColor="text1"/>
                <w:sz w:val="20"/>
                <w:szCs w:val="20"/>
              </w:rPr>
              <w:t xml:space="preserve">disaster recovery and business continuity, </w:t>
            </w:r>
            <w:r w:rsidR="00103D3D" w:rsidRPr="004629ED">
              <w:rPr>
                <w:rFonts w:asciiTheme="minorHAnsi" w:hAnsiTheme="minorHAnsi" w:cstheme="minorHAnsi"/>
                <w:color w:val="000000" w:themeColor="text1"/>
                <w:sz w:val="20"/>
                <w:szCs w:val="20"/>
              </w:rPr>
              <w:t>and solution recovery times.</w:t>
            </w:r>
            <w:r w:rsidR="00B07B70" w:rsidRPr="004629ED">
              <w:rPr>
                <w:rFonts w:asciiTheme="minorHAnsi" w:hAnsiTheme="minorHAnsi" w:cstheme="minorHAnsi"/>
                <w:color w:val="000000" w:themeColor="text1"/>
                <w:sz w:val="20"/>
                <w:szCs w:val="20"/>
              </w:rPr>
              <w:t xml:space="preserve"> </w:t>
            </w:r>
          </w:p>
          <w:p w14:paraId="455D0CF6" w14:textId="603933A4" w:rsidR="004629ED" w:rsidRPr="004629ED" w:rsidRDefault="00F6490E" w:rsidP="00CE61DE">
            <w:pPr>
              <w:pStyle w:val="Default"/>
              <w:numPr>
                <w:ilvl w:val="0"/>
                <w:numId w:val="34"/>
              </w:numPr>
              <w:spacing w:after="120"/>
              <w:jc w:val="both"/>
              <w:rPr>
                <w:rFonts w:asciiTheme="minorHAnsi" w:hAnsiTheme="minorHAnsi" w:cstheme="minorHAnsi"/>
                <w:color w:val="000000" w:themeColor="text1"/>
                <w:sz w:val="20"/>
                <w:szCs w:val="20"/>
              </w:rPr>
            </w:pPr>
            <w:r>
              <w:rPr>
                <w:rFonts w:asciiTheme="minorHAnsi" w:hAnsiTheme="minorHAnsi" w:cstheme="minorHAnsi"/>
                <w:sz w:val="20"/>
                <w:szCs w:val="20"/>
              </w:rPr>
              <w:t xml:space="preserve">Tenderer must </w:t>
            </w:r>
            <w:r w:rsidR="004629ED" w:rsidRPr="004629ED">
              <w:rPr>
                <w:rFonts w:asciiTheme="minorHAnsi" w:hAnsiTheme="minorHAnsi" w:cstheme="minorHAnsi"/>
                <w:sz w:val="20"/>
                <w:szCs w:val="20"/>
              </w:rPr>
              <w:t>provide details of how the proposed solution, including the application, infrastructure, platform services, databases, operating systems, development frameworks, integration components, third</w:t>
            </w:r>
            <w:r w:rsidR="0055295E">
              <w:rPr>
                <w:rFonts w:asciiTheme="minorHAnsi" w:hAnsiTheme="minorHAnsi" w:cstheme="minorHAnsi"/>
                <w:sz w:val="20"/>
                <w:szCs w:val="20"/>
              </w:rPr>
              <w:t xml:space="preserve"> </w:t>
            </w:r>
            <w:r w:rsidR="004629ED" w:rsidRPr="004629ED">
              <w:rPr>
                <w:rFonts w:asciiTheme="minorHAnsi" w:hAnsiTheme="minorHAnsi" w:cstheme="minorHAnsi"/>
                <w:sz w:val="20"/>
                <w:szCs w:val="20"/>
              </w:rPr>
              <w:t>party libraries and security tooling, is kept current throughout the contract term.</w:t>
            </w:r>
          </w:p>
          <w:p w14:paraId="32D9FA2D" w14:textId="68C0BE9A" w:rsidR="00E45BB8" w:rsidRPr="004629ED" w:rsidRDefault="00E45BB8" w:rsidP="00CE61DE">
            <w:pPr>
              <w:pStyle w:val="Default"/>
              <w:numPr>
                <w:ilvl w:val="0"/>
                <w:numId w:val="34"/>
              </w:numPr>
              <w:spacing w:after="120"/>
              <w:jc w:val="both"/>
              <w:rPr>
                <w:rFonts w:asciiTheme="minorHAnsi" w:hAnsiTheme="minorHAnsi" w:cstheme="minorHAnsi"/>
                <w:color w:val="000000" w:themeColor="text1"/>
                <w:sz w:val="20"/>
                <w:szCs w:val="20"/>
              </w:rPr>
            </w:pPr>
            <w:r w:rsidRPr="004629ED">
              <w:rPr>
                <w:rFonts w:asciiTheme="minorHAnsi" w:hAnsiTheme="minorHAnsi" w:cstheme="minorHAnsi"/>
                <w:sz w:val="20"/>
                <w:szCs w:val="20"/>
              </w:rPr>
              <w:t>Tenderers should also explain how updates to the technology stack are managed without adversely affecting service availability, security, performance, regulatory compliance, integrations, validated configuration, data integrity or user experience</w:t>
            </w:r>
            <w:r w:rsidR="004629ED" w:rsidRPr="004629ED">
              <w:rPr>
                <w:rFonts w:asciiTheme="minorHAnsi" w:hAnsiTheme="minorHAnsi" w:cstheme="minorHAnsi"/>
                <w:sz w:val="20"/>
                <w:szCs w:val="20"/>
              </w:rPr>
              <w:t>.</w:t>
            </w:r>
          </w:p>
          <w:p w14:paraId="3696F1DB" w14:textId="77777777" w:rsidR="00E45BB8" w:rsidRPr="004629ED" w:rsidRDefault="00E45BB8" w:rsidP="00394F0C">
            <w:pPr>
              <w:pStyle w:val="HPRAMainBodyText"/>
              <w:jc w:val="both"/>
              <w:rPr>
                <w:rFonts w:asciiTheme="minorHAnsi" w:hAnsiTheme="minorHAnsi" w:cstheme="minorHAnsi"/>
              </w:rPr>
            </w:pPr>
          </w:p>
          <w:p w14:paraId="59903A36" w14:textId="77777777" w:rsidR="00E45BB8" w:rsidRPr="00AA532D" w:rsidRDefault="00E45BB8" w:rsidP="00D00590">
            <w:pPr>
              <w:jc w:val="both"/>
              <w:rPr>
                <w:rFonts w:cstheme="minorHAnsi"/>
                <w:b/>
                <w:sz w:val="20"/>
                <w:szCs w:val="20"/>
              </w:rPr>
            </w:pPr>
          </w:p>
        </w:tc>
      </w:tr>
      <w:tr w:rsidR="00E45BB8" w:rsidRPr="00AA532D" w14:paraId="47C67690" w14:textId="77777777" w:rsidTr="032B68AC">
        <w:tc>
          <w:tcPr>
            <w:tcW w:w="562" w:type="dxa"/>
          </w:tcPr>
          <w:p w14:paraId="234FB17E" w14:textId="77777777" w:rsidR="00E45BB8" w:rsidRPr="00AA532D" w:rsidRDefault="00E45BB8" w:rsidP="008B3854">
            <w:pPr>
              <w:pStyle w:val="HPRAMainBodyText"/>
              <w:jc w:val="center"/>
              <w:rPr>
                <w:rFonts w:asciiTheme="minorHAnsi" w:hAnsiTheme="minorHAnsi" w:cstheme="minorHAnsi"/>
                <w:b/>
                <w:bCs/>
              </w:rPr>
            </w:pPr>
            <w:r>
              <w:rPr>
                <w:rFonts w:asciiTheme="minorHAnsi" w:hAnsiTheme="minorHAnsi" w:cstheme="minorHAnsi"/>
                <w:b/>
                <w:bCs/>
              </w:rPr>
              <w:t>G</w:t>
            </w:r>
          </w:p>
        </w:tc>
        <w:tc>
          <w:tcPr>
            <w:tcW w:w="9498" w:type="dxa"/>
          </w:tcPr>
          <w:p w14:paraId="4358FBF3" w14:textId="77777777" w:rsidR="00E45BB8" w:rsidRPr="00AA532D" w:rsidRDefault="00E45BB8" w:rsidP="008B3854">
            <w:pPr>
              <w:pStyle w:val="Body1"/>
              <w:rPr>
                <w:rFonts w:asciiTheme="minorHAnsi" w:hAnsiTheme="minorHAnsi" w:cstheme="minorHAnsi"/>
              </w:rPr>
            </w:pPr>
            <w:r>
              <w:rPr>
                <w:rFonts w:asciiTheme="minorHAnsi" w:hAnsiTheme="minorHAnsi" w:cstheme="minorHAnsi"/>
                <w:b/>
                <w:bCs/>
              </w:rPr>
              <w:t>Security</w:t>
            </w:r>
          </w:p>
        </w:tc>
      </w:tr>
      <w:tr w:rsidR="00E45BB8" w:rsidRPr="00AA532D" w14:paraId="2050B886" w14:textId="77777777" w:rsidTr="003F4E66">
        <w:tc>
          <w:tcPr>
            <w:tcW w:w="562" w:type="dxa"/>
          </w:tcPr>
          <w:p w14:paraId="23BF51A0" w14:textId="77777777" w:rsidR="00E45BB8" w:rsidRPr="00AA532D" w:rsidRDefault="00E45BB8" w:rsidP="008B3854">
            <w:pPr>
              <w:pStyle w:val="HPRAMainBodyText"/>
              <w:jc w:val="center"/>
              <w:rPr>
                <w:rFonts w:asciiTheme="minorHAnsi" w:hAnsiTheme="minorHAnsi" w:cstheme="minorHAnsi"/>
                <w:b/>
                <w:bCs/>
              </w:rPr>
            </w:pPr>
          </w:p>
        </w:tc>
        <w:tc>
          <w:tcPr>
            <w:tcW w:w="9498" w:type="dxa"/>
          </w:tcPr>
          <w:p w14:paraId="7DAB1C65" w14:textId="1E5408B7" w:rsidR="00E45BB8" w:rsidRDefault="00E45BB8" w:rsidP="002B427C">
            <w:pPr>
              <w:spacing w:before="15"/>
              <w:ind w:right="54"/>
              <w:jc w:val="both"/>
              <w:rPr>
                <w:rFonts w:cstheme="minorHAnsi"/>
                <w:color w:val="000000" w:themeColor="text1"/>
                <w:sz w:val="20"/>
                <w:szCs w:val="20"/>
              </w:rPr>
            </w:pPr>
            <w:r w:rsidRPr="00AA532D">
              <w:rPr>
                <w:rFonts w:cstheme="minorHAnsi"/>
                <w:color w:val="000000" w:themeColor="text1"/>
                <w:sz w:val="20"/>
                <w:szCs w:val="20"/>
              </w:rPr>
              <w:t xml:space="preserve">The </w:t>
            </w:r>
            <w:r w:rsidR="00A356DA">
              <w:rPr>
                <w:rFonts w:cstheme="minorHAnsi"/>
                <w:color w:val="000000" w:themeColor="text1"/>
                <w:sz w:val="20"/>
                <w:szCs w:val="20"/>
              </w:rPr>
              <w:t>tenderer</w:t>
            </w:r>
            <w:r w:rsidRPr="00AA532D">
              <w:rPr>
                <w:rFonts w:cstheme="minorHAnsi"/>
                <w:color w:val="000000" w:themeColor="text1"/>
                <w:sz w:val="20"/>
                <w:szCs w:val="20"/>
              </w:rPr>
              <w:t xml:space="preserve"> will be responsible for ensuring the security of the entire solution</w:t>
            </w:r>
            <w:r w:rsidR="00A356DA">
              <w:rPr>
                <w:rFonts w:cstheme="minorHAnsi"/>
                <w:color w:val="000000" w:themeColor="text1"/>
                <w:sz w:val="20"/>
                <w:szCs w:val="20"/>
              </w:rPr>
              <w:t xml:space="preserve">, including </w:t>
            </w:r>
            <w:r w:rsidRPr="00AA532D">
              <w:rPr>
                <w:rFonts w:cstheme="minorHAnsi"/>
                <w:color w:val="000000" w:themeColor="text1"/>
                <w:sz w:val="20"/>
                <w:szCs w:val="20"/>
              </w:rPr>
              <w:t xml:space="preserve">protection of the infrastructure, application and hosted data from </w:t>
            </w:r>
            <w:r>
              <w:rPr>
                <w:rFonts w:cstheme="minorHAnsi"/>
                <w:color w:val="000000" w:themeColor="text1"/>
                <w:sz w:val="20"/>
                <w:szCs w:val="20"/>
              </w:rPr>
              <w:t xml:space="preserve">unauthorised access, </w:t>
            </w:r>
            <w:r w:rsidRPr="00AA532D">
              <w:rPr>
                <w:rFonts w:cstheme="minorHAnsi"/>
                <w:color w:val="000000" w:themeColor="text1"/>
                <w:sz w:val="20"/>
                <w:szCs w:val="20"/>
              </w:rPr>
              <w:t xml:space="preserve">loss or compromise. The supplier will be responsible for ensuring that protections </w:t>
            </w:r>
            <w:proofErr w:type="gramStart"/>
            <w:r w:rsidRPr="00AA532D">
              <w:rPr>
                <w:rFonts w:cstheme="minorHAnsi"/>
                <w:color w:val="000000" w:themeColor="text1"/>
                <w:sz w:val="20"/>
                <w:szCs w:val="20"/>
              </w:rPr>
              <w:t>are in compliance with</w:t>
            </w:r>
            <w:proofErr w:type="gramEnd"/>
            <w:r w:rsidRPr="00AA532D">
              <w:rPr>
                <w:rFonts w:cstheme="minorHAnsi"/>
                <w:color w:val="000000" w:themeColor="text1"/>
                <w:sz w:val="20"/>
                <w:szCs w:val="20"/>
              </w:rPr>
              <w:t xml:space="preserve"> data protection legislation.</w:t>
            </w:r>
            <w:r>
              <w:rPr>
                <w:rFonts w:cstheme="minorHAnsi"/>
                <w:color w:val="000000" w:themeColor="text1"/>
                <w:sz w:val="20"/>
                <w:szCs w:val="20"/>
              </w:rPr>
              <w:t xml:space="preserve"> It is a requirement that a hosted solution provides single sign on controls integrated with the HPRA’s technical access management procedures.</w:t>
            </w:r>
          </w:p>
          <w:p w14:paraId="6E221042" w14:textId="77777777" w:rsidR="00F658FC" w:rsidRDefault="00F658FC" w:rsidP="002B427C">
            <w:pPr>
              <w:spacing w:before="15"/>
              <w:ind w:right="54"/>
              <w:jc w:val="both"/>
              <w:rPr>
                <w:rFonts w:cstheme="minorHAnsi"/>
                <w:color w:val="000000" w:themeColor="text1"/>
                <w:sz w:val="20"/>
                <w:szCs w:val="20"/>
              </w:rPr>
            </w:pPr>
          </w:p>
          <w:p w14:paraId="02876B76" w14:textId="492086B3" w:rsidR="00F658FC" w:rsidRDefault="00F658FC" w:rsidP="002B427C">
            <w:pPr>
              <w:spacing w:before="15"/>
              <w:ind w:right="54"/>
              <w:jc w:val="both"/>
              <w:rPr>
                <w:rFonts w:cstheme="minorHAnsi"/>
                <w:color w:val="000000" w:themeColor="text1"/>
                <w:sz w:val="20"/>
                <w:szCs w:val="20"/>
              </w:rPr>
            </w:pPr>
            <w:r w:rsidRPr="00F658FC">
              <w:rPr>
                <w:rFonts w:cstheme="minorHAnsi"/>
                <w:color w:val="000000" w:themeColor="text1"/>
                <w:sz w:val="20"/>
                <w:szCs w:val="20"/>
              </w:rPr>
              <w:t xml:space="preserve">The </w:t>
            </w:r>
            <w:r>
              <w:rPr>
                <w:rFonts w:cstheme="minorHAnsi"/>
                <w:color w:val="000000" w:themeColor="text1"/>
                <w:sz w:val="20"/>
                <w:szCs w:val="20"/>
              </w:rPr>
              <w:t>solution</w:t>
            </w:r>
            <w:r w:rsidRPr="00F658FC">
              <w:rPr>
                <w:rFonts w:cstheme="minorHAnsi"/>
                <w:color w:val="000000" w:themeColor="text1"/>
                <w:sz w:val="20"/>
                <w:szCs w:val="20"/>
              </w:rPr>
              <w:t xml:space="preserve"> must incorporate effective security controls, including vulnerability management, timely patching, incident response arrangements, regular penetration testing and appropriate protection against denial</w:t>
            </w:r>
            <w:r w:rsidR="0055295E">
              <w:rPr>
                <w:rFonts w:cstheme="minorHAnsi"/>
                <w:color w:val="000000" w:themeColor="text1"/>
                <w:sz w:val="20"/>
                <w:szCs w:val="20"/>
              </w:rPr>
              <w:t xml:space="preserve"> </w:t>
            </w:r>
            <w:r w:rsidRPr="00F658FC">
              <w:rPr>
                <w:rFonts w:cstheme="minorHAnsi"/>
                <w:color w:val="000000" w:themeColor="text1"/>
                <w:sz w:val="20"/>
                <w:szCs w:val="20"/>
              </w:rPr>
              <w:t>of</w:t>
            </w:r>
            <w:r w:rsidR="0055295E">
              <w:rPr>
                <w:rFonts w:cstheme="minorHAnsi"/>
                <w:color w:val="000000" w:themeColor="text1"/>
                <w:sz w:val="20"/>
                <w:szCs w:val="20"/>
              </w:rPr>
              <w:t xml:space="preserve"> </w:t>
            </w:r>
            <w:r w:rsidRPr="00F658FC">
              <w:rPr>
                <w:rFonts w:cstheme="minorHAnsi"/>
                <w:color w:val="000000" w:themeColor="text1"/>
                <w:sz w:val="20"/>
                <w:szCs w:val="20"/>
              </w:rPr>
              <w:t>service attacks.</w:t>
            </w:r>
          </w:p>
          <w:p w14:paraId="286D5484" w14:textId="77777777" w:rsidR="00E45BB8" w:rsidRDefault="00E45BB8" w:rsidP="002B427C">
            <w:pPr>
              <w:spacing w:before="15"/>
              <w:ind w:right="54"/>
              <w:jc w:val="both"/>
              <w:rPr>
                <w:rFonts w:cstheme="minorHAnsi"/>
                <w:color w:val="000000" w:themeColor="text1"/>
                <w:sz w:val="20"/>
                <w:szCs w:val="20"/>
              </w:rPr>
            </w:pPr>
          </w:p>
          <w:p w14:paraId="55338908" w14:textId="3358D463" w:rsidR="004C1209" w:rsidRDefault="00674AEB">
            <w:pPr>
              <w:pStyle w:val="HPRAMainBodyText"/>
              <w:numPr>
                <w:ilvl w:val="0"/>
                <w:numId w:val="21"/>
              </w:numPr>
              <w:spacing w:after="120"/>
              <w:ind w:right="57"/>
              <w:jc w:val="both"/>
              <w:rPr>
                <w:rFonts w:asciiTheme="minorHAnsi" w:hAnsiTheme="minorHAnsi" w:cstheme="minorHAnsi"/>
              </w:rPr>
            </w:pPr>
            <w:r>
              <w:rPr>
                <w:rFonts w:asciiTheme="minorHAnsi" w:hAnsiTheme="minorHAnsi" w:cstheme="minorHAnsi"/>
              </w:rPr>
              <w:t>Tenderer must provide d</w:t>
            </w:r>
            <w:r w:rsidRPr="0002060D">
              <w:rPr>
                <w:rFonts w:asciiTheme="minorHAnsi" w:hAnsiTheme="minorHAnsi" w:cstheme="minorHAnsi"/>
              </w:rPr>
              <w:t xml:space="preserve">etails </w:t>
            </w:r>
            <w:r w:rsidR="00E45BB8" w:rsidRPr="00AA532D">
              <w:rPr>
                <w:rFonts w:asciiTheme="minorHAnsi" w:hAnsiTheme="minorHAnsi" w:cstheme="minorHAnsi"/>
              </w:rPr>
              <w:t xml:space="preserve">of </w:t>
            </w:r>
            <w:r w:rsidR="00976E30">
              <w:rPr>
                <w:rFonts w:asciiTheme="minorHAnsi" w:hAnsiTheme="minorHAnsi" w:cstheme="minorHAnsi"/>
              </w:rPr>
              <w:t xml:space="preserve">the </w:t>
            </w:r>
            <w:r w:rsidR="00976E30" w:rsidRPr="00976E30">
              <w:rPr>
                <w:rFonts w:asciiTheme="minorHAnsi" w:hAnsiTheme="minorHAnsi" w:cstheme="minorHAnsi"/>
              </w:rPr>
              <w:t>technical and organisational measures used to protect data throughout its lifecycle.</w:t>
            </w:r>
            <w:r w:rsidR="00976E30">
              <w:rPr>
                <w:rFonts w:asciiTheme="minorHAnsi" w:hAnsiTheme="minorHAnsi" w:cstheme="minorHAnsi"/>
              </w:rPr>
              <w:t xml:space="preserve"> This should include </w:t>
            </w:r>
            <w:r w:rsidR="000B4A49">
              <w:rPr>
                <w:rFonts w:asciiTheme="minorHAnsi" w:hAnsiTheme="minorHAnsi" w:cstheme="minorHAnsi"/>
              </w:rPr>
              <w:t>details as to h</w:t>
            </w:r>
            <w:r w:rsidR="00E45BB8" w:rsidRPr="00AA532D">
              <w:rPr>
                <w:rFonts w:asciiTheme="minorHAnsi" w:hAnsiTheme="minorHAnsi" w:cstheme="minorHAnsi"/>
              </w:rPr>
              <w:t xml:space="preserve">ow </w:t>
            </w:r>
            <w:r w:rsidR="00E45BB8">
              <w:rPr>
                <w:rFonts w:asciiTheme="minorHAnsi" w:hAnsiTheme="minorHAnsi" w:cstheme="minorHAnsi"/>
              </w:rPr>
              <w:t>data</w:t>
            </w:r>
            <w:r w:rsidR="00E45BB8" w:rsidRPr="00AA532D">
              <w:rPr>
                <w:rFonts w:asciiTheme="minorHAnsi" w:hAnsiTheme="minorHAnsi" w:cstheme="minorHAnsi"/>
              </w:rPr>
              <w:t xml:space="preserve"> security </w:t>
            </w:r>
            <w:r w:rsidR="000B4A49">
              <w:rPr>
                <w:rFonts w:asciiTheme="minorHAnsi" w:hAnsiTheme="minorHAnsi" w:cstheme="minorHAnsi"/>
              </w:rPr>
              <w:t>is</w:t>
            </w:r>
            <w:r w:rsidR="00E45BB8" w:rsidRPr="00AA532D">
              <w:rPr>
                <w:rFonts w:asciiTheme="minorHAnsi" w:hAnsiTheme="minorHAnsi" w:cstheme="minorHAnsi"/>
              </w:rPr>
              <w:t xml:space="preserve"> </w:t>
            </w:r>
            <w:r w:rsidR="00E45BB8">
              <w:rPr>
                <w:rFonts w:asciiTheme="minorHAnsi" w:hAnsiTheme="minorHAnsi" w:cstheme="minorHAnsi"/>
              </w:rPr>
              <w:t>implemented</w:t>
            </w:r>
            <w:r w:rsidR="00E45BB8" w:rsidRPr="00AA532D">
              <w:rPr>
                <w:rFonts w:asciiTheme="minorHAnsi" w:hAnsiTheme="minorHAnsi" w:cstheme="minorHAnsi"/>
              </w:rPr>
              <w:t xml:space="preserve"> and administered from within their</w:t>
            </w:r>
            <w:r w:rsidR="000B4A49">
              <w:rPr>
                <w:rFonts w:asciiTheme="minorHAnsi" w:hAnsiTheme="minorHAnsi" w:cstheme="minorHAnsi"/>
              </w:rPr>
              <w:t xml:space="preserve"> proposed</w:t>
            </w:r>
            <w:r w:rsidR="00E45BB8" w:rsidRPr="00AA532D">
              <w:rPr>
                <w:rFonts w:asciiTheme="minorHAnsi" w:hAnsiTheme="minorHAnsi" w:cstheme="minorHAnsi"/>
              </w:rPr>
              <w:t xml:space="preserve"> solution</w:t>
            </w:r>
            <w:r w:rsidR="00E45BB8">
              <w:rPr>
                <w:rFonts w:asciiTheme="minorHAnsi" w:hAnsiTheme="minorHAnsi" w:cstheme="minorHAnsi"/>
              </w:rPr>
              <w:t>.</w:t>
            </w:r>
          </w:p>
          <w:p w14:paraId="5C64104A" w14:textId="60214C22" w:rsidR="00976E30" w:rsidRDefault="00674AEB">
            <w:pPr>
              <w:pStyle w:val="HPRAMainBodyText"/>
              <w:numPr>
                <w:ilvl w:val="0"/>
                <w:numId w:val="21"/>
              </w:numPr>
              <w:spacing w:after="120"/>
              <w:ind w:right="57"/>
              <w:jc w:val="both"/>
              <w:rPr>
                <w:rFonts w:asciiTheme="minorHAnsi" w:hAnsiTheme="minorHAnsi" w:cstheme="minorHAnsi"/>
              </w:rPr>
            </w:pPr>
            <w:r>
              <w:rPr>
                <w:rFonts w:asciiTheme="minorHAnsi" w:hAnsiTheme="minorHAnsi" w:cstheme="minorHAnsi"/>
              </w:rPr>
              <w:t>Tenderer must provide d</w:t>
            </w:r>
            <w:r w:rsidRPr="0002060D">
              <w:rPr>
                <w:rFonts w:asciiTheme="minorHAnsi" w:hAnsiTheme="minorHAnsi" w:cstheme="minorHAnsi"/>
              </w:rPr>
              <w:t xml:space="preserve">etails </w:t>
            </w:r>
            <w:r w:rsidR="00E45BB8">
              <w:rPr>
                <w:rFonts w:asciiTheme="minorHAnsi" w:hAnsiTheme="minorHAnsi" w:cstheme="minorHAnsi"/>
              </w:rPr>
              <w:t>of encryption and other measure to protect data both in transit and at rest.</w:t>
            </w:r>
            <w:r w:rsidR="00DD2A44">
              <w:rPr>
                <w:rFonts w:asciiTheme="minorHAnsi" w:hAnsiTheme="minorHAnsi" w:cstheme="minorHAnsi"/>
              </w:rPr>
              <w:t xml:space="preserve"> </w:t>
            </w:r>
            <w:r w:rsidR="0057126B">
              <w:rPr>
                <w:rFonts w:asciiTheme="minorHAnsi" w:hAnsiTheme="minorHAnsi" w:cstheme="minorHAnsi"/>
              </w:rPr>
              <w:t xml:space="preserve">This should </w:t>
            </w:r>
            <w:r w:rsidR="005E3122">
              <w:rPr>
                <w:rFonts w:asciiTheme="minorHAnsi" w:hAnsiTheme="minorHAnsi" w:cstheme="minorHAnsi"/>
              </w:rPr>
              <w:t>include</w:t>
            </w:r>
            <w:r w:rsidR="00DD2A44" w:rsidRPr="00DD2A44">
              <w:rPr>
                <w:rFonts w:asciiTheme="minorHAnsi" w:hAnsiTheme="minorHAnsi" w:cstheme="minorHAnsi"/>
              </w:rPr>
              <w:t xml:space="preserve"> details of encryption standards, key ownership, key rotation, key storage, </w:t>
            </w:r>
            <w:r w:rsidR="005E3122">
              <w:rPr>
                <w:rFonts w:asciiTheme="minorHAnsi" w:hAnsiTheme="minorHAnsi" w:cstheme="minorHAnsi"/>
              </w:rPr>
              <w:t xml:space="preserve">and </w:t>
            </w:r>
            <w:r w:rsidR="00DD2A44" w:rsidRPr="00DD2A44">
              <w:rPr>
                <w:rFonts w:asciiTheme="minorHAnsi" w:hAnsiTheme="minorHAnsi" w:cstheme="minorHAnsi"/>
              </w:rPr>
              <w:t>backup encryption</w:t>
            </w:r>
            <w:r w:rsidR="005E3122">
              <w:rPr>
                <w:rFonts w:asciiTheme="minorHAnsi" w:hAnsiTheme="minorHAnsi" w:cstheme="minorHAnsi"/>
              </w:rPr>
              <w:t>.</w:t>
            </w:r>
          </w:p>
          <w:p w14:paraId="01B29EA2" w14:textId="470645CC" w:rsidR="00A32438" w:rsidRDefault="005E3122">
            <w:pPr>
              <w:pStyle w:val="HPRAMainBodyText"/>
              <w:numPr>
                <w:ilvl w:val="0"/>
                <w:numId w:val="21"/>
              </w:numPr>
              <w:spacing w:after="120"/>
              <w:ind w:right="57"/>
              <w:jc w:val="both"/>
              <w:rPr>
                <w:rFonts w:asciiTheme="minorHAnsi" w:hAnsiTheme="minorHAnsi" w:cstheme="minorHAnsi"/>
              </w:rPr>
            </w:pPr>
            <w:r>
              <w:rPr>
                <w:rFonts w:asciiTheme="minorHAnsi" w:hAnsiTheme="minorHAnsi" w:cstheme="minorHAnsi"/>
              </w:rPr>
              <w:t>Tendered must provide details of security related event l</w:t>
            </w:r>
            <w:r w:rsidR="00A32438" w:rsidRPr="00C40004">
              <w:rPr>
                <w:rFonts w:asciiTheme="minorHAnsi" w:hAnsiTheme="minorHAnsi" w:cstheme="minorHAnsi"/>
              </w:rPr>
              <w:t>ogging, monitoring and alerting</w:t>
            </w:r>
            <w:r>
              <w:rPr>
                <w:rFonts w:asciiTheme="minorHAnsi" w:hAnsiTheme="minorHAnsi" w:cstheme="minorHAnsi"/>
              </w:rPr>
              <w:t>.</w:t>
            </w:r>
            <w:r w:rsidR="00832943">
              <w:rPr>
                <w:rFonts w:asciiTheme="minorHAnsi" w:hAnsiTheme="minorHAnsi" w:cstheme="minorHAnsi"/>
              </w:rPr>
              <w:t xml:space="preserve">  This should include reference to </w:t>
            </w:r>
            <w:r w:rsidR="00832943" w:rsidRPr="00C40004">
              <w:rPr>
                <w:rFonts w:asciiTheme="minorHAnsi" w:hAnsiTheme="minorHAnsi" w:cstheme="minorHAnsi"/>
              </w:rPr>
              <w:t>proactive monitoring, alerting and retention of logs for investigation and audit purposes.</w:t>
            </w:r>
            <w:r w:rsidR="00A32438" w:rsidRPr="00C40004">
              <w:rPr>
                <w:rFonts w:asciiTheme="minorHAnsi" w:hAnsiTheme="minorHAnsi" w:cstheme="minorHAnsi"/>
              </w:rPr>
              <w:t xml:space="preserve"> </w:t>
            </w:r>
          </w:p>
          <w:p w14:paraId="54F3C481" w14:textId="1381FB6D" w:rsidR="00631251" w:rsidRDefault="00377D51" w:rsidP="00A32438">
            <w:pPr>
              <w:pStyle w:val="HPRAMainBodyText"/>
              <w:numPr>
                <w:ilvl w:val="0"/>
                <w:numId w:val="21"/>
              </w:numPr>
              <w:spacing w:after="120"/>
              <w:ind w:right="57"/>
              <w:jc w:val="both"/>
              <w:rPr>
                <w:rFonts w:asciiTheme="minorHAnsi" w:hAnsiTheme="minorHAnsi" w:cstheme="minorHAnsi"/>
              </w:rPr>
            </w:pPr>
            <w:r>
              <w:rPr>
                <w:rFonts w:asciiTheme="minorHAnsi" w:hAnsiTheme="minorHAnsi" w:cstheme="minorHAnsi"/>
              </w:rPr>
              <w:t>Tenderer must provide d</w:t>
            </w:r>
            <w:r w:rsidRPr="0002060D">
              <w:rPr>
                <w:rFonts w:asciiTheme="minorHAnsi" w:hAnsiTheme="minorHAnsi" w:cstheme="minorHAnsi"/>
              </w:rPr>
              <w:t xml:space="preserve">etails </w:t>
            </w:r>
            <w:r w:rsidR="00B34B27" w:rsidRPr="00B34B27">
              <w:rPr>
                <w:rFonts w:asciiTheme="minorHAnsi" w:hAnsiTheme="minorHAnsi" w:cstheme="minorHAnsi"/>
              </w:rPr>
              <w:t xml:space="preserve">of how the supplier proactively ensures maximum security is maintained. This should include reference to plans </w:t>
            </w:r>
            <w:r w:rsidR="00F751AE">
              <w:rPr>
                <w:rFonts w:asciiTheme="minorHAnsi" w:hAnsiTheme="minorHAnsi" w:cstheme="minorHAnsi"/>
              </w:rPr>
              <w:t xml:space="preserve">and independent assurance </w:t>
            </w:r>
            <w:r w:rsidR="00B34B27" w:rsidRPr="00B34B27">
              <w:rPr>
                <w:rFonts w:asciiTheme="minorHAnsi" w:hAnsiTheme="minorHAnsi" w:cstheme="minorHAnsi"/>
              </w:rPr>
              <w:t>for security / intrusion testing and vulnerability scans.  Details should be provided of measures taken to protect the integrity of the development supply chain.</w:t>
            </w:r>
          </w:p>
          <w:p w14:paraId="604E1BE2" w14:textId="3419333B" w:rsidR="00631251" w:rsidRDefault="00703A67" w:rsidP="00631251">
            <w:pPr>
              <w:pStyle w:val="HPRAMainBodyText"/>
              <w:numPr>
                <w:ilvl w:val="0"/>
                <w:numId w:val="21"/>
              </w:numPr>
              <w:spacing w:after="120"/>
              <w:ind w:right="57"/>
              <w:jc w:val="both"/>
              <w:rPr>
                <w:rFonts w:asciiTheme="minorHAnsi" w:hAnsiTheme="minorHAnsi" w:cstheme="minorHAnsi"/>
              </w:rPr>
            </w:pPr>
            <w:r>
              <w:rPr>
                <w:rFonts w:asciiTheme="minorHAnsi" w:hAnsiTheme="minorHAnsi" w:cstheme="minorHAnsi"/>
              </w:rPr>
              <w:t>Tenderer must provide d</w:t>
            </w:r>
            <w:r w:rsidRPr="0002060D">
              <w:rPr>
                <w:rFonts w:asciiTheme="minorHAnsi" w:hAnsiTheme="minorHAnsi" w:cstheme="minorHAnsi"/>
              </w:rPr>
              <w:t xml:space="preserve">etails </w:t>
            </w:r>
            <w:r>
              <w:rPr>
                <w:rFonts w:asciiTheme="minorHAnsi" w:hAnsiTheme="minorHAnsi" w:cstheme="minorHAnsi"/>
              </w:rPr>
              <w:t>of procedures for s</w:t>
            </w:r>
            <w:r w:rsidR="00631251" w:rsidRPr="00C40004">
              <w:rPr>
                <w:rFonts w:asciiTheme="minorHAnsi" w:hAnsiTheme="minorHAnsi" w:cstheme="minorHAnsi"/>
              </w:rPr>
              <w:t>ecurity incident and</w:t>
            </w:r>
            <w:r>
              <w:rPr>
                <w:rFonts w:asciiTheme="minorHAnsi" w:hAnsiTheme="minorHAnsi" w:cstheme="minorHAnsi"/>
              </w:rPr>
              <w:t>/or</w:t>
            </w:r>
            <w:r w:rsidR="00631251" w:rsidRPr="00C40004">
              <w:rPr>
                <w:rFonts w:asciiTheme="minorHAnsi" w:hAnsiTheme="minorHAnsi" w:cstheme="minorHAnsi"/>
              </w:rPr>
              <w:t xml:space="preserve"> personal data breach management</w:t>
            </w:r>
            <w:r>
              <w:rPr>
                <w:rFonts w:asciiTheme="minorHAnsi" w:hAnsiTheme="minorHAnsi" w:cstheme="minorHAnsi"/>
              </w:rPr>
              <w:t xml:space="preserve">. </w:t>
            </w:r>
            <w:r w:rsidR="002247C3">
              <w:rPr>
                <w:rFonts w:asciiTheme="minorHAnsi" w:hAnsiTheme="minorHAnsi" w:cstheme="minorHAnsi"/>
              </w:rPr>
              <w:t xml:space="preserve">This should include details of the </w:t>
            </w:r>
            <w:r w:rsidR="00631251" w:rsidRPr="00C40004">
              <w:rPr>
                <w:rFonts w:asciiTheme="minorHAnsi" w:hAnsiTheme="minorHAnsi" w:cstheme="minorHAnsi"/>
              </w:rPr>
              <w:t>incident response process, notification timelines, escalation routes, evidence preservation and support for HPRA’s GDPR breach assessment and regulatory notification obligations.</w:t>
            </w:r>
          </w:p>
          <w:p w14:paraId="638FD7A5" w14:textId="56F8507A" w:rsidR="00E45BB8" w:rsidRPr="00924785" w:rsidRDefault="00E45BB8" w:rsidP="00710EF4">
            <w:pPr>
              <w:pStyle w:val="HPRAMainBodyText"/>
              <w:spacing w:after="120"/>
              <w:ind w:right="57"/>
              <w:jc w:val="both"/>
              <w:rPr>
                <w:rFonts w:asciiTheme="minorHAnsi" w:hAnsiTheme="minorHAnsi" w:cstheme="minorHAnsi"/>
              </w:rPr>
            </w:pPr>
          </w:p>
        </w:tc>
      </w:tr>
    </w:tbl>
    <w:p w14:paraId="7F436905" w14:textId="77777777" w:rsidR="00EA7AC3" w:rsidRDefault="00EA7AC3" w:rsidP="00EA7AC3">
      <w:pPr>
        <w:jc w:val="both"/>
        <w:rPr>
          <w:sz w:val="20"/>
        </w:rPr>
      </w:pPr>
    </w:p>
    <w:p w14:paraId="1F44FF73" w14:textId="35E21EDC" w:rsidR="00E40EAE" w:rsidRPr="00E40EAE" w:rsidRDefault="00E40EAE" w:rsidP="00E40EAE">
      <w:pPr>
        <w:jc w:val="both"/>
        <w:rPr>
          <w:sz w:val="20"/>
        </w:rPr>
      </w:pPr>
      <w:r w:rsidRPr="00E40EAE">
        <w:rPr>
          <w:sz w:val="20"/>
        </w:rPr>
        <w:t xml:space="preserve">Tenderers must </w:t>
      </w:r>
      <w:r w:rsidR="009908F7">
        <w:rPr>
          <w:sz w:val="20"/>
        </w:rPr>
        <w:t>specify</w:t>
      </w:r>
      <w:r w:rsidRPr="00E40EAE">
        <w:rPr>
          <w:sz w:val="20"/>
        </w:rPr>
        <w:t xml:space="preserve"> any third</w:t>
      </w:r>
      <w:r w:rsidR="0055295E">
        <w:rPr>
          <w:sz w:val="20"/>
        </w:rPr>
        <w:t xml:space="preserve"> </w:t>
      </w:r>
      <w:r w:rsidRPr="00E40EAE">
        <w:rPr>
          <w:sz w:val="20"/>
        </w:rPr>
        <w:t xml:space="preserve">party applications, services, tools or components required for the proposed </w:t>
      </w:r>
      <w:r w:rsidR="000E3556">
        <w:rPr>
          <w:sz w:val="20"/>
        </w:rPr>
        <w:t>solution</w:t>
      </w:r>
      <w:r w:rsidRPr="00E40EAE">
        <w:rPr>
          <w:sz w:val="20"/>
        </w:rPr>
        <w:t xml:space="preserve"> to </w:t>
      </w:r>
      <w:r w:rsidR="000E3556">
        <w:rPr>
          <w:sz w:val="20"/>
        </w:rPr>
        <w:t xml:space="preserve">be implemented or to </w:t>
      </w:r>
      <w:r w:rsidRPr="00E40EAE">
        <w:rPr>
          <w:sz w:val="20"/>
        </w:rPr>
        <w:t>operate, including any end user licence agreements, subscription terms or usage restrictions that would apply to the HPRA.</w:t>
      </w:r>
    </w:p>
    <w:p w14:paraId="6E2D540B" w14:textId="28FB1F07" w:rsidR="00F0499A" w:rsidRDefault="00F0499A" w:rsidP="00E40EAE">
      <w:pPr>
        <w:jc w:val="both"/>
        <w:rPr>
          <w:sz w:val="20"/>
        </w:rPr>
      </w:pPr>
    </w:p>
    <w:p w14:paraId="0364E542" w14:textId="77777777" w:rsidR="00F0499A" w:rsidRPr="00FA2BC7" w:rsidRDefault="00F0499A" w:rsidP="00EA7AC3">
      <w:pPr>
        <w:jc w:val="both"/>
        <w:rPr>
          <w:sz w:val="20"/>
        </w:rPr>
      </w:pPr>
    </w:p>
    <w:p w14:paraId="5820E4A5" w14:textId="7AD3926D" w:rsidR="00EA7AC3" w:rsidRDefault="00B4676E" w:rsidP="00C13E8A">
      <w:pPr>
        <w:pStyle w:val="HPRAHeadingL2"/>
      </w:pPr>
      <w:bookmarkStart w:id="9" w:name="_Toc235785010"/>
      <w:r>
        <w:t xml:space="preserve">Implementation </w:t>
      </w:r>
      <w:r w:rsidR="00C53AB3">
        <w:t>Approach</w:t>
      </w:r>
      <w:bookmarkEnd w:id="9"/>
    </w:p>
    <w:p w14:paraId="47CDF127" w14:textId="2F68D5DD" w:rsidR="00426202" w:rsidRDefault="00426202" w:rsidP="00426202">
      <w:pPr>
        <w:pStyle w:val="HPRAMainBodyText"/>
      </w:pPr>
    </w:p>
    <w:p w14:paraId="1B7B5C42" w14:textId="7945591D" w:rsidR="00B3366C" w:rsidRDefault="00560C5C" w:rsidP="00000E14">
      <w:pPr>
        <w:pStyle w:val="HPRAMainBodyText"/>
        <w:jc w:val="both"/>
      </w:pPr>
      <w:r w:rsidRPr="00560C5C">
        <w:t>Tenderers must provide a comprehensive description of their proposed approach and methodology for delivering, commissioning and transitioning the solution into operational use. The response should be structured under the headings below and should clearly describe how the tenderer will plan, govern, resource, manage and control the implementation from mobilisation through to go</w:t>
      </w:r>
      <w:r w:rsidR="0055295E">
        <w:t xml:space="preserve"> </w:t>
      </w:r>
      <w:r w:rsidRPr="00560C5C">
        <w:t>live and transition to support.</w:t>
      </w:r>
    </w:p>
    <w:p w14:paraId="2856DC05" w14:textId="77777777" w:rsidR="004A4DBD" w:rsidRDefault="004A4DBD" w:rsidP="00426202">
      <w:pPr>
        <w:pStyle w:val="HPRAMainBodyText"/>
      </w:pPr>
    </w:p>
    <w:p w14:paraId="670D4AFB" w14:textId="77777777" w:rsidR="002A3D13" w:rsidRDefault="002A3D13" w:rsidP="00000E14">
      <w:pPr>
        <w:pStyle w:val="HPRAMainBodyText"/>
        <w:jc w:val="both"/>
        <w:rPr>
          <w:kern w:val="2"/>
          <w:lang w:eastAsia="en-IE"/>
          <w14:ligatures w14:val="standardContextual"/>
        </w:rPr>
      </w:pPr>
      <w:r>
        <w:t>Given the age and limitations of the current legacy technology, the HPRA wishes to move to the replacement solution as efficiently as possible while minimising disruption to ongoing pharmacovigilance operations. Tenderers should therefore propose an implementation approach that supports an accelerated but controlled transition, with clear sequencing of activities, early identification and management of risks and dependencies, effective engagement with HPRA stakeholders, and appropriate safeguards to protect service continuity, data integrity, regulatory compliance and user readiness throughout the project.</w:t>
      </w:r>
    </w:p>
    <w:p w14:paraId="609A4DF1" w14:textId="77777777" w:rsidR="00B3366C" w:rsidRDefault="00B3366C" w:rsidP="00426202">
      <w:pPr>
        <w:pStyle w:val="HPRAMainBodyText"/>
      </w:pPr>
    </w:p>
    <w:p w14:paraId="42A936EA" w14:textId="19270CB4" w:rsidR="00426202" w:rsidRDefault="003C0E9C" w:rsidP="00EE21C9">
      <w:pPr>
        <w:pStyle w:val="HPRAHeadingL3"/>
      </w:pPr>
      <w:r>
        <w:t>Project Overview</w:t>
      </w:r>
      <w:r w:rsidR="00426202">
        <w:t xml:space="preserve"> </w:t>
      </w:r>
    </w:p>
    <w:p w14:paraId="51958B8B" w14:textId="0E1BE742" w:rsidR="009B6C0C" w:rsidRDefault="009B6C0C">
      <w:pPr>
        <w:pStyle w:val="HPRAMainBodyText"/>
        <w:jc w:val="both"/>
        <w:rPr>
          <w:kern w:val="2"/>
          <w:lang w:eastAsia="en-IE"/>
          <w14:ligatures w14:val="standardContextual"/>
        </w:rPr>
      </w:pPr>
      <w:r>
        <w:t>Tenderers should provide a</w:t>
      </w:r>
      <w:r w:rsidR="00414946">
        <w:t>n</w:t>
      </w:r>
      <w:r>
        <w:t xml:space="preserve"> overview of their proposed implementation approach and methodology, including the overall project structure, key delivery phases and approach to transitioning the application into production. The response should explain how the project will be initiated, how objectives and success criteria will be confirmed, how stakeholders will be engaged, and how scope, design and key deliverables will be reviewed and signed off.</w:t>
      </w:r>
    </w:p>
    <w:p w14:paraId="4B63AA1D" w14:textId="77777777" w:rsidR="00703582" w:rsidRDefault="00703582" w:rsidP="00703582">
      <w:pPr>
        <w:pStyle w:val="HPRAMainBodyText"/>
        <w:jc w:val="both"/>
      </w:pPr>
    </w:p>
    <w:p w14:paraId="2BDC79AA" w14:textId="06D5BD7E" w:rsidR="009B6C0C" w:rsidRDefault="009B6C0C">
      <w:pPr>
        <w:pStyle w:val="HPRAMainBodyText"/>
        <w:jc w:val="both"/>
        <w:rPr>
          <w:kern w:val="2"/>
          <w:lang w:eastAsia="en-IE"/>
          <w14:ligatures w14:val="standardContextual"/>
        </w:rPr>
      </w:pPr>
      <w:r>
        <w:t>Tenderers must provide an outline project plan for implementing the proposed solution. The plan should identify the main phases, activities, indicative timelines, key milestones, dependencies and decision points from mobilisation through to go</w:t>
      </w:r>
      <w:r w:rsidR="0055295E">
        <w:t xml:space="preserve"> </w:t>
      </w:r>
      <w:r>
        <w:t>live and transition to support.</w:t>
      </w:r>
    </w:p>
    <w:p w14:paraId="0FF8202C" w14:textId="77777777" w:rsidR="00AE491B" w:rsidRDefault="00AE491B" w:rsidP="00703582">
      <w:pPr>
        <w:pStyle w:val="HPRAMainBodyText"/>
        <w:jc w:val="both"/>
      </w:pPr>
    </w:p>
    <w:p w14:paraId="5E97ED22" w14:textId="1C87C3A8" w:rsidR="009B6C0C" w:rsidRDefault="009B6C0C">
      <w:pPr>
        <w:pStyle w:val="HPRAMainBodyText"/>
        <w:jc w:val="both"/>
        <w:rPr>
          <w:kern w:val="2"/>
          <w:lang w:eastAsia="en-IE"/>
          <w14:ligatures w14:val="standardContextual"/>
        </w:rPr>
      </w:pPr>
      <w:r>
        <w:t>Tenderers should clearly state the assumptions, dependencies and prerequisites on which the proposed plan is based. This should include any required HPRA inputs, decisions, approvals, technical access, data preparation, testing or other factors that may affect the timing or sequencing of project activities.</w:t>
      </w:r>
    </w:p>
    <w:p w14:paraId="00EE5E57" w14:textId="77777777" w:rsidR="00407206" w:rsidRDefault="00407206" w:rsidP="00703582">
      <w:pPr>
        <w:pStyle w:val="HPRAMainBodyText"/>
        <w:jc w:val="both"/>
      </w:pPr>
    </w:p>
    <w:p w14:paraId="137A92E8" w14:textId="516F1CF0" w:rsidR="00BE6D9F" w:rsidRPr="00B27993" w:rsidRDefault="009B6C0C">
      <w:pPr>
        <w:pStyle w:val="HPRAMainBodyText"/>
        <w:jc w:val="both"/>
        <w:rPr>
          <w:kern w:val="2"/>
          <w:lang w:eastAsia="en-IE"/>
          <w14:ligatures w14:val="standardContextual"/>
        </w:rPr>
      </w:pPr>
      <w:r>
        <w:t>Tenderers should describe how the project plan will be managed and maintained during delivery, how progress will be monitored and reported, and how changes to timelines, sequencing, scope, assumptions or dependencies will be controlled.</w:t>
      </w:r>
      <w:r w:rsidR="00B27993">
        <w:rPr>
          <w:kern w:val="2"/>
          <w:lang w:eastAsia="en-IE"/>
          <w14:ligatures w14:val="standardContextual"/>
        </w:rPr>
        <w:t xml:space="preserve"> </w:t>
      </w:r>
      <w:r>
        <w:t>Tenderers should also provide an overview of the activities, resources and inputs required from the HPRA, explain how these will integrate with the overall project plan</w:t>
      </w:r>
      <w:r w:rsidR="00BE6D9F">
        <w:t>.</w:t>
      </w:r>
    </w:p>
    <w:p w14:paraId="0816CF65" w14:textId="77777777" w:rsidR="00142D17" w:rsidRDefault="00142D17" w:rsidP="00703582">
      <w:pPr>
        <w:pStyle w:val="HPRAMainBodyText"/>
        <w:jc w:val="both"/>
      </w:pPr>
    </w:p>
    <w:p w14:paraId="058387DC" w14:textId="77777777" w:rsidR="00142D17" w:rsidRDefault="00142D17" w:rsidP="00142D17">
      <w:pPr>
        <w:pStyle w:val="HPRAMainBodyText"/>
      </w:pPr>
    </w:p>
    <w:p w14:paraId="21FFB919" w14:textId="5920B1F4" w:rsidR="00142D17" w:rsidRDefault="00142D17" w:rsidP="00142D17">
      <w:pPr>
        <w:pStyle w:val="HPRAHeadingL3"/>
      </w:pPr>
      <w:r>
        <w:t xml:space="preserve">Governance, Roles &amp; Responsibilities  </w:t>
      </w:r>
    </w:p>
    <w:p w14:paraId="54413887" w14:textId="7DE58819" w:rsidR="00482F70" w:rsidRDefault="00482F70">
      <w:pPr>
        <w:pStyle w:val="HPRAMainBodyText"/>
        <w:spacing w:after="120"/>
        <w:jc w:val="both"/>
        <w:rPr>
          <w:kern w:val="2"/>
          <w:lang w:eastAsia="en-IE"/>
          <w14:ligatures w14:val="standardContextual"/>
        </w:rPr>
      </w:pPr>
      <w:r>
        <w:t>Tenderers should describe the proposed governance arrangements for the implementation, including the project structure, decision</w:t>
      </w:r>
      <w:r w:rsidR="0055295E">
        <w:t xml:space="preserve"> </w:t>
      </w:r>
      <w:r>
        <w:t xml:space="preserve">making </w:t>
      </w:r>
      <w:r w:rsidR="00B27993">
        <w:t>and</w:t>
      </w:r>
      <w:r>
        <w:t xml:space="preserve"> reporting arrangements, escalation routes and the respective responsibilities of the tenderer, the HPRA and any subcontractors or third parties.</w:t>
      </w:r>
      <w:r w:rsidR="00BC17A8">
        <w:rPr>
          <w:kern w:val="2"/>
          <w:lang w:eastAsia="en-IE"/>
          <w14:ligatures w14:val="standardContextual"/>
        </w:rPr>
        <w:t xml:space="preserve"> </w:t>
      </w:r>
      <w:r>
        <w:t>Tenderers should identify the key governance deliverables they expect to produce and maintain, such as mobilisation materials, project plans, status reports, risk and issue logs, decision logs, action logs and meeting records.</w:t>
      </w:r>
    </w:p>
    <w:p w14:paraId="1EAF96DF" w14:textId="375FFE97" w:rsidR="00482F70" w:rsidRDefault="00482F70">
      <w:pPr>
        <w:pStyle w:val="HPRAMainBodyText"/>
        <w:spacing w:after="120"/>
        <w:jc w:val="both"/>
        <w:rPr>
          <w:kern w:val="2"/>
          <w:lang w:eastAsia="en-IE"/>
          <w14:ligatures w14:val="standardContextual"/>
        </w:rPr>
      </w:pPr>
      <w:r>
        <w:t>Tenderers must provide a clear summary of the roles, responsibilities and resources required to deliver the project successfully. The response should distinguish between roles provided by the tenderer, roles or inputs required from the HPRA, and any subcontractor or third</w:t>
      </w:r>
      <w:r w:rsidR="0055295E">
        <w:t xml:space="preserve"> </w:t>
      </w:r>
      <w:r>
        <w:t>party resources required to support delivery.</w:t>
      </w:r>
    </w:p>
    <w:p w14:paraId="78A6DC82" w14:textId="33D32389" w:rsidR="00482F70" w:rsidRDefault="00482F70">
      <w:pPr>
        <w:pStyle w:val="HPRAMainBodyText"/>
        <w:spacing w:after="120"/>
        <w:jc w:val="both"/>
        <w:rPr>
          <w:kern w:val="2"/>
          <w:lang w:eastAsia="en-IE"/>
          <w14:ligatures w14:val="standardContextual"/>
        </w:rPr>
      </w:pPr>
      <w:r>
        <w:t>Tenderers should clearly identify activities that will require HPRA input, decisions, approvals, information, technical access, data preparation, testing, training participation, sign</w:t>
      </w:r>
      <w:r w:rsidR="0055295E">
        <w:t xml:space="preserve"> </w:t>
      </w:r>
      <w:r>
        <w:t>off or operational support. Any assumptions regarding HPRA availability, skills, decision</w:t>
      </w:r>
      <w:r w:rsidR="0055295E">
        <w:t xml:space="preserve"> </w:t>
      </w:r>
      <w:r>
        <w:t>making, technical dependencies, third</w:t>
      </w:r>
      <w:r w:rsidR="0055295E">
        <w:t xml:space="preserve"> </w:t>
      </w:r>
      <w:r>
        <w:t>party involvement, data quality, testing responsibilities or operational readiness must be explicitly stated.</w:t>
      </w:r>
    </w:p>
    <w:p w14:paraId="3545676B" w14:textId="77777777" w:rsidR="00F4051F" w:rsidRDefault="00F4051F" w:rsidP="00F4051F">
      <w:pPr>
        <w:pStyle w:val="HPRAMainBodyText"/>
      </w:pPr>
    </w:p>
    <w:p w14:paraId="429D4D56" w14:textId="691A4B59" w:rsidR="00F4051F" w:rsidRDefault="003472C2" w:rsidP="00F4051F">
      <w:pPr>
        <w:pStyle w:val="HPRAHeadingL3"/>
      </w:pPr>
      <w:r>
        <w:t>Scope Management &amp; Change Control</w:t>
      </w:r>
      <w:r w:rsidR="00F4051F">
        <w:t xml:space="preserve">  </w:t>
      </w:r>
    </w:p>
    <w:p w14:paraId="3B5488DC" w14:textId="5F861E8C" w:rsidR="00BB4EFB" w:rsidRDefault="00BB4EFB">
      <w:pPr>
        <w:pStyle w:val="HPRAMainBodyText"/>
        <w:jc w:val="both"/>
        <w:rPr>
          <w:kern w:val="2"/>
          <w:lang w:eastAsia="en-IE"/>
          <w14:ligatures w14:val="standardContextual"/>
        </w:rPr>
      </w:pPr>
      <w:r>
        <w:t>Tenderers must provide a clear summary of the products, services, activities, deliverables, integrations, data services and other items included within their proposed solution and implementation approach. The response must also identify any items that are excluded from the proposed scope.</w:t>
      </w:r>
    </w:p>
    <w:p w14:paraId="0A5420D7" w14:textId="77777777" w:rsidR="00FF589C" w:rsidRDefault="00FF589C">
      <w:pPr>
        <w:pStyle w:val="HPRAMainBodyText"/>
        <w:jc w:val="both"/>
      </w:pPr>
    </w:p>
    <w:p w14:paraId="05E4C9F5" w14:textId="1EE1DF12" w:rsidR="00BB4EFB" w:rsidRDefault="00BB4EFB">
      <w:pPr>
        <w:pStyle w:val="HPRAMainBodyText"/>
        <w:jc w:val="both"/>
      </w:pPr>
      <w:r>
        <w:t>Tenderers must clearly distinguish between items included in the tendered scope and items that would require additional agreement, pricing, procurement approval or formal change control if required during the project.</w:t>
      </w:r>
      <w:r w:rsidR="00260690">
        <w:t xml:space="preserve"> </w:t>
      </w:r>
      <w:r>
        <w:t>Tenderers must state the assumptions, dependencies and prerequisites on which their proposed scope is based.</w:t>
      </w:r>
    </w:p>
    <w:p w14:paraId="6E34A22B" w14:textId="77777777" w:rsidR="00D30915" w:rsidRDefault="00D30915">
      <w:pPr>
        <w:pStyle w:val="HPRAMainBodyText"/>
        <w:jc w:val="both"/>
        <w:rPr>
          <w:kern w:val="2"/>
          <w:lang w:eastAsia="en-IE"/>
          <w14:ligatures w14:val="standardContextual"/>
        </w:rPr>
      </w:pPr>
    </w:p>
    <w:p w14:paraId="3D92DAAC" w14:textId="62732F3E" w:rsidR="00BB4EFB" w:rsidRDefault="00BB4EFB">
      <w:pPr>
        <w:pStyle w:val="HPRAMainBodyText"/>
        <w:jc w:val="both"/>
      </w:pPr>
      <w:r>
        <w:t>Tenderers must describe their proposed process for managing changes to project scope, deliverables, responsibilities, assumptions, dependencies, timelines, costs or other agreed project parameters.</w:t>
      </w:r>
      <w:r w:rsidR="00D30915">
        <w:rPr>
          <w:kern w:val="2"/>
          <w:lang w:eastAsia="en-IE"/>
          <w14:ligatures w14:val="standardContextual"/>
        </w:rPr>
        <w:t xml:space="preserve"> </w:t>
      </w:r>
      <w:r>
        <w:t xml:space="preserve">The response should explain how change requests will be assessed, reviewed, approved and tracked throughout the project. Each change request should </w:t>
      </w:r>
      <w:r>
        <w:lastRenderedPageBreak/>
        <w:t>capture, as applicable, the nature of the proposed change, the reason for the change, the impact on scope, schedule, resources and costs.</w:t>
      </w:r>
    </w:p>
    <w:p w14:paraId="48F06D6B" w14:textId="77777777" w:rsidR="000A18A1" w:rsidRDefault="000A18A1">
      <w:pPr>
        <w:pStyle w:val="HPRAMainBodyText"/>
        <w:jc w:val="both"/>
        <w:rPr>
          <w:kern w:val="2"/>
          <w:lang w:eastAsia="en-IE"/>
          <w14:ligatures w14:val="standardContextual"/>
        </w:rPr>
      </w:pPr>
    </w:p>
    <w:p w14:paraId="71C72AF4" w14:textId="7B882591" w:rsidR="00BB4EFB" w:rsidRDefault="00BB4EFB">
      <w:pPr>
        <w:pStyle w:val="HPRAMainBodyText"/>
        <w:jc w:val="both"/>
        <w:rPr>
          <w:kern w:val="2"/>
          <w:lang w:eastAsia="en-IE"/>
          <w14:ligatures w14:val="standardContextual"/>
        </w:rPr>
      </w:pPr>
      <w:r>
        <w:t>Tenderers should identify the governance arrangements for approving changes, including the roles and responsibilities of the tenderer, the HPRA and any relevant subcontractors or third parties. The response should distinguish between minor project adjustments with no material impact on scope, cost, quality or timeline, and material changes that require escalation and formal approval before any additional work is undertaken.</w:t>
      </w:r>
    </w:p>
    <w:p w14:paraId="2B89D476" w14:textId="77777777" w:rsidR="003E48B3" w:rsidRDefault="003E48B3" w:rsidP="003E48B3">
      <w:pPr>
        <w:pStyle w:val="HPRAMainBodyText"/>
      </w:pPr>
    </w:p>
    <w:p w14:paraId="61A875B4" w14:textId="0F0FB340" w:rsidR="003E48B3" w:rsidRDefault="003E48B3" w:rsidP="003E48B3">
      <w:pPr>
        <w:pStyle w:val="HPRAHeadingL3"/>
      </w:pPr>
      <w:r>
        <w:t xml:space="preserve">Training, Change Management &amp; Rollout  </w:t>
      </w:r>
    </w:p>
    <w:p w14:paraId="3FAEF7B3" w14:textId="19599208" w:rsidR="001F5220" w:rsidRDefault="001F5220">
      <w:pPr>
        <w:pStyle w:val="HPRAMainBodyText"/>
        <w:jc w:val="both"/>
        <w:rPr>
          <w:kern w:val="2"/>
          <w:lang w:eastAsia="en-IE"/>
          <w14:ligatures w14:val="standardContextual"/>
        </w:rPr>
      </w:pPr>
      <w:r>
        <w:t>Tenderers should describe their proposed approach to training and knowledge transfer for users, administrators and support teams. The response should explain how each user group will be prepared to use, manage and support the solution effectively, including the proposed training format, timing, audience groups, materials and any train</w:t>
      </w:r>
      <w:r w:rsidR="0055295E">
        <w:t xml:space="preserve"> </w:t>
      </w:r>
      <w:r>
        <w:t>the</w:t>
      </w:r>
      <w:r w:rsidR="0055295E">
        <w:t xml:space="preserve"> </w:t>
      </w:r>
      <w:r>
        <w:t>trainer arrangements.</w:t>
      </w:r>
    </w:p>
    <w:p w14:paraId="24296AF8" w14:textId="77777777" w:rsidR="00A92CD2" w:rsidRDefault="00A92CD2" w:rsidP="00A92CD2">
      <w:pPr>
        <w:pStyle w:val="HPRAMainBodyText"/>
        <w:jc w:val="both"/>
      </w:pPr>
    </w:p>
    <w:p w14:paraId="4F20D776" w14:textId="3E35D719" w:rsidR="001F5220" w:rsidRDefault="001F5220">
      <w:pPr>
        <w:pStyle w:val="HPRAMainBodyText"/>
        <w:jc w:val="both"/>
        <w:rPr>
          <w:kern w:val="2"/>
          <w:lang w:eastAsia="en-IE"/>
          <w14:ligatures w14:val="standardContextual"/>
        </w:rPr>
      </w:pPr>
      <w:r>
        <w:t>Tenderers should describe the activities required to prepare for rollout, support cutover, confirm production readiness, confirm user and service readiness, and transition the solution into business</w:t>
      </w:r>
      <w:r w:rsidR="0055295E">
        <w:t xml:space="preserve"> </w:t>
      </w:r>
      <w:r>
        <w:t>as</w:t>
      </w:r>
      <w:r w:rsidR="0055295E">
        <w:t xml:space="preserve"> </w:t>
      </w:r>
      <w:r>
        <w:t xml:space="preserve">usual support arrangements. The response should identify the checks, approvals, communications, support arrangements and decision points required before </w:t>
      </w:r>
      <w:proofErr w:type="gramStart"/>
      <w:r>
        <w:t>go</w:t>
      </w:r>
      <w:proofErr w:type="gramEnd"/>
      <w:r w:rsidR="0055295E">
        <w:t xml:space="preserve"> </w:t>
      </w:r>
      <w:r>
        <w:t>live.</w:t>
      </w:r>
    </w:p>
    <w:p w14:paraId="307C215C" w14:textId="77777777" w:rsidR="00A92CD2" w:rsidRDefault="00A92CD2" w:rsidP="00A92CD2">
      <w:pPr>
        <w:pStyle w:val="HPRAMainBodyText"/>
        <w:jc w:val="both"/>
      </w:pPr>
    </w:p>
    <w:p w14:paraId="1418E8E4" w14:textId="37AB7FF7" w:rsidR="001F5220" w:rsidRDefault="001F5220">
      <w:pPr>
        <w:pStyle w:val="HPRAMainBodyText"/>
        <w:jc w:val="both"/>
        <w:rPr>
          <w:kern w:val="2"/>
          <w:lang w:eastAsia="en-IE"/>
          <w14:ligatures w14:val="standardContextual"/>
        </w:rPr>
      </w:pPr>
      <w:r>
        <w:t>Tenderers should identify the training, change management and rollout deliverables they expect to provide, including training materials, user guidance, administrator guidance, communications support, testing support, transition documentation, handover materials and early</w:t>
      </w:r>
      <w:r w:rsidR="0055295E">
        <w:t xml:space="preserve"> </w:t>
      </w:r>
      <w:r>
        <w:t>life support arrangements. The response should clearly identify the responsibilities of the tenderer, the HPRA and any subcontractors or third parties for production readiness, user readiness, service readiness, incident handling, knowledge transfer, early</w:t>
      </w:r>
      <w:r w:rsidR="0055295E">
        <w:t xml:space="preserve"> </w:t>
      </w:r>
      <w:r>
        <w:t>life support and ongoing account or customer success management.</w:t>
      </w:r>
    </w:p>
    <w:p w14:paraId="7C0260E7" w14:textId="77777777" w:rsidR="00E92AAB" w:rsidRDefault="00E92AAB" w:rsidP="00426202">
      <w:pPr>
        <w:pStyle w:val="HPRAMainBodyText"/>
      </w:pPr>
    </w:p>
    <w:p w14:paraId="7C5BA54A" w14:textId="77777777" w:rsidR="00436CFF" w:rsidRDefault="00436CFF" w:rsidP="00426202">
      <w:pPr>
        <w:pStyle w:val="HPRAMainBodyText"/>
      </w:pPr>
    </w:p>
    <w:p w14:paraId="702DF0AB" w14:textId="77777777" w:rsidR="00426202" w:rsidRDefault="00426202" w:rsidP="00C82E0F">
      <w:pPr>
        <w:pStyle w:val="HPRAHeadingL2"/>
      </w:pPr>
      <w:bookmarkStart w:id="10" w:name="_Toc235785011"/>
      <w:r>
        <w:t>Previous Experience</w:t>
      </w:r>
      <w:bookmarkEnd w:id="10"/>
      <w:r>
        <w:t xml:space="preserve">  </w:t>
      </w:r>
    </w:p>
    <w:p w14:paraId="0F3F3C33" w14:textId="53C77D69" w:rsidR="00757FAD" w:rsidRDefault="00757FAD" w:rsidP="00555575">
      <w:pPr>
        <w:pStyle w:val="HPRAMainBodyText"/>
        <w:jc w:val="both"/>
        <w:rPr>
          <w:kern w:val="2"/>
          <w:lang w:eastAsia="en-IE"/>
          <w14:ligatures w14:val="standardContextual"/>
        </w:rPr>
      </w:pPr>
      <w:r>
        <w:t>Tenderers are required to provide three case studies of relevant work delivered that demonstrate successful delivery of services comparable in nature, scale and complexity to those required by the HPRA.</w:t>
      </w:r>
      <w:r w:rsidR="00F86288">
        <w:t xml:space="preserve"> </w:t>
      </w:r>
      <w:r>
        <w:t xml:space="preserve">Case studies should include experience delivering pharmacovigilance, medicines safety or comparable regulatory technology solutions for public sector, regulatory or equivalent organisations. For each case study, tenderers should provide the </w:t>
      </w:r>
      <w:proofErr w:type="gramStart"/>
      <w:r>
        <w:t>customer</w:t>
      </w:r>
      <w:proofErr w:type="gramEnd"/>
      <w:r>
        <w:t xml:space="preserve"> name, contact name and contact details, delivery dates, a detailed description of the services delivered, contract value, solution or platform implemented, hosting model, support arrangements and relevance to the HPRA’s requirements.</w:t>
      </w:r>
    </w:p>
    <w:p w14:paraId="7F30F727" w14:textId="77249830" w:rsidR="00426202" w:rsidRPr="00857E1F" w:rsidRDefault="00426202" w:rsidP="002F22EE">
      <w:pPr>
        <w:pStyle w:val="HPRAMainBodyText"/>
      </w:pPr>
    </w:p>
    <w:p w14:paraId="148697F2" w14:textId="77777777" w:rsidR="00426202" w:rsidRPr="0022428B" w:rsidRDefault="00426202" w:rsidP="00426202">
      <w:pPr>
        <w:pStyle w:val="HPRAMainBodyText"/>
      </w:pPr>
    </w:p>
    <w:p w14:paraId="597FAF63" w14:textId="172CB402" w:rsidR="00854C1F" w:rsidRDefault="00426202" w:rsidP="00C82E0F">
      <w:pPr>
        <w:pStyle w:val="HPRAHeadingL2"/>
      </w:pPr>
      <w:bookmarkStart w:id="11" w:name="_Toc235785012"/>
      <w:r>
        <w:t>Proposed Team</w:t>
      </w:r>
      <w:bookmarkEnd w:id="11"/>
      <w:r>
        <w:t xml:space="preserve"> </w:t>
      </w:r>
    </w:p>
    <w:p w14:paraId="2A2AB6D7" w14:textId="77777777" w:rsidR="00EB61F2" w:rsidRDefault="00EB61F2">
      <w:pPr>
        <w:pStyle w:val="HPRAMainBodyText"/>
        <w:jc w:val="both"/>
        <w:rPr>
          <w:kern w:val="2"/>
          <w:lang w:eastAsia="en-IE"/>
          <w14:ligatures w14:val="standardContextual"/>
        </w:rPr>
      </w:pPr>
      <w:r>
        <w:t>The successful supplier will be responsible for managing its deliverables and coordinating with HPRA project management from mobilisation through to project completion; ensuring that all supplier deliverables are completed on time, within budget, to the required quality standard and within agreed scope; managing risks and monitoring performance throughout the project; providing regular project status updates to the HPRA project manager; and planning and managing the supplier’s resources and any third parties involved in delivery, including coordinating with the HPRA project manager to ensure timely access to required HPRA resources.</w:t>
      </w:r>
    </w:p>
    <w:p w14:paraId="3E9A2ECE" w14:textId="77777777" w:rsidR="0082051B" w:rsidRPr="00857E1F" w:rsidRDefault="0082051B" w:rsidP="0082051B">
      <w:pPr>
        <w:pStyle w:val="HPRAMainBodyText"/>
      </w:pPr>
    </w:p>
    <w:p w14:paraId="1002F647" w14:textId="77777777" w:rsidR="00160BA8" w:rsidRDefault="00160BA8">
      <w:pPr>
        <w:pStyle w:val="HPRAMainBodyText"/>
        <w:jc w:val="both"/>
        <w:rPr>
          <w:kern w:val="2"/>
          <w:lang w:eastAsia="en-IE"/>
          <w14:ligatures w14:val="standardContextual"/>
        </w:rPr>
      </w:pPr>
      <w:r>
        <w:t xml:space="preserve">Tenderers are required to provide a detailed description of the proposed team that will be assigned to the HPRA project, including the role, responsibilities and expected contribution of each team member in delivering the services. The response should identify the applicable roles to be assigned to the project, describe the account management arrangements for ongoing design, development and support services, and demonstrate the suitability of each proposed </w:t>
      </w:r>
      <w:r>
        <w:lastRenderedPageBreak/>
        <w:t>team member to perform their assigned tasks, including relevant experience on similar assignments and supporting curriculum vitae information where appropriate.</w:t>
      </w:r>
    </w:p>
    <w:p w14:paraId="108807FF" w14:textId="5AFA4760" w:rsidR="00426202" w:rsidRPr="00857E1F" w:rsidRDefault="00426202" w:rsidP="00426202">
      <w:pPr>
        <w:pStyle w:val="HPRAMainBodyText"/>
      </w:pPr>
    </w:p>
    <w:p w14:paraId="4DA778DC" w14:textId="77777777" w:rsidR="00426202" w:rsidRPr="0022428B" w:rsidRDefault="00426202" w:rsidP="00426202">
      <w:pPr>
        <w:pStyle w:val="HPRAMainBodyText"/>
      </w:pPr>
      <w:r w:rsidRPr="0022428B">
        <w:t xml:space="preserve"> </w:t>
      </w:r>
    </w:p>
    <w:p w14:paraId="2CD464BE" w14:textId="2FBCC5AC" w:rsidR="00426202" w:rsidRDefault="00426202" w:rsidP="00C82E0F">
      <w:pPr>
        <w:pStyle w:val="HPRAHeadingL2"/>
      </w:pPr>
      <w:bookmarkStart w:id="12" w:name="_Toc235785013"/>
      <w:r>
        <w:t xml:space="preserve">Contract and </w:t>
      </w:r>
      <w:r w:rsidR="003C27EC">
        <w:t>R</w:t>
      </w:r>
      <w:r>
        <w:t>elationship Management</w:t>
      </w:r>
      <w:bookmarkEnd w:id="12"/>
      <w:r>
        <w:t xml:space="preserve">  </w:t>
      </w:r>
    </w:p>
    <w:p w14:paraId="6B29982D" w14:textId="2D861B9D" w:rsidR="00426202" w:rsidRPr="00857E1F" w:rsidRDefault="00426202" w:rsidP="00426202">
      <w:pPr>
        <w:pStyle w:val="HPRAMainBodyText"/>
      </w:pPr>
      <w:r w:rsidRPr="00857E1F">
        <w:t xml:space="preserve">The HPRA requires the supplier to </w:t>
      </w:r>
      <w:r w:rsidR="009B6FD9" w:rsidRPr="00857E1F">
        <w:t>nominate</w:t>
      </w:r>
      <w:r w:rsidRPr="00857E1F">
        <w:t xml:space="preserve"> a dedicated contract manager who will act as the main point of contact for the duration of the </w:t>
      </w:r>
      <w:r w:rsidR="00493E30">
        <w:t>contract</w:t>
      </w:r>
      <w:r w:rsidR="00593867">
        <w:t>.</w:t>
      </w:r>
      <w:r w:rsidRPr="00857E1F">
        <w:t xml:space="preserve"> This person will have the authority to deal with all matters in relation to contracts and be responsible for the satisfactory delivery of the services required. The duties of the contract manager will include the following: </w:t>
      </w:r>
    </w:p>
    <w:p w14:paraId="35BFD74E" w14:textId="4E1FB874" w:rsidR="00426202" w:rsidRPr="00857E1F" w:rsidRDefault="00426202">
      <w:pPr>
        <w:pStyle w:val="HPRAMainBodyText"/>
        <w:numPr>
          <w:ilvl w:val="0"/>
          <w:numId w:val="24"/>
        </w:numPr>
      </w:pPr>
      <w:r w:rsidRPr="00857E1F">
        <w:t xml:space="preserve">Overseeing all aspects of the delivery of the services on behalf of the successful tenderer. </w:t>
      </w:r>
    </w:p>
    <w:p w14:paraId="1BB3A6FA" w14:textId="71775B68" w:rsidR="00426202" w:rsidRPr="00857E1F" w:rsidRDefault="00426202">
      <w:pPr>
        <w:pStyle w:val="HPRAMainBodyText"/>
        <w:numPr>
          <w:ilvl w:val="0"/>
          <w:numId w:val="24"/>
        </w:numPr>
      </w:pPr>
      <w:r w:rsidRPr="00857E1F">
        <w:t xml:space="preserve">Overall responsibility for a good working relationship with the HPRA. </w:t>
      </w:r>
    </w:p>
    <w:p w14:paraId="56197DEA" w14:textId="0AFA93FA" w:rsidR="00426202" w:rsidRPr="00857E1F" w:rsidRDefault="00426202">
      <w:pPr>
        <w:pStyle w:val="HPRAMainBodyText"/>
        <w:numPr>
          <w:ilvl w:val="0"/>
          <w:numId w:val="24"/>
        </w:numPr>
      </w:pPr>
      <w:r w:rsidRPr="00857E1F">
        <w:t xml:space="preserve">Providing regular updates on performance as agreed with the HPRA. </w:t>
      </w:r>
    </w:p>
    <w:p w14:paraId="2B006395" w14:textId="4A0BA693" w:rsidR="00426202" w:rsidRPr="00857E1F" w:rsidRDefault="00426202">
      <w:pPr>
        <w:pStyle w:val="HPRAMainBodyText"/>
        <w:numPr>
          <w:ilvl w:val="0"/>
          <w:numId w:val="24"/>
        </w:numPr>
      </w:pPr>
      <w:r w:rsidRPr="00857E1F">
        <w:t xml:space="preserve">Meeting as and when required to review and examine performance outcomes and evaluation. </w:t>
      </w:r>
    </w:p>
    <w:p w14:paraId="48F92258" w14:textId="3C023D8E" w:rsidR="00426202" w:rsidRPr="00857E1F" w:rsidRDefault="00426202">
      <w:pPr>
        <w:pStyle w:val="HPRAMainBodyText"/>
        <w:numPr>
          <w:ilvl w:val="0"/>
          <w:numId w:val="24"/>
        </w:numPr>
      </w:pPr>
      <w:r w:rsidRPr="00857E1F">
        <w:t xml:space="preserve">Dealing with disputes, complaints or concerns that cannot be adequately resolved. </w:t>
      </w:r>
    </w:p>
    <w:p w14:paraId="18A7744B" w14:textId="3D00367F" w:rsidR="00426202" w:rsidRPr="00857E1F" w:rsidRDefault="00426202">
      <w:pPr>
        <w:pStyle w:val="HPRAMainBodyText"/>
        <w:numPr>
          <w:ilvl w:val="0"/>
          <w:numId w:val="24"/>
        </w:numPr>
      </w:pPr>
      <w:r w:rsidRPr="00857E1F">
        <w:t xml:space="preserve">Proactively discussing with the HPRA ways of improving efficiency regarding service delivery in general and providing suggestions for improvement and cost savings. </w:t>
      </w:r>
    </w:p>
    <w:p w14:paraId="6B25316B" w14:textId="77777777" w:rsidR="00426202" w:rsidRPr="00857E1F" w:rsidRDefault="00426202" w:rsidP="00426202">
      <w:pPr>
        <w:pStyle w:val="HPRAMainBodyText"/>
      </w:pPr>
      <w:r w:rsidRPr="00857E1F">
        <w:t xml:space="preserve"> </w:t>
      </w:r>
    </w:p>
    <w:p w14:paraId="0CE5BD5A" w14:textId="70D67AD4" w:rsidR="00426202" w:rsidRPr="00857E1F" w:rsidRDefault="00426202" w:rsidP="00426202">
      <w:pPr>
        <w:pStyle w:val="HPRAMainBodyText"/>
      </w:pPr>
      <w:r w:rsidRPr="00857E1F">
        <w:t xml:space="preserve">The supplier should note that contract management activities </w:t>
      </w:r>
      <w:r w:rsidR="00965B6C" w:rsidRPr="00857E1F">
        <w:t>will</w:t>
      </w:r>
      <w:r w:rsidRPr="00857E1F">
        <w:t xml:space="preserve"> be </w:t>
      </w:r>
      <w:proofErr w:type="spellStart"/>
      <w:r w:rsidRPr="00857E1F">
        <w:t>non</w:t>
      </w:r>
      <w:r w:rsidR="0055295E">
        <w:t xml:space="preserve"> </w:t>
      </w:r>
      <w:r w:rsidRPr="00857E1F">
        <w:t>billable</w:t>
      </w:r>
      <w:proofErr w:type="spellEnd"/>
      <w:r w:rsidR="0062600D">
        <w:t>.</w:t>
      </w:r>
      <w:r w:rsidRPr="00857E1F">
        <w:t xml:space="preserve"> </w:t>
      </w:r>
    </w:p>
    <w:p w14:paraId="15C108BF" w14:textId="0CCB476B" w:rsidR="00426202" w:rsidRPr="0022428B" w:rsidRDefault="00426202" w:rsidP="00426202">
      <w:pPr>
        <w:pStyle w:val="HPRAMainBodyText"/>
      </w:pPr>
      <w:r w:rsidRPr="0022428B">
        <w:t xml:space="preserve"> </w:t>
      </w:r>
    </w:p>
    <w:p w14:paraId="297948F3" w14:textId="77777777" w:rsidR="00426202" w:rsidRDefault="00426202" w:rsidP="00C82E0F">
      <w:pPr>
        <w:pStyle w:val="HPRAHeadingL2"/>
      </w:pPr>
      <w:bookmarkStart w:id="13" w:name="_Toc235785014"/>
      <w:r>
        <w:t>Quality of the proposal</w:t>
      </w:r>
      <w:bookmarkEnd w:id="13"/>
      <w:r>
        <w:t xml:space="preserve">  </w:t>
      </w:r>
    </w:p>
    <w:p w14:paraId="311830CF" w14:textId="021DABE1" w:rsidR="00BB2CEF" w:rsidRDefault="00BB2CEF">
      <w:pPr>
        <w:pStyle w:val="HPRAMainBodyText"/>
        <w:jc w:val="both"/>
        <w:rPr>
          <w:kern w:val="2"/>
          <w:lang w:eastAsia="en-IE"/>
          <w14:ligatures w14:val="standardContextual"/>
        </w:rPr>
      </w:pPr>
      <w:r>
        <w:t>In formulating their response, tenderers must demonstrate that they have sufficient capacity and resilience to support the HPRA throughout the contract term, including the availability of additional resources where multiple in</w:t>
      </w:r>
      <w:r w:rsidR="0055295E">
        <w:t xml:space="preserve"> </w:t>
      </w:r>
      <w:r>
        <w:t xml:space="preserve">scope projects require resourcing at the same time; effective backup arrangements </w:t>
      </w:r>
      <w:proofErr w:type="spellStart"/>
      <w:r>
        <w:t>where</w:t>
      </w:r>
      <w:proofErr w:type="spellEnd"/>
      <w:r>
        <w:t xml:space="preserve"> assigned resources become unavailable due to illness or other circumstances; and clear processes for knowledge sharing, cross</w:t>
      </w:r>
      <w:r w:rsidR="0055295E">
        <w:t xml:space="preserve"> </w:t>
      </w:r>
      <w:r>
        <w:t>training and onboarding of replacement or supplementary resources. Tenderers must also describe how they will provide ongoing support and maintenance, including advice and support to the HPRA during core working hours of Monday to Friday, 8.00am to 6.00pm, excluding public and bank holidays, and must clearly state their proposed emergency response times and arrangements for working on critical issues until a satisfactory resolution is achieved.</w:t>
      </w:r>
    </w:p>
    <w:p w14:paraId="4A43F3A1" w14:textId="77777777" w:rsidR="007D18E0" w:rsidRDefault="007D18E0" w:rsidP="007D18E0">
      <w:pPr>
        <w:pStyle w:val="HPRAMainBodyText"/>
      </w:pPr>
    </w:p>
    <w:p w14:paraId="13E22BAD" w14:textId="77777777" w:rsidR="0022428B" w:rsidRDefault="0022428B" w:rsidP="0022428B">
      <w:pPr>
        <w:pStyle w:val="HPRAMainBodyText"/>
      </w:pPr>
    </w:p>
    <w:p w14:paraId="66B25B1F" w14:textId="77777777" w:rsidR="0022428B" w:rsidRDefault="0022428B" w:rsidP="00C82E0F">
      <w:pPr>
        <w:pStyle w:val="HPRAHeadingL2"/>
      </w:pPr>
      <w:bookmarkStart w:id="14" w:name="_Toc235785015"/>
      <w:r>
        <w:t>Innovation</w:t>
      </w:r>
      <w:bookmarkEnd w:id="14"/>
      <w:r>
        <w:t xml:space="preserve">   </w:t>
      </w:r>
    </w:p>
    <w:p w14:paraId="355D1E25" w14:textId="615576F3" w:rsidR="002226E4" w:rsidRDefault="007308A3" w:rsidP="003B6B52">
      <w:pPr>
        <w:pStyle w:val="HPRAMainBodyText"/>
        <w:jc w:val="both"/>
      </w:pPr>
      <w:r>
        <w:t xml:space="preserve">Tenderers are required to outline how innovation in their proposed </w:t>
      </w:r>
      <w:r w:rsidR="003B6B52">
        <w:t>solution</w:t>
      </w:r>
      <w:r>
        <w:t xml:space="preserve"> will deliver additional value to the Contracting Authority over the term of the contract. The response should describe relevant current capabilities, planned product roadmap developments, service improvements, automation, usability enhancements, reporting or analytics improvements, sustainability measures, and other value</w:t>
      </w:r>
      <w:r w:rsidR="0055295E">
        <w:t xml:space="preserve"> </w:t>
      </w:r>
      <w:r>
        <w:t>added features that may support the Contracting Authority’s objectives.</w:t>
      </w:r>
    </w:p>
    <w:p w14:paraId="2E21E8FD" w14:textId="77777777" w:rsidR="002226E4" w:rsidRDefault="002226E4" w:rsidP="003B6B52">
      <w:pPr>
        <w:pStyle w:val="HPRAMainBodyText"/>
        <w:jc w:val="both"/>
      </w:pPr>
    </w:p>
    <w:p w14:paraId="0CD6011A" w14:textId="51A63194" w:rsidR="00F5426E" w:rsidRDefault="007308A3" w:rsidP="003B6B52">
      <w:pPr>
        <w:pStyle w:val="HPRAMainBodyText"/>
        <w:jc w:val="both"/>
      </w:pPr>
      <w:r>
        <w:t>Tenderers should clearly explain how such innovation will be made available, implemented and supported as part of the proposed solution and service model. Any innovation, enhancement, product improvement, service improvement, roadmap feature or value</w:t>
      </w:r>
      <w:r w:rsidR="0055295E">
        <w:t xml:space="preserve"> </w:t>
      </w:r>
      <w:r>
        <w:t>added activity described in the tender response must be provided at no incremental cost to the Contracting Authority</w:t>
      </w:r>
      <w:r w:rsidR="00F5426E">
        <w:t>.</w:t>
      </w:r>
    </w:p>
    <w:p w14:paraId="71E2B74D" w14:textId="5B7ADEFE" w:rsidR="007E0379" w:rsidRPr="00787B4B" w:rsidRDefault="00CD72B6" w:rsidP="007E0379">
      <w:pPr>
        <w:pStyle w:val="HPRAHeadingL1"/>
        <w:ind w:left="284" w:right="567" w:hanging="284"/>
        <w:rPr>
          <w:sz w:val="28"/>
        </w:rPr>
      </w:pPr>
      <w:bookmarkStart w:id="15" w:name="_Toc235785016"/>
      <w:r>
        <w:rPr>
          <w:sz w:val="28"/>
        </w:rPr>
        <w:t>PRICING</w:t>
      </w:r>
      <w:bookmarkEnd w:id="15"/>
    </w:p>
    <w:p w14:paraId="219EEA6E" w14:textId="77777777" w:rsidR="007E0379" w:rsidRDefault="007E0379" w:rsidP="007E0379">
      <w:pPr>
        <w:pStyle w:val="HPRAMainBodyText"/>
        <w:ind w:right="567"/>
        <w:rPr>
          <w:lang w:val="en-GB"/>
        </w:rPr>
      </w:pPr>
    </w:p>
    <w:p w14:paraId="238D904A" w14:textId="6DF72A24" w:rsidR="00174133" w:rsidRDefault="00174133" w:rsidP="0045121A">
      <w:pPr>
        <w:pStyle w:val="HPRAMainBodyText"/>
        <w:jc w:val="both"/>
      </w:pPr>
      <w:r>
        <w:lastRenderedPageBreak/>
        <w:t xml:space="preserve">The Tenderer must provide </w:t>
      </w:r>
      <w:r w:rsidR="00123E61">
        <w:t>full</w:t>
      </w:r>
      <w:r>
        <w:t xml:space="preserve"> details of all costs associated with the implementation and use of their proposed solution. This includes core functionality, optional modules, implementation charges and ongoing service costs. Any technical, service</w:t>
      </w:r>
      <w:r w:rsidR="005509A8">
        <w:t>, licensing</w:t>
      </w:r>
      <w:r>
        <w:t xml:space="preserve"> or other prerequisites required from the HPRA must be clearly stated.</w:t>
      </w:r>
    </w:p>
    <w:p w14:paraId="753F824E" w14:textId="77777777" w:rsidR="00BB794A" w:rsidRDefault="00BB794A" w:rsidP="0045121A">
      <w:pPr>
        <w:pStyle w:val="HPRAMainBodyText"/>
        <w:jc w:val="both"/>
      </w:pPr>
    </w:p>
    <w:p w14:paraId="7AD13594" w14:textId="43950383" w:rsidR="00BB794A" w:rsidRDefault="00BB794A" w:rsidP="004843D4">
      <w:pPr>
        <w:pStyle w:val="HPRAMainBodyText"/>
        <w:jc w:val="both"/>
      </w:pPr>
      <w:r>
        <w:t xml:space="preserve">The Tenderer is required to provide comprehensive and granular details of their licensing model and all elements of associated cost. They should specify the basis of their cost model (number of users, number of cases, or other) and must include details and costs for any modules required to provide full features to their product suite. </w:t>
      </w:r>
      <w:r w:rsidRPr="004624EE">
        <w:t>Where applicable the Tenderer should specify</w:t>
      </w:r>
      <w:r w:rsidR="004624EE">
        <w:t>.</w:t>
      </w:r>
      <w:r>
        <w:t xml:space="preserve"> </w:t>
      </w:r>
    </w:p>
    <w:p w14:paraId="298E275D" w14:textId="77777777" w:rsidR="0045121A" w:rsidRDefault="0045121A" w:rsidP="0045121A">
      <w:pPr>
        <w:pStyle w:val="HPRAMainBodyText"/>
        <w:jc w:val="both"/>
      </w:pPr>
    </w:p>
    <w:p w14:paraId="03B2EBB3" w14:textId="4989A6CB" w:rsidR="00CC12BB" w:rsidRDefault="0045121A" w:rsidP="00975F35">
      <w:pPr>
        <w:pStyle w:val="HPRAMainBodyText"/>
        <w:jc w:val="both"/>
      </w:pPr>
      <w:r>
        <w:t xml:space="preserve">Tenderers must complete the </w:t>
      </w:r>
      <w:r w:rsidR="00E25049">
        <w:t xml:space="preserve">pricing tables in the section below. </w:t>
      </w:r>
      <w:r>
        <w:t xml:space="preserve">Failure to complete will result in the Tenderer being eliminated from the Competition. If there Is no charge applicable for any given </w:t>
      </w:r>
      <w:proofErr w:type="gramStart"/>
      <w:r>
        <w:t>item</w:t>
      </w:r>
      <w:proofErr w:type="gramEnd"/>
      <w:r>
        <w:t xml:space="preserve"> then tenderers must enter €0.00</w:t>
      </w:r>
      <w:r w:rsidR="0033370B">
        <w:t>.</w:t>
      </w:r>
      <w:r>
        <w:t xml:space="preserve"> </w:t>
      </w:r>
      <w:r w:rsidR="0033370B">
        <w:t>Costs</w:t>
      </w:r>
      <w:r>
        <w:t xml:space="preserve"> inserted into the Pricing Schedule will give </w:t>
      </w:r>
      <w:r w:rsidRPr="00D92F19">
        <w:t>the Ultimate Cost which</w:t>
      </w:r>
      <w:r>
        <w:t xml:space="preserve"> will be used for evaluation purposes as outlined in this RFT.</w:t>
      </w:r>
      <w:r w:rsidR="00975F35">
        <w:t xml:space="preserve"> </w:t>
      </w:r>
      <w:r w:rsidR="000D5EA3" w:rsidRPr="003E059C">
        <w:t>All rates and prices quoted must be in Euros [€] and exclusive of VAT.</w:t>
      </w:r>
    </w:p>
    <w:p w14:paraId="60FD87B9" w14:textId="0208E98E" w:rsidR="000D5EA3" w:rsidRPr="00CC12BB" w:rsidRDefault="000D5EA3" w:rsidP="0045121A">
      <w:pPr>
        <w:pStyle w:val="HPRAMainBodyText"/>
        <w:jc w:val="both"/>
      </w:pPr>
    </w:p>
    <w:p w14:paraId="5D8B78DF" w14:textId="64385B04" w:rsidR="007E0379" w:rsidRPr="00787B4B" w:rsidRDefault="00CD72B6" w:rsidP="007E0379">
      <w:pPr>
        <w:pStyle w:val="HPRAHeadingL2"/>
        <w:rPr>
          <w:lang w:val="en-GB"/>
        </w:rPr>
      </w:pPr>
      <w:bookmarkStart w:id="16" w:name="_Toc235785017"/>
      <w:r>
        <w:rPr>
          <w:lang w:val="en-GB"/>
        </w:rPr>
        <w:t>Licensing</w:t>
      </w:r>
      <w:r w:rsidR="0084254D">
        <w:rPr>
          <w:lang w:val="en-GB"/>
        </w:rPr>
        <w:t>/Subscription Costs</w:t>
      </w:r>
      <w:bookmarkEnd w:id="16"/>
    </w:p>
    <w:p w14:paraId="4AA8ED1C" w14:textId="77777777" w:rsidR="007E0379" w:rsidRDefault="007E0379" w:rsidP="007E0379">
      <w:pPr>
        <w:pStyle w:val="HPRAMainBodyText"/>
        <w:ind w:right="567"/>
        <w:rPr>
          <w:lang w:val="en-GB"/>
        </w:rPr>
      </w:pPr>
    </w:p>
    <w:p w14:paraId="3D3095CB" w14:textId="5BF8AC97" w:rsidR="005D60D7" w:rsidRDefault="00DE0E80" w:rsidP="00466B80">
      <w:pPr>
        <w:pStyle w:val="HPRAMainBodyText"/>
        <w:jc w:val="both"/>
      </w:pPr>
      <w:r>
        <w:t xml:space="preserve">The current annual case load is typically in the region of 12,000 individual cases per annum and has been growing steadily in recent years. </w:t>
      </w:r>
      <w:r w:rsidR="00DA7E87">
        <w:t xml:space="preserve">Individual cases can have many versions as supplemental information is received from reporting parties. </w:t>
      </w:r>
      <w:r w:rsidR="005D60D7">
        <w:t>The current pharmacovigilance database contains in the region of 1</w:t>
      </w:r>
      <w:r w:rsidR="00466B80">
        <w:t>7</w:t>
      </w:r>
      <w:r w:rsidR="005D60D7">
        <w:t xml:space="preserve">0,000 case reports dating from </w:t>
      </w:r>
      <w:r w:rsidR="00466B80">
        <w:t xml:space="preserve">the </w:t>
      </w:r>
      <w:r w:rsidR="005D60D7">
        <w:t>19</w:t>
      </w:r>
      <w:r w:rsidR="00466B80">
        <w:t>6</w:t>
      </w:r>
      <w:r w:rsidR="005D60D7">
        <w:t>0</w:t>
      </w:r>
      <w:r w:rsidR="00466B80">
        <w:t>s</w:t>
      </w:r>
      <w:r w:rsidR="005D60D7">
        <w:t>. Adverse reaction reports are processed by about 25 staff, ranging from administrative</w:t>
      </w:r>
      <w:r w:rsidR="00021BDC">
        <w:t xml:space="preserve"> </w:t>
      </w:r>
      <w:r w:rsidR="005D60D7">
        <w:t>to medical assessors.</w:t>
      </w:r>
      <w:r w:rsidR="00E331FF">
        <w:t xml:space="preserve"> </w:t>
      </w:r>
      <w:r w:rsidR="00B07347">
        <w:t xml:space="preserve">On occasion, </w:t>
      </w:r>
      <w:r w:rsidR="00A07CF6">
        <w:t xml:space="preserve">staff numbers and </w:t>
      </w:r>
      <w:r w:rsidR="00B07347">
        <w:t xml:space="preserve">case numbers </w:t>
      </w:r>
      <w:r w:rsidR="00E331FF">
        <w:t>may rise significantly</w:t>
      </w:r>
      <w:r w:rsidR="00D12C22">
        <w:t>,</w:t>
      </w:r>
      <w:r w:rsidR="00E331FF">
        <w:t xml:space="preserve"> </w:t>
      </w:r>
      <w:r w:rsidR="00B07347">
        <w:t xml:space="preserve">for example </w:t>
      </w:r>
      <w:r w:rsidR="00E331FF">
        <w:t xml:space="preserve">in </w:t>
      </w:r>
      <w:r w:rsidR="00B07347">
        <w:t>a</w:t>
      </w:r>
      <w:r w:rsidR="00E331FF">
        <w:t xml:space="preserve"> public health emergency</w:t>
      </w:r>
      <w:r w:rsidR="00D12C22">
        <w:t>,</w:t>
      </w:r>
      <w:r w:rsidR="00E331FF">
        <w:t xml:space="preserve"> as was the case in the recent </w:t>
      </w:r>
      <w:r w:rsidR="00B07347">
        <w:t>COVID-19</w:t>
      </w:r>
      <w:r w:rsidR="00E331FF">
        <w:t xml:space="preserve"> pandemic. This involved close to doubling of staff numbers engaged in human pharmacovigilance activities for a temporary but extended </w:t>
      </w:r>
      <w:proofErr w:type="gramStart"/>
      <w:r w:rsidR="00E331FF">
        <w:t>period of time</w:t>
      </w:r>
      <w:proofErr w:type="gramEnd"/>
      <w:r w:rsidR="00E331FF">
        <w:t>.</w:t>
      </w:r>
    </w:p>
    <w:p w14:paraId="0BEF5CFF" w14:textId="77777777" w:rsidR="005D60D7" w:rsidRDefault="005D60D7" w:rsidP="005D60D7">
      <w:pPr>
        <w:pStyle w:val="HPRAMainBodyText"/>
      </w:pPr>
    </w:p>
    <w:p w14:paraId="75EB531E" w14:textId="77777777" w:rsidR="006E795A" w:rsidRDefault="00C40A38" w:rsidP="00766782">
      <w:pPr>
        <w:pStyle w:val="HPRAMainBodyText"/>
        <w:jc w:val="both"/>
      </w:pPr>
      <w:r>
        <w:t>As it is a requirement that the solution be extensible to other product domains including veterinary medicines, medical devices and other categories in the future, the supplier must provide details of licensing model and costs, where applicable, assuming a user base of 25, 35, 45 and 60 users. The supplier must provide details of costs associated with case volumes</w:t>
      </w:r>
      <w:r w:rsidR="004D37F1">
        <w:t xml:space="preserve"> and numbers of users as indicated in the table below. </w:t>
      </w:r>
    </w:p>
    <w:p w14:paraId="72ED1ABC" w14:textId="77777777" w:rsidR="00C40A38" w:rsidRDefault="00C40A38" w:rsidP="005D60D7">
      <w:pPr>
        <w:pStyle w:val="HPRAMainBodyText"/>
      </w:pPr>
    </w:p>
    <w:p w14:paraId="097952A8" w14:textId="13B30948" w:rsidR="005D60D7" w:rsidRDefault="005D60D7" w:rsidP="005D60D7">
      <w:pPr>
        <w:pStyle w:val="HPRAMainBodyText"/>
      </w:pPr>
      <w:r>
        <w:t>Tenderers are required to complete the pricing table below as part of the Tender Response Document</w:t>
      </w:r>
      <w:r w:rsidR="007928DA">
        <w:t xml:space="preserve">. </w:t>
      </w:r>
      <w:r w:rsidR="002113EB">
        <w:t xml:space="preserve">Costs must be entered in all cells in the table. </w:t>
      </w:r>
      <w:r>
        <w:t>The quantities provided are for the purposes of Tender evaluation and are not to be considered as a guarantee of any minimum volumes.</w:t>
      </w:r>
    </w:p>
    <w:p w14:paraId="3D643D15" w14:textId="77777777" w:rsidR="001D090E" w:rsidRDefault="001D090E" w:rsidP="005D60D7">
      <w:pPr>
        <w:pStyle w:val="HPRAMainBodyText"/>
        <w:rPr>
          <w:b/>
          <w:bCs/>
        </w:rPr>
      </w:pPr>
    </w:p>
    <w:p w14:paraId="55ABFB5A" w14:textId="77777777" w:rsidR="001D090E" w:rsidRPr="001D090E" w:rsidRDefault="001D090E" w:rsidP="001D090E">
      <w:pPr>
        <w:pStyle w:val="HPRAMainBodyText"/>
        <w:rPr>
          <w:b/>
          <w:bCs/>
        </w:rPr>
      </w:pPr>
      <w:r w:rsidRPr="001D090E">
        <w:rPr>
          <w:b/>
          <w:bCs/>
        </w:rPr>
        <w:t>Proposed Additional Licensing Requirements</w:t>
      </w:r>
    </w:p>
    <w:p w14:paraId="41D6A1DC" w14:textId="77777777" w:rsidR="001D090E" w:rsidRPr="001D090E" w:rsidRDefault="001D090E" w:rsidP="001D090E">
      <w:pPr>
        <w:pStyle w:val="HPRAMainBodyText"/>
      </w:pPr>
      <w:r w:rsidRPr="001D090E">
        <w:rPr>
          <w:b/>
          <w:bCs/>
        </w:rPr>
        <w:t>Licensing Model and Pricing Assumptions</w:t>
      </w:r>
    </w:p>
    <w:p w14:paraId="620C398E" w14:textId="77777777" w:rsidR="001D090E" w:rsidRPr="001D090E" w:rsidRDefault="001D090E" w:rsidP="001D090E">
      <w:pPr>
        <w:pStyle w:val="HPRAMainBodyText"/>
      </w:pPr>
      <w:r w:rsidRPr="001D090E">
        <w:t>Tenderers must clearly describe the basis of their proposed licensing model and provide sufficient detail to allow the Contracting Authority to evaluate and compare tenders on a like-for-like basis.</w:t>
      </w:r>
    </w:p>
    <w:p w14:paraId="0A08E51D" w14:textId="77777777" w:rsidR="001D090E" w:rsidRPr="001D090E" w:rsidRDefault="001D090E" w:rsidP="001D090E">
      <w:pPr>
        <w:pStyle w:val="HPRAMainBodyText"/>
      </w:pPr>
      <w:r w:rsidRPr="001D090E">
        <w:t>The response must include:</w:t>
      </w:r>
    </w:p>
    <w:p w14:paraId="124A4BED" w14:textId="77777777" w:rsidR="001D090E" w:rsidRPr="001D090E" w:rsidRDefault="001D090E" w:rsidP="001D090E">
      <w:pPr>
        <w:pStyle w:val="HPRAMainBodyText"/>
        <w:numPr>
          <w:ilvl w:val="0"/>
          <w:numId w:val="35"/>
        </w:numPr>
      </w:pPr>
      <w:r w:rsidRPr="001D090E">
        <w:t>The licensing basis used by the Tenderer (e.g. named users, concurrent users, annual case volumes, transactions, enterprise licence, storage consumption, modules or other charging mechanisms).</w:t>
      </w:r>
    </w:p>
    <w:p w14:paraId="474F7407" w14:textId="77777777" w:rsidR="001D090E" w:rsidRPr="001D090E" w:rsidRDefault="001D090E" w:rsidP="001D090E">
      <w:pPr>
        <w:pStyle w:val="HPRAMainBodyText"/>
        <w:numPr>
          <w:ilvl w:val="0"/>
          <w:numId w:val="35"/>
        </w:numPr>
      </w:pPr>
      <w:r w:rsidRPr="001D090E">
        <w:t>Details of any mandatory or optional modules, components, services or subscriptions required to deliver the functionality specified within this RFT.</w:t>
      </w:r>
    </w:p>
    <w:p w14:paraId="4E22FB79" w14:textId="77777777" w:rsidR="001D090E" w:rsidRPr="001D090E" w:rsidRDefault="001D090E" w:rsidP="001D090E">
      <w:pPr>
        <w:pStyle w:val="HPRAMainBodyText"/>
        <w:numPr>
          <w:ilvl w:val="0"/>
          <w:numId w:val="35"/>
        </w:numPr>
      </w:pPr>
      <w:r w:rsidRPr="001D090E">
        <w:t>Details of any limits, thresholds or assumptions that may affect pricing, including user numbers, case volumes, storage volumes, interfaces, environments, reporting capabilities or third-party services.</w:t>
      </w:r>
    </w:p>
    <w:p w14:paraId="2F161D03" w14:textId="77777777" w:rsidR="001D090E" w:rsidRPr="001D090E" w:rsidRDefault="001D090E" w:rsidP="001D090E">
      <w:pPr>
        <w:pStyle w:val="HPRAMainBodyText"/>
        <w:numPr>
          <w:ilvl w:val="0"/>
          <w:numId w:val="35"/>
        </w:numPr>
      </w:pPr>
      <w:r w:rsidRPr="001D090E">
        <w:t>Details of any charges associated with production, pre-production, test, disaster recovery or development environments.</w:t>
      </w:r>
    </w:p>
    <w:p w14:paraId="7E63BD93" w14:textId="77777777" w:rsidR="001D090E" w:rsidRPr="001D090E" w:rsidRDefault="001D090E" w:rsidP="001D090E">
      <w:pPr>
        <w:pStyle w:val="HPRAMainBodyText"/>
        <w:numPr>
          <w:ilvl w:val="0"/>
          <w:numId w:val="35"/>
        </w:numPr>
      </w:pPr>
      <w:r w:rsidRPr="001D090E">
        <w:t>Confirmation that all costs required to meet the requirements of this RFT have been included in the pricing schedules.</w:t>
      </w:r>
    </w:p>
    <w:p w14:paraId="3267EF53" w14:textId="77777777" w:rsidR="001D090E" w:rsidRDefault="001D090E" w:rsidP="005D60D7">
      <w:pPr>
        <w:pStyle w:val="HPRAMainBodyText"/>
      </w:pPr>
    </w:p>
    <w:p w14:paraId="77781144" w14:textId="14FD724E" w:rsidR="0022428B" w:rsidRDefault="0022428B" w:rsidP="007E0379">
      <w:pPr>
        <w:pStyle w:val="HPRAMainBodyText"/>
      </w:pPr>
    </w:p>
    <w:tbl>
      <w:tblPr>
        <w:tblStyle w:val="TableGrid"/>
        <w:tblW w:w="0" w:type="auto"/>
        <w:jc w:val="center"/>
        <w:tblLook w:val="04A0" w:firstRow="1" w:lastRow="0" w:firstColumn="1" w:lastColumn="0" w:noHBand="0" w:noVBand="1"/>
      </w:tblPr>
      <w:tblGrid>
        <w:gridCol w:w="1980"/>
        <w:gridCol w:w="1573"/>
        <w:gridCol w:w="1687"/>
        <w:gridCol w:w="1418"/>
        <w:gridCol w:w="1417"/>
      </w:tblGrid>
      <w:tr w:rsidR="0084479B" w14:paraId="7F06AFFF" w14:textId="77777777" w:rsidTr="00EF0FC6">
        <w:trPr>
          <w:jc w:val="center"/>
        </w:trPr>
        <w:tc>
          <w:tcPr>
            <w:tcW w:w="8075" w:type="dxa"/>
            <w:gridSpan w:val="5"/>
            <w:shd w:val="clear" w:color="auto" w:fill="005F37" w:themeFill="accent1" w:themeFillShade="80"/>
          </w:tcPr>
          <w:p w14:paraId="0DF15997" w14:textId="6CC6E7D2" w:rsidR="0084479B" w:rsidRPr="00B236CF" w:rsidRDefault="0084479B" w:rsidP="00E16842">
            <w:pPr>
              <w:jc w:val="center"/>
              <w:rPr>
                <w:b/>
                <w:bCs/>
                <w:color w:val="FFFFFF" w:themeColor="background1"/>
              </w:rPr>
            </w:pPr>
            <w:r>
              <w:rPr>
                <w:b/>
                <w:bCs/>
                <w:color w:val="FFFFFF" w:themeColor="background1"/>
              </w:rPr>
              <w:lastRenderedPageBreak/>
              <w:t>Table 1: Licensing Costs</w:t>
            </w:r>
          </w:p>
        </w:tc>
      </w:tr>
      <w:tr w:rsidR="004B320E" w14:paraId="4A1FF8AD" w14:textId="77777777" w:rsidTr="00392BB6">
        <w:trPr>
          <w:jc w:val="center"/>
        </w:trPr>
        <w:tc>
          <w:tcPr>
            <w:tcW w:w="8075" w:type="dxa"/>
            <w:gridSpan w:val="5"/>
            <w:shd w:val="clear" w:color="auto" w:fill="005F37" w:themeFill="accent1" w:themeFillShade="80"/>
          </w:tcPr>
          <w:p w14:paraId="00C96B24" w14:textId="751E78C4" w:rsidR="004B320E" w:rsidRPr="00B236CF" w:rsidRDefault="004B320E" w:rsidP="00E16842">
            <w:pPr>
              <w:jc w:val="center"/>
              <w:rPr>
                <w:b/>
                <w:bCs/>
                <w:color w:val="FFFFFF" w:themeColor="background1"/>
              </w:rPr>
            </w:pPr>
            <w:r w:rsidRPr="00B236CF">
              <w:rPr>
                <w:b/>
                <w:bCs/>
                <w:color w:val="FFFFFF" w:themeColor="background1"/>
              </w:rPr>
              <w:t xml:space="preserve">Number of </w:t>
            </w:r>
            <w:r>
              <w:rPr>
                <w:b/>
                <w:bCs/>
                <w:color w:val="FFFFFF" w:themeColor="background1"/>
              </w:rPr>
              <w:t xml:space="preserve">New </w:t>
            </w:r>
            <w:r w:rsidRPr="00B236CF">
              <w:rPr>
                <w:b/>
                <w:bCs/>
                <w:color w:val="FFFFFF" w:themeColor="background1"/>
              </w:rPr>
              <w:t>Cases</w:t>
            </w:r>
          </w:p>
        </w:tc>
      </w:tr>
      <w:tr w:rsidR="007C0A8C" w14:paraId="7BFD6CA8" w14:textId="77777777" w:rsidTr="00EF0FC6">
        <w:trPr>
          <w:trHeight w:val="558"/>
          <w:jc w:val="center"/>
        </w:trPr>
        <w:tc>
          <w:tcPr>
            <w:tcW w:w="1980" w:type="dxa"/>
            <w:shd w:val="clear" w:color="auto" w:fill="005F37" w:themeFill="accent1" w:themeFillShade="80"/>
          </w:tcPr>
          <w:p w14:paraId="4793F252" w14:textId="418EE303" w:rsidR="007C0A8C" w:rsidRPr="00B236CF" w:rsidRDefault="00584905" w:rsidP="00E16842">
            <w:pPr>
              <w:jc w:val="center"/>
              <w:rPr>
                <w:b/>
                <w:bCs/>
                <w:color w:val="FFFFFF" w:themeColor="background1"/>
              </w:rPr>
            </w:pPr>
            <w:r w:rsidRPr="00B236CF">
              <w:rPr>
                <w:b/>
                <w:bCs/>
                <w:color w:val="FFFFFF" w:themeColor="background1"/>
              </w:rPr>
              <w:t>Number of Users</w:t>
            </w:r>
          </w:p>
        </w:tc>
        <w:tc>
          <w:tcPr>
            <w:tcW w:w="1573" w:type="dxa"/>
            <w:shd w:val="clear" w:color="auto" w:fill="005F37" w:themeFill="accent1" w:themeFillShade="80"/>
          </w:tcPr>
          <w:p w14:paraId="276E80A1" w14:textId="77777777" w:rsidR="007C0A8C" w:rsidRPr="00B236CF" w:rsidRDefault="007C0A8C" w:rsidP="00E16842">
            <w:pPr>
              <w:jc w:val="center"/>
              <w:rPr>
                <w:b/>
                <w:bCs/>
                <w:color w:val="FFFFFF" w:themeColor="background1"/>
              </w:rPr>
            </w:pPr>
            <w:r w:rsidRPr="00B236CF">
              <w:rPr>
                <w:b/>
                <w:bCs/>
                <w:color w:val="FFFFFF" w:themeColor="background1"/>
              </w:rPr>
              <w:t>15,000</w:t>
            </w:r>
          </w:p>
        </w:tc>
        <w:tc>
          <w:tcPr>
            <w:tcW w:w="1687" w:type="dxa"/>
            <w:shd w:val="clear" w:color="auto" w:fill="005F37" w:themeFill="accent1" w:themeFillShade="80"/>
          </w:tcPr>
          <w:p w14:paraId="5549736F" w14:textId="77777777" w:rsidR="007C0A8C" w:rsidRPr="00B236CF" w:rsidRDefault="007C0A8C" w:rsidP="00E16842">
            <w:pPr>
              <w:jc w:val="center"/>
              <w:rPr>
                <w:b/>
                <w:bCs/>
                <w:color w:val="FFFFFF" w:themeColor="background1"/>
              </w:rPr>
            </w:pPr>
            <w:r w:rsidRPr="00B236CF">
              <w:rPr>
                <w:b/>
                <w:bCs/>
                <w:color w:val="FFFFFF" w:themeColor="background1"/>
              </w:rPr>
              <w:t>25,000</w:t>
            </w:r>
          </w:p>
        </w:tc>
        <w:tc>
          <w:tcPr>
            <w:tcW w:w="1418" w:type="dxa"/>
            <w:shd w:val="clear" w:color="auto" w:fill="005F37" w:themeFill="accent1" w:themeFillShade="80"/>
          </w:tcPr>
          <w:p w14:paraId="7DDE4615" w14:textId="77777777" w:rsidR="007C0A8C" w:rsidRPr="00B236CF" w:rsidRDefault="007C0A8C" w:rsidP="00E16842">
            <w:pPr>
              <w:jc w:val="center"/>
              <w:rPr>
                <w:b/>
                <w:bCs/>
                <w:color w:val="FFFFFF" w:themeColor="background1"/>
              </w:rPr>
            </w:pPr>
            <w:r w:rsidRPr="00B236CF">
              <w:rPr>
                <w:b/>
                <w:bCs/>
                <w:color w:val="FFFFFF" w:themeColor="background1"/>
              </w:rPr>
              <w:t>35,000</w:t>
            </w:r>
          </w:p>
        </w:tc>
        <w:tc>
          <w:tcPr>
            <w:tcW w:w="1417" w:type="dxa"/>
            <w:shd w:val="clear" w:color="auto" w:fill="005F37" w:themeFill="accent1" w:themeFillShade="80"/>
          </w:tcPr>
          <w:p w14:paraId="53338EE3" w14:textId="77777777" w:rsidR="007C0A8C" w:rsidRPr="00B236CF" w:rsidRDefault="007C0A8C" w:rsidP="00E16842">
            <w:pPr>
              <w:jc w:val="center"/>
              <w:rPr>
                <w:b/>
                <w:bCs/>
                <w:color w:val="FFFFFF" w:themeColor="background1"/>
              </w:rPr>
            </w:pPr>
            <w:r w:rsidRPr="00B236CF">
              <w:rPr>
                <w:b/>
                <w:bCs/>
                <w:color w:val="FFFFFF" w:themeColor="background1"/>
              </w:rPr>
              <w:t>50,000</w:t>
            </w:r>
          </w:p>
        </w:tc>
      </w:tr>
      <w:tr w:rsidR="007C0A8C" w14:paraId="2FC1FA30" w14:textId="77777777" w:rsidTr="00EF0FC6">
        <w:trPr>
          <w:trHeight w:val="567"/>
          <w:jc w:val="center"/>
        </w:trPr>
        <w:tc>
          <w:tcPr>
            <w:tcW w:w="1980" w:type="dxa"/>
            <w:shd w:val="clear" w:color="auto" w:fill="005F37" w:themeFill="accent1" w:themeFillShade="80"/>
          </w:tcPr>
          <w:p w14:paraId="71F97A4D" w14:textId="77777777" w:rsidR="007C0A8C" w:rsidRPr="00B236CF" w:rsidRDefault="007C0A8C" w:rsidP="00E16842">
            <w:pPr>
              <w:jc w:val="center"/>
              <w:rPr>
                <w:b/>
                <w:bCs/>
                <w:color w:val="FFFFFF" w:themeColor="background1"/>
              </w:rPr>
            </w:pPr>
            <w:r w:rsidRPr="00B236CF">
              <w:rPr>
                <w:b/>
                <w:bCs/>
                <w:color w:val="FFFFFF" w:themeColor="background1"/>
              </w:rPr>
              <w:t>25</w:t>
            </w:r>
          </w:p>
        </w:tc>
        <w:tc>
          <w:tcPr>
            <w:tcW w:w="1573" w:type="dxa"/>
            <w:shd w:val="clear" w:color="auto" w:fill="7CB9FF" w:themeFill="accent3" w:themeFillTint="66"/>
          </w:tcPr>
          <w:p w14:paraId="23A69A79" w14:textId="5B23FAC0" w:rsidR="00380C02" w:rsidRPr="00EF0FC6" w:rsidRDefault="00380C02" w:rsidP="00EF0FC6">
            <w:pPr>
              <w:jc w:val="center"/>
              <w:rPr>
                <w:sz w:val="18"/>
                <w:szCs w:val="18"/>
              </w:rPr>
            </w:pPr>
            <w:r w:rsidRPr="00EF0FC6">
              <w:rPr>
                <w:sz w:val="18"/>
                <w:szCs w:val="18"/>
              </w:rPr>
              <w:t>€ Insert Here</w:t>
            </w:r>
          </w:p>
          <w:p w14:paraId="473ED52F" w14:textId="7497558C" w:rsidR="007C0A8C" w:rsidRPr="00EF0FC6" w:rsidRDefault="00EF0FC6" w:rsidP="00EF0FC6">
            <w:pPr>
              <w:jc w:val="center"/>
              <w:rPr>
                <w:sz w:val="18"/>
                <w:szCs w:val="18"/>
              </w:rPr>
            </w:pPr>
            <w:r w:rsidRPr="00EF0FC6">
              <w:rPr>
                <w:sz w:val="18"/>
                <w:szCs w:val="18"/>
              </w:rPr>
              <w:t>(</w:t>
            </w:r>
            <w:r w:rsidR="00380C02" w:rsidRPr="00EF0FC6">
              <w:rPr>
                <w:sz w:val="18"/>
                <w:szCs w:val="18"/>
              </w:rPr>
              <w:t>40%</w:t>
            </w:r>
            <w:r w:rsidRPr="00EF0FC6">
              <w:rPr>
                <w:sz w:val="18"/>
                <w:szCs w:val="18"/>
              </w:rPr>
              <w:t xml:space="preserve"> weighting)</w:t>
            </w:r>
          </w:p>
        </w:tc>
        <w:tc>
          <w:tcPr>
            <w:tcW w:w="1687" w:type="dxa"/>
            <w:shd w:val="clear" w:color="auto" w:fill="7CB9FF" w:themeFill="accent3" w:themeFillTint="66"/>
          </w:tcPr>
          <w:p w14:paraId="398DBD5D" w14:textId="77777777" w:rsidR="00EF0FC6" w:rsidRPr="00EF0FC6" w:rsidRDefault="00EF0FC6" w:rsidP="00EF0FC6">
            <w:pPr>
              <w:jc w:val="center"/>
              <w:rPr>
                <w:sz w:val="18"/>
                <w:szCs w:val="18"/>
              </w:rPr>
            </w:pPr>
            <w:r w:rsidRPr="00EF0FC6">
              <w:rPr>
                <w:sz w:val="18"/>
                <w:szCs w:val="18"/>
              </w:rPr>
              <w:t>€ Insert Here</w:t>
            </w:r>
          </w:p>
          <w:p w14:paraId="5085464A" w14:textId="00FF621A" w:rsidR="007C0A8C" w:rsidRPr="00EF0FC6" w:rsidRDefault="00EF0FC6" w:rsidP="00EF0FC6">
            <w:pPr>
              <w:jc w:val="center"/>
              <w:rPr>
                <w:sz w:val="18"/>
                <w:szCs w:val="18"/>
              </w:rPr>
            </w:pPr>
            <w:r w:rsidRPr="00EF0FC6">
              <w:rPr>
                <w:sz w:val="18"/>
                <w:szCs w:val="18"/>
              </w:rPr>
              <w:t>(</w:t>
            </w:r>
            <w:r w:rsidR="00CA2D10">
              <w:rPr>
                <w:sz w:val="18"/>
                <w:szCs w:val="18"/>
              </w:rPr>
              <w:t>15</w:t>
            </w:r>
            <w:r w:rsidRPr="00EF0FC6">
              <w:rPr>
                <w:sz w:val="18"/>
                <w:szCs w:val="18"/>
              </w:rPr>
              <w:t>% weighting)</w:t>
            </w:r>
          </w:p>
        </w:tc>
        <w:tc>
          <w:tcPr>
            <w:tcW w:w="1418" w:type="dxa"/>
          </w:tcPr>
          <w:p w14:paraId="6837475D" w14:textId="77777777" w:rsidR="00973943" w:rsidRPr="00EF0FC6" w:rsidRDefault="00973943" w:rsidP="00973943">
            <w:pPr>
              <w:jc w:val="center"/>
              <w:rPr>
                <w:sz w:val="18"/>
                <w:szCs w:val="18"/>
              </w:rPr>
            </w:pPr>
            <w:r w:rsidRPr="00EF0FC6">
              <w:rPr>
                <w:sz w:val="18"/>
                <w:szCs w:val="18"/>
              </w:rPr>
              <w:t>€ Insert Here</w:t>
            </w:r>
          </w:p>
          <w:p w14:paraId="23E65309" w14:textId="2BB9B6F1" w:rsidR="007C0A8C" w:rsidRPr="00EF0FC6" w:rsidRDefault="00973943" w:rsidP="00973943">
            <w:pPr>
              <w:jc w:val="center"/>
              <w:rPr>
                <w:sz w:val="18"/>
                <w:szCs w:val="18"/>
              </w:rPr>
            </w:pPr>
            <w:r w:rsidRPr="00EF0FC6">
              <w:rPr>
                <w:sz w:val="18"/>
                <w:szCs w:val="18"/>
              </w:rPr>
              <w:t>(0% weighting)</w:t>
            </w:r>
          </w:p>
        </w:tc>
        <w:tc>
          <w:tcPr>
            <w:tcW w:w="1417" w:type="dxa"/>
          </w:tcPr>
          <w:p w14:paraId="2DACAEC8" w14:textId="77777777" w:rsidR="00973943" w:rsidRPr="00EF0FC6" w:rsidRDefault="00973943" w:rsidP="00973943">
            <w:pPr>
              <w:jc w:val="center"/>
              <w:rPr>
                <w:sz w:val="18"/>
                <w:szCs w:val="18"/>
              </w:rPr>
            </w:pPr>
            <w:r w:rsidRPr="00EF0FC6">
              <w:rPr>
                <w:sz w:val="18"/>
                <w:szCs w:val="18"/>
              </w:rPr>
              <w:t>€ Insert Here</w:t>
            </w:r>
          </w:p>
          <w:p w14:paraId="560C450D" w14:textId="54B9F0AB" w:rsidR="007C0A8C" w:rsidRPr="00EF0FC6" w:rsidRDefault="00973943" w:rsidP="00973943">
            <w:pPr>
              <w:jc w:val="center"/>
              <w:rPr>
                <w:sz w:val="18"/>
                <w:szCs w:val="18"/>
              </w:rPr>
            </w:pPr>
            <w:r w:rsidRPr="00EF0FC6">
              <w:rPr>
                <w:sz w:val="18"/>
                <w:szCs w:val="18"/>
              </w:rPr>
              <w:t>(0% weighting)</w:t>
            </w:r>
          </w:p>
        </w:tc>
      </w:tr>
      <w:tr w:rsidR="007C0A8C" w14:paraId="719AD2D7" w14:textId="77777777" w:rsidTr="00EF0FC6">
        <w:trPr>
          <w:trHeight w:val="567"/>
          <w:jc w:val="center"/>
        </w:trPr>
        <w:tc>
          <w:tcPr>
            <w:tcW w:w="1980" w:type="dxa"/>
            <w:shd w:val="clear" w:color="auto" w:fill="005F37" w:themeFill="accent1" w:themeFillShade="80"/>
          </w:tcPr>
          <w:p w14:paraId="3FA7BD95" w14:textId="77777777" w:rsidR="007C0A8C" w:rsidRPr="00B236CF" w:rsidRDefault="007C0A8C" w:rsidP="00E16842">
            <w:pPr>
              <w:jc w:val="center"/>
              <w:rPr>
                <w:b/>
                <w:bCs/>
                <w:color w:val="FFFFFF" w:themeColor="background1"/>
              </w:rPr>
            </w:pPr>
            <w:r w:rsidRPr="00B236CF">
              <w:rPr>
                <w:b/>
                <w:bCs/>
                <w:color w:val="FFFFFF" w:themeColor="background1"/>
              </w:rPr>
              <w:t>35</w:t>
            </w:r>
          </w:p>
        </w:tc>
        <w:tc>
          <w:tcPr>
            <w:tcW w:w="1573" w:type="dxa"/>
            <w:shd w:val="clear" w:color="auto" w:fill="7CB9FF" w:themeFill="accent3" w:themeFillTint="66"/>
          </w:tcPr>
          <w:p w14:paraId="4123C1DF" w14:textId="77777777" w:rsidR="00EF0FC6" w:rsidRPr="00EF0FC6" w:rsidRDefault="00EF0FC6" w:rsidP="00EF0FC6">
            <w:pPr>
              <w:jc w:val="center"/>
              <w:rPr>
                <w:sz w:val="18"/>
                <w:szCs w:val="18"/>
              </w:rPr>
            </w:pPr>
            <w:r w:rsidRPr="00EF0FC6">
              <w:rPr>
                <w:sz w:val="18"/>
                <w:szCs w:val="18"/>
              </w:rPr>
              <w:t>€ Insert Here</w:t>
            </w:r>
          </w:p>
          <w:p w14:paraId="039EBCE0" w14:textId="2BE2C0DC" w:rsidR="007C0A8C" w:rsidRPr="00EF0FC6" w:rsidRDefault="00EF0FC6" w:rsidP="00EF0FC6">
            <w:pPr>
              <w:jc w:val="center"/>
              <w:rPr>
                <w:sz w:val="18"/>
                <w:szCs w:val="18"/>
              </w:rPr>
            </w:pPr>
            <w:r w:rsidRPr="00EF0FC6">
              <w:rPr>
                <w:sz w:val="18"/>
                <w:szCs w:val="18"/>
              </w:rPr>
              <w:t>(</w:t>
            </w:r>
            <w:r w:rsidR="00CA2D10">
              <w:rPr>
                <w:sz w:val="18"/>
                <w:szCs w:val="18"/>
              </w:rPr>
              <w:t>15</w:t>
            </w:r>
            <w:r w:rsidRPr="00EF0FC6">
              <w:rPr>
                <w:sz w:val="18"/>
                <w:szCs w:val="18"/>
              </w:rPr>
              <w:t>% weighting)</w:t>
            </w:r>
          </w:p>
        </w:tc>
        <w:tc>
          <w:tcPr>
            <w:tcW w:w="1687" w:type="dxa"/>
            <w:shd w:val="clear" w:color="auto" w:fill="7CB9FF" w:themeFill="accent3" w:themeFillTint="66"/>
          </w:tcPr>
          <w:p w14:paraId="2281FC98" w14:textId="77777777" w:rsidR="00EF0FC6" w:rsidRPr="00EF0FC6" w:rsidRDefault="00EF0FC6" w:rsidP="00EF0FC6">
            <w:pPr>
              <w:jc w:val="center"/>
              <w:rPr>
                <w:sz w:val="18"/>
                <w:szCs w:val="18"/>
              </w:rPr>
            </w:pPr>
            <w:r w:rsidRPr="00EF0FC6">
              <w:rPr>
                <w:sz w:val="18"/>
                <w:szCs w:val="18"/>
              </w:rPr>
              <w:t>€ Insert Here</w:t>
            </w:r>
          </w:p>
          <w:p w14:paraId="7BC08037" w14:textId="350C6225" w:rsidR="007C0A8C" w:rsidRPr="00EF0FC6" w:rsidRDefault="00EF0FC6" w:rsidP="00EF0FC6">
            <w:pPr>
              <w:jc w:val="center"/>
              <w:rPr>
                <w:sz w:val="18"/>
                <w:szCs w:val="18"/>
              </w:rPr>
            </w:pPr>
            <w:r w:rsidRPr="00EF0FC6">
              <w:rPr>
                <w:sz w:val="18"/>
                <w:szCs w:val="18"/>
              </w:rPr>
              <w:t>(</w:t>
            </w:r>
            <w:r w:rsidR="00CA2D10">
              <w:rPr>
                <w:sz w:val="18"/>
                <w:szCs w:val="18"/>
              </w:rPr>
              <w:t>2</w:t>
            </w:r>
            <w:r w:rsidRPr="00EF0FC6">
              <w:rPr>
                <w:sz w:val="18"/>
                <w:szCs w:val="18"/>
              </w:rPr>
              <w:t>0% weighting)</w:t>
            </w:r>
          </w:p>
        </w:tc>
        <w:tc>
          <w:tcPr>
            <w:tcW w:w="1418" w:type="dxa"/>
          </w:tcPr>
          <w:p w14:paraId="63FEEA9C" w14:textId="77777777" w:rsidR="00973943" w:rsidRPr="00EF0FC6" w:rsidRDefault="00973943" w:rsidP="00973943">
            <w:pPr>
              <w:jc w:val="center"/>
              <w:rPr>
                <w:sz w:val="18"/>
                <w:szCs w:val="18"/>
              </w:rPr>
            </w:pPr>
            <w:r w:rsidRPr="00EF0FC6">
              <w:rPr>
                <w:sz w:val="18"/>
                <w:szCs w:val="18"/>
              </w:rPr>
              <w:t>€ Insert Here</w:t>
            </w:r>
          </w:p>
          <w:p w14:paraId="2303A994" w14:textId="457B3C83" w:rsidR="007C0A8C" w:rsidRPr="00EF0FC6" w:rsidRDefault="00973943" w:rsidP="00973943">
            <w:pPr>
              <w:jc w:val="center"/>
              <w:rPr>
                <w:sz w:val="18"/>
                <w:szCs w:val="18"/>
              </w:rPr>
            </w:pPr>
            <w:r w:rsidRPr="00EF0FC6">
              <w:rPr>
                <w:sz w:val="18"/>
                <w:szCs w:val="18"/>
              </w:rPr>
              <w:t>(0% weighting)</w:t>
            </w:r>
          </w:p>
        </w:tc>
        <w:tc>
          <w:tcPr>
            <w:tcW w:w="1417" w:type="dxa"/>
          </w:tcPr>
          <w:p w14:paraId="2BD7253A" w14:textId="77777777" w:rsidR="00973943" w:rsidRPr="00EF0FC6" w:rsidRDefault="00973943" w:rsidP="00973943">
            <w:pPr>
              <w:jc w:val="center"/>
              <w:rPr>
                <w:sz w:val="18"/>
                <w:szCs w:val="18"/>
              </w:rPr>
            </w:pPr>
            <w:r w:rsidRPr="00EF0FC6">
              <w:rPr>
                <w:sz w:val="18"/>
                <w:szCs w:val="18"/>
              </w:rPr>
              <w:t>€ Insert Here</w:t>
            </w:r>
          </w:p>
          <w:p w14:paraId="5E8D664F" w14:textId="77BBDDA3" w:rsidR="007C0A8C" w:rsidRPr="00EF0FC6" w:rsidRDefault="00973943" w:rsidP="00973943">
            <w:pPr>
              <w:jc w:val="center"/>
              <w:rPr>
                <w:sz w:val="18"/>
                <w:szCs w:val="18"/>
              </w:rPr>
            </w:pPr>
            <w:r w:rsidRPr="00EF0FC6">
              <w:rPr>
                <w:sz w:val="18"/>
                <w:szCs w:val="18"/>
              </w:rPr>
              <w:t>(0% weighting)</w:t>
            </w:r>
          </w:p>
        </w:tc>
      </w:tr>
      <w:tr w:rsidR="007C0A8C" w14:paraId="77B31FAE" w14:textId="77777777" w:rsidTr="00EF0FC6">
        <w:trPr>
          <w:trHeight w:val="567"/>
          <w:jc w:val="center"/>
        </w:trPr>
        <w:tc>
          <w:tcPr>
            <w:tcW w:w="1980" w:type="dxa"/>
            <w:shd w:val="clear" w:color="auto" w:fill="005F37" w:themeFill="accent1" w:themeFillShade="80"/>
          </w:tcPr>
          <w:p w14:paraId="5B9782C2" w14:textId="77777777" w:rsidR="007C0A8C" w:rsidRPr="00B236CF" w:rsidRDefault="007C0A8C" w:rsidP="00E16842">
            <w:pPr>
              <w:jc w:val="center"/>
              <w:rPr>
                <w:b/>
                <w:bCs/>
                <w:color w:val="FFFFFF" w:themeColor="background1"/>
              </w:rPr>
            </w:pPr>
            <w:r>
              <w:rPr>
                <w:b/>
                <w:bCs/>
                <w:color w:val="FFFFFF" w:themeColor="background1"/>
              </w:rPr>
              <w:t>45</w:t>
            </w:r>
          </w:p>
        </w:tc>
        <w:tc>
          <w:tcPr>
            <w:tcW w:w="1573" w:type="dxa"/>
          </w:tcPr>
          <w:p w14:paraId="123021FC" w14:textId="77777777" w:rsidR="00973943" w:rsidRPr="00EF0FC6" w:rsidRDefault="00973943" w:rsidP="00973943">
            <w:pPr>
              <w:jc w:val="center"/>
              <w:rPr>
                <w:sz w:val="18"/>
                <w:szCs w:val="18"/>
              </w:rPr>
            </w:pPr>
            <w:r w:rsidRPr="00EF0FC6">
              <w:rPr>
                <w:sz w:val="18"/>
                <w:szCs w:val="18"/>
              </w:rPr>
              <w:t>€ Insert Here</w:t>
            </w:r>
          </w:p>
          <w:p w14:paraId="74988B1D" w14:textId="28C57A8C" w:rsidR="007C0A8C" w:rsidRPr="00EF0FC6" w:rsidRDefault="00973943" w:rsidP="00973943">
            <w:pPr>
              <w:jc w:val="center"/>
              <w:rPr>
                <w:sz w:val="18"/>
                <w:szCs w:val="18"/>
              </w:rPr>
            </w:pPr>
            <w:r w:rsidRPr="00EF0FC6">
              <w:rPr>
                <w:sz w:val="18"/>
                <w:szCs w:val="18"/>
              </w:rPr>
              <w:t>(0% weighting)</w:t>
            </w:r>
          </w:p>
        </w:tc>
        <w:tc>
          <w:tcPr>
            <w:tcW w:w="1687" w:type="dxa"/>
          </w:tcPr>
          <w:p w14:paraId="5645FE0F" w14:textId="77777777" w:rsidR="00973943" w:rsidRPr="00EF0FC6" w:rsidRDefault="00973943" w:rsidP="00973943">
            <w:pPr>
              <w:jc w:val="center"/>
              <w:rPr>
                <w:sz w:val="18"/>
                <w:szCs w:val="18"/>
              </w:rPr>
            </w:pPr>
            <w:r w:rsidRPr="00EF0FC6">
              <w:rPr>
                <w:sz w:val="18"/>
                <w:szCs w:val="18"/>
              </w:rPr>
              <w:t>€ Insert Here</w:t>
            </w:r>
          </w:p>
          <w:p w14:paraId="1B1DCA41" w14:textId="56307278" w:rsidR="007C0A8C" w:rsidRPr="00EF0FC6" w:rsidRDefault="00973943" w:rsidP="00973943">
            <w:pPr>
              <w:jc w:val="center"/>
              <w:rPr>
                <w:sz w:val="18"/>
                <w:szCs w:val="18"/>
              </w:rPr>
            </w:pPr>
            <w:r w:rsidRPr="00EF0FC6">
              <w:rPr>
                <w:sz w:val="18"/>
                <w:szCs w:val="18"/>
              </w:rPr>
              <w:t>(0% weighting)</w:t>
            </w:r>
          </w:p>
        </w:tc>
        <w:tc>
          <w:tcPr>
            <w:tcW w:w="1418" w:type="dxa"/>
            <w:shd w:val="clear" w:color="auto" w:fill="7CB9FF" w:themeFill="accent3" w:themeFillTint="66"/>
          </w:tcPr>
          <w:p w14:paraId="75E82F50" w14:textId="77777777" w:rsidR="00EF0FC6" w:rsidRPr="00EF0FC6" w:rsidRDefault="00EF0FC6" w:rsidP="00EF0FC6">
            <w:pPr>
              <w:jc w:val="center"/>
              <w:rPr>
                <w:sz w:val="18"/>
                <w:szCs w:val="18"/>
              </w:rPr>
            </w:pPr>
            <w:r w:rsidRPr="00EF0FC6">
              <w:rPr>
                <w:sz w:val="18"/>
                <w:szCs w:val="18"/>
              </w:rPr>
              <w:t>€ Insert Here</w:t>
            </w:r>
          </w:p>
          <w:p w14:paraId="60E4D6AF" w14:textId="6F57B968" w:rsidR="007C0A8C" w:rsidRPr="00EF0FC6" w:rsidRDefault="00EF0FC6" w:rsidP="00EF0FC6">
            <w:pPr>
              <w:jc w:val="center"/>
              <w:rPr>
                <w:sz w:val="18"/>
                <w:szCs w:val="18"/>
              </w:rPr>
            </w:pPr>
            <w:r w:rsidRPr="00EF0FC6">
              <w:rPr>
                <w:sz w:val="18"/>
                <w:szCs w:val="18"/>
              </w:rPr>
              <w:t>(5% weighting)</w:t>
            </w:r>
          </w:p>
        </w:tc>
        <w:tc>
          <w:tcPr>
            <w:tcW w:w="1417" w:type="dxa"/>
          </w:tcPr>
          <w:p w14:paraId="5F95F740" w14:textId="77777777" w:rsidR="00973943" w:rsidRPr="00EF0FC6" w:rsidRDefault="00973943" w:rsidP="00973943">
            <w:pPr>
              <w:jc w:val="center"/>
              <w:rPr>
                <w:sz w:val="18"/>
                <w:szCs w:val="18"/>
              </w:rPr>
            </w:pPr>
            <w:r w:rsidRPr="00EF0FC6">
              <w:rPr>
                <w:sz w:val="18"/>
                <w:szCs w:val="18"/>
              </w:rPr>
              <w:t>€ Insert Here</w:t>
            </w:r>
          </w:p>
          <w:p w14:paraId="460CE4D2" w14:textId="173B347C" w:rsidR="007C0A8C" w:rsidRPr="00EF0FC6" w:rsidRDefault="00973943" w:rsidP="00973943">
            <w:pPr>
              <w:jc w:val="center"/>
              <w:rPr>
                <w:sz w:val="18"/>
                <w:szCs w:val="18"/>
              </w:rPr>
            </w:pPr>
            <w:r w:rsidRPr="00EF0FC6">
              <w:rPr>
                <w:sz w:val="18"/>
                <w:szCs w:val="18"/>
              </w:rPr>
              <w:t>(0% weighting)</w:t>
            </w:r>
          </w:p>
        </w:tc>
      </w:tr>
      <w:tr w:rsidR="007C0A8C" w14:paraId="18AD8E31" w14:textId="77777777" w:rsidTr="00EF0FC6">
        <w:trPr>
          <w:trHeight w:val="567"/>
          <w:jc w:val="center"/>
        </w:trPr>
        <w:tc>
          <w:tcPr>
            <w:tcW w:w="1980" w:type="dxa"/>
            <w:shd w:val="clear" w:color="auto" w:fill="005F37" w:themeFill="accent1" w:themeFillShade="80"/>
          </w:tcPr>
          <w:p w14:paraId="2DD35CC9" w14:textId="77777777" w:rsidR="007C0A8C" w:rsidRDefault="007C0A8C" w:rsidP="00E16842">
            <w:pPr>
              <w:jc w:val="center"/>
              <w:rPr>
                <w:b/>
                <w:bCs/>
                <w:color w:val="FFFFFF" w:themeColor="background1"/>
              </w:rPr>
            </w:pPr>
            <w:r>
              <w:rPr>
                <w:b/>
                <w:bCs/>
                <w:color w:val="FFFFFF" w:themeColor="background1"/>
              </w:rPr>
              <w:t>60</w:t>
            </w:r>
          </w:p>
        </w:tc>
        <w:tc>
          <w:tcPr>
            <w:tcW w:w="1573" w:type="dxa"/>
          </w:tcPr>
          <w:p w14:paraId="7092FEBD" w14:textId="77777777" w:rsidR="00973943" w:rsidRPr="00EF0FC6" w:rsidRDefault="00973943" w:rsidP="00973943">
            <w:pPr>
              <w:jc w:val="center"/>
              <w:rPr>
                <w:sz w:val="18"/>
                <w:szCs w:val="18"/>
              </w:rPr>
            </w:pPr>
            <w:r w:rsidRPr="00EF0FC6">
              <w:rPr>
                <w:sz w:val="18"/>
                <w:szCs w:val="18"/>
              </w:rPr>
              <w:t>€ Insert Here</w:t>
            </w:r>
          </w:p>
          <w:p w14:paraId="0006D0D0" w14:textId="52437ABE" w:rsidR="007C0A8C" w:rsidRPr="00EF0FC6" w:rsidRDefault="00973943" w:rsidP="00973943">
            <w:pPr>
              <w:jc w:val="center"/>
              <w:rPr>
                <w:sz w:val="18"/>
                <w:szCs w:val="18"/>
              </w:rPr>
            </w:pPr>
            <w:r w:rsidRPr="00EF0FC6">
              <w:rPr>
                <w:sz w:val="18"/>
                <w:szCs w:val="18"/>
              </w:rPr>
              <w:t>(0% weighting)</w:t>
            </w:r>
          </w:p>
        </w:tc>
        <w:tc>
          <w:tcPr>
            <w:tcW w:w="1687" w:type="dxa"/>
          </w:tcPr>
          <w:p w14:paraId="723DD00F" w14:textId="77777777" w:rsidR="00973943" w:rsidRPr="00EF0FC6" w:rsidRDefault="00973943" w:rsidP="00973943">
            <w:pPr>
              <w:jc w:val="center"/>
              <w:rPr>
                <w:sz w:val="18"/>
                <w:szCs w:val="18"/>
              </w:rPr>
            </w:pPr>
            <w:r w:rsidRPr="00EF0FC6">
              <w:rPr>
                <w:sz w:val="18"/>
                <w:szCs w:val="18"/>
              </w:rPr>
              <w:t>€ Insert Here</w:t>
            </w:r>
          </w:p>
          <w:p w14:paraId="20855CE8" w14:textId="4863C683" w:rsidR="007C0A8C" w:rsidRPr="00EF0FC6" w:rsidRDefault="00973943" w:rsidP="00973943">
            <w:pPr>
              <w:jc w:val="center"/>
              <w:rPr>
                <w:sz w:val="18"/>
                <w:szCs w:val="18"/>
              </w:rPr>
            </w:pPr>
            <w:r w:rsidRPr="00EF0FC6">
              <w:rPr>
                <w:sz w:val="18"/>
                <w:szCs w:val="18"/>
              </w:rPr>
              <w:t>(0% weighting)</w:t>
            </w:r>
          </w:p>
        </w:tc>
        <w:tc>
          <w:tcPr>
            <w:tcW w:w="1418" w:type="dxa"/>
          </w:tcPr>
          <w:p w14:paraId="42AF1F8C" w14:textId="77777777" w:rsidR="00973943" w:rsidRPr="00EF0FC6" w:rsidRDefault="00973943" w:rsidP="00973943">
            <w:pPr>
              <w:jc w:val="center"/>
              <w:rPr>
                <w:sz w:val="18"/>
                <w:szCs w:val="18"/>
              </w:rPr>
            </w:pPr>
            <w:r w:rsidRPr="00EF0FC6">
              <w:rPr>
                <w:sz w:val="18"/>
                <w:szCs w:val="18"/>
              </w:rPr>
              <w:t>€ Insert Here</w:t>
            </w:r>
          </w:p>
          <w:p w14:paraId="374A039B" w14:textId="535A1FDD" w:rsidR="007C0A8C" w:rsidRPr="00EF0FC6" w:rsidRDefault="00973943" w:rsidP="00973943">
            <w:pPr>
              <w:jc w:val="center"/>
              <w:rPr>
                <w:sz w:val="18"/>
                <w:szCs w:val="18"/>
              </w:rPr>
            </w:pPr>
            <w:r w:rsidRPr="00EF0FC6">
              <w:rPr>
                <w:sz w:val="18"/>
                <w:szCs w:val="18"/>
              </w:rPr>
              <w:t>(0% weighting)</w:t>
            </w:r>
          </w:p>
        </w:tc>
        <w:tc>
          <w:tcPr>
            <w:tcW w:w="1417" w:type="dxa"/>
            <w:shd w:val="clear" w:color="auto" w:fill="7CB9FF" w:themeFill="accent3" w:themeFillTint="66"/>
          </w:tcPr>
          <w:p w14:paraId="75D08FF5" w14:textId="77777777" w:rsidR="00EF0FC6" w:rsidRPr="00EF0FC6" w:rsidRDefault="00EF0FC6" w:rsidP="00EF0FC6">
            <w:pPr>
              <w:jc w:val="center"/>
              <w:rPr>
                <w:sz w:val="18"/>
                <w:szCs w:val="18"/>
              </w:rPr>
            </w:pPr>
            <w:r w:rsidRPr="00EF0FC6">
              <w:rPr>
                <w:sz w:val="18"/>
                <w:szCs w:val="18"/>
              </w:rPr>
              <w:t>€ Insert Here</w:t>
            </w:r>
          </w:p>
          <w:p w14:paraId="2D7911D3" w14:textId="5D2FB1A0" w:rsidR="007C0A8C" w:rsidRPr="00EF0FC6" w:rsidRDefault="00EF0FC6" w:rsidP="00EF0FC6">
            <w:pPr>
              <w:jc w:val="center"/>
              <w:rPr>
                <w:sz w:val="18"/>
                <w:szCs w:val="18"/>
              </w:rPr>
            </w:pPr>
            <w:r w:rsidRPr="00EF0FC6">
              <w:rPr>
                <w:sz w:val="18"/>
                <w:szCs w:val="18"/>
              </w:rPr>
              <w:t>(5% weighting)</w:t>
            </w:r>
          </w:p>
        </w:tc>
      </w:tr>
    </w:tbl>
    <w:p w14:paraId="6247FF9A" w14:textId="77777777" w:rsidR="005D60D7" w:rsidRDefault="005D60D7" w:rsidP="007E0379">
      <w:pPr>
        <w:pStyle w:val="HPRAMainBodyText"/>
      </w:pPr>
    </w:p>
    <w:p w14:paraId="2C6FE78D" w14:textId="566E2E50" w:rsidR="00411D79" w:rsidRDefault="000F4EF1" w:rsidP="00411D79">
      <w:pPr>
        <w:jc w:val="both"/>
        <w:rPr>
          <w:rFonts w:cstheme="minorHAnsi"/>
          <w:sz w:val="20"/>
          <w:szCs w:val="20"/>
        </w:rPr>
      </w:pPr>
      <w:r>
        <w:rPr>
          <w:rFonts w:cstheme="minorHAnsi"/>
          <w:sz w:val="20"/>
          <w:szCs w:val="20"/>
        </w:rPr>
        <w:t>Licensing costs will be awarded a ‘</w:t>
      </w:r>
      <w:r w:rsidR="0082339F">
        <w:rPr>
          <w:rFonts w:cstheme="minorHAnsi"/>
          <w:sz w:val="20"/>
          <w:szCs w:val="20"/>
        </w:rPr>
        <w:t xml:space="preserve">licensing </w:t>
      </w:r>
      <w:r>
        <w:rPr>
          <w:rFonts w:cstheme="minorHAnsi"/>
          <w:sz w:val="20"/>
          <w:szCs w:val="20"/>
        </w:rPr>
        <w:t xml:space="preserve">cost score’ </w:t>
      </w:r>
      <w:r w:rsidR="00C56E29">
        <w:rPr>
          <w:rFonts w:cstheme="minorHAnsi"/>
          <w:sz w:val="20"/>
          <w:szCs w:val="20"/>
        </w:rPr>
        <w:t>which will be calculated as follows</w:t>
      </w:r>
      <w:r w:rsidR="00411CCE">
        <w:rPr>
          <w:rFonts w:cstheme="minorHAnsi"/>
          <w:sz w:val="20"/>
          <w:szCs w:val="20"/>
        </w:rPr>
        <w:t xml:space="preserve">. </w:t>
      </w:r>
      <w:r w:rsidR="00C56E29">
        <w:rPr>
          <w:rFonts w:cstheme="minorHAnsi"/>
          <w:sz w:val="20"/>
          <w:szCs w:val="20"/>
        </w:rPr>
        <w:t xml:space="preserve">The costs entered </w:t>
      </w:r>
      <w:r w:rsidR="00411CCE">
        <w:rPr>
          <w:rFonts w:cstheme="minorHAnsi"/>
          <w:sz w:val="20"/>
          <w:szCs w:val="20"/>
        </w:rPr>
        <w:t xml:space="preserve">by the Tenderer </w:t>
      </w:r>
      <w:r w:rsidR="00C56E29">
        <w:rPr>
          <w:rFonts w:cstheme="minorHAnsi"/>
          <w:sz w:val="20"/>
          <w:szCs w:val="20"/>
        </w:rPr>
        <w:t xml:space="preserve">in the blue cells </w:t>
      </w:r>
      <w:r w:rsidR="00CA2D10">
        <w:rPr>
          <w:rFonts w:cstheme="minorHAnsi"/>
          <w:sz w:val="20"/>
          <w:szCs w:val="20"/>
        </w:rPr>
        <w:t xml:space="preserve">will </w:t>
      </w:r>
      <w:r w:rsidR="00411CCE">
        <w:rPr>
          <w:rFonts w:cstheme="minorHAnsi"/>
          <w:sz w:val="20"/>
          <w:szCs w:val="20"/>
        </w:rPr>
        <w:t xml:space="preserve">be allocated in the </w:t>
      </w:r>
      <w:r w:rsidR="0082787B">
        <w:rPr>
          <w:rFonts w:cstheme="minorHAnsi"/>
          <w:sz w:val="20"/>
          <w:szCs w:val="20"/>
        </w:rPr>
        <w:t xml:space="preserve">weighting </w:t>
      </w:r>
      <w:r w:rsidR="00411CCE">
        <w:rPr>
          <w:rFonts w:cstheme="minorHAnsi"/>
          <w:sz w:val="20"/>
          <w:szCs w:val="20"/>
        </w:rPr>
        <w:t xml:space="preserve">percentages indicated </w:t>
      </w:r>
      <w:r w:rsidR="003F7FF9">
        <w:rPr>
          <w:rFonts w:cstheme="minorHAnsi"/>
          <w:sz w:val="20"/>
          <w:szCs w:val="20"/>
        </w:rPr>
        <w:t xml:space="preserve">in the table to the </w:t>
      </w:r>
      <w:r w:rsidR="00E11952">
        <w:rPr>
          <w:rFonts w:cstheme="minorHAnsi"/>
          <w:sz w:val="20"/>
          <w:szCs w:val="20"/>
        </w:rPr>
        <w:t>“Tendered Licensing Rate under Evaluation”</w:t>
      </w:r>
      <w:r w:rsidR="0082339F">
        <w:rPr>
          <w:rFonts w:cstheme="minorHAnsi"/>
          <w:sz w:val="20"/>
          <w:szCs w:val="20"/>
        </w:rPr>
        <w:t xml:space="preserve">. </w:t>
      </w:r>
      <w:r w:rsidR="00411D79" w:rsidRPr="00525842">
        <w:rPr>
          <w:rFonts w:cstheme="minorHAnsi"/>
          <w:sz w:val="20"/>
          <w:szCs w:val="20"/>
        </w:rPr>
        <w:t xml:space="preserve">The </w:t>
      </w:r>
      <w:r w:rsidR="00A576A4">
        <w:rPr>
          <w:rFonts w:cstheme="minorHAnsi"/>
          <w:sz w:val="20"/>
          <w:szCs w:val="20"/>
        </w:rPr>
        <w:t xml:space="preserve">‘Licensing Cost Score’ </w:t>
      </w:r>
      <w:r w:rsidR="00411D79" w:rsidRPr="00525842">
        <w:rPr>
          <w:rFonts w:cstheme="minorHAnsi"/>
          <w:sz w:val="20"/>
          <w:szCs w:val="20"/>
        </w:rPr>
        <w:t>will then be calculated using the following formula:</w:t>
      </w:r>
    </w:p>
    <w:p w14:paraId="4E929B7D" w14:textId="77777777" w:rsidR="001D090E" w:rsidRPr="00525842" w:rsidRDefault="001D090E" w:rsidP="00411D79">
      <w:pPr>
        <w:jc w:val="both"/>
        <w:rPr>
          <w:rFonts w:cstheme="minorHAnsi"/>
          <w:sz w:val="20"/>
          <w:szCs w:val="20"/>
        </w:rPr>
      </w:pPr>
    </w:p>
    <w:tbl>
      <w:tblPr>
        <w:tblW w:w="9781" w:type="dxa"/>
        <w:tblInd w:w="127" w:type="dxa"/>
        <w:shd w:val="clear" w:color="auto" w:fill="235D64"/>
        <w:tblLook w:val="04A0" w:firstRow="1" w:lastRow="0" w:firstColumn="1" w:lastColumn="0" w:noHBand="0" w:noVBand="1"/>
      </w:tblPr>
      <w:tblGrid>
        <w:gridCol w:w="2607"/>
        <w:gridCol w:w="630"/>
        <w:gridCol w:w="3240"/>
        <w:gridCol w:w="326"/>
        <w:gridCol w:w="2978"/>
      </w:tblGrid>
      <w:tr w:rsidR="00411D79" w:rsidRPr="002C4EF9" w14:paraId="58448B23" w14:textId="77777777" w:rsidTr="00FA0225">
        <w:trPr>
          <w:trHeight w:val="390"/>
        </w:trPr>
        <w:tc>
          <w:tcPr>
            <w:tcW w:w="2607" w:type="dxa"/>
            <w:vMerge w:val="restart"/>
            <w:shd w:val="clear" w:color="auto" w:fill="007041" w:themeFill="accent4"/>
            <w:noWrap/>
            <w:vAlign w:val="center"/>
            <w:hideMark/>
          </w:tcPr>
          <w:p w14:paraId="583C9195" w14:textId="28EAE8DE" w:rsidR="00411D79" w:rsidRPr="002C4EF9" w:rsidRDefault="00524348" w:rsidP="00FA0225">
            <w:pPr>
              <w:jc w:val="center"/>
              <w:rPr>
                <w:rFonts w:eastAsia="Times New Roman" w:cstheme="minorHAnsi"/>
                <w:b/>
                <w:bCs/>
                <w:i/>
                <w:iCs/>
                <w:color w:val="FFFFFF" w:themeColor="background1"/>
                <w:sz w:val="20"/>
                <w:szCs w:val="20"/>
                <w:lang w:eastAsia="en-IE"/>
              </w:rPr>
            </w:pPr>
            <w:r>
              <w:rPr>
                <w:rFonts w:eastAsia="Times New Roman" w:cstheme="minorHAnsi"/>
                <w:b/>
                <w:bCs/>
                <w:i/>
                <w:iCs/>
                <w:color w:val="FFFFFF" w:themeColor="background1"/>
                <w:sz w:val="20"/>
                <w:szCs w:val="20"/>
                <w:lang w:val="en-GB" w:eastAsia="en-IE"/>
              </w:rPr>
              <w:t>Licensing Cost</w:t>
            </w:r>
            <w:r w:rsidR="00411D79" w:rsidRPr="002C4EF9">
              <w:rPr>
                <w:rFonts w:eastAsia="Times New Roman" w:cstheme="minorHAnsi"/>
                <w:b/>
                <w:bCs/>
                <w:i/>
                <w:iCs/>
                <w:color w:val="FFFFFF" w:themeColor="background1"/>
                <w:sz w:val="20"/>
                <w:szCs w:val="20"/>
                <w:lang w:val="en-GB" w:eastAsia="en-IE"/>
              </w:rPr>
              <w:t xml:space="preserve"> Score</w:t>
            </w:r>
          </w:p>
        </w:tc>
        <w:tc>
          <w:tcPr>
            <w:tcW w:w="630" w:type="dxa"/>
            <w:vMerge w:val="restart"/>
            <w:shd w:val="clear" w:color="auto" w:fill="007041" w:themeFill="accent4"/>
            <w:noWrap/>
            <w:vAlign w:val="center"/>
            <w:hideMark/>
          </w:tcPr>
          <w:p w14:paraId="26A9F2B9" w14:textId="77777777" w:rsidR="00411D79" w:rsidRPr="002C4EF9" w:rsidRDefault="00411D79" w:rsidP="00FA0225">
            <w:pPr>
              <w:rPr>
                <w:rFonts w:eastAsia="Times New Roman" w:cstheme="minorHAnsi"/>
                <w:b/>
                <w:i/>
                <w:iCs/>
                <w:color w:val="FFFFFF" w:themeColor="background1"/>
                <w:sz w:val="20"/>
                <w:szCs w:val="20"/>
                <w:lang w:eastAsia="en-IE"/>
              </w:rPr>
            </w:pPr>
            <w:r w:rsidRPr="002C4EF9">
              <w:rPr>
                <w:rFonts w:eastAsia="Times New Roman" w:cstheme="minorHAnsi"/>
                <w:b/>
                <w:i/>
                <w:iCs/>
                <w:color w:val="FFFFFF" w:themeColor="background1"/>
                <w:sz w:val="20"/>
                <w:szCs w:val="20"/>
                <w:lang w:val="en-GB" w:eastAsia="en-IE"/>
              </w:rPr>
              <w:t>=</w:t>
            </w:r>
          </w:p>
        </w:tc>
        <w:tc>
          <w:tcPr>
            <w:tcW w:w="3240" w:type="dxa"/>
            <w:shd w:val="clear" w:color="auto" w:fill="007041" w:themeFill="accent4"/>
            <w:noWrap/>
            <w:vAlign w:val="bottom"/>
            <w:hideMark/>
          </w:tcPr>
          <w:p w14:paraId="60D164C5" w14:textId="54E11D69" w:rsidR="00411D79" w:rsidRPr="002C4EF9" w:rsidRDefault="00411D79" w:rsidP="00FA0225">
            <w:pPr>
              <w:jc w:val="center"/>
              <w:rPr>
                <w:rFonts w:eastAsia="Times New Roman" w:cstheme="minorHAnsi"/>
                <w:b/>
                <w:i/>
                <w:iCs/>
                <w:color w:val="FFFFFF" w:themeColor="background1"/>
                <w:sz w:val="20"/>
                <w:szCs w:val="20"/>
                <w:lang w:eastAsia="en-IE"/>
              </w:rPr>
            </w:pPr>
            <w:r w:rsidRPr="002C4EF9">
              <w:rPr>
                <w:rFonts w:eastAsia="Times New Roman" w:cstheme="minorHAnsi"/>
                <w:b/>
                <w:i/>
                <w:iCs/>
                <w:color w:val="FFFFFF" w:themeColor="background1"/>
                <w:sz w:val="20"/>
                <w:szCs w:val="20"/>
                <w:lang w:val="en-GB" w:eastAsia="en-IE"/>
              </w:rPr>
              <w:t xml:space="preserve">Lowest Tendered </w:t>
            </w:r>
            <w:r w:rsidR="008001E9">
              <w:rPr>
                <w:rFonts w:eastAsia="Times New Roman" w:cstheme="minorHAnsi"/>
                <w:b/>
                <w:i/>
                <w:iCs/>
                <w:color w:val="FFFFFF" w:themeColor="background1"/>
                <w:sz w:val="20"/>
                <w:szCs w:val="20"/>
                <w:lang w:val="en-GB" w:eastAsia="en-IE"/>
              </w:rPr>
              <w:t xml:space="preserve">Licensing </w:t>
            </w:r>
            <w:r w:rsidRPr="002C4EF9">
              <w:rPr>
                <w:rFonts w:eastAsia="Times New Roman" w:cstheme="minorHAnsi"/>
                <w:b/>
                <w:i/>
                <w:iCs/>
                <w:color w:val="FFFFFF" w:themeColor="background1"/>
                <w:sz w:val="20"/>
                <w:szCs w:val="20"/>
                <w:lang w:val="en-GB" w:eastAsia="en-IE"/>
              </w:rPr>
              <w:t>Rate</w:t>
            </w:r>
          </w:p>
        </w:tc>
        <w:tc>
          <w:tcPr>
            <w:tcW w:w="317" w:type="dxa"/>
            <w:vMerge w:val="restart"/>
            <w:shd w:val="clear" w:color="auto" w:fill="007041" w:themeFill="accent4"/>
            <w:noWrap/>
            <w:vAlign w:val="center"/>
            <w:hideMark/>
          </w:tcPr>
          <w:p w14:paraId="5C13B0EE" w14:textId="77777777" w:rsidR="00411D79" w:rsidRPr="002C4EF9" w:rsidRDefault="00411D79" w:rsidP="00FA0225">
            <w:pPr>
              <w:rPr>
                <w:rFonts w:eastAsia="Times New Roman" w:cstheme="minorHAnsi"/>
                <w:b/>
                <w:i/>
                <w:iCs/>
                <w:color w:val="FFFFFF" w:themeColor="background1"/>
                <w:sz w:val="20"/>
                <w:szCs w:val="20"/>
                <w:lang w:eastAsia="en-IE"/>
              </w:rPr>
            </w:pPr>
            <w:r w:rsidRPr="002C4EF9">
              <w:rPr>
                <w:rFonts w:eastAsia="Times New Roman" w:cstheme="minorHAnsi"/>
                <w:b/>
                <w:i/>
                <w:iCs/>
                <w:color w:val="FFFFFF" w:themeColor="background1"/>
                <w:sz w:val="20"/>
                <w:szCs w:val="20"/>
                <w:lang w:eastAsia="en-IE"/>
              </w:rPr>
              <w:t>x</w:t>
            </w:r>
          </w:p>
        </w:tc>
        <w:tc>
          <w:tcPr>
            <w:tcW w:w="2987" w:type="dxa"/>
            <w:vMerge w:val="restart"/>
            <w:shd w:val="clear" w:color="auto" w:fill="007041" w:themeFill="accent4"/>
            <w:vAlign w:val="center"/>
            <w:hideMark/>
          </w:tcPr>
          <w:p w14:paraId="7A7792B8" w14:textId="77777777" w:rsidR="00411D79" w:rsidRPr="002C4EF9" w:rsidRDefault="00411D79" w:rsidP="00FA0225">
            <w:pPr>
              <w:jc w:val="center"/>
              <w:rPr>
                <w:rFonts w:eastAsia="Times New Roman" w:cstheme="minorHAnsi"/>
                <w:b/>
                <w:i/>
                <w:iCs/>
                <w:color w:val="FFFFFF" w:themeColor="background1"/>
                <w:sz w:val="20"/>
                <w:szCs w:val="20"/>
                <w:lang w:eastAsia="en-IE"/>
              </w:rPr>
            </w:pPr>
            <w:r w:rsidRPr="002C4EF9">
              <w:rPr>
                <w:rFonts w:eastAsia="Times New Roman" w:cstheme="minorHAnsi"/>
                <w:b/>
                <w:i/>
                <w:iCs/>
                <w:color w:val="FFFFFF" w:themeColor="background1"/>
                <w:sz w:val="20"/>
                <w:szCs w:val="20"/>
                <w:lang w:val="en-GB" w:eastAsia="en-IE"/>
              </w:rPr>
              <w:t>Maximum Number of Marks Available</w:t>
            </w:r>
          </w:p>
        </w:tc>
      </w:tr>
      <w:tr w:rsidR="00411D79" w:rsidRPr="002C4EF9" w14:paraId="3F2E3DEA" w14:textId="77777777" w:rsidTr="00FA0225">
        <w:trPr>
          <w:trHeight w:val="315"/>
        </w:trPr>
        <w:tc>
          <w:tcPr>
            <w:tcW w:w="2607" w:type="dxa"/>
            <w:vMerge/>
            <w:shd w:val="clear" w:color="auto" w:fill="007041" w:themeFill="accent4"/>
            <w:vAlign w:val="center"/>
            <w:hideMark/>
          </w:tcPr>
          <w:p w14:paraId="589AA5F0" w14:textId="77777777" w:rsidR="00411D79" w:rsidRPr="002C4EF9" w:rsidRDefault="00411D79" w:rsidP="00FA0225">
            <w:pPr>
              <w:rPr>
                <w:rFonts w:eastAsia="Times New Roman" w:cstheme="minorHAnsi"/>
                <w:b/>
                <w:bCs/>
                <w:i/>
                <w:iCs/>
                <w:color w:val="FFFFFF" w:themeColor="background1"/>
                <w:sz w:val="20"/>
                <w:szCs w:val="20"/>
                <w:lang w:eastAsia="en-IE"/>
              </w:rPr>
            </w:pPr>
          </w:p>
        </w:tc>
        <w:tc>
          <w:tcPr>
            <w:tcW w:w="630" w:type="dxa"/>
            <w:vMerge/>
            <w:shd w:val="clear" w:color="auto" w:fill="007041" w:themeFill="accent4"/>
            <w:vAlign w:val="center"/>
            <w:hideMark/>
          </w:tcPr>
          <w:p w14:paraId="3FDCDB6D" w14:textId="77777777" w:rsidR="00411D79" w:rsidRPr="002C4EF9" w:rsidRDefault="00411D79" w:rsidP="00FA0225">
            <w:pPr>
              <w:rPr>
                <w:rFonts w:eastAsia="Times New Roman" w:cstheme="minorHAnsi"/>
                <w:i/>
                <w:iCs/>
                <w:color w:val="FFFFFF" w:themeColor="background1"/>
                <w:sz w:val="20"/>
                <w:szCs w:val="20"/>
                <w:lang w:eastAsia="en-IE"/>
              </w:rPr>
            </w:pPr>
          </w:p>
        </w:tc>
        <w:tc>
          <w:tcPr>
            <w:tcW w:w="3240" w:type="dxa"/>
            <w:shd w:val="clear" w:color="auto" w:fill="007041" w:themeFill="accent4"/>
            <w:noWrap/>
            <w:vAlign w:val="center"/>
            <w:hideMark/>
          </w:tcPr>
          <w:p w14:paraId="16DACC60" w14:textId="77777777" w:rsidR="00411D79" w:rsidRPr="002C4EF9" w:rsidRDefault="00411D79" w:rsidP="00FA0225">
            <w:pPr>
              <w:jc w:val="center"/>
              <w:rPr>
                <w:rFonts w:eastAsia="Times New Roman" w:cstheme="minorHAnsi"/>
                <w:i/>
                <w:iCs/>
                <w:color w:val="FFFFFF" w:themeColor="background1"/>
                <w:sz w:val="20"/>
                <w:szCs w:val="20"/>
                <w:lang w:val="en-GB" w:eastAsia="en-IE"/>
              </w:rPr>
            </w:pPr>
            <w:r w:rsidRPr="002C4EF9">
              <w:rPr>
                <w:rFonts w:eastAsia="Times New Roman" w:cstheme="minorHAnsi"/>
                <w:i/>
                <w:iCs/>
                <w:color w:val="FFFFFF" w:themeColor="background1"/>
                <w:sz w:val="20"/>
                <w:szCs w:val="20"/>
                <w:lang w:val="en-GB" w:eastAsia="en-IE"/>
              </w:rPr>
              <w:t>________________________</w:t>
            </w:r>
          </w:p>
          <w:p w14:paraId="62DF484E" w14:textId="77777777" w:rsidR="00411D79" w:rsidRPr="002C4EF9" w:rsidRDefault="00411D79" w:rsidP="00FA0225">
            <w:pPr>
              <w:jc w:val="center"/>
              <w:rPr>
                <w:rFonts w:eastAsia="Times New Roman" w:cstheme="minorHAnsi"/>
                <w:i/>
                <w:iCs/>
                <w:color w:val="FFFFFF" w:themeColor="background1"/>
                <w:sz w:val="20"/>
                <w:szCs w:val="20"/>
                <w:lang w:val="en-GB" w:eastAsia="en-IE"/>
              </w:rPr>
            </w:pPr>
          </w:p>
          <w:p w14:paraId="2AE5B27A" w14:textId="45456E04" w:rsidR="00411D79" w:rsidRPr="002C4EF9" w:rsidRDefault="00411D79" w:rsidP="00FA0225">
            <w:pPr>
              <w:jc w:val="center"/>
              <w:rPr>
                <w:rFonts w:eastAsia="Times New Roman" w:cstheme="minorHAnsi"/>
                <w:b/>
                <w:i/>
                <w:iCs/>
                <w:color w:val="FFFFFF" w:themeColor="background1"/>
                <w:sz w:val="20"/>
                <w:szCs w:val="20"/>
                <w:lang w:val="en-GB" w:eastAsia="en-IE"/>
              </w:rPr>
            </w:pPr>
            <w:r w:rsidRPr="002C4EF9">
              <w:rPr>
                <w:rFonts w:eastAsia="Times New Roman" w:cstheme="minorHAnsi"/>
                <w:b/>
                <w:i/>
                <w:iCs/>
                <w:color w:val="FFFFFF" w:themeColor="background1"/>
                <w:sz w:val="20"/>
                <w:szCs w:val="20"/>
                <w:lang w:val="en-GB" w:eastAsia="en-IE"/>
              </w:rPr>
              <w:t xml:space="preserve">Tendered </w:t>
            </w:r>
            <w:r w:rsidR="0082339F">
              <w:rPr>
                <w:rFonts w:eastAsia="Times New Roman" w:cstheme="minorHAnsi"/>
                <w:b/>
                <w:i/>
                <w:iCs/>
                <w:color w:val="FFFFFF" w:themeColor="background1"/>
                <w:sz w:val="20"/>
                <w:szCs w:val="20"/>
                <w:lang w:val="en-GB" w:eastAsia="en-IE"/>
              </w:rPr>
              <w:t xml:space="preserve">Licensing </w:t>
            </w:r>
            <w:r w:rsidRPr="002C4EF9">
              <w:rPr>
                <w:rFonts w:eastAsia="Times New Roman" w:cstheme="minorHAnsi"/>
                <w:b/>
                <w:i/>
                <w:iCs/>
                <w:color w:val="FFFFFF" w:themeColor="background1"/>
                <w:sz w:val="20"/>
                <w:szCs w:val="20"/>
                <w:lang w:val="en-GB" w:eastAsia="en-IE"/>
              </w:rPr>
              <w:t>Rate under evaluation</w:t>
            </w:r>
          </w:p>
          <w:p w14:paraId="48FCB981" w14:textId="77777777" w:rsidR="00411D79" w:rsidRPr="002C4EF9" w:rsidRDefault="00411D79" w:rsidP="00FA0225">
            <w:pPr>
              <w:jc w:val="center"/>
              <w:rPr>
                <w:rFonts w:eastAsia="Times New Roman" w:cstheme="minorHAnsi"/>
                <w:i/>
                <w:iCs/>
                <w:color w:val="FFFFFF" w:themeColor="background1"/>
                <w:sz w:val="20"/>
                <w:szCs w:val="20"/>
                <w:lang w:eastAsia="en-IE"/>
              </w:rPr>
            </w:pPr>
          </w:p>
        </w:tc>
        <w:tc>
          <w:tcPr>
            <w:tcW w:w="317" w:type="dxa"/>
            <w:vMerge/>
            <w:shd w:val="clear" w:color="auto" w:fill="007041" w:themeFill="accent4"/>
            <w:vAlign w:val="center"/>
            <w:hideMark/>
          </w:tcPr>
          <w:p w14:paraId="226552C5" w14:textId="77777777" w:rsidR="00411D79" w:rsidRPr="002C4EF9" w:rsidRDefault="00411D79" w:rsidP="00FA0225">
            <w:pPr>
              <w:rPr>
                <w:rFonts w:eastAsia="Times New Roman" w:cstheme="minorHAnsi"/>
                <w:i/>
                <w:iCs/>
                <w:color w:val="FFFFFF" w:themeColor="background1"/>
                <w:sz w:val="20"/>
                <w:szCs w:val="20"/>
                <w:lang w:eastAsia="en-IE"/>
              </w:rPr>
            </w:pPr>
          </w:p>
        </w:tc>
        <w:tc>
          <w:tcPr>
            <w:tcW w:w="2987" w:type="dxa"/>
            <w:vMerge/>
            <w:shd w:val="clear" w:color="auto" w:fill="007041" w:themeFill="accent4"/>
            <w:vAlign w:val="center"/>
            <w:hideMark/>
          </w:tcPr>
          <w:p w14:paraId="24251F4B" w14:textId="77777777" w:rsidR="00411D79" w:rsidRPr="002C4EF9" w:rsidRDefault="00411D79" w:rsidP="00FA0225">
            <w:pPr>
              <w:rPr>
                <w:rFonts w:eastAsia="Times New Roman" w:cstheme="minorHAnsi"/>
                <w:i/>
                <w:iCs/>
                <w:color w:val="FFFFFF" w:themeColor="background1"/>
                <w:sz w:val="20"/>
                <w:szCs w:val="20"/>
                <w:lang w:eastAsia="en-IE"/>
              </w:rPr>
            </w:pPr>
          </w:p>
        </w:tc>
      </w:tr>
    </w:tbl>
    <w:p w14:paraId="6C0A004A" w14:textId="77777777" w:rsidR="00411D79" w:rsidRPr="00A576A4" w:rsidRDefault="00411D79" w:rsidP="00411D79">
      <w:pPr>
        <w:jc w:val="both"/>
        <w:rPr>
          <w:rFonts w:cstheme="minorHAnsi"/>
          <w:sz w:val="20"/>
          <w:szCs w:val="20"/>
        </w:rPr>
      </w:pPr>
    </w:p>
    <w:p w14:paraId="56B9FF42" w14:textId="37EBD987" w:rsidR="00411D79" w:rsidRPr="006A69A7" w:rsidRDefault="00A576A4" w:rsidP="00411D79">
      <w:pPr>
        <w:jc w:val="both"/>
        <w:rPr>
          <w:sz w:val="20"/>
          <w:szCs w:val="20"/>
        </w:rPr>
      </w:pPr>
      <w:r w:rsidRPr="006A69A7">
        <w:rPr>
          <w:sz w:val="20"/>
          <w:szCs w:val="20"/>
        </w:rPr>
        <w:t xml:space="preserve">Variations and/or qualifications to </w:t>
      </w:r>
      <w:r w:rsidR="00462A99" w:rsidRPr="006A69A7">
        <w:rPr>
          <w:sz w:val="20"/>
          <w:szCs w:val="20"/>
        </w:rPr>
        <w:t xml:space="preserve">‘Table 1: </w:t>
      </w:r>
      <w:r w:rsidRPr="006A69A7">
        <w:rPr>
          <w:sz w:val="20"/>
          <w:szCs w:val="20"/>
        </w:rPr>
        <w:t>Licensing Cost</w:t>
      </w:r>
      <w:r w:rsidR="00462A99" w:rsidRPr="006A69A7">
        <w:rPr>
          <w:sz w:val="20"/>
          <w:szCs w:val="20"/>
        </w:rPr>
        <w:t xml:space="preserve">s’ </w:t>
      </w:r>
      <w:r w:rsidRPr="006A69A7">
        <w:rPr>
          <w:sz w:val="20"/>
          <w:szCs w:val="20"/>
        </w:rPr>
        <w:t>are not permitted and will render tenders invalid.</w:t>
      </w:r>
    </w:p>
    <w:p w14:paraId="154AA603" w14:textId="77777777" w:rsidR="00A576A4" w:rsidRPr="006A69A7" w:rsidRDefault="00A576A4" w:rsidP="00411D79">
      <w:pPr>
        <w:jc w:val="both"/>
        <w:rPr>
          <w:rFonts w:cstheme="minorHAnsi"/>
          <w:sz w:val="20"/>
          <w:szCs w:val="20"/>
        </w:rPr>
      </w:pPr>
    </w:p>
    <w:p w14:paraId="3CDDD790" w14:textId="4A06EE74" w:rsidR="000F4EF1" w:rsidRPr="006A69A7" w:rsidRDefault="00015021" w:rsidP="00582A66">
      <w:pPr>
        <w:jc w:val="both"/>
        <w:rPr>
          <w:sz w:val="20"/>
          <w:szCs w:val="20"/>
        </w:rPr>
      </w:pPr>
      <w:r w:rsidRPr="006A69A7">
        <w:rPr>
          <w:rFonts w:cstheme="minorHAnsi"/>
          <w:sz w:val="20"/>
          <w:szCs w:val="20"/>
        </w:rPr>
        <w:t>The lowest price tender that also meets all the minimum requirements of the qualitative award criteria will receive the maximum score achievable under this criterion.</w:t>
      </w:r>
      <w:r w:rsidR="00582A66" w:rsidRPr="006A69A7">
        <w:rPr>
          <w:rFonts w:cstheme="minorHAnsi"/>
          <w:sz w:val="20"/>
          <w:szCs w:val="20"/>
        </w:rPr>
        <w:t xml:space="preserve"> </w:t>
      </w:r>
      <w:r w:rsidR="000F4EF1" w:rsidRPr="006A69A7">
        <w:rPr>
          <w:sz w:val="20"/>
          <w:szCs w:val="20"/>
        </w:rPr>
        <w:t xml:space="preserve">Details of any variations of charges if case volumes </w:t>
      </w:r>
      <w:r w:rsidR="00FF6200" w:rsidRPr="006A69A7">
        <w:rPr>
          <w:sz w:val="20"/>
          <w:szCs w:val="20"/>
        </w:rPr>
        <w:t xml:space="preserve">or user numbers </w:t>
      </w:r>
      <w:r w:rsidR="000F4EF1" w:rsidRPr="006A69A7">
        <w:rPr>
          <w:sz w:val="20"/>
          <w:szCs w:val="20"/>
        </w:rPr>
        <w:t>are higher or lower that this number should be provided.</w:t>
      </w:r>
    </w:p>
    <w:p w14:paraId="24244C6E" w14:textId="77777777" w:rsidR="00F628CB" w:rsidRPr="006A69A7" w:rsidRDefault="00F628CB" w:rsidP="00582A66">
      <w:pPr>
        <w:jc w:val="both"/>
        <w:rPr>
          <w:sz w:val="20"/>
          <w:szCs w:val="20"/>
        </w:rPr>
      </w:pPr>
    </w:p>
    <w:tbl>
      <w:tblPr>
        <w:tblStyle w:val="TableGrid"/>
        <w:tblW w:w="0" w:type="auto"/>
        <w:jc w:val="center"/>
        <w:tblLook w:val="04A0" w:firstRow="1" w:lastRow="0" w:firstColumn="1" w:lastColumn="0" w:noHBand="0" w:noVBand="1"/>
      </w:tblPr>
      <w:tblGrid>
        <w:gridCol w:w="3970"/>
        <w:gridCol w:w="2546"/>
        <w:gridCol w:w="1417"/>
      </w:tblGrid>
      <w:tr w:rsidR="00F628CB" w14:paraId="629951E3" w14:textId="77777777" w:rsidTr="006A69A7">
        <w:trPr>
          <w:trHeight w:val="558"/>
          <w:jc w:val="center"/>
        </w:trPr>
        <w:tc>
          <w:tcPr>
            <w:tcW w:w="3970" w:type="dxa"/>
            <w:shd w:val="clear" w:color="auto" w:fill="005F37" w:themeFill="accent1" w:themeFillShade="80"/>
          </w:tcPr>
          <w:p w14:paraId="1247368D" w14:textId="44FD3C61" w:rsidR="00F628CB" w:rsidRPr="00B236CF" w:rsidRDefault="00F628CB" w:rsidP="00F32A6B">
            <w:pPr>
              <w:jc w:val="center"/>
              <w:rPr>
                <w:b/>
                <w:bCs/>
                <w:color w:val="FFFFFF" w:themeColor="background1"/>
              </w:rPr>
            </w:pPr>
            <w:r>
              <w:rPr>
                <w:b/>
                <w:bCs/>
                <w:color w:val="FFFFFF" w:themeColor="background1"/>
              </w:rPr>
              <w:t>Item</w:t>
            </w:r>
          </w:p>
        </w:tc>
        <w:tc>
          <w:tcPr>
            <w:tcW w:w="2546" w:type="dxa"/>
            <w:shd w:val="clear" w:color="auto" w:fill="005F37" w:themeFill="accent1" w:themeFillShade="80"/>
          </w:tcPr>
          <w:p w14:paraId="51047DDD" w14:textId="6D8B0928" w:rsidR="00F628CB" w:rsidRPr="00B236CF" w:rsidRDefault="00F628CB" w:rsidP="00F32A6B">
            <w:pPr>
              <w:jc w:val="center"/>
              <w:rPr>
                <w:b/>
                <w:bCs/>
                <w:color w:val="FFFFFF" w:themeColor="background1"/>
              </w:rPr>
            </w:pPr>
            <w:r>
              <w:rPr>
                <w:b/>
                <w:bCs/>
                <w:color w:val="FFFFFF" w:themeColor="background1"/>
              </w:rPr>
              <w:t>Unit of Measure</w:t>
            </w:r>
          </w:p>
        </w:tc>
        <w:tc>
          <w:tcPr>
            <w:tcW w:w="1417" w:type="dxa"/>
            <w:shd w:val="clear" w:color="auto" w:fill="005F37" w:themeFill="accent1" w:themeFillShade="80"/>
          </w:tcPr>
          <w:p w14:paraId="345D5B6E" w14:textId="1A353A88" w:rsidR="00F628CB" w:rsidRPr="00B236CF" w:rsidRDefault="00F628CB" w:rsidP="00F32A6B">
            <w:pPr>
              <w:jc w:val="center"/>
              <w:rPr>
                <w:b/>
                <w:bCs/>
                <w:color w:val="FFFFFF" w:themeColor="background1"/>
              </w:rPr>
            </w:pPr>
            <w:r>
              <w:rPr>
                <w:b/>
                <w:bCs/>
                <w:color w:val="FFFFFF" w:themeColor="background1"/>
              </w:rPr>
              <w:t>Cost (€ Ex VAT)</w:t>
            </w:r>
          </w:p>
        </w:tc>
      </w:tr>
      <w:tr w:rsidR="006A69A7" w14:paraId="2F82669D" w14:textId="77777777" w:rsidTr="006A69A7">
        <w:trPr>
          <w:trHeight w:val="284"/>
          <w:jc w:val="center"/>
        </w:trPr>
        <w:tc>
          <w:tcPr>
            <w:tcW w:w="3970" w:type="dxa"/>
          </w:tcPr>
          <w:p w14:paraId="2EE769A7" w14:textId="501C8E86" w:rsidR="006A69A7" w:rsidRPr="00B236CF" w:rsidRDefault="006A69A7" w:rsidP="006A69A7">
            <w:pPr>
              <w:rPr>
                <w:b/>
                <w:bCs/>
                <w:color w:val="FFFFFF" w:themeColor="background1"/>
              </w:rPr>
            </w:pPr>
            <w:r w:rsidRPr="001D090E">
              <w:rPr>
                <w:rFonts w:cstheme="minorHAnsi"/>
                <w:sz w:val="20"/>
                <w:szCs w:val="20"/>
              </w:rPr>
              <w:t>Additional Named User</w:t>
            </w:r>
          </w:p>
        </w:tc>
        <w:tc>
          <w:tcPr>
            <w:tcW w:w="2546" w:type="dxa"/>
            <w:vAlign w:val="center"/>
          </w:tcPr>
          <w:p w14:paraId="169EC8D6" w14:textId="6C6A9225" w:rsidR="006A69A7" w:rsidRPr="00EF0FC6" w:rsidRDefault="006A69A7" w:rsidP="006A69A7">
            <w:pPr>
              <w:jc w:val="center"/>
              <w:rPr>
                <w:sz w:val="18"/>
                <w:szCs w:val="18"/>
              </w:rPr>
            </w:pPr>
            <w:r w:rsidRPr="001D090E">
              <w:rPr>
                <w:rFonts w:cstheme="minorHAnsi"/>
                <w:sz w:val="20"/>
                <w:szCs w:val="20"/>
              </w:rPr>
              <w:t>Per User Per Annum</w:t>
            </w:r>
          </w:p>
        </w:tc>
        <w:tc>
          <w:tcPr>
            <w:tcW w:w="1417" w:type="dxa"/>
          </w:tcPr>
          <w:p w14:paraId="57AFA390" w14:textId="5C4CAEEB" w:rsidR="006A69A7" w:rsidRPr="00EF0FC6" w:rsidRDefault="006A69A7" w:rsidP="006A69A7">
            <w:pPr>
              <w:jc w:val="center"/>
              <w:rPr>
                <w:sz w:val="18"/>
                <w:szCs w:val="18"/>
              </w:rPr>
            </w:pPr>
            <w:r>
              <w:rPr>
                <w:sz w:val="18"/>
                <w:szCs w:val="18"/>
              </w:rPr>
              <w:t>€</w:t>
            </w:r>
          </w:p>
        </w:tc>
      </w:tr>
      <w:tr w:rsidR="006A69A7" w14:paraId="6B354D0C" w14:textId="77777777" w:rsidTr="006A69A7">
        <w:trPr>
          <w:trHeight w:val="284"/>
          <w:jc w:val="center"/>
        </w:trPr>
        <w:tc>
          <w:tcPr>
            <w:tcW w:w="3970" w:type="dxa"/>
          </w:tcPr>
          <w:p w14:paraId="38A7612A" w14:textId="69618E89" w:rsidR="006A69A7" w:rsidRPr="00B236CF" w:rsidRDefault="006A69A7" w:rsidP="006A69A7">
            <w:pPr>
              <w:rPr>
                <w:b/>
                <w:bCs/>
                <w:color w:val="FFFFFF" w:themeColor="background1"/>
              </w:rPr>
            </w:pPr>
            <w:r w:rsidRPr="001D090E">
              <w:rPr>
                <w:rFonts w:cstheme="minorHAnsi"/>
                <w:sz w:val="20"/>
                <w:szCs w:val="20"/>
              </w:rPr>
              <w:t>Additional Concurrent User</w:t>
            </w:r>
          </w:p>
        </w:tc>
        <w:tc>
          <w:tcPr>
            <w:tcW w:w="2546" w:type="dxa"/>
            <w:vAlign w:val="center"/>
          </w:tcPr>
          <w:p w14:paraId="32F048C2" w14:textId="6EF2BD17" w:rsidR="006A69A7" w:rsidRPr="00EF0FC6" w:rsidRDefault="006A69A7" w:rsidP="006A69A7">
            <w:pPr>
              <w:jc w:val="center"/>
              <w:rPr>
                <w:sz w:val="18"/>
                <w:szCs w:val="18"/>
              </w:rPr>
            </w:pPr>
            <w:r w:rsidRPr="001D090E">
              <w:rPr>
                <w:rFonts w:cstheme="minorHAnsi"/>
                <w:sz w:val="20"/>
                <w:szCs w:val="20"/>
              </w:rPr>
              <w:t>Per User Per Annum</w:t>
            </w:r>
          </w:p>
        </w:tc>
        <w:tc>
          <w:tcPr>
            <w:tcW w:w="1417" w:type="dxa"/>
          </w:tcPr>
          <w:p w14:paraId="4DA7FF0C" w14:textId="3CE96486" w:rsidR="006A69A7" w:rsidRPr="00EF0FC6" w:rsidRDefault="006A69A7" w:rsidP="006A69A7">
            <w:pPr>
              <w:jc w:val="center"/>
              <w:rPr>
                <w:sz w:val="18"/>
                <w:szCs w:val="18"/>
              </w:rPr>
            </w:pPr>
            <w:r>
              <w:rPr>
                <w:sz w:val="18"/>
                <w:szCs w:val="18"/>
              </w:rPr>
              <w:t>€</w:t>
            </w:r>
          </w:p>
        </w:tc>
      </w:tr>
      <w:tr w:rsidR="006A69A7" w14:paraId="66972211" w14:textId="77777777" w:rsidTr="006A69A7">
        <w:trPr>
          <w:trHeight w:val="284"/>
          <w:jc w:val="center"/>
        </w:trPr>
        <w:tc>
          <w:tcPr>
            <w:tcW w:w="3970" w:type="dxa"/>
          </w:tcPr>
          <w:p w14:paraId="76D9C496" w14:textId="299C450D" w:rsidR="006A69A7" w:rsidRPr="00B236CF" w:rsidRDefault="006A69A7" w:rsidP="006A69A7">
            <w:pPr>
              <w:rPr>
                <w:b/>
                <w:bCs/>
                <w:color w:val="FFFFFF" w:themeColor="background1"/>
              </w:rPr>
            </w:pPr>
            <w:r w:rsidRPr="001D090E">
              <w:rPr>
                <w:rFonts w:cstheme="minorHAnsi"/>
                <w:sz w:val="20"/>
                <w:szCs w:val="20"/>
              </w:rPr>
              <w:t>Additional 1,000 Annual Cases</w:t>
            </w:r>
          </w:p>
        </w:tc>
        <w:tc>
          <w:tcPr>
            <w:tcW w:w="2546" w:type="dxa"/>
          </w:tcPr>
          <w:p w14:paraId="0A8E5A2D" w14:textId="3C3BF60E" w:rsidR="006A69A7" w:rsidRPr="00EF0FC6" w:rsidRDefault="006A69A7" w:rsidP="006A69A7">
            <w:pPr>
              <w:jc w:val="center"/>
              <w:rPr>
                <w:sz w:val="18"/>
                <w:szCs w:val="18"/>
              </w:rPr>
            </w:pPr>
            <w:r w:rsidRPr="001D090E">
              <w:rPr>
                <w:rFonts w:cstheme="minorHAnsi"/>
                <w:sz w:val="20"/>
                <w:szCs w:val="20"/>
              </w:rPr>
              <w:t>Per 1,000 Cases</w:t>
            </w:r>
          </w:p>
        </w:tc>
        <w:tc>
          <w:tcPr>
            <w:tcW w:w="1417" w:type="dxa"/>
          </w:tcPr>
          <w:p w14:paraId="5F4FA3C2" w14:textId="74AF4A45" w:rsidR="006A69A7" w:rsidRPr="00EF0FC6" w:rsidRDefault="006A69A7" w:rsidP="006A69A7">
            <w:pPr>
              <w:jc w:val="center"/>
              <w:rPr>
                <w:sz w:val="18"/>
                <w:szCs w:val="18"/>
              </w:rPr>
            </w:pPr>
            <w:r>
              <w:rPr>
                <w:sz w:val="18"/>
                <w:szCs w:val="18"/>
              </w:rPr>
              <w:t>€</w:t>
            </w:r>
          </w:p>
        </w:tc>
      </w:tr>
      <w:tr w:rsidR="006A69A7" w14:paraId="14D09645" w14:textId="77777777" w:rsidTr="006A69A7">
        <w:trPr>
          <w:trHeight w:val="284"/>
          <w:jc w:val="center"/>
        </w:trPr>
        <w:tc>
          <w:tcPr>
            <w:tcW w:w="3970" w:type="dxa"/>
          </w:tcPr>
          <w:p w14:paraId="4F02D059" w14:textId="04259030" w:rsidR="006A69A7" w:rsidRDefault="006A69A7" w:rsidP="006A69A7">
            <w:pPr>
              <w:rPr>
                <w:b/>
                <w:bCs/>
                <w:color w:val="FFFFFF" w:themeColor="background1"/>
              </w:rPr>
            </w:pPr>
            <w:r w:rsidRPr="001D090E">
              <w:rPr>
                <w:rFonts w:cstheme="minorHAnsi"/>
                <w:sz w:val="20"/>
                <w:szCs w:val="20"/>
              </w:rPr>
              <w:t>Additional 10,000 Cases</w:t>
            </w:r>
          </w:p>
        </w:tc>
        <w:tc>
          <w:tcPr>
            <w:tcW w:w="2546" w:type="dxa"/>
          </w:tcPr>
          <w:p w14:paraId="25B2702E" w14:textId="5966B198" w:rsidR="006A69A7" w:rsidRPr="00EF0FC6" w:rsidRDefault="006A69A7" w:rsidP="006A69A7">
            <w:pPr>
              <w:jc w:val="center"/>
              <w:rPr>
                <w:sz w:val="18"/>
                <w:szCs w:val="18"/>
              </w:rPr>
            </w:pPr>
            <w:r w:rsidRPr="001D090E">
              <w:rPr>
                <w:rFonts w:cstheme="minorHAnsi"/>
                <w:sz w:val="20"/>
                <w:szCs w:val="20"/>
              </w:rPr>
              <w:t>Per 10,000 Cases</w:t>
            </w:r>
          </w:p>
        </w:tc>
        <w:tc>
          <w:tcPr>
            <w:tcW w:w="1417" w:type="dxa"/>
          </w:tcPr>
          <w:p w14:paraId="444C1468" w14:textId="63212EE6" w:rsidR="006A69A7" w:rsidRPr="00EF0FC6" w:rsidRDefault="006A69A7" w:rsidP="006A69A7">
            <w:pPr>
              <w:jc w:val="center"/>
              <w:rPr>
                <w:sz w:val="18"/>
                <w:szCs w:val="18"/>
              </w:rPr>
            </w:pPr>
            <w:r>
              <w:rPr>
                <w:sz w:val="18"/>
                <w:szCs w:val="18"/>
              </w:rPr>
              <w:t>€</w:t>
            </w:r>
          </w:p>
        </w:tc>
      </w:tr>
      <w:tr w:rsidR="006A69A7" w14:paraId="08EF663A" w14:textId="77777777" w:rsidTr="006A69A7">
        <w:trPr>
          <w:trHeight w:val="284"/>
          <w:jc w:val="center"/>
        </w:trPr>
        <w:tc>
          <w:tcPr>
            <w:tcW w:w="3970" w:type="dxa"/>
          </w:tcPr>
          <w:p w14:paraId="490E4CD4" w14:textId="2519041F" w:rsidR="006A69A7" w:rsidRDefault="006A69A7" w:rsidP="006A69A7">
            <w:pPr>
              <w:rPr>
                <w:b/>
                <w:bCs/>
                <w:color w:val="FFFFFF" w:themeColor="background1"/>
              </w:rPr>
            </w:pPr>
            <w:r w:rsidRPr="001D090E">
              <w:rPr>
                <w:rFonts w:cstheme="minorHAnsi"/>
                <w:sz w:val="20"/>
                <w:szCs w:val="20"/>
              </w:rPr>
              <w:t>Additional Storage</w:t>
            </w:r>
          </w:p>
        </w:tc>
        <w:tc>
          <w:tcPr>
            <w:tcW w:w="2546" w:type="dxa"/>
          </w:tcPr>
          <w:p w14:paraId="44A62F9E" w14:textId="00362673" w:rsidR="006A69A7" w:rsidRPr="00EF0FC6" w:rsidRDefault="006A69A7" w:rsidP="006A69A7">
            <w:pPr>
              <w:jc w:val="center"/>
              <w:rPr>
                <w:sz w:val="18"/>
                <w:szCs w:val="18"/>
              </w:rPr>
            </w:pPr>
            <w:r w:rsidRPr="001D090E">
              <w:rPr>
                <w:rFonts w:cstheme="minorHAnsi"/>
                <w:sz w:val="20"/>
                <w:szCs w:val="20"/>
              </w:rPr>
              <w:t>Per TB Per Annum</w:t>
            </w:r>
          </w:p>
        </w:tc>
        <w:tc>
          <w:tcPr>
            <w:tcW w:w="1417" w:type="dxa"/>
          </w:tcPr>
          <w:p w14:paraId="367D88A1" w14:textId="14654DAD" w:rsidR="006A69A7" w:rsidRDefault="006A69A7" w:rsidP="006A69A7">
            <w:pPr>
              <w:jc w:val="center"/>
              <w:rPr>
                <w:sz w:val="18"/>
                <w:szCs w:val="18"/>
              </w:rPr>
            </w:pPr>
            <w:r>
              <w:rPr>
                <w:sz w:val="18"/>
                <w:szCs w:val="18"/>
              </w:rPr>
              <w:t>€</w:t>
            </w:r>
          </w:p>
        </w:tc>
      </w:tr>
      <w:tr w:rsidR="006A69A7" w14:paraId="27C07CD4" w14:textId="77777777" w:rsidTr="006A69A7">
        <w:trPr>
          <w:trHeight w:val="284"/>
          <w:jc w:val="center"/>
        </w:trPr>
        <w:tc>
          <w:tcPr>
            <w:tcW w:w="3970" w:type="dxa"/>
          </w:tcPr>
          <w:p w14:paraId="6970774C" w14:textId="12E90C3B" w:rsidR="006A69A7" w:rsidRPr="001D090E" w:rsidRDefault="006A69A7" w:rsidP="006A69A7">
            <w:pPr>
              <w:rPr>
                <w:rFonts w:cstheme="minorHAnsi"/>
                <w:sz w:val="20"/>
                <w:szCs w:val="20"/>
              </w:rPr>
            </w:pPr>
            <w:r w:rsidRPr="001D090E">
              <w:rPr>
                <w:rFonts w:cstheme="minorHAnsi"/>
                <w:sz w:val="20"/>
                <w:szCs w:val="20"/>
              </w:rPr>
              <w:t>Additional Non-Production Environment</w:t>
            </w:r>
          </w:p>
        </w:tc>
        <w:tc>
          <w:tcPr>
            <w:tcW w:w="2546" w:type="dxa"/>
          </w:tcPr>
          <w:p w14:paraId="1A9D8198" w14:textId="1475950C" w:rsidR="006A69A7" w:rsidRPr="00EF0FC6" w:rsidRDefault="006A69A7" w:rsidP="006A69A7">
            <w:pPr>
              <w:jc w:val="center"/>
              <w:rPr>
                <w:sz w:val="18"/>
                <w:szCs w:val="18"/>
              </w:rPr>
            </w:pPr>
            <w:r w:rsidRPr="001D090E">
              <w:rPr>
                <w:rFonts w:cstheme="minorHAnsi"/>
                <w:sz w:val="20"/>
                <w:szCs w:val="20"/>
              </w:rPr>
              <w:t>Per Environment Per Annum</w:t>
            </w:r>
          </w:p>
        </w:tc>
        <w:tc>
          <w:tcPr>
            <w:tcW w:w="1417" w:type="dxa"/>
          </w:tcPr>
          <w:p w14:paraId="278155AC" w14:textId="0E407B2A" w:rsidR="006A69A7" w:rsidRDefault="006A69A7" w:rsidP="006A69A7">
            <w:pPr>
              <w:jc w:val="center"/>
              <w:rPr>
                <w:sz w:val="18"/>
                <w:szCs w:val="18"/>
              </w:rPr>
            </w:pPr>
            <w:r>
              <w:rPr>
                <w:sz w:val="18"/>
                <w:szCs w:val="18"/>
              </w:rPr>
              <w:t>€</w:t>
            </w:r>
          </w:p>
        </w:tc>
      </w:tr>
    </w:tbl>
    <w:p w14:paraId="2456CE22" w14:textId="77777777" w:rsidR="00F628CB" w:rsidRPr="00582A66" w:rsidRDefault="00F628CB" w:rsidP="00582A66">
      <w:pPr>
        <w:jc w:val="both"/>
        <w:rPr>
          <w:rFonts w:cstheme="minorHAnsi"/>
          <w:sz w:val="20"/>
          <w:szCs w:val="20"/>
        </w:rPr>
      </w:pPr>
    </w:p>
    <w:p w14:paraId="275B712D" w14:textId="77777777" w:rsidR="00F628CB" w:rsidRPr="001D090E" w:rsidRDefault="00F628CB" w:rsidP="00F628CB">
      <w:pPr>
        <w:jc w:val="both"/>
        <w:rPr>
          <w:rFonts w:cstheme="minorHAnsi"/>
          <w:sz w:val="20"/>
          <w:szCs w:val="20"/>
        </w:rPr>
      </w:pPr>
      <w:r w:rsidRPr="001D090E">
        <w:rPr>
          <w:rFonts w:cstheme="minorHAnsi"/>
          <w:b/>
          <w:bCs/>
          <w:sz w:val="20"/>
          <w:szCs w:val="20"/>
        </w:rPr>
        <w:t>Notes:</w:t>
      </w:r>
    </w:p>
    <w:p w14:paraId="7A1188EF" w14:textId="77777777" w:rsidR="00F628CB" w:rsidRPr="001D090E" w:rsidRDefault="00F628CB" w:rsidP="00F628CB">
      <w:pPr>
        <w:numPr>
          <w:ilvl w:val="0"/>
          <w:numId w:val="36"/>
        </w:numPr>
        <w:jc w:val="both"/>
        <w:rPr>
          <w:rFonts w:cstheme="minorHAnsi"/>
          <w:sz w:val="20"/>
          <w:szCs w:val="20"/>
        </w:rPr>
      </w:pPr>
      <w:r w:rsidRPr="001D090E">
        <w:rPr>
          <w:rFonts w:cstheme="minorHAnsi"/>
          <w:sz w:val="20"/>
          <w:szCs w:val="20"/>
        </w:rPr>
        <w:t>These rates will not form part of the scored evaluation unless otherwise stated.</w:t>
      </w:r>
    </w:p>
    <w:p w14:paraId="0DBF44DE" w14:textId="77777777" w:rsidR="00F628CB" w:rsidRPr="001D090E" w:rsidRDefault="00F628CB" w:rsidP="00F628CB">
      <w:pPr>
        <w:numPr>
          <w:ilvl w:val="0"/>
          <w:numId w:val="36"/>
        </w:numPr>
        <w:jc w:val="both"/>
        <w:rPr>
          <w:rFonts w:cstheme="minorHAnsi"/>
          <w:sz w:val="20"/>
          <w:szCs w:val="20"/>
        </w:rPr>
      </w:pPr>
      <w:r w:rsidRPr="001D090E">
        <w:rPr>
          <w:rFonts w:cstheme="minorHAnsi"/>
          <w:sz w:val="20"/>
          <w:szCs w:val="20"/>
        </w:rPr>
        <w:t>The rates provided will be used by the Contracting Authority for budgetary planning and future contract management purposes.</w:t>
      </w:r>
    </w:p>
    <w:p w14:paraId="7DC1BEDA" w14:textId="77777777" w:rsidR="00F628CB" w:rsidRPr="001D090E" w:rsidRDefault="00F628CB" w:rsidP="00F628CB">
      <w:pPr>
        <w:numPr>
          <w:ilvl w:val="0"/>
          <w:numId w:val="36"/>
        </w:numPr>
        <w:jc w:val="both"/>
        <w:rPr>
          <w:rFonts w:cstheme="minorHAnsi"/>
          <w:sz w:val="20"/>
          <w:szCs w:val="20"/>
        </w:rPr>
      </w:pPr>
      <w:r w:rsidRPr="001D090E">
        <w:rPr>
          <w:rFonts w:cstheme="minorHAnsi"/>
          <w:sz w:val="20"/>
          <w:szCs w:val="20"/>
        </w:rPr>
        <w:t>Tenderers must clearly identify any minimum charging thresholds or volume commitments associated with the above rates.</w:t>
      </w:r>
    </w:p>
    <w:p w14:paraId="0CC3B8F8" w14:textId="77777777" w:rsidR="00F628CB" w:rsidRDefault="00F628CB" w:rsidP="00F628CB">
      <w:pPr>
        <w:jc w:val="both"/>
        <w:rPr>
          <w:rFonts w:cstheme="minorHAnsi"/>
          <w:sz w:val="20"/>
          <w:szCs w:val="20"/>
        </w:rPr>
      </w:pPr>
    </w:p>
    <w:p w14:paraId="3756F31F" w14:textId="77777777" w:rsidR="00F628CB" w:rsidRDefault="00F628CB" w:rsidP="00A16843">
      <w:pPr>
        <w:jc w:val="both"/>
        <w:rPr>
          <w:sz w:val="20"/>
          <w:szCs w:val="20"/>
        </w:rPr>
      </w:pPr>
    </w:p>
    <w:p w14:paraId="116E2BA9" w14:textId="77777777" w:rsidR="00F628CB" w:rsidRPr="00015021" w:rsidRDefault="00F628CB" w:rsidP="00A16843">
      <w:pPr>
        <w:jc w:val="both"/>
        <w:rPr>
          <w:sz w:val="20"/>
          <w:szCs w:val="20"/>
        </w:rPr>
      </w:pPr>
    </w:p>
    <w:p w14:paraId="5301EA09" w14:textId="44F73AAB" w:rsidR="00DD2DC4" w:rsidRDefault="008A0C0A" w:rsidP="00A16843">
      <w:pPr>
        <w:jc w:val="both"/>
        <w:rPr>
          <w:sz w:val="20"/>
          <w:szCs w:val="20"/>
        </w:rPr>
      </w:pPr>
      <w:r w:rsidRPr="008A0C0A">
        <w:rPr>
          <w:sz w:val="20"/>
          <w:szCs w:val="20"/>
        </w:rPr>
        <w:lastRenderedPageBreak/>
        <w:t xml:space="preserve">Tenderers must identify and provide </w:t>
      </w:r>
      <w:r w:rsidR="003E2037">
        <w:rPr>
          <w:sz w:val="20"/>
          <w:szCs w:val="20"/>
        </w:rPr>
        <w:t xml:space="preserve">detailed </w:t>
      </w:r>
      <w:r w:rsidRPr="008A0C0A">
        <w:rPr>
          <w:sz w:val="20"/>
          <w:szCs w:val="20"/>
        </w:rPr>
        <w:t>separate costs for any module, component or feature that is charged on an instance basis, where one charge applies per installation or deployment of that module. Where instance</w:t>
      </w:r>
      <w:r w:rsidR="0055295E">
        <w:rPr>
          <w:sz w:val="20"/>
          <w:szCs w:val="20"/>
        </w:rPr>
        <w:t xml:space="preserve"> </w:t>
      </w:r>
      <w:r w:rsidRPr="008A0C0A">
        <w:rPr>
          <w:sz w:val="20"/>
          <w:szCs w:val="20"/>
        </w:rPr>
        <w:t>based charg</w:t>
      </w:r>
      <w:r w:rsidR="00E701E9">
        <w:rPr>
          <w:sz w:val="20"/>
          <w:szCs w:val="20"/>
        </w:rPr>
        <w:t>es a</w:t>
      </w:r>
      <w:r w:rsidRPr="008A0C0A">
        <w:rPr>
          <w:sz w:val="20"/>
          <w:szCs w:val="20"/>
        </w:rPr>
        <w:t>ppl</w:t>
      </w:r>
      <w:r w:rsidR="00E701E9">
        <w:rPr>
          <w:sz w:val="20"/>
          <w:szCs w:val="20"/>
        </w:rPr>
        <w:t>y</w:t>
      </w:r>
      <w:r w:rsidRPr="008A0C0A">
        <w:rPr>
          <w:sz w:val="20"/>
          <w:szCs w:val="20"/>
        </w:rPr>
        <w:t xml:space="preserve">, tenderers must specify the cost </w:t>
      </w:r>
      <w:r w:rsidR="00923CF6">
        <w:rPr>
          <w:sz w:val="20"/>
          <w:szCs w:val="20"/>
        </w:rPr>
        <w:t xml:space="preserve">if applicable </w:t>
      </w:r>
      <w:r w:rsidRPr="008A0C0A">
        <w:rPr>
          <w:sz w:val="20"/>
          <w:szCs w:val="20"/>
        </w:rPr>
        <w:t>for each required environment</w:t>
      </w:r>
      <w:r w:rsidR="00923CF6">
        <w:rPr>
          <w:sz w:val="20"/>
          <w:szCs w:val="20"/>
        </w:rPr>
        <w:t xml:space="preserve"> (</w:t>
      </w:r>
      <w:r w:rsidRPr="008A0C0A">
        <w:rPr>
          <w:sz w:val="20"/>
          <w:szCs w:val="20"/>
        </w:rPr>
        <w:t xml:space="preserve">production, test, development, </w:t>
      </w:r>
      <w:r w:rsidR="00923CF6">
        <w:rPr>
          <w:sz w:val="20"/>
          <w:szCs w:val="20"/>
        </w:rPr>
        <w:t>etc.).</w:t>
      </w:r>
      <w:r w:rsidR="000D5EA3">
        <w:rPr>
          <w:sz w:val="20"/>
          <w:szCs w:val="20"/>
        </w:rPr>
        <w:t xml:space="preserve"> </w:t>
      </w:r>
      <w:r w:rsidRPr="008A0C0A">
        <w:rPr>
          <w:sz w:val="20"/>
          <w:szCs w:val="20"/>
        </w:rPr>
        <w:t>Tenderers must clearly state whether such charges are one</w:t>
      </w:r>
      <w:r w:rsidR="0055295E">
        <w:rPr>
          <w:sz w:val="20"/>
          <w:szCs w:val="20"/>
        </w:rPr>
        <w:t xml:space="preserve"> </w:t>
      </w:r>
      <w:r w:rsidRPr="008A0C0A">
        <w:rPr>
          <w:sz w:val="20"/>
          <w:szCs w:val="20"/>
        </w:rPr>
        <w:t xml:space="preserve">off or recurring, whether they are mandatory or optional, and whether any additional </w:t>
      </w:r>
      <w:r w:rsidR="00820BBA">
        <w:rPr>
          <w:sz w:val="20"/>
          <w:szCs w:val="20"/>
        </w:rPr>
        <w:t xml:space="preserve">implementation </w:t>
      </w:r>
      <w:r w:rsidRPr="008A0C0A">
        <w:rPr>
          <w:sz w:val="20"/>
          <w:szCs w:val="20"/>
        </w:rPr>
        <w:t>costs apply</w:t>
      </w:r>
      <w:r w:rsidR="000D5EA3">
        <w:rPr>
          <w:sz w:val="20"/>
          <w:szCs w:val="20"/>
        </w:rPr>
        <w:t>.</w:t>
      </w:r>
    </w:p>
    <w:p w14:paraId="754C9887" w14:textId="77777777" w:rsidR="00DD2DC4" w:rsidRDefault="00DD2DC4" w:rsidP="00A16843">
      <w:pPr>
        <w:jc w:val="both"/>
        <w:rPr>
          <w:sz w:val="20"/>
          <w:szCs w:val="20"/>
        </w:rPr>
      </w:pPr>
    </w:p>
    <w:p w14:paraId="37D24931" w14:textId="77777777" w:rsidR="00A16843" w:rsidRPr="003E059C" w:rsidRDefault="00A16843" w:rsidP="00A16843">
      <w:pPr>
        <w:rPr>
          <w:sz w:val="20"/>
          <w:szCs w:val="20"/>
        </w:rPr>
      </w:pPr>
      <w:r w:rsidRPr="003E059C">
        <w:rPr>
          <w:sz w:val="20"/>
          <w:szCs w:val="20"/>
        </w:rPr>
        <w:t>The Contracting Authority shall not be under any obligation to purchase any minimum value of Services under any Agreement.</w:t>
      </w:r>
    </w:p>
    <w:p w14:paraId="3EAD3163" w14:textId="77777777" w:rsidR="0084254D" w:rsidRPr="003E059C" w:rsidRDefault="0084254D" w:rsidP="0084254D">
      <w:pPr>
        <w:pStyle w:val="HPRAMainBodyText"/>
        <w:ind w:right="567"/>
        <w:rPr>
          <w:lang w:val="en-GB"/>
        </w:rPr>
      </w:pPr>
    </w:p>
    <w:p w14:paraId="154C802E" w14:textId="2E664669" w:rsidR="0084254D" w:rsidRPr="00787B4B" w:rsidRDefault="0084254D" w:rsidP="0084254D">
      <w:pPr>
        <w:pStyle w:val="HPRAHeadingL2"/>
        <w:rPr>
          <w:lang w:val="en-GB"/>
        </w:rPr>
      </w:pPr>
      <w:bookmarkStart w:id="17" w:name="_Toc235785018"/>
      <w:r>
        <w:rPr>
          <w:lang w:val="en-GB"/>
        </w:rPr>
        <w:t>Implementation Costs</w:t>
      </w:r>
      <w:bookmarkEnd w:id="17"/>
    </w:p>
    <w:p w14:paraId="32DE2227" w14:textId="77777777" w:rsidR="0084254D" w:rsidRDefault="0084254D" w:rsidP="0084254D">
      <w:pPr>
        <w:pStyle w:val="HPRAMainBodyText"/>
        <w:ind w:right="567"/>
        <w:rPr>
          <w:lang w:val="en-GB"/>
        </w:rPr>
      </w:pPr>
    </w:p>
    <w:p w14:paraId="6E28BAB7" w14:textId="3EA5B52C" w:rsidR="003F44BB" w:rsidRDefault="003F44BB" w:rsidP="00E02D4E">
      <w:pPr>
        <w:pStyle w:val="HPRAMainBodyText"/>
        <w:jc w:val="both"/>
      </w:pPr>
      <w:r>
        <w:t xml:space="preserve">Tenderers must provide </w:t>
      </w:r>
      <w:r w:rsidR="00E65DCD">
        <w:t>detailed costs</w:t>
      </w:r>
      <w:r>
        <w:t xml:space="preserve"> for the implementation of their proposed solution. </w:t>
      </w:r>
      <w:r w:rsidR="00B40852">
        <w:t>Cost information</w:t>
      </w:r>
      <w:r w:rsidR="00C32C48">
        <w:t xml:space="preserve"> must be detailed and</w:t>
      </w:r>
      <w:r>
        <w:t xml:space="preserve"> include </w:t>
      </w:r>
      <w:r w:rsidR="00B40852">
        <w:t>resources and</w:t>
      </w:r>
      <w:r>
        <w:t xml:space="preserve"> services required to implement the solution and bring it into operational use by the HPRA.</w:t>
      </w:r>
    </w:p>
    <w:p w14:paraId="02B75035" w14:textId="77777777" w:rsidR="0040133E" w:rsidRDefault="0040133E" w:rsidP="003F44BB">
      <w:pPr>
        <w:pStyle w:val="HPRAMainBodyText"/>
      </w:pPr>
    </w:p>
    <w:p w14:paraId="4B617165" w14:textId="2F666CBE" w:rsidR="003F44BB" w:rsidRDefault="003F44BB" w:rsidP="007A2FCC">
      <w:pPr>
        <w:pStyle w:val="HPRAMainBodyText"/>
        <w:jc w:val="both"/>
      </w:pPr>
      <w:r>
        <w:t xml:space="preserve">Tenderers must provide a detailed breakdown of all implementation costs included </w:t>
      </w:r>
      <w:r w:rsidR="008947DB">
        <w:t>in the table below</w:t>
      </w:r>
      <w:r>
        <w:t xml:space="preserve">. The breakdown must identify each resource type </w:t>
      </w:r>
      <w:r w:rsidR="00CD19C2">
        <w:t>proposed</w:t>
      </w:r>
      <w:r>
        <w:t xml:space="preserve"> by the tenderer, the number of days allocated to each resource type, the applicable daily rate, the total cost for each resource type</w:t>
      </w:r>
      <w:r w:rsidR="008947DB">
        <w:t>.</w:t>
      </w:r>
    </w:p>
    <w:p w14:paraId="086622CC" w14:textId="77777777" w:rsidR="00C6654A" w:rsidRDefault="00C6654A" w:rsidP="003F44BB">
      <w:pPr>
        <w:pStyle w:val="HPRAMainBodyText"/>
      </w:pPr>
    </w:p>
    <w:tbl>
      <w:tblPr>
        <w:tblStyle w:val="TableGrid"/>
        <w:tblW w:w="0" w:type="auto"/>
        <w:tblLook w:val="04A0" w:firstRow="1" w:lastRow="0" w:firstColumn="1" w:lastColumn="0" w:noHBand="0" w:noVBand="1"/>
      </w:tblPr>
      <w:tblGrid>
        <w:gridCol w:w="2614"/>
        <w:gridCol w:w="2614"/>
        <w:gridCol w:w="2614"/>
        <w:gridCol w:w="2614"/>
      </w:tblGrid>
      <w:tr w:rsidR="0084479B" w14:paraId="7A6DF438" w14:textId="77777777" w:rsidTr="0084479B">
        <w:tc>
          <w:tcPr>
            <w:tcW w:w="10456" w:type="dxa"/>
            <w:gridSpan w:val="4"/>
            <w:shd w:val="clear" w:color="auto" w:fill="005F37" w:themeFill="accent1" w:themeFillShade="80"/>
          </w:tcPr>
          <w:p w14:paraId="068A15AB" w14:textId="212E7E3D" w:rsidR="0084479B" w:rsidRPr="00250CBB" w:rsidRDefault="0084479B" w:rsidP="007A2FCC">
            <w:pPr>
              <w:pStyle w:val="HPRAMainBodyText"/>
              <w:jc w:val="center"/>
              <w:rPr>
                <w:b/>
                <w:bCs/>
                <w:color w:val="FFFFFF" w:themeColor="background1"/>
              </w:rPr>
            </w:pPr>
            <w:r>
              <w:rPr>
                <w:b/>
                <w:bCs/>
                <w:color w:val="FFFFFF" w:themeColor="background1"/>
              </w:rPr>
              <w:t xml:space="preserve">Table </w:t>
            </w:r>
            <w:proofErr w:type="gramStart"/>
            <w:r>
              <w:rPr>
                <w:b/>
                <w:bCs/>
                <w:color w:val="FFFFFF" w:themeColor="background1"/>
              </w:rPr>
              <w:t>2 :</w:t>
            </w:r>
            <w:proofErr w:type="gramEnd"/>
            <w:r>
              <w:rPr>
                <w:b/>
                <w:bCs/>
                <w:color w:val="FFFFFF" w:themeColor="background1"/>
              </w:rPr>
              <w:t xml:space="preserve"> Implementation Costs</w:t>
            </w:r>
          </w:p>
        </w:tc>
      </w:tr>
      <w:tr w:rsidR="0084479B" w14:paraId="797C2885" w14:textId="77777777" w:rsidTr="0084479B">
        <w:tc>
          <w:tcPr>
            <w:tcW w:w="2614" w:type="dxa"/>
            <w:shd w:val="clear" w:color="auto" w:fill="005F37" w:themeFill="accent1" w:themeFillShade="80"/>
          </w:tcPr>
          <w:p w14:paraId="4783EF69" w14:textId="58EE0713" w:rsidR="0084479B" w:rsidRPr="00250CBB" w:rsidRDefault="0084479B" w:rsidP="0084479B">
            <w:pPr>
              <w:pStyle w:val="HPRAMainBodyText"/>
              <w:jc w:val="center"/>
              <w:rPr>
                <w:b/>
                <w:bCs/>
                <w:color w:val="FFFFFF" w:themeColor="background1"/>
              </w:rPr>
            </w:pPr>
            <w:r w:rsidRPr="00250CBB">
              <w:rPr>
                <w:b/>
                <w:bCs/>
                <w:color w:val="FFFFFF" w:themeColor="background1"/>
              </w:rPr>
              <w:t>Resource Type</w:t>
            </w:r>
          </w:p>
        </w:tc>
        <w:tc>
          <w:tcPr>
            <w:tcW w:w="2614" w:type="dxa"/>
            <w:shd w:val="clear" w:color="auto" w:fill="005F37" w:themeFill="accent1" w:themeFillShade="80"/>
          </w:tcPr>
          <w:p w14:paraId="2B8468FC" w14:textId="7A34844F" w:rsidR="0084479B" w:rsidRPr="00250CBB" w:rsidRDefault="00EA55FF" w:rsidP="0084479B">
            <w:pPr>
              <w:pStyle w:val="HPRAMainBodyText"/>
              <w:jc w:val="center"/>
              <w:rPr>
                <w:b/>
                <w:bCs/>
                <w:color w:val="FFFFFF" w:themeColor="background1"/>
              </w:rPr>
            </w:pPr>
            <w:r>
              <w:rPr>
                <w:b/>
                <w:bCs/>
                <w:color w:val="FFFFFF" w:themeColor="background1"/>
              </w:rPr>
              <w:t>Daily Rate (€)</w:t>
            </w:r>
          </w:p>
        </w:tc>
        <w:tc>
          <w:tcPr>
            <w:tcW w:w="2614" w:type="dxa"/>
            <w:shd w:val="clear" w:color="auto" w:fill="005F37" w:themeFill="accent1" w:themeFillShade="80"/>
          </w:tcPr>
          <w:p w14:paraId="11BC5D39" w14:textId="199F05A4" w:rsidR="0084479B" w:rsidRPr="00250CBB" w:rsidRDefault="00EA55FF" w:rsidP="0084479B">
            <w:pPr>
              <w:pStyle w:val="HPRAMainBodyText"/>
              <w:jc w:val="center"/>
              <w:rPr>
                <w:b/>
                <w:bCs/>
                <w:color w:val="FFFFFF" w:themeColor="background1"/>
              </w:rPr>
            </w:pPr>
            <w:r>
              <w:rPr>
                <w:b/>
                <w:bCs/>
                <w:color w:val="FFFFFF" w:themeColor="background1"/>
              </w:rPr>
              <w:t>Days Required</w:t>
            </w:r>
          </w:p>
        </w:tc>
        <w:tc>
          <w:tcPr>
            <w:tcW w:w="2614" w:type="dxa"/>
            <w:shd w:val="clear" w:color="auto" w:fill="005F37" w:themeFill="accent1" w:themeFillShade="80"/>
          </w:tcPr>
          <w:p w14:paraId="025106BD" w14:textId="580C6916" w:rsidR="0084479B" w:rsidRPr="00250CBB" w:rsidRDefault="0084479B" w:rsidP="0084479B">
            <w:pPr>
              <w:pStyle w:val="HPRAMainBodyText"/>
              <w:jc w:val="center"/>
              <w:rPr>
                <w:b/>
                <w:bCs/>
                <w:color w:val="FFFFFF" w:themeColor="background1"/>
              </w:rPr>
            </w:pPr>
            <w:r w:rsidRPr="00250CBB">
              <w:rPr>
                <w:b/>
                <w:bCs/>
                <w:color w:val="FFFFFF" w:themeColor="background1"/>
              </w:rPr>
              <w:t>Total</w:t>
            </w:r>
            <w:r w:rsidR="00EA55FF">
              <w:rPr>
                <w:b/>
                <w:bCs/>
                <w:color w:val="FFFFFF" w:themeColor="background1"/>
              </w:rPr>
              <w:t xml:space="preserve"> Cost</w:t>
            </w:r>
          </w:p>
        </w:tc>
      </w:tr>
      <w:tr w:rsidR="0084479B" w14:paraId="2712C452" w14:textId="77777777" w:rsidTr="00C6654A">
        <w:tc>
          <w:tcPr>
            <w:tcW w:w="2614" w:type="dxa"/>
          </w:tcPr>
          <w:p w14:paraId="673F03E6" w14:textId="27D4E297" w:rsidR="0084479B" w:rsidRPr="00582A66" w:rsidRDefault="00E93F08" w:rsidP="004C632F">
            <w:pPr>
              <w:jc w:val="center"/>
              <w:rPr>
                <w:sz w:val="18"/>
                <w:szCs w:val="18"/>
              </w:rPr>
            </w:pPr>
            <w:r w:rsidRPr="00582A66">
              <w:rPr>
                <w:sz w:val="18"/>
                <w:szCs w:val="18"/>
              </w:rPr>
              <w:t xml:space="preserve">Insert </w:t>
            </w:r>
            <w:r w:rsidR="004C632F" w:rsidRPr="00582A66">
              <w:rPr>
                <w:sz w:val="18"/>
                <w:szCs w:val="18"/>
              </w:rPr>
              <w:t xml:space="preserve">Resource Type </w:t>
            </w:r>
            <w:r w:rsidRPr="00582A66">
              <w:rPr>
                <w:sz w:val="18"/>
                <w:szCs w:val="18"/>
              </w:rPr>
              <w:t>Her</w:t>
            </w:r>
            <w:r w:rsidR="004C632F" w:rsidRPr="00582A66">
              <w:rPr>
                <w:sz w:val="18"/>
                <w:szCs w:val="18"/>
              </w:rPr>
              <w:t>e</w:t>
            </w:r>
          </w:p>
        </w:tc>
        <w:tc>
          <w:tcPr>
            <w:tcW w:w="2614" w:type="dxa"/>
          </w:tcPr>
          <w:p w14:paraId="77857C9F" w14:textId="5FCD47A7" w:rsidR="0084479B" w:rsidRPr="00582A66" w:rsidRDefault="00BF6650" w:rsidP="004C632F">
            <w:pPr>
              <w:jc w:val="center"/>
              <w:rPr>
                <w:sz w:val="18"/>
                <w:szCs w:val="18"/>
              </w:rPr>
            </w:pPr>
            <w:r w:rsidRPr="00582A66">
              <w:rPr>
                <w:sz w:val="18"/>
                <w:szCs w:val="18"/>
              </w:rPr>
              <w:t>€ Insert Here</w:t>
            </w:r>
          </w:p>
        </w:tc>
        <w:tc>
          <w:tcPr>
            <w:tcW w:w="2614" w:type="dxa"/>
          </w:tcPr>
          <w:p w14:paraId="570AD972" w14:textId="03081AAE" w:rsidR="0084479B" w:rsidRPr="00582A66" w:rsidRDefault="00BF6650" w:rsidP="00913647">
            <w:pPr>
              <w:jc w:val="center"/>
              <w:rPr>
                <w:sz w:val="18"/>
                <w:szCs w:val="18"/>
              </w:rPr>
            </w:pPr>
            <w:r w:rsidRPr="00582A66">
              <w:rPr>
                <w:sz w:val="18"/>
                <w:szCs w:val="18"/>
              </w:rPr>
              <w:t xml:space="preserve">Insert </w:t>
            </w:r>
            <w:r w:rsidR="00913647" w:rsidRPr="00582A66">
              <w:rPr>
                <w:sz w:val="18"/>
                <w:szCs w:val="18"/>
              </w:rPr>
              <w:t>Resource Days</w:t>
            </w:r>
          </w:p>
        </w:tc>
        <w:tc>
          <w:tcPr>
            <w:tcW w:w="2614" w:type="dxa"/>
          </w:tcPr>
          <w:p w14:paraId="5644C3A7" w14:textId="77777777" w:rsidR="0084479B" w:rsidRPr="00582A66" w:rsidRDefault="0084479B" w:rsidP="0084479B">
            <w:pPr>
              <w:pStyle w:val="HPRAMainBodyText"/>
              <w:rPr>
                <w:sz w:val="18"/>
                <w:szCs w:val="18"/>
              </w:rPr>
            </w:pPr>
          </w:p>
        </w:tc>
      </w:tr>
      <w:tr w:rsidR="00913647" w14:paraId="130984B7" w14:textId="77777777" w:rsidTr="00C6654A">
        <w:tc>
          <w:tcPr>
            <w:tcW w:w="2614" w:type="dxa"/>
          </w:tcPr>
          <w:p w14:paraId="3687A54C" w14:textId="4592011D" w:rsidR="00913647" w:rsidRPr="00582A66" w:rsidRDefault="00913647" w:rsidP="004C632F">
            <w:pPr>
              <w:jc w:val="center"/>
              <w:rPr>
                <w:sz w:val="18"/>
                <w:szCs w:val="18"/>
              </w:rPr>
            </w:pPr>
            <w:r w:rsidRPr="00582A66">
              <w:rPr>
                <w:sz w:val="18"/>
                <w:szCs w:val="18"/>
              </w:rPr>
              <w:t>Insert Resource Type Here</w:t>
            </w:r>
          </w:p>
        </w:tc>
        <w:tc>
          <w:tcPr>
            <w:tcW w:w="2614" w:type="dxa"/>
          </w:tcPr>
          <w:p w14:paraId="0CDD1FFE" w14:textId="5A344981" w:rsidR="00913647" w:rsidRPr="00582A66" w:rsidRDefault="005A441F" w:rsidP="004C632F">
            <w:pPr>
              <w:jc w:val="center"/>
              <w:rPr>
                <w:sz w:val="18"/>
                <w:szCs w:val="18"/>
              </w:rPr>
            </w:pPr>
            <w:r w:rsidRPr="00582A66">
              <w:rPr>
                <w:sz w:val="18"/>
                <w:szCs w:val="18"/>
              </w:rPr>
              <w:t>€ Insert Here</w:t>
            </w:r>
          </w:p>
        </w:tc>
        <w:tc>
          <w:tcPr>
            <w:tcW w:w="2614" w:type="dxa"/>
          </w:tcPr>
          <w:p w14:paraId="1A20FC69" w14:textId="6590E189" w:rsidR="00913647" w:rsidRPr="00582A66" w:rsidRDefault="005A441F" w:rsidP="00BF6650">
            <w:pPr>
              <w:jc w:val="center"/>
              <w:rPr>
                <w:sz w:val="18"/>
                <w:szCs w:val="18"/>
              </w:rPr>
            </w:pPr>
            <w:r w:rsidRPr="00582A66">
              <w:rPr>
                <w:sz w:val="18"/>
                <w:szCs w:val="18"/>
              </w:rPr>
              <w:t>Insert Resource Days</w:t>
            </w:r>
          </w:p>
        </w:tc>
        <w:tc>
          <w:tcPr>
            <w:tcW w:w="2614" w:type="dxa"/>
          </w:tcPr>
          <w:p w14:paraId="7E801744" w14:textId="77777777" w:rsidR="00913647" w:rsidRPr="00582A66" w:rsidRDefault="00913647" w:rsidP="0084479B">
            <w:pPr>
              <w:pStyle w:val="HPRAMainBodyText"/>
              <w:rPr>
                <w:sz w:val="18"/>
                <w:szCs w:val="18"/>
              </w:rPr>
            </w:pPr>
          </w:p>
        </w:tc>
      </w:tr>
      <w:tr w:rsidR="00913647" w14:paraId="26CE9119" w14:textId="77777777" w:rsidTr="00C6654A">
        <w:tc>
          <w:tcPr>
            <w:tcW w:w="2614" w:type="dxa"/>
          </w:tcPr>
          <w:p w14:paraId="224AF578" w14:textId="00C0939A" w:rsidR="00913647" w:rsidRPr="00582A66" w:rsidRDefault="00913647" w:rsidP="004C632F">
            <w:pPr>
              <w:jc w:val="center"/>
              <w:rPr>
                <w:sz w:val="18"/>
                <w:szCs w:val="18"/>
              </w:rPr>
            </w:pPr>
            <w:r w:rsidRPr="00582A66">
              <w:rPr>
                <w:sz w:val="18"/>
                <w:szCs w:val="18"/>
              </w:rPr>
              <w:t>Insert Resource Type Here</w:t>
            </w:r>
          </w:p>
        </w:tc>
        <w:tc>
          <w:tcPr>
            <w:tcW w:w="2614" w:type="dxa"/>
          </w:tcPr>
          <w:p w14:paraId="30B7C99F" w14:textId="2A15C916" w:rsidR="00913647" w:rsidRPr="00582A66" w:rsidRDefault="005A441F" w:rsidP="004C632F">
            <w:pPr>
              <w:jc w:val="center"/>
              <w:rPr>
                <w:sz w:val="18"/>
                <w:szCs w:val="18"/>
              </w:rPr>
            </w:pPr>
            <w:r w:rsidRPr="00582A66">
              <w:rPr>
                <w:sz w:val="18"/>
                <w:szCs w:val="18"/>
              </w:rPr>
              <w:t>€ Insert Here</w:t>
            </w:r>
          </w:p>
        </w:tc>
        <w:tc>
          <w:tcPr>
            <w:tcW w:w="2614" w:type="dxa"/>
          </w:tcPr>
          <w:p w14:paraId="15BEA81D" w14:textId="583F6C48" w:rsidR="00913647" w:rsidRPr="00582A66" w:rsidRDefault="005A441F" w:rsidP="00BF6650">
            <w:pPr>
              <w:jc w:val="center"/>
              <w:rPr>
                <w:sz w:val="18"/>
                <w:szCs w:val="18"/>
              </w:rPr>
            </w:pPr>
            <w:r w:rsidRPr="00582A66">
              <w:rPr>
                <w:sz w:val="18"/>
                <w:szCs w:val="18"/>
              </w:rPr>
              <w:t>Insert Resource Days</w:t>
            </w:r>
          </w:p>
        </w:tc>
        <w:tc>
          <w:tcPr>
            <w:tcW w:w="2614" w:type="dxa"/>
          </w:tcPr>
          <w:p w14:paraId="4E4421B9" w14:textId="77777777" w:rsidR="00913647" w:rsidRPr="00582A66" w:rsidRDefault="00913647" w:rsidP="0084479B">
            <w:pPr>
              <w:pStyle w:val="HPRAMainBodyText"/>
              <w:rPr>
                <w:sz w:val="18"/>
                <w:szCs w:val="18"/>
              </w:rPr>
            </w:pPr>
          </w:p>
        </w:tc>
      </w:tr>
      <w:tr w:rsidR="0084479B" w14:paraId="6120E13A" w14:textId="77777777" w:rsidTr="00C6654A">
        <w:tc>
          <w:tcPr>
            <w:tcW w:w="2614" w:type="dxa"/>
          </w:tcPr>
          <w:p w14:paraId="160251C9" w14:textId="77777777" w:rsidR="0084479B" w:rsidRPr="00582A66" w:rsidRDefault="0084479B" w:rsidP="0084479B">
            <w:pPr>
              <w:pStyle w:val="HPRAMainBodyText"/>
              <w:rPr>
                <w:sz w:val="18"/>
                <w:szCs w:val="18"/>
              </w:rPr>
            </w:pPr>
          </w:p>
        </w:tc>
        <w:tc>
          <w:tcPr>
            <w:tcW w:w="2614" w:type="dxa"/>
          </w:tcPr>
          <w:p w14:paraId="7208573F" w14:textId="77777777" w:rsidR="0084479B" w:rsidRPr="00582A66" w:rsidRDefault="0084479B" w:rsidP="0084479B">
            <w:pPr>
              <w:pStyle w:val="HPRAMainBodyText"/>
              <w:rPr>
                <w:sz w:val="18"/>
                <w:szCs w:val="18"/>
              </w:rPr>
            </w:pPr>
          </w:p>
        </w:tc>
        <w:tc>
          <w:tcPr>
            <w:tcW w:w="2614" w:type="dxa"/>
          </w:tcPr>
          <w:p w14:paraId="4507F3D0" w14:textId="77777777" w:rsidR="0084479B" w:rsidRPr="00582A66" w:rsidRDefault="0084479B" w:rsidP="0084479B">
            <w:pPr>
              <w:pStyle w:val="HPRAMainBodyText"/>
              <w:rPr>
                <w:sz w:val="18"/>
                <w:szCs w:val="18"/>
              </w:rPr>
            </w:pPr>
          </w:p>
        </w:tc>
        <w:tc>
          <w:tcPr>
            <w:tcW w:w="2614" w:type="dxa"/>
          </w:tcPr>
          <w:p w14:paraId="5D214A01" w14:textId="77777777" w:rsidR="0084479B" w:rsidRPr="00582A66" w:rsidRDefault="0084479B" w:rsidP="0084479B">
            <w:pPr>
              <w:pStyle w:val="HPRAMainBodyText"/>
              <w:rPr>
                <w:sz w:val="18"/>
                <w:szCs w:val="18"/>
              </w:rPr>
            </w:pPr>
          </w:p>
        </w:tc>
      </w:tr>
      <w:tr w:rsidR="0084479B" w14:paraId="3512295D" w14:textId="77777777" w:rsidTr="00C6654A">
        <w:tc>
          <w:tcPr>
            <w:tcW w:w="2614" w:type="dxa"/>
          </w:tcPr>
          <w:p w14:paraId="456D583E" w14:textId="77777777" w:rsidR="0084479B" w:rsidRPr="00582A66" w:rsidRDefault="0084479B" w:rsidP="0084479B">
            <w:pPr>
              <w:pStyle w:val="HPRAMainBodyText"/>
              <w:rPr>
                <w:sz w:val="18"/>
                <w:szCs w:val="18"/>
              </w:rPr>
            </w:pPr>
          </w:p>
        </w:tc>
        <w:tc>
          <w:tcPr>
            <w:tcW w:w="2614" w:type="dxa"/>
          </w:tcPr>
          <w:p w14:paraId="0EDF2B20" w14:textId="77777777" w:rsidR="0084479B" w:rsidRPr="00582A66" w:rsidRDefault="0084479B" w:rsidP="0084479B">
            <w:pPr>
              <w:pStyle w:val="HPRAMainBodyText"/>
              <w:rPr>
                <w:sz w:val="18"/>
                <w:szCs w:val="18"/>
              </w:rPr>
            </w:pPr>
          </w:p>
        </w:tc>
        <w:tc>
          <w:tcPr>
            <w:tcW w:w="2614" w:type="dxa"/>
          </w:tcPr>
          <w:p w14:paraId="228633FB" w14:textId="70FC9CA1" w:rsidR="0084479B" w:rsidRPr="00582A66" w:rsidRDefault="00BF6650" w:rsidP="0084479B">
            <w:pPr>
              <w:pStyle w:val="HPRAMainBodyText"/>
              <w:rPr>
                <w:sz w:val="18"/>
                <w:szCs w:val="18"/>
              </w:rPr>
            </w:pPr>
            <w:r w:rsidRPr="00582A66">
              <w:rPr>
                <w:sz w:val="18"/>
                <w:szCs w:val="18"/>
              </w:rPr>
              <w:t>Total Implementation Cost:</w:t>
            </w:r>
          </w:p>
        </w:tc>
        <w:tc>
          <w:tcPr>
            <w:tcW w:w="2614" w:type="dxa"/>
          </w:tcPr>
          <w:p w14:paraId="1184F75B" w14:textId="77777777" w:rsidR="0084479B" w:rsidRPr="00582A66" w:rsidRDefault="0084479B" w:rsidP="0084479B">
            <w:pPr>
              <w:pStyle w:val="HPRAMainBodyText"/>
              <w:rPr>
                <w:sz w:val="18"/>
                <w:szCs w:val="18"/>
              </w:rPr>
            </w:pPr>
          </w:p>
        </w:tc>
      </w:tr>
    </w:tbl>
    <w:p w14:paraId="7D150EF8" w14:textId="77777777" w:rsidR="00C6654A" w:rsidRDefault="00C6654A" w:rsidP="003F44BB">
      <w:pPr>
        <w:pStyle w:val="HPRAMainBodyText"/>
      </w:pPr>
    </w:p>
    <w:p w14:paraId="098BA4A0" w14:textId="47810A03" w:rsidR="003F44BB" w:rsidRDefault="003F44BB" w:rsidP="003F44BB">
      <w:pPr>
        <w:pStyle w:val="HPRAMainBodyText"/>
      </w:pPr>
      <w:r>
        <w:t xml:space="preserve">Tenderers must also identify any </w:t>
      </w:r>
      <w:r w:rsidR="00B82C5F">
        <w:t>non-resource</w:t>
      </w:r>
      <w:r>
        <w:t xml:space="preserve"> implementation costs, including third</w:t>
      </w:r>
      <w:r w:rsidR="0055295E">
        <w:t xml:space="preserve"> </w:t>
      </w:r>
      <w:r>
        <w:t>party costs, tools, environments, travel, expenses or other charges. Any assumptions, dependencies, exclusions or items that would require separate pricing, contractual agreement or change control must be clearly stated.</w:t>
      </w:r>
    </w:p>
    <w:p w14:paraId="179DF96B" w14:textId="77777777" w:rsidR="0084254D" w:rsidRDefault="0084254D" w:rsidP="0084254D">
      <w:pPr>
        <w:pStyle w:val="HPRAMainBodyText"/>
      </w:pPr>
    </w:p>
    <w:p w14:paraId="1B212AB9" w14:textId="15697E00" w:rsidR="0084254D" w:rsidRPr="00787B4B" w:rsidRDefault="00BB020F" w:rsidP="0084254D">
      <w:pPr>
        <w:pStyle w:val="HPRAHeadingL2"/>
        <w:rPr>
          <w:lang w:val="en-GB"/>
        </w:rPr>
      </w:pPr>
      <w:bookmarkStart w:id="18" w:name="_Toc235785019"/>
      <w:r>
        <w:rPr>
          <w:lang w:val="en-GB"/>
        </w:rPr>
        <w:t>Professional Services</w:t>
      </w:r>
      <w:bookmarkEnd w:id="18"/>
    </w:p>
    <w:p w14:paraId="6270AC5C" w14:textId="77777777" w:rsidR="0084254D" w:rsidRDefault="0084254D" w:rsidP="0084254D">
      <w:pPr>
        <w:pStyle w:val="HPRAMainBodyText"/>
        <w:ind w:right="567"/>
        <w:rPr>
          <w:lang w:val="en-GB"/>
        </w:rPr>
      </w:pPr>
    </w:p>
    <w:p w14:paraId="7FC4844B" w14:textId="77777777" w:rsidR="00D91F29" w:rsidRDefault="00D91F29" w:rsidP="00343D68">
      <w:pPr>
        <w:pStyle w:val="HPRAMainBodyText"/>
        <w:jc w:val="both"/>
      </w:pPr>
      <w:r>
        <w:t>Tenderers must provide a table setting out the costs for additional professional services that may be requested by the HPRA during the contract term. These services may include, but are not limited to, additional configuration, development, integration, data migration, reporting, training, testing, advisory, project management or support activities that are outside the fixed implementation scope.</w:t>
      </w:r>
    </w:p>
    <w:p w14:paraId="6D582D03" w14:textId="77777777" w:rsidR="003F0541" w:rsidRPr="00525842" w:rsidRDefault="003F0541" w:rsidP="003F0541">
      <w:pPr>
        <w:pStyle w:val="HPRAMainBodyText"/>
        <w:ind w:right="567"/>
        <w:rPr>
          <w:rFonts w:asciiTheme="minorHAnsi" w:hAnsiTheme="minorHAnsi" w:cstheme="minorHAnsi"/>
          <w:lang w:val="en-GB"/>
        </w:rPr>
      </w:pPr>
    </w:p>
    <w:p w14:paraId="6AC3CC37" w14:textId="5D3A8843" w:rsidR="003F0541" w:rsidRPr="00525842" w:rsidRDefault="003F0541" w:rsidP="003F0541">
      <w:pPr>
        <w:jc w:val="both"/>
        <w:rPr>
          <w:rFonts w:cstheme="minorHAnsi"/>
          <w:sz w:val="20"/>
          <w:szCs w:val="20"/>
        </w:rPr>
      </w:pPr>
      <w:r w:rsidRPr="00525842">
        <w:rPr>
          <w:rFonts w:cstheme="minorHAnsi"/>
          <w:sz w:val="20"/>
          <w:szCs w:val="20"/>
        </w:rPr>
        <w:t xml:space="preserve">All tenderers must populate the following table with their daily rates for the roles covered within scope of this agreement. Please note, tenderers should populate this table within the provided (separate) Tender Response Document (TRD). </w:t>
      </w:r>
    </w:p>
    <w:p w14:paraId="747E4B32" w14:textId="77777777" w:rsidR="003F0541" w:rsidRPr="00525842" w:rsidRDefault="003F0541" w:rsidP="003F0541">
      <w:pPr>
        <w:jc w:val="both"/>
        <w:rPr>
          <w:rFonts w:cstheme="minorHAnsi"/>
          <w:sz w:val="20"/>
          <w:szCs w:val="20"/>
        </w:rPr>
      </w:pPr>
    </w:p>
    <w:p w14:paraId="17DA4634" w14:textId="77777777" w:rsidR="00EC0389" w:rsidRPr="00525842" w:rsidRDefault="00EC0389" w:rsidP="00EC0389">
      <w:pPr>
        <w:jc w:val="both"/>
        <w:rPr>
          <w:rFonts w:cstheme="minorHAnsi"/>
          <w:sz w:val="20"/>
          <w:szCs w:val="20"/>
        </w:rPr>
      </w:pPr>
    </w:p>
    <w:tbl>
      <w:tblPr>
        <w:tblW w:w="10490" w:type="dxa"/>
        <w:tblInd w:w="-15" w:type="dxa"/>
        <w:tblLook w:val="04A0" w:firstRow="1" w:lastRow="0" w:firstColumn="1" w:lastColumn="0" w:noHBand="0" w:noVBand="1"/>
      </w:tblPr>
      <w:tblGrid>
        <w:gridCol w:w="3119"/>
        <w:gridCol w:w="2268"/>
        <w:gridCol w:w="1701"/>
        <w:gridCol w:w="3402"/>
      </w:tblGrid>
      <w:tr w:rsidR="00EC0389" w:rsidRPr="00525842" w14:paraId="18F3256E" w14:textId="77777777" w:rsidTr="00FA0225">
        <w:trPr>
          <w:trHeight w:val="277"/>
        </w:trPr>
        <w:tc>
          <w:tcPr>
            <w:tcW w:w="10490" w:type="dxa"/>
            <w:gridSpan w:val="4"/>
            <w:tcBorders>
              <w:top w:val="single" w:sz="12" w:space="0" w:color="235D64"/>
              <w:left w:val="single" w:sz="12" w:space="0" w:color="235D64"/>
              <w:bottom w:val="single" w:sz="4" w:space="0" w:color="auto"/>
              <w:right w:val="single" w:sz="12" w:space="0" w:color="235D64"/>
            </w:tcBorders>
            <w:shd w:val="clear" w:color="auto" w:fill="007041" w:themeFill="accent4"/>
            <w:vAlign w:val="center"/>
            <w:hideMark/>
          </w:tcPr>
          <w:p w14:paraId="2BC3FDFA" w14:textId="1F1A8ABE" w:rsidR="00EC0389" w:rsidRPr="00525842" w:rsidRDefault="00EC0389" w:rsidP="00FA0225">
            <w:pPr>
              <w:jc w:val="center"/>
              <w:rPr>
                <w:rFonts w:eastAsia="Times New Roman" w:cstheme="minorHAnsi"/>
                <w:b/>
                <w:bCs/>
                <w:color w:val="FFFFFF"/>
                <w:sz w:val="20"/>
                <w:szCs w:val="20"/>
                <w:lang w:eastAsia="en-IE"/>
              </w:rPr>
            </w:pPr>
            <w:r w:rsidRPr="00525842">
              <w:rPr>
                <w:rFonts w:eastAsia="Times New Roman" w:cstheme="minorHAnsi"/>
                <w:b/>
                <w:bCs/>
                <w:color w:val="FFFFFF"/>
                <w:sz w:val="20"/>
                <w:szCs w:val="20"/>
                <w:lang w:eastAsia="en-IE"/>
              </w:rPr>
              <w:t xml:space="preserve">Table </w:t>
            </w:r>
            <w:r w:rsidR="00077053">
              <w:rPr>
                <w:rFonts w:eastAsia="Times New Roman" w:cstheme="minorHAnsi"/>
                <w:b/>
                <w:bCs/>
                <w:color w:val="FFFFFF"/>
                <w:sz w:val="20"/>
                <w:szCs w:val="20"/>
                <w:lang w:eastAsia="en-IE"/>
              </w:rPr>
              <w:t>3</w:t>
            </w:r>
            <w:r w:rsidRPr="00525842">
              <w:rPr>
                <w:rFonts w:eastAsia="Times New Roman" w:cstheme="minorHAnsi"/>
                <w:b/>
                <w:bCs/>
                <w:color w:val="FFFFFF"/>
                <w:sz w:val="20"/>
                <w:szCs w:val="20"/>
                <w:lang w:eastAsia="en-IE"/>
              </w:rPr>
              <w:t xml:space="preserve">. </w:t>
            </w:r>
            <w:r w:rsidR="00077053">
              <w:rPr>
                <w:rFonts w:eastAsia="Times New Roman" w:cstheme="minorHAnsi"/>
                <w:b/>
                <w:bCs/>
                <w:color w:val="FFFFFF"/>
                <w:sz w:val="20"/>
                <w:szCs w:val="20"/>
                <w:lang w:eastAsia="en-IE"/>
              </w:rPr>
              <w:t>Professional Services</w:t>
            </w:r>
          </w:p>
        </w:tc>
      </w:tr>
      <w:tr w:rsidR="00EC0389" w:rsidRPr="00525842" w14:paraId="52E3F8BA" w14:textId="77777777" w:rsidTr="00FA0225">
        <w:trPr>
          <w:trHeight w:val="252"/>
        </w:trPr>
        <w:tc>
          <w:tcPr>
            <w:tcW w:w="3119" w:type="dxa"/>
            <w:tcBorders>
              <w:top w:val="single" w:sz="4" w:space="0" w:color="auto"/>
              <w:left w:val="single" w:sz="4" w:space="0" w:color="auto"/>
              <w:bottom w:val="single" w:sz="4" w:space="0" w:color="auto"/>
              <w:right w:val="single" w:sz="4" w:space="0" w:color="auto"/>
            </w:tcBorders>
            <w:shd w:val="clear" w:color="auto" w:fill="007041" w:themeFill="accent4"/>
            <w:vAlign w:val="center"/>
            <w:hideMark/>
          </w:tcPr>
          <w:p w14:paraId="42EFBCFC" w14:textId="77777777" w:rsidR="00EC0389" w:rsidRPr="00525842" w:rsidRDefault="00EC0389" w:rsidP="00FA0225">
            <w:pPr>
              <w:jc w:val="center"/>
              <w:rPr>
                <w:rFonts w:eastAsia="Times New Roman" w:cstheme="minorHAnsi"/>
                <w:b/>
                <w:bCs/>
                <w:color w:val="FFFFFF"/>
                <w:sz w:val="20"/>
                <w:szCs w:val="20"/>
                <w:lang w:eastAsia="en-IE"/>
              </w:rPr>
            </w:pPr>
            <w:r w:rsidRPr="00525842">
              <w:rPr>
                <w:rFonts w:eastAsia="Times New Roman" w:cstheme="minorHAnsi"/>
                <w:b/>
                <w:bCs/>
                <w:color w:val="FFFFFF"/>
                <w:sz w:val="20"/>
                <w:szCs w:val="20"/>
                <w:lang w:eastAsia="en-IE"/>
              </w:rPr>
              <w:t>(A) Role</w:t>
            </w:r>
          </w:p>
        </w:tc>
        <w:tc>
          <w:tcPr>
            <w:tcW w:w="2268" w:type="dxa"/>
            <w:tcBorders>
              <w:top w:val="single" w:sz="4" w:space="0" w:color="auto"/>
              <w:left w:val="nil"/>
              <w:bottom w:val="single" w:sz="4" w:space="0" w:color="auto"/>
              <w:right w:val="single" w:sz="4" w:space="0" w:color="auto"/>
            </w:tcBorders>
            <w:shd w:val="clear" w:color="auto" w:fill="007041" w:themeFill="accent4"/>
            <w:vAlign w:val="center"/>
            <w:hideMark/>
          </w:tcPr>
          <w:p w14:paraId="0231E917" w14:textId="77777777" w:rsidR="00EC0389" w:rsidRPr="00525842" w:rsidRDefault="00EC0389" w:rsidP="00FA0225">
            <w:pPr>
              <w:jc w:val="center"/>
              <w:rPr>
                <w:rFonts w:eastAsia="Times New Roman" w:cstheme="minorHAnsi"/>
                <w:b/>
                <w:bCs/>
                <w:color w:val="FFFFFF"/>
                <w:sz w:val="20"/>
                <w:szCs w:val="20"/>
                <w:lang w:eastAsia="en-IE"/>
              </w:rPr>
            </w:pPr>
            <w:r w:rsidRPr="00525842">
              <w:rPr>
                <w:rFonts w:eastAsia="Times New Roman" w:cstheme="minorHAnsi"/>
                <w:b/>
                <w:bCs/>
                <w:color w:val="FFFFFF"/>
                <w:sz w:val="20"/>
                <w:szCs w:val="20"/>
                <w:lang w:eastAsia="en-IE"/>
              </w:rPr>
              <w:t>(B) Daily Rate</w:t>
            </w:r>
          </w:p>
        </w:tc>
        <w:tc>
          <w:tcPr>
            <w:tcW w:w="1701" w:type="dxa"/>
            <w:tcBorders>
              <w:top w:val="single" w:sz="4" w:space="0" w:color="auto"/>
              <w:left w:val="nil"/>
              <w:bottom w:val="single" w:sz="4" w:space="0" w:color="auto"/>
              <w:right w:val="single" w:sz="4" w:space="0" w:color="auto"/>
            </w:tcBorders>
            <w:shd w:val="clear" w:color="auto" w:fill="007041" w:themeFill="accent4"/>
            <w:vAlign w:val="center"/>
            <w:hideMark/>
          </w:tcPr>
          <w:p w14:paraId="4FC7CD27" w14:textId="0BE5006F" w:rsidR="00EC0389" w:rsidRPr="00525842" w:rsidRDefault="00EC0389" w:rsidP="00FA0225">
            <w:pPr>
              <w:jc w:val="center"/>
              <w:rPr>
                <w:rFonts w:eastAsia="Times New Roman" w:cstheme="minorHAnsi"/>
                <w:b/>
                <w:bCs/>
                <w:color w:val="FFFFFF"/>
                <w:sz w:val="20"/>
                <w:szCs w:val="20"/>
                <w:lang w:eastAsia="en-IE"/>
              </w:rPr>
            </w:pPr>
            <w:r w:rsidRPr="00525842">
              <w:rPr>
                <w:rFonts w:eastAsia="Times New Roman" w:cstheme="minorHAnsi"/>
                <w:b/>
                <w:bCs/>
                <w:color w:val="FFFFFF"/>
                <w:sz w:val="20"/>
                <w:szCs w:val="20"/>
                <w:lang w:eastAsia="en-IE"/>
              </w:rPr>
              <w:t>(C) Weighting</w:t>
            </w:r>
          </w:p>
        </w:tc>
        <w:tc>
          <w:tcPr>
            <w:tcW w:w="3402" w:type="dxa"/>
            <w:tcBorders>
              <w:top w:val="single" w:sz="4" w:space="0" w:color="auto"/>
              <w:left w:val="nil"/>
              <w:bottom w:val="single" w:sz="4" w:space="0" w:color="auto"/>
              <w:right w:val="single" w:sz="4" w:space="0" w:color="auto"/>
            </w:tcBorders>
            <w:shd w:val="clear" w:color="auto" w:fill="007041" w:themeFill="accent4"/>
            <w:vAlign w:val="center"/>
            <w:hideMark/>
          </w:tcPr>
          <w:p w14:paraId="22CE4999" w14:textId="77777777" w:rsidR="00077053" w:rsidRDefault="00EC0389" w:rsidP="00FA0225">
            <w:pPr>
              <w:jc w:val="center"/>
              <w:rPr>
                <w:rFonts w:eastAsia="Times New Roman" w:cstheme="minorHAnsi"/>
                <w:b/>
                <w:bCs/>
                <w:color w:val="FFFFFF"/>
                <w:sz w:val="20"/>
                <w:szCs w:val="20"/>
                <w:lang w:eastAsia="en-IE"/>
              </w:rPr>
            </w:pPr>
            <w:r w:rsidRPr="00525842">
              <w:rPr>
                <w:rFonts w:eastAsia="Times New Roman" w:cstheme="minorHAnsi"/>
                <w:b/>
                <w:bCs/>
                <w:color w:val="FFFFFF"/>
                <w:sz w:val="20"/>
                <w:szCs w:val="20"/>
                <w:lang w:eastAsia="en-IE"/>
              </w:rPr>
              <w:t>(D) Weighted Cost:</w:t>
            </w:r>
          </w:p>
          <w:p w14:paraId="3F163B0B" w14:textId="48962756" w:rsidR="00EC0389" w:rsidRPr="00525842" w:rsidRDefault="00077053" w:rsidP="00FA0225">
            <w:pPr>
              <w:jc w:val="center"/>
              <w:rPr>
                <w:rFonts w:eastAsia="Times New Roman" w:cstheme="minorHAnsi"/>
                <w:b/>
                <w:bCs/>
                <w:color w:val="FFFFFF"/>
                <w:sz w:val="20"/>
                <w:szCs w:val="20"/>
                <w:lang w:eastAsia="en-IE"/>
              </w:rPr>
            </w:pPr>
            <w:r>
              <w:rPr>
                <w:rFonts w:eastAsia="Times New Roman" w:cstheme="minorHAnsi"/>
                <w:b/>
                <w:bCs/>
                <w:color w:val="FFFFFF"/>
                <w:sz w:val="20"/>
                <w:szCs w:val="20"/>
                <w:lang w:eastAsia="en-IE"/>
              </w:rPr>
              <w:t>(</w:t>
            </w:r>
            <w:r w:rsidR="00EC0389" w:rsidRPr="00525842">
              <w:rPr>
                <w:rFonts w:eastAsia="Times New Roman" w:cstheme="minorHAnsi"/>
                <w:b/>
                <w:bCs/>
                <w:color w:val="FFFFFF"/>
                <w:sz w:val="20"/>
                <w:szCs w:val="20"/>
                <w:lang w:eastAsia="en-IE"/>
              </w:rPr>
              <w:t>(B) Multiplied by (C)</w:t>
            </w:r>
            <w:r>
              <w:rPr>
                <w:rFonts w:eastAsia="Times New Roman" w:cstheme="minorHAnsi"/>
                <w:b/>
                <w:bCs/>
                <w:color w:val="FFFFFF"/>
                <w:sz w:val="20"/>
                <w:szCs w:val="20"/>
                <w:lang w:eastAsia="en-IE"/>
              </w:rPr>
              <w:t>)</w:t>
            </w:r>
          </w:p>
        </w:tc>
      </w:tr>
      <w:tr w:rsidR="00EC0389" w:rsidRPr="00525842" w14:paraId="7DF3B8C5" w14:textId="77777777" w:rsidTr="00FA0225">
        <w:trPr>
          <w:trHeight w:val="252"/>
        </w:trPr>
        <w:tc>
          <w:tcPr>
            <w:tcW w:w="3119" w:type="dxa"/>
            <w:tcBorders>
              <w:top w:val="single" w:sz="4" w:space="0" w:color="auto"/>
              <w:left w:val="single" w:sz="4" w:space="0" w:color="auto"/>
              <w:bottom w:val="single" w:sz="4" w:space="0" w:color="auto"/>
              <w:right w:val="single" w:sz="4" w:space="0" w:color="auto"/>
            </w:tcBorders>
            <w:vAlign w:val="center"/>
            <w:hideMark/>
          </w:tcPr>
          <w:p w14:paraId="0EC9C859" w14:textId="77777777" w:rsidR="00EC0389" w:rsidRPr="00525842" w:rsidRDefault="00EC0389" w:rsidP="00FA0225">
            <w:pPr>
              <w:rPr>
                <w:rFonts w:eastAsia="Times New Roman" w:cstheme="minorHAnsi"/>
                <w:b/>
                <w:bCs/>
                <w:color w:val="000000"/>
                <w:sz w:val="20"/>
                <w:szCs w:val="20"/>
                <w:lang w:eastAsia="en-IE"/>
              </w:rPr>
            </w:pPr>
            <w:r w:rsidRPr="00525842">
              <w:rPr>
                <w:rFonts w:eastAsia="Times New Roman" w:cstheme="minorHAnsi"/>
                <w:b/>
                <w:bCs/>
                <w:color w:val="000000"/>
                <w:sz w:val="20"/>
                <w:szCs w:val="20"/>
                <w:lang w:eastAsia="en-IE"/>
              </w:rPr>
              <w:t>Project Manager</w:t>
            </w:r>
          </w:p>
        </w:tc>
        <w:tc>
          <w:tcPr>
            <w:tcW w:w="2268" w:type="dxa"/>
            <w:tcBorders>
              <w:top w:val="single" w:sz="4" w:space="0" w:color="auto"/>
              <w:left w:val="nil"/>
              <w:bottom w:val="single" w:sz="4" w:space="0" w:color="auto"/>
              <w:right w:val="single" w:sz="4" w:space="0" w:color="auto"/>
            </w:tcBorders>
            <w:vAlign w:val="center"/>
            <w:hideMark/>
          </w:tcPr>
          <w:p w14:paraId="6E17AA76"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Insert Here (Ex Vat)</w:t>
            </w:r>
          </w:p>
        </w:tc>
        <w:tc>
          <w:tcPr>
            <w:tcW w:w="1701" w:type="dxa"/>
            <w:tcBorders>
              <w:top w:val="single" w:sz="4" w:space="0" w:color="auto"/>
              <w:left w:val="nil"/>
              <w:bottom w:val="single" w:sz="4" w:space="0" w:color="auto"/>
              <w:right w:val="single" w:sz="4" w:space="0" w:color="auto"/>
            </w:tcBorders>
            <w:vAlign w:val="center"/>
            <w:hideMark/>
          </w:tcPr>
          <w:p w14:paraId="1CF3708C"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10%</w:t>
            </w:r>
          </w:p>
        </w:tc>
        <w:tc>
          <w:tcPr>
            <w:tcW w:w="3402" w:type="dxa"/>
            <w:tcBorders>
              <w:top w:val="single" w:sz="4" w:space="0" w:color="auto"/>
              <w:left w:val="nil"/>
              <w:bottom w:val="single" w:sz="4" w:space="0" w:color="auto"/>
              <w:right w:val="single" w:sz="4" w:space="0" w:color="auto"/>
            </w:tcBorders>
            <w:vAlign w:val="center"/>
            <w:hideMark/>
          </w:tcPr>
          <w:p w14:paraId="4231721E"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To be completed by CONTRACTING AUTHORITY</w:t>
            </w:r>
          </w:p>
        </w:tc>
      </w:tr>
      <w:tr w:rsidR="00EC0389" w:rsidRPr="00525842" w14:paraId="3AAB97A0" w14:textId="77777777" w:rsidTr="00FA0225">
        <w:trPr>
          <w:trHeight w:val="252"/>
        </w:trPr>
        <w:tc>
          <w:tcPr>
            <w:tcW w:w="3119" w:type="dxa"/>
            <w:tcBorders>
              <w:top w:val="nil"/>
              <w:left w:val="single" w:sz="4" w:space="0" w:color="auto"/>
              <w:bottom w:val="single" w:sz="4" w:space="0" w:color="auto"/>
              <w:right w:val="single" w:sz="4" w:space="0" w:color="auto"/>
            </w:tcBorders>
            <w:vAlign w:val="center"/>
            <w:hideMark/>
          </w:tcPr>
          <w:p w14:paraId="0A044F89" w14:textId="77777777" w:rsidR="00EC0389" w:rsidRPr="00525842" w:rsidRDefault="00EC0389" w:rsidP="00FA0225">
            <w:pPr>
              <w:rPr>
                <w:rFonts w:eastAsia="Times New Roman" w:cstheme="minorHAnsi"/>
                <w:b/>
                <w:bCs/>
                <w:color w:val="000000"/>
                <w:sz w:val="20"/>
                <w:szCs w:val="20"/>
                <w:lang w:eastAsia="en-IE"/>
              </w:rPr>
            </w:pPr>
            <w:r w:rsidRPr="00525842">
              <w:rPr>
                <w:rFonts w:eastAsia="Times New Roman" w:cstheme="minorHAnsi"/>
                <w:b/>
                <w:bCs/>
                <w:color w:val="000000"/>
                <w:sz w:val="20"/>
                <w:szCs w:val="20"/>
                <w:lang w:eastAsia="en-IE"/>
              </w:rPr>
              <w:lastRenderedPageBreak/>
              <w:t>Business Analyst</w:t>
            </w:r>
          </w:p>
        </w:tc>
        <w:tc>
          <w:tcPr>
            <w:tcW w:w="2268" w:type="dxa"/>
            <w:tcBorders>
              <w:top w:val="nil"/>
              <w:left w:val="nil"/>
              <w:bottom w:val="single" w:sz="4" w:space="0" w:color="auto"/>
              <w:right w:val="single" w:sz="4" w:space="0" w:color="auto"/>
            </w:tcBorders>
            <w:vAlign w:val="center"/>
            <w:hideMark/>
          </w:tcPr>
          <w:p w14:paraId="626BF8E2"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Insert Here (Ex Vat)</w:t>
            </w:r>
          </w:p>
        </w:tc>
        <w:tc>
          <w:tcPr>
            <w:tcW w:w="1701" w:type="dxa"/>
            <w:tcBorders>
              <w:top w:val="nil"/>
              <w:left w:val="nil"/>
              <w:bottom w:val="single" w:sz="4" w:space="0" w:color="auto"/>
              <w:right w:val="single" w:sz="4" w:space="0" w:color="auto"/>
            </w:tcBorders>
            <w:vAlign w:val="center"/>
            <w:hideMark/>
          </w:tcPr>
          <w:p w14:paraId="6337E631"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10%</w:t>
            </w:r>
          </w:p>
        </w:tc>
        <w:tc>
          <w:tcPr>
            <w:tcW w:w="3402" w:type="dxa"/>
            <w:tcBorders>
              <w:top w:val="nil"/>
              <w:left w:val="nil"/>
              <w:bottom w:val="single" w:sz="4" w:space="0" w:color="auto"/>
              <w:right w:val="single" w:sz="4" w:space="0" w:color="auto"/>
            </w:tcBorders>
            <w:vAlign w:val="center"/>
            <w:hideMark/>
          </w:tcPr>
          <w:p w14:paraId="7286DBCF"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To be completed by CONTRACTING AUTHORITY</w:t>
            </w:r>
          </w:p>
        </w:tc>
      </w:tr>
      <w:tr w:rsidR="00EC0389" w:rsidRPr="00525842" w14:paraId="6AA0E813" w14:textId="77777777" w:rsidTr="00FA0225">
        <w:trPr>
          <w:trHeight w:val="252"/>
        </w:trPr>
        <w:tc>
          <w:tcPr>
            <w:tcW w:w="3119" w:type="dxa"/>
            <w:tcBorders>
              <w:top w:val="nil"/>
              <w:left w:val="single" w:sz="4" w:space="0" w:color="auto"/>
              <w:bottom w:val="single" w:sz="4" w:space="0" w:color="auto"/>
              <w:right w:val="single" w:sz="4" w:space="0" w:color="auto"/>
            </w:tcBorders>
            <w:vAlign w:val="center"/>
            <w:hideMark/>
          </w:tcPr>
          <w:p w14:paraId="63E49FAD" w14:textId="77777777" w:rsidR="00EC0389" w:rsidRPr="00525842" w:rsidRDefault="00EC0389" w:rsidP="00FA0225">
            <w:pPr>
              <w:rPr>
                <w:rFonts w:eastAsia="Times New Roman" w:cstheme="minorHAnsi"/>
                <w:b/>
                <w:bCs/>
                <w:color w:val="000000"/>
                <w:sz w:val="20"/>
                <w:szCs w:val="20"/>
                <w:lang w:eastAsia="en-IE"/>
              </w:rPr>
            </w:pPr>
            <w:r w:rsidRPr="00525842">
              <w:rPr>
                <w:rFonts w:eastAsia="Times New Roman" w:cstheme="minorHAnsi"/>
                <w:b/>
                <w:bCs/>
                <w:color w:val="000000"/>
                <w:sz w:val="20"/>
                <w:szCs w:val="20"/>
                <w:lang w:eastAsia="en-IE"/>
              </w:rPr>
              <w:t>Analyst Programmer</w:t>
            </w:r>
          </w:p>
        </w:tc>
        <w:tc>
          <w:tcPr>
            <w:tcW w:w="2268" w:type="dxa"/>
            <w:tcBorders>
              <w:top w:val="nil"/>
              <w:left w:val="nil"/>
              <w:bottom w:val="single" w:sz="4" w:space="0" w:color="auto"/>
              <w:right w:val="single" w:sz="4" w:space="0" w:color="auto"/>
            </w:tcBorders>
            <w:vAlign w:val="center"/>
            <w:hideMark/>
          </w:tcPr>
          <w:p w14:paraId="54CEA5C9"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Insert Here (Ex Vat)</w:t>
            </w:r>
          </w:p>
        </w:tc>
        <w:tc>
          <w:tcPr>
            <w:tcW w:w="1701" w:type="dxa"/>
            <w:tcBorders>
              <w:top w:val="nil"/>
              <w:left w:val="nil"/>
              <w:bottom w:val="single" w:sz="4" w:space="0" w:color="auto"/>
              <w:right w:val="single" w:sz="4" w:space="0" w:color="auto"/>
            </w:tcBorders>
            <w:vAlign w:val="center"/>
            <w:hideMark/>
          </w:tcPr>
          <w:p w14:paraId="16BAE61D"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20%</w:t>
            </w:r>
          </w:p>
        </w:tc>
        <w:tc>
          <w:tcPr>
            <w:tcW w:w="3402" w:type="dxa"/>
            <w:tcBorders>
              <w:top w:val="nil"/>
              <w:left w:val="nil"/>
              <w:bottom w:val="single" w:sz="4" w:space="0" w:color="auto"/>
              <w:right w:val="single" w:sz="4" w:space="0" w:color="auto"/>
            </w:tcBorders>
            <w:vAlign w:val="center"/>
            <w:hideMark/>
          </w:tcPr>
          <w:p w14:paraId="1B1AB510"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To be completed by CONTRACTING AUTHORITY</w:t>
            </w:r>
          </w:p>
        </w:tc>
      </w:tr>
      <w:tr w:rsidR="00EC0389" w:rsidRPr="00525842" w14:paraId="66607A4C" w14:textId="77777777" w:rsidTr="00FA0225">
        <w:trPr>
          <w:trHeight w:val="252"/>
        </w:trPr>
        <w:tc>
          <w:tcPr>
            <w:tcW w:w="3119" w:type="dxa"/>
            <w:tcBorders>
              <w:top w:val="nil"/>
              <w:left w:val="single" w:sz="4" w:space="0" w:color="auto"/>
              <w:bottom w:val="single" w:sz="4" w:space="0" w:color="auto"/>
              <w:right w:val="single" w:sz="4" w:space="0" w:color="auto"/>
            </w:tcBorders>
            <w:vAlign w:val="center"/>
            <w:hideMark/>
          </w:tcPr>
          <w:p w14:paraId="39F402C2" w14:textId="77777777" w:rsidR="00EC0389" w:rsidRPr="00525842" w:rsidRDefault="00EC0389" w:rsidP="00FA0225">
            <w:pPr>
              <w:rPr>
                <w:rFonts w:eastAsia="Times New Roman" w:cstheme="minorHAnsi"/>
                <w:b/>
                <w:bCs/>
                <w:color w:val="000000"/>
                <w:sz w:val="20"/>
                <w:szCs w:val="20"/>
                <w:lang w:eastAsia="en-IE"/>
              </w:rPr>
            </w:pPr>
            <w:r w:rsidRPr="00525842">
              <w:rPr>
                <w:rFonts w:eastAsia="Times New Roman" w:cstheme="minorHAnsi"/>
                <w:b/>
                <w:bCs/>
                <w:color w:val="000000"/>
                <w:sz w:val="20"/>
                <w:szCs w:val="20"/>
                <w:lang w:eastAsia="en-IE"/>
              </w:rPr>
              <w:t>Senior Analyst Programmer</w:t>
            </w:r>
          </w:p>
        </w:tc>
        <w:tc>
          <w:tcPr>
            <w:tcW w:w="2268" w:type="dxa"/>
            <w:tcBorders>
              <w:top w:val="nil"/>
              <w:left w:val="nil"/>
              <w:bottom w:val="single" w:sz="4" w:space="0" w:color="auto"/>
              <w:right w:val="single" w:sz="4" w:space="0" w:color="auto"/>
            </w:tcBorders>
            <w:vAlign w:val="center"/>
            <w:hideMark/>
          </w:tcPr>
          <w:p w14:paraId="611AAEDB"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Insert Here (Ex Vat)</w:t>
            </w:r>
          </w:p>
        </w:tc>
        <w:tc>
          <w:tcPr>
            <w:tcW w:w="1701" w:type="dxa"/>
            <w:tcBorders>
              <w:top w:val="nil"/>
              <w:left w:val="nil"/>
              <w:bottom w:val="single" w:sz="4" w:space="0" w:color="auto"/>
              <w:right w:val="single" w:sz="4" w:space="0" w:color="auto"/>
            </w:tcBorders>
            <w:vAlign w:val="center"/>
            <w:hideMark/>
          </w:tcPr>
          <w:p w14:paraId="57B2F45A"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25%</w:t>
            </w:r>
          </w:p>
        </w:tc>
        <w:tc>
          <w:tcPr>
            <w:tcW w:w="3402" w:type="dxa"/>
            <w:tcBorders>
              <w:top w:val="nil"/>
              <w:left w:val="nil"/>
              <w:bottom w:val="single" w:sz="4" w:space="0" w:color="auto"/>
              <w:right w:val="single" w:sz="4" w:space="0" w:color="auto"/>
            </w:tcBorders>
            <w:vAlign w:val="center"/>
            <w:hideMark/>
          </w:tcPr>
          <w:p w14:paraId="07551703"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To be completed by CONTRACTING AUTHORITY</w:t>
            </w:r>
          </w:p>
        </w:tc>
      </w:tr>
      <w:tr w:rsidR="00EC0389" w:rsidRPr="00525842" w14:paraId="76A90A51" w14:textId="77777777" w:rsidTr="00FA0225">
        <w:trPr>
          <w:trHeight w:val="252"/>
        </w:trPr>
        <w:tc>
          <w:tcPr>
            <w:tcW w:w="3119" w:type="dxa"/>
            <w:tcBorders>
              <w:top w:val="nil"/>
              <w:left w:val="single" w:sz="4" w:space="0" w:color="auto"/>
              <w:bottom w:val="single" w:sz="4" w:space="0" w:color="auto"/>
              <w:right w:val="single" w:sz="4" w:space="0" w:color="auto"/>
            </w:tcBorders>
            <w:vAlign w:val="center"/>
            <w:hideMark/>
          </w:tcPr>
          <w:p w14:paraId="1E4095E5" w14:textId="77777777" w:rsidR="00EC0389" w:rsidRPr="00525842" w:rsidRDefault="00EC0389" w:rsidP="00FA0225">
            <w:pPr>
              <w:rPr>
                <w:rFonts w:eastAsia="Times New Roman" w:cstheme="minorHAnsi"/>
                <w:b/>
                <w:bCs/>
                <w:color w:val="000000"/>
                <w:sz w:val="20"/>
                <w:szCs w:val="20"/>
                <w:lang w:eastAsia="en-IE"/>
              </w:rPr>
            </w:pPr>
            <w:r w:rsidRPr="00525842">
              <w:rPr>
                <w:rFonts w:eastAsia="Times New Roman" w:cstheme="minorHAnsi"/>
                <w:b/>
                <w:bCs/>
                <w:color w:val="000000"/>
                <w:sz w:val="20"/>
                <w:szCs w:val="20"/>
                <w:lang w:eastAsia="en-IE"/>
              </w:rPr>
              <w:t>Test Analyst</w:t>
            </w:r>
          </w:p>
        </w:tc>
        <w:tc>
          <w:tcPr>
            <w:tcW w:w="2268" w:type="dxa"/>
            <w:tcBorders>
              <w:top w:val="nil"/>
              <w:left w:val="nil"/>
              <w:bottom w:val="single" w:sz="4" w:space="0" w:color="auto"/>
              <w:right w:val="single" w:sz="4" w:space="0" w:color="auto"/>
            </w:tcBorders>
            <w:vAlign w:val="center"/>
            <w:hideMark/>
          </w:tcPr>
          <w:p w14:paraId="2EC33554"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Insert Here (Ex Vat)</w:t>
            </w:r>
          </w:p>
        </w:tc>
        <w:tc>
          <w:tcPr>
            <w:tcW w:w="1701" w:type="dxa"/>
            <w:tcBorders>
              <w:top w:val="nil"/>
              <w:left w:val="nil"/>
              <w:bottom w:val="single" w:sz="4" w:space="0" w:color="auto"/>
              <w:right w:val="single" w:sz="4" w:space="0" w:color="auto"/>
            </w:tcBorders>
            <w:vAlign w:val="center"/>
            <w:hideMark/>
          </w:tcPr>
          <w:p w14:paraId="11E1A7C4"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15%</w:t>
            </w:r>
          </w:p>
        </w:tc>
        <w:tc>
          <w:tcPr>
            <w:tcW w:w="3402" w:type="dxa"/>
            <w:tcBorders>
              <w:top w:val="nil"/>
              <w:left w:val="nil"/>
              <w:bottom w:val="single" w:sz="4" w:space="0" w:color="auto"/>
              <w:right w:val="single" w:sz="4" w:space="0" w:color="auto"/>
            </w:tcBorders>
            <w:vAlign w:val="center"/>
            <w:hideMark/>
          </w:tcPr>
          <w:p w14:paraId="18EDD249"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To be completed by CONTRACTING AUTHORITY</w:t>
            </w:r>
          </w:p>
        </w:tc>
      </w:tr>
      <w:tr w:rsidR="00EC0389" w:rsidRPr="00525842" w14:paraId="2FD858B7" w14:textId="77777777" w:rsidTr="00FA0225">
        <w:trPr>
          <w:trHeight w:val="252"/>
        </w:trPr>
        <w:tc>
          <w:tcPr>
            <w:tcW w:w="3119" w:type="dxa"/>
            <w:tcBorders>
              <w:top w:val="nil"/>
              <w:left w:val="single" w:sz="4" w:space="0" w:color="auto"/>
              <w:bottom w:val="single" w:sz="4" w:space="0" w:color="auto"/>
              <w:right w:val="single" w:sz="4" w:space="0" w:color="auto"/>
            </w:tcBorders>
            <w:vAlign w:val="center"/>
            <w:hideMark/>
          </w:tcPr>
          <w:p w14:paraId="4DFDB06C" w14:textId="77777777" w:rsidR="00EC0389" w:rsidRPr="00525842" w:rsidRDefault="00EC0389" w:rsidP="00FA0225">
            <w:pPr>
              <w:rPr>
                <w:rFonts w:eastAsia="Times New Roman" w:cstheme="minorHAnsi"/>
                <w:b/>
                <w:bCs/>
                <w:color w:val="000000"/>
                <w:sz w:val="20"/>
                <w:szCs w:val="20"/>
                <w:lang w:eastAsia="en-IE"/>
              </w:rPr>
            </w:pPr>
            <w:r w:rsidRPr="00525842">
              <w:rPr>
                <w:rFonts w:eastAsia="Times New Roman" w:cstheme="minorHAnsi"/>
                <w:b/>
                <w:bCs/>
                <w:color w:val="000000"/>
                <w:sz w:val="20"/>
                <w:szCs w:val="20"/>
                <w:lang w:eastAsia="en-IE"/>
              </w:rPr>
              <w:t>Test Manager</w:t>
            </w:r>
          </w:p>
        </w:tc>
        <w:tc>
          <w:tcPr>
            <w:tcW w:w="2268" w:type="dxa"/>
            <w:tcBorders>
              <w:top w:val="nil"/>
              <w:left w:val="nil"/>
              <w:bottom w:val="single" w:sz="4" w:space="0" w:color="auto"/>
              <w:right w:val="single" w:sz="4" w:space="0" w:color="auto"/>
            </w:tcBorders>
            <w:vAlign w:val="center"/>
            <w:hideMark/>
          </w:tcPr>
          <w:p w14:paraId="186607C3"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Insert Here (Ex Vat)</w:t>
            </w:r>
          </w:p>
        </w:tc>
        <w:tc>
          <w:tcPr>
            <w:tcW w:w="1701" w:type="dxa"/>
            <w:tcBorders>
              <w:top w:val="nil"/>
              <w:left w:val="nil"/>
              <w:bottom w:val="single" w:sz="4" w:space="0" w:color="auto"/>
              <w:right w:val="single" w:sz="4" w:space="0" w:color="auto"/>
            </w:tcBorders>
            <w:vAlign w:val="center"/>
            <w:hideMark/>
          </w:tcPr>
          <w:p w14:paraId="1D44863B"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10%</w:t>
            </w:r>
          </w:p>
        </w:tc>
        <w:tc>
          <w:tcPr>
            <w:tcW w:w="3402" w:type="dxa"/>
            <w:tcBorders>
              <w:top w:val="nil"/>
              <w:left w:val="nil"/>
              <w:bottom w:val="single" w:sz="4" w:space="0" w:color="auto"/>
              <w:right w:val="single" w:sz="4" w:space="0" w:color="auto"/>
            </w:tcBorders>
            <w:vAlign w:val="center"/>
            <w:hideMark/>
          </w:tcPr>
          <w:p w14:paraId="68DE365C"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To be completed by CONTRACTING AUTHORITY</w:t>
            </w:r>
          </w:p>
        </w:tc>
      </w:tr>
      <w:tr w:rsidR="00EC0389" w:rsidRPr="00525842" w14:paraId="5C0F61BF" w14:textId="77777777" w:rsidTr="00FA0225">
        <w:trPr>
          <w:trHeight w:val="252"/>
        </w:trPr>
        <w:tc>
          <w:tcPr>
            <w:tcW w:w="3119" w:type="dxa"/>
            <w:tcBorders>
              <w:top w:val="nil"/>
              <w:left w:val="single" w:sz="4" w:space="0" w:color="auto"/>
              <w:bottom w:val="single" w:sz="4" w:space="0" w:color="auto"/>
              <w:right w:val="single" w:sz="4" w:space="0" w:color="auto"/>
            </w:tcBorders>
            <w:vAlign w:val="center"/>
            <w:hideMark/>
          </w:tcPr>
          <w:p w14:paraId="19D03089" w14:textId="77777777" w:rsidR="00EC0389" w:rsidRPr="00525842" w:rsidRDefault="00EC0389" w:rsidP="00FA0225">
            <w:pPr>
              <w:rPr>
                <w:rFonts w:eastAsia="Times New Roman" w:cstheme="minorHAnsi"/>
                <w:b/>
                <w:bCs/>
                <w:color w:val="000000"/>
                <w:sz w:val="20"/>
                <w:szCs w:val="20"/>
                <w:lang w:eastAsia="en-IE"/>
              </w:rPr>
            </w:pPr>
            <w:r w:rsidRPr="00525842">
              <w:rPr>
                <w:rFonts w:eastAsia="Times New Roman" w:cstheme="minorHAnsi"/>
                <w:b/>
                <w:bCs/>
                <w:color w:val="000000"/>
                <w:sz w:val="20"/>
                <w:szCs w:val="20"/>
                <w:lang w:eastAsia="en-IE"/>
              </w:rPr>
              <w:t>Database Engineer / Administrator</w:t>
            </w:r>
          </w:p>
        </w:tc>
        <w:tc>
          <w:tcPr>
            <w:tcW w:w="2268" w:type="dxa"/>
            <w:tcBorders>
              <w:top w:val="nil"/>
              <w:left w:val="nil"/>
              <w:bottom w:val="single" w:sz="4" w:space="0" w:color="auto"/>
              <w:right w:val="single" w:sz="4" w:space="0" w:color="auto"/>
            </w:tcBorders>
            <w:vAlign w:val="center"/>
            <w:hideMark/>
          </w:tcPr>
          <w:p w14:paraId="62E2B941"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Insert Here (Ex Vat)</w:t>
            </w:r>
          </w:p>
        </w:tc>
        <w:tc>
          <w:tcPr>
            <w:tcW w:w="1701" w:type="dxa"/>
            <w:tcBorders>
              <w:top w:val="nil"/>
              <w:left w:val="nil"/>
              <w:bottom w:val="single" w:sz="4" w:space="0" w:color="auto"/>
              <w:right w:val="single" w:sz="4" w:space="0" w:color="auto"/>
            </w:tcBorders>
            <w:vAlign w:val="center"/>
            <w:hideMark/>
          </w:tcPr>
          <w:p w14:paraId="2EE9E960"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10%</w:t>
            </w:r>
          </w:p>
        </w:tc>
        <w:tc>
          <w:tcPr>
            <w:tcW w:w="3402" w:type="dxa"/>
            <w:tcBorders>
              <w:top w:val="nil"/>
              <w:left w:val="nil"/>
              <w:bottom w:val="single" w:sz="4" w:space="0" w:color="auto"/>
              <w:right w:val="single" w:sz="4" w:space="0" w:color="auto"/>
            </w:tcBorders>
            <w:vAlign w:val="center"/>
            <w:hideMark/>
          </w:tcPr>
          <w:p w14:paraId="5EAADDE4" w14:textId="77777777" w:rsidR="00EC0389" w:rsidRPr="00525842" w:rsidRDefault="00EC0389" w:rsidP="00FA0225">
            <w:pPr>
              <w:jc w:val="center"/>
              <w:rPr>
                <w:rFonts w:eastAsia="Times New Roman" w:cstheme="minorHAnsi"/>
                <w:color w:val="000000"/>
                <w:sz w:val="20"/>
                <w:szCs w:val="20"/>
                <w:lang w:eastAsia="en-IE"/>
              </w:rPr>
            </w:pPr>
            <w:r w:rsidRPr="00525842">
              <w:rPr>
                <w:rFonts w:eastAsia="Times New Roman" w:cstheme="minorHAnsi"/>
                <w:color w:val="000000"/>
                <w:sz w:val="20"/>
                <w:szCs w:val="20"/>
                <w:lang w:eastAsia="en-IE"/>
              </w:rPr>
              <w:t>€ To be completed by CONTRACTING AUTHORITY</w:t>
            </w:r>
          </w:p>
        </w:tc>
      </w:tr>
      <w:tr w:rsidR="00EC0389" w:rsidRPr="00525842" w14:paraId="12FC4E49" w14:textId="77777777" w:rsidTr="00FA0225">
        <w:trPr>
          <w:trHeight w:val="264"/>
        </w:trPr>
        <w:tc>
          <w:tcPr>
            <w:tcW w:w="7088" w:type="dxa"/>
            <w:gridSpan w:val="3"/>
            <w:tcBorders>
              <w:top w:val="single" w:sz="4" w:space="0" w:color="auto"/>
              <w:left w:val="single" w:sz="4" w:space="0" w:color="auto"/>
              <w:bottom w:val="single" w:sz="4" w:space="0" w:color="auto"/>
              <w:right w:val="single" w:sz="4" w:space="0" w:color="000000"/>
            </w:tcBorders>
            <w:vAlign w:val="center"/>
            <w:hideMark/>
          </w:tcPr>
          <w:p w14:paraId="5525C822" w14:textId="79B39DDB" w:rsidR="00EC0389" w:rsidRPr="00525842" w:rsidRDefault="00634870" w:rsidP="00FA0225">
            <w:pPr>
              <w:jc w:val="right"/>
              <w:rPr>
                <w:rFonts w:eastAsia="Times New Roman" w:cstheme="minorHAnsi"/>
                <w:b/>
                <w:bCs/>
                <w:color w:val="000000"/>
                <w:sz w:val="20"/>
                <w:szCs w:val="20"/>
                <w:lang w:eastAsia="en-IE"/>
              </w:rPr>
            </w:pPr>
            <w:r>
              <w:rPr>
                <w:rFonts w:eastAsia="Times New Roman" w:cstheme="minorHAnsi"/>
                <w:b/>
                <w:bCs/>
                <w:i/>
                <w:iCs/>
                <w:color w:val="000000"/>
                <w:sz w:val="20"/>
                <w:szCs w:val="20"/>
                <w:lang w:eastAsia="en-IE"/>
              </w:rPr>
              <w:t xml:space="preserve">Professional Services </w:t>
            </w:r>
            <w:r w:rsidR="00EC0389" w:rsidRPr="00525842">
              <w:rPr>
                <w:rFonts w:eastAsia="Times New Roman" w:cstheme="minorHAnsi"/>
                <w:b/>
                <w:bCs/>
                <w:i/>
                <w:iCs/>
                <w:color w:val="000000"/>
                <w:sz w:val="20"/>
                <w:szCs w:val="20"/>
                <w:lang w:eastAsia="en-IE"/>
              </w:rPr>
              <w:t>Tendered Rate</w:t>
            </w:r>
            <w:r w:rsidR="00EC0389" w:rsidRPr="00525842">
              <w:rPr>
                <w:rFonts w:eastAsia="Times New Roman" w:cstheme="minorHAnsi"/>
                <w:b/>
                <w:bCs/>
                <w:color w:val="000000"/>
                <w:sz w:val="20"/>
                <w:szCs w:val="20"/>
                <w:lang w:eastAsia="en-IE"/>
              </w:rPr>
              <w:t>:</w:t>
            </w:r>
          </w:p>
        </w:tc>
        <w:tc>
          <w:tcPr>
            <w:tcW w:w="3402" w:type="dxa"/>
            <w:tcBorders>
              <w:top w:val="nil"/>
              <w:left w:val="nil"/>
              <w:bottom w:val="single" w:sz="4" w:space="0" w:color="auto"/>
              <w:right w:val="single" w:sz="4" w:space="0" w:color="auto"/>
            </w:tcBorders>
            <w:vAlign w:val="center"/>
            <w:hideMark/>
          </w:tcPr>
          <w:p w14:paraId="257BA1D6" w14:textId="77777777" w:rsidR="00EC0389" w:rsidRPr="00525842" w:rsidRDefault="00EC0389" w:rsidP="00FA0225">
            <w:pPr>
              <w:jc w:val="center"/>
              <w:rPr>
                <w:rFonts w:eastAsia="Times New Roman" w:cstheme="minorHAnsi"/>
                <w:b/>
                <w:bCs/>
                <w:color w:val="000000"/>
                <w:sz w:val="20"/>
                <w:szCs w:val="20"/>
                <w:lang w:eastAsia="en-IE"/>
              </w:rPr>
            </w:pPr>
            <w:r w:rsidRPr="00525842">
              <w:rPr>
                <w:rFonts w:eastAsia="Times New Roman" w:cstheme="minorHAnsi"/>
                <w:color w:val="000000"/>
                <w:sz w:val="20"/>
                <w:szCs w:val="20"/>
                <w:lang w:eastAsia="en-IE"/>
              </w:rPr>
              <w:t>€ To be completed by CONTRACTING AUTHORITY</w:t>
            </w:r>
          </w:p>
        </w:tc>
      </w:tr>
    </w:tbl>
    <w:p w14:paraId="7453FB31" w14:textId="77777777" w:rsidR="00EC0389" w:rsidRPr="00525842" w:rsidRDefault="00EC0389" w:rsidP="00EC0389">
      <w:pPr>
        <w:jc w:val="both"/>
        <w:rPr>
          <w:rFonts w:cstheme="minorHAnsi"/>
          <w:sz w:val="20"/>
          <w:szCs w:val="20"/>
        </w:rPr>
      </w:pPr>
    </w:p>
    <w:p w14:paraId="5F269D08" w14:textId="1FA7E381" w:rsidR="00153E82" w:rsidRDefault="00153E82" w:rsidP="00EC0389">
      <w:pPr>
        <w:jc w:val="both"/>
        <w:rPr>
          <w:rFonts w:cstheme="minorHAnsi"/>
          <w:sz w:val="20"/>
          <w:szCs w:val="20"/>
        </w:rPr>
      </w:pPr>
      <w:r w:rsidRPr="00525842">
        <w:rPr>
          <w:rFonts w:cstheme="minorHAnsi"/>
          <w:sz w:val="20"/>
          <w:szCs w:val="20"/>
        </w:rPr>
        <w:t>The table must identify each professional services role or service type, the applicable daily or hourly rate, the basis on which the rate applies, and any minimum engagement period, call</w:t>
      </w:r>
      <w:r w:rsidR="0055295E">
        <w:rPr>
          <w:rFonts w:cstheme="minorHAnsi"/>
          <w:sz w:val="20"/>
          <w:szCs w:val="20"/>
        </w:rPr>
        <w:t xml:space="preserve"> </w:t>
      </w:r>
      <w:r w:rsidRPr="00525842">
        <w:rPr>
          <w:rFonts w:cstheme="minorHAnsi"/>
          <w:sz w:val="20"/>
          <w:szCs w:val="20"/>
        </w:rPr>
        <w:t>off condition, assumptions, expenses, third</w:t>
      </w:r>
      <w:r w:rsidR="0055295E">
        <w:rPr>
          <w:rFonts w:cstheme="minorHAnsi"/>
          <w:sz w:val="20"/>
          <w:szCs w:val="20"/>
        </w:rPr>
        <w:t xml:space="preserve"> </w:t>
      </w:r>
      <w:r w:rsidRPr="00525842">
        <w:rPr>
          <w:rFonts w:cstheme="minorHAnsi"/>
          <w:sz w:val="20"/>
          <w:szCs w:val="20"/>
        </w:rPr>
        <w:t>party costs or other charges. All rates must be stated in Euro and exclusive of VAT. The HPRA will not be obliged to purchase any minimum volume of additional professional services.</w:t>
      </w:r>
    </w:p>
    <w:p w14:paraId="3C58B641" w14:textId="77777777" w:rsidR="00153E82" w:rsidRDefault="00153E82" w:rsidP="00EC0389">
      <w:pPr>
        <w:jc w:val="both"/>
        <w:rPr>
          <w:rFonts w:cstheme="minorHAnsi"/>
          <w:sz w:val="20"/>
          <w:szCs w:val="20"/>
        </w:rPr>
      </w:pPr>
    </w:p>
    <w:p w14:paraId="54D87B3D" w14:textId="55BFDB9B" w:rsidR="00EC0389" w:rsidRPr="00525842" w:rsidRDefault="00EC0389" w:rsidP="00EC0389">
      <w:pPr>
        <w:jc w:val="both"/>
        <w:rPr>
          <w:rFonts w:cstheme="minorHAnsi"/>
          <w:sz w:val="20"/>
          <w:szCs w:val="20"/>
        </w:rPr>
      </w:pPr>
      <w:r w:rsidRPr="00525842">
        <w:rPr>
          <w:rFonts w:cstheme="minorHAnsi"/>
          <w:sz w:val="20"/>
          <w:szCs w:val="20"/>
        </w:rPr>
        <w:t>The costs score will then be calculated using the following formula:</w:t>
      </w:r>
    </w:p>
    <w:p w14:paraId="0FFCB77E" w14:textId="77777777" w:rsidR="00EC0389" w:rsidRPr="00525842" w:rsidRDefault="00EC0389" w:rsidP="00EC0389">
      <w:pPr>
        <w:jc w:val="both"/>
        <w:rPr>
          <w:rFonts w:cstheme="minorHAnsi"/>
          <w:sz w:val="20"/>
          <w:szCs w:val="20"/>
        </w:rPr>
      </w:pPr>
    </w:p>
    <w:tbl>
      <w:tblPr>
        <w:tblW w:w="9781" w:type="dxa"/>
        <w:tblInd w:w="127" w:type="dxa"/>
        <w:shd w:val="clear" w:color="auto" w:fill="235D64"/>
        <w:tblLook w:val="04A0" w:firstRow="1" w:lastRow="0" w:firstColumn="1" w:lastColumn="0" w:noHBand="0" w:noVBand="1"/>
      </w:tblPr>
      <w:tblGrid>
        <w:gridCol w:w="2607"/>
        <w:gridCol w:w="630"/>
        <w:gridCol w:w="3240"/>
        <w:gridCol w:w="327"/>
        <w:gridCol w:w="2977"/>
      </w:tblGrid>
      <w:tr w:rsidR="00EC0389" w:rsidRPr="00525842" w14:paraId="3BB55313" w14:textId="77777777" w:rsidTr="00FA0225">
        <w:trPr>
          <w:trHeight w:val="390"/>
        </w:trPr>
        <w:tc>
          <w:tcPr>
            <w:tcW w:w="2607" w:type="dxa"/>
            <w:vMerge w:val="restart"/>
            <w:shd w:val="clear" w:color="auto" w:fill="007041" w:themeFill="accent4"/>
            <w:noWrap/>
            <w:vAlign w:val="center"/>
            <w:hideMark/>
          </w:tcPr>
          <w:p w14:paraId="6D181890" w14:textId="4B2A51E2" w:rsidR="00EC0389" w:rsidRPr="00525842" w:rsidRDefault="006A5A4D" w:rsidP="00FA0225">
            <w:pPr>
              <w:jc w:val="center"/>
              <w:rPr>
                <w:rFonts w:eastAsia="Times New Roman" w:cstheme="minorHAnsi"/>
                <w:b/>
                <w:bCs/>
                <w:color w:val="FFFFFF" w:themeColor="background1"/>
                <w:sz w:val="20"/>
                <w:szCs w:val="20"/>
                <w:lang w:eastAsia="en-IE"/>
              </w:rPr>
            </w:pPr>
            <w:proofErr w:type="spellStart"/>
            <w:r>
              <w:rPr>
                <w:rFonts w:eastAsia="Times New Roman" w:cstheme="minorHAnsi"/>
                <w:b/>
                <w:bCs/>
                <w:color w:val="FFFFFF" w:themeColor="background1"/>
                <w:sz w:val="20"/>
                <w:szCs w:val="20"/>
                <w:lang w:val="en-GB" w:eastAsia="en-IE"/>
              </w:rPr>
              <w:t>Profesional</w:t>
            </w:r>
            <w:proofErr w:type="spellEnd"/>
            <w:r>
              <w:rPr>
                <w:rFonts w:eastAsia="Times New Roman" w:cstheme="minorHAnsi"/>
                <w:b/>
                <w:bCs/>
                <w:color w:val="FFFFFF" w:themeColor="background1"/>
                <w:sz w:val="20"/>
                <w:szCs w:val="20"/>
                <w:lang w:val="en-GB" w:eastAsia="en-IE"/>
              </w:rPr>
              <w:t xml:space="preserve"> Services Price</w:t>
            </w:r>
            <w:r w:rsidR="00EC0389" w:rsidRPr="00525842">
              <w:rPr>
                <w:rFonts w:eastAsia="Times New Roman" w:cstheme="minorHAnsi"/>
                <w:b/>
                <w:bCs/>
                <w:color w:val="FFFFFF" w:themeColor="background1"/>
                <w:sz w:val="20"/>
                <w:szCs w:val="20"/>
                <w:lang w:val="en-GB" w:eastAsia="en-IE"/>
              </w:rPr>
              <w:t xml:space="preserve"> Score</w:t>
            </w:r>
          </w:p>
        </w:tc>
        <w:tc>
          <w:tcPr>
            <w:tcW w:w="630" w:type="dxa"/>
            <w:vMerge w:val="restart"/>
            <w:shd w:val="clear" w:color="auto" w:fill="007041" w:themeFill="accent4"/>
            <w:noWrap/>
            <w:vAlign w:val="center"/>
            <w:hideMark/>
          </w:tcPr>
          <w:p w14:paraId="50734A91" w14:textId="77777777" w:rsidR="00EC0389" w:rsidRPr="00525842" w:rsidRDefault="00EC0389" w:rsidP="00FA0225">
            <w:pPr>
              <w:rPr>
                <w:rFonts w:eastAsia="Times New Roman" w:cstheme="minorHAnsi"/>
                <w:b/>
                <w:color w:val="FFFFFF" w:themeColor="background1"/>
                <w:sz w:val="20"/>
                <w:szCs w:val="20"/>
                <w:lang w:eastAsia="en-IE"/>
              </w:rPr>
            </w:pPr>
            <w:r w:rsidRPr="00525842">
              <w:rPr>
                <w:rFonts w:eastAsia="Times New Roman" w:cstheme="minorHAnsi"/>
                <w:b/>
                <w:color w:val="FFFFFF" w:themeColor="background1"/>
                <w:sz w:val="20"/>
                <w:szCs w:val="20"/>
                <w:lang w:val="en-GB" w:eastAsia="en-IE"/>
              </w:rPr>
              <w:t>=</w:t>
            </w:r>
          </w:p>
        </w:tc>
        <w:tc>
          <w:tcPr>
            <w:tcW w:w="3240" w:type="dxa"/>
            <w:shd w:val="clear" w:color="auto" w:fill="007041" w:themeFill="accent4"/>
            <w:noWrap/>
            <w:vAlign w:val="bottom"/>
            <w:hideMark/>
          </w:tcPr>
          <w:p w14:paraId="7200790F" w14:textId="401EFD86" w:rsidR="00EC0389" w:rsidRPr="00525842" w:rsidRDefault="00EC0389" w:rsidP="00FA0225">
            <w:pPr>
              <w:jc w:val="center"/>
              <w:rPr>
                <w:rFonts w:eastAsia="Times New Roman" w:cstheme="minorHAnsi"/>
                <w:b/>
                <w:color w:val="FFFFFF" w:themeColor="background1"/>
                <w:sz w:val="20"/>
                <w:szCs w:val="20"/>
                <w:lang w:eastAsia="en-IE"/>
              </w:rPr>
            </w:pPr>
            <w:r w:rsidRPr="00525842">
              <w:rPr>
                <w:rFonts w:eastAsia="Times New Roman" w:cstheme="minorHAnsi"/>
                <w:b/>
                <w:color w:val="FFFFFF" w:themeColor="background1"/>
                <w:sz w:val="20"/>
                <w:szCs w:val="20"/>
                <w:lang w:val="en-GB" w:eastAsia="en-IE"/>
              </w:rPr>
              <w:t xml:space="preserve">Lowest Tendered </w:t>
            </w:r>
            <w:r w:rsidR="00406AD5">
              <w:rPr>
                <w:rFonts w:eastAsia="Times New Roman" w:cstheme="minorHAnsi"/>
                <w:b/>
                <w:color w:val="FFFFFF" w:themeColor="background1"/>
                <w:sz w:val="20"/>
                <w:szCs w:val="20"/>
                <w:lang w:val="en-GB" w:eastAsia="en-IE"/>
              </w:rPr>
              <w:t xml:space="preserve">Professional Services </w:t>
            </w:r>
            <w:r w:rsidRPr="00525842">
              <w:rPr>
                <w:rFonts w:eastAsia="Times New Roman" w:cstheme="minorHAnsi"/>
                <w:b/>
                <w:color w:val="FFFFFF" w:themeColor="background1"/>
                <w:sz w:val="20"/>
                <w:szCs w:val="20"/>
                <w:lang w:val="en-GB" w:eastAsia="en-IE"/>
              </w:rPr>
              <w:t>Rate</w:t>
            </w:r>
          </w:p>
        </w:tc>
        <w:tc>
          <w:tcPr>
            <w:tcW w:w="317" w:type="dxa"/>
            <w:vMerge w:val="restart"/>
            <w:shd w:val="clear" w:color="auto" w:fill="007041" w:themeFill="accent4"/>
            <w:noWrap/>
            <w:vAlign w:val="center"/>
            <w:hideMark/>
          </w:tcPr>
          <w:p w14:paraId="1731333B" w14:textId="77777777" w:rsidR="00EC0389" w:rsidRPr="00525842" w:rsidRDefault="00EC0389" w:rsidP="00FA0225">
            <w:pPr>
              <w:rPr>
                <w:rFonts w:eastAsia="Times New Roman" w:cstheme="minorHAnsi"/>
                <w:b/>
                <w:color w:val="FFFFFF" w:themeColor="background1"/>
                <w:sz w:val="20"/>
                <w:szCs w:val="20"/>
                <w:lang w:eastAsia="en-IE"/>
              </w:rPr>
            </w:pPr>
            <w:r w:rsidRPr="00525842">
              <w:rPr>
                <w:rFonts w:eastAsia="Times New Roman" w:cstheme="minorHAnsi"/>
                <w:b/>
                <w:color w:val="FFFFFF" w:themeColor="background1"/>
                <w:sz w:val="20"/>
                <w:szCs w:val="20"/>
                <w:lang w:eastAsia="en-IE"/>
              </w:rPr>
              <w:t>x</w:t>
            </w:r>
          </w:p>
        </w:tc>
        <w:tc>
          <w:tcPr>
            <w:tcW w:w="2987" w:type="dxa"/>
            <w:vMerge w:val="restart"/>
            <w:shd w:val="clear" w:color="auto" w:fill="007041" w:themeFill="accent4"/>
            <w:vAlign w:val="center"/>
            <w:hideMark/>
          </w:tcPr>
          <w:p w14:paraId="55871ECC" w14:textId="72146ED0" w:rsidR="00EC0389" w:rsidRPr="00525842" w:rsidRDefault="00EC0389" w:rsidP="00FA0225">
            <w:pPr>
              <w:jc w:val="center"/>
              <w:rPr>
                <w:rFonts w:eastAsia="Times New Roman" w:cstheme="minorHAnsi"/>
                <w:b/>
                <w:color w:val="FFFFFF" w:themeColor="background1"/>
                <w:sz w:val="20"/>
                <w:szCs w:val="20"/>
                <w:lang w:eastAsia="en-IE"/>
              </w:rPr>
            </w:pPr>
            <w:r w:rsidRPr="00525842">
              <w:rPr>
                <w:rFonts w:eastAsia="Times New Roman" w:cstheme="minorHAnsi"/>
                <w:b/>
                <w:color w:val="FFFFFF" w:themeColor="background1"/>
                <w:sz w:val="20"/>
                <w:szCs w:val="20"/>
                <w:lang w:val="en-GB" w:eastAsia="en-IE"/>
              </w:rPr>
              <w:t>Maximum Number of Marks Available</w:t>
            </w:r>
          </w:p>
        </w:tc>
      </w:tr>
      <w:tr w:rsidR="00EC0389" w:rsidRPr="00525842" w14:paraId="658E4842" w14:textId="77777777" w:rsidTr="00FA0225">
        <w:trPr>
          <w:trHeight w:val="315"/>
        </w:trPr>
        <w:tc>
          <w:tcPr>
            <w:tcW w:w="2607" w:type="dxa"/>
            <w:vMerge/>
            <w:shd w:val="clear" w:color="auto" w:fill="007041" w:themeFill="accent4"/>
            <w:vAlign w:val="center"/>
            <w:hideMark/>
          </w:tcPr>
          <w:p w14:paraId="3640C703" w14:textId="77777777" w:rsidR="00EC0389" w:rsidRPr="00525842" w:rsidRDefault="00EC0389" w:rsidP="00FA0225">
            <w:pPr>
              <w:rPr>
                <w:rFonts w:eastAsia="Times New Roman" w:cstheme="minorHAnsi"/>
                <w:b/>
                <w:bCs/>
                <w:color w:val="FFFFFF" w:themeColor="background1"/>
                <w:sz w:val="20"/>
                <w:szCs w:val="20"/>
                <w:lang w:eastAsia="en-IE"/>
              </w:rPr>
            </w:pPr>
          </w:p>
        </w:tc>
        <w:tc>
          <w:tcPr>
            <w:tcW w:w="630" w:type="dxa"/>
            <w:vMerge/>
            <w:shd w:val="clear" w:color="auto" w:fill="007041" w:themeFill="accent4"/>
            <w:vAlign w:val="center"/>
            <w:hideMark/>
          </w:tcPr>
          <w:p w14:paraId="6E1F8006" w14:textId="77777777" w:rsidR="00EC0389" w:rsidRPr="00525842" w:rsidRDefault="00EC0389" w:rsidP="00FA0225">
            <w:pPr>
              <w:rPr>
                <w:rFonts w:eastAsia="Times New Roman" w:cstheme="minorHAnsi"/>
                <w:color w:val="FFFFFF" w:themeColor="background1"/>
                <w:sz w:val="20"/>
                <w:szCs w:val="20"/>
                <w:lang w:eastAsia="en-IE"/>
              </w:rPr>
            </w:pPr>
          </w:p>
        </w:tc>
        <w:tc>
          <w:tcPr>
            <w:tcW w:w="3240" w:type="dxa"/>
            <w:shd w:val="clear" w:color="auto" w:fill="007041" w:themeFill="accent4"/>
            <w:noWrap/>
            <w:vAlign w:val="center"/>
            <w:hideMark/>
          </w:tcPr>
          <w:p w14:paraId="497F6063" w14:textId="77777777" w:rsidR="00EC0389" w:rsidRPr="00525842" w:rsidRDefault="00EC0389" w:rsidP="00FA0225">
            <w:pPr>
              <w:jc w:val="center"/>
              <w:rPr>
                <w:rFonts w:eastAsia="Times New Roman" w:cstheme="minorHAnsi"/>
                <w:color w:val="FFFFFF" w:themeColor="background1"/>
                <w:sz w:val="20"/>
                <w:szCs w:val="20"/>
                <w:lang w:val="en-GB" w:eastAsia="en-IE"/>
              </w:rPr>
            </w:pPr>
            <w:r w:rsidRPr="00525842">
              <w:rPr>
                <w:rFonts w:eastAsia="Times New Roman" w:cstheme="minorHAnsi"/>
                <w:color w:val="FFFFFF" w:themeColor="background1"/>
                <w:sz w:val="20"/>
                <w:szCs w:val="20"/>
                <w:lang w:val="en-GB" w:eastAsia="en-IE"/>
              </w:rPr>
              <w:t>________________________</w:t>
            </w:r>
          </w:p>
          <w:p w14:paraId="36A199B2" w14:textId="77777777" w:rsidR="00EC0389" w:rsidRPr="00525842" w:rsidRDefault="00EC0389" w:rsidP="00FA0225">
            <w:pPr>
              <w:jc w:val="center"/>
              <w:rPr>
                <w:rFonts w:eastAsia="Times New Roman" w:cstheme="minorHAnsi"/>
                <w:color w:val="FFFFFF" w:themeColor="background1"/>
                <w:sz w:val="20"/>
                <w:szCs w:val="20"/>
                <w:lang w:val="en-GB" w:eastAsia="en-IE"/>
              </w:rPr>
            </w:pPr>
          </w:p>
          <w:p w14:paraId="7092126F" w14:textId="5B70E1A6" w:rsidR="00EC0389" w:rsidRPr="00525842" w:rsidRDefault="003E35C3" w:rsidP="00FA0225">
            <w:pPr>
              <w:jc w:val="center"/>
              <w:rPr>
                <w:rFonts w:eastAsia="Times New Roman" w:cstheme="minorHAnsi"/>
                <w:b/>
                <w:color w:val="FFFFFF" w:themeColor="background1"/>
                <w:sz w:val="20"/>
                <w:szCs w:val="20"/>
                <w:lang w:val="en-GB" w:eastAsia="en-IE"/>
              </w:rPr>
            </w:pPr>
            <w:r>
              <w:rPr>
                <w:rFonts w:eastAsia="Times New Roman" w:cstheme="minorHAnsi"/>
                <w:b/>
                <w:color w:val="FFFFFF" w:themeColor="background1"/>
                <w:sz w:val="20"/>
                <w:szCs w:val="20"/>
                <w:lang w:val="en-GB" w:eastAsia="en-IE"/>
              </w:rPr>
              <w:t xml:space="preserve">Professional Services </w:t>
            </w:r>
            <w:r w:rsidR="00EC0389" w:rsidRPr="00525842">
              <w:rPr>
                <w:rFonts w:eastAsia="Times New Roman" w:cstheme="minorHAnsi"/>
                <w:b/>
                <w:color w:val="FFFFFF" w:themeColor="background1"/>
                <w:sz w:val="20"/>
                <w:szCs w:val="20"/>
                <w:lang w:val="en-GB" w:eastAsia="en-IE"/>
              </w:rPr>
              <w:t>Tendered Rate under evaluation</w:t>
            </w:r>
          </w:p>
          <w:p w14:paraId="2EDA252F" w14:textId="77777777" w:rsidR="00EC0389" w:rsidRPr="00525842" w:rsidRDefault="00EC0389" w:rsidP="00FA0225">
            <w:pPr>
              <w:jc w:val="center"/>
              <w:rPr>
                <w:rFonts w:eastAsia="Times New Roman" w:cstheme="minorHAnsi"/>
                <w:color w:val="FFFFFF" w:themeColor="background1"/>
                <w:sz w:val="20"/>
                <w:szCs w:val="20"/>
                <w:lang w:eastAsia="en-IE"/>
              </w:rPr>
            </w:pPr>
          </w:p>
        </w:tc>
        <w:tc>
          <w:tcPr>
            <w:tcW w:w="317" w:type="dxa"/>
            <w:vMerge/>
            <w:shd w:val="clear" w:color="auto" w:fill="007041" w:themeFill="accent4"/>
            <w:vAlign w:val="center"/>
            <w:hideMark/>
          </w:tcPr>
          <w:p w14:paraId="01D15578" w14:textId="77777777" w:rsidR="00EC0389" w:rsidRPr="00525842" w:rsidRDefault="00EC0389" w:rsidP="00FA0225">
            <w:pPr>
              <w:rPr>
                <w:rFonts w:eastAsia="Times New Roman" w:cstheme="minorHAnsi"/>
                <w:color w:val="FFFFFF" w:themeColor="background1"/>
                <w:sz w:val="20"/>
                <w:szCs w:val="20"/>
                <w:lang w:eastAsia="en-IE"/>
              </w:rPr>
            </w:pPr>
          </w:p>
        </w:tc>
        <w:tc>
          <w:tcPr>
            <w:tcW w:w="2987" w:type="dxa"/>
            <w:vMerge/>
            <w:shd w:val="clear" w:color="auto" w:fill="007041" w:themeFill="accent4"/>
            <w:vAlign w:val="center"/>
            <w:hideMark/>
          </w:tcPr>
          <w:p w14:paraId="56C88474" w14:textId="77777777" w:rsidR="00EC0389" w:rsidRPr="00525842" w:rsidRDefault="00EC0389" w:rsidP="00FA0225">
            <w:pPr>
              <w:rPr>
                <w:rFonts w:eastAsia="Times New Roman" w:cstheme="minorHAnsi"/>
                <w:color w:val="FFFFFF" w:themeColor="background1"/>
                <w:sz w:val="20"/>
                <w:szCs w:val="20"/>
                <w:lang w:eastAsia="en-IE"/>
              </w:rPr>
            </w:pPr>
          </w:p>
        </w:tc>
      </w:tr>
    </w:tbl>
    <w:p w14:paraId="1E76EEF6" w14:textId="77777777" w:rsidR="00EC0389" w:rsidRPr="00525842" w:rsidRDefault="00EC0389" w:rsidP="00EC0389">
      <w:pPr>
        <w:jc w:val="both"/>
        <w:rPr>
          <w:rFonts w:cstheme="minorHAnsi"/>
          <w:sz w:val="20"/>
          <w:szCs w:val="20"/>
        </w:rPr>
      </w:pPr>
    </w:p>
    <w:p w14:paraId="53BA04D2" w14:textId="77777777" w:rsidR="00EC0389" w:rsidRPr="00525842" w:rsidRDefault="00EC0389" w:rsidP="00EC0389">
      <w:pPr>
        <w:jc w:val="both"/>
        <w:rPr>
          <w:rFonts w:cstheme="minorHAnsi"/>
          <w:sz w:val="20"/>
          <w:szCs w:val="20"/>
        </w:rPr>
      </w:pPr>
    </w:p>
    <w:p w14:paraId="2257C1A2" w14:textId="77777777" w:rsidR="00EC0389" w:rsidRPr="00525842" w:rsidRDefault="00EC0389" w:rsidP="00EC0389">
      <w:pPr>
        <w:jc w:val="both"/>
        <w:rPr>
          <w:rFonts w:cstheme="minorHAnsi"/>
          <w:sz w:val="20"/>
          <w:szCs w:val="20"/>
        </w:rPr>
      </w:pPr>
      <w:r w:rsidRPr="00525842">
        <w:rPr>
          <w:rFonts w:cstheme="minorHAnsi"/>
          <w:sz w:val="20"/>
          <w:szCs w:val="20"/>
        </w:rPr>
        <w:t>The lowest price tender that also meets all the minimum requirements of the qualitative award criteria will receive the maximum score achievable under this criterion. The scores of the other valid tenders will be calculated using the following formula.</w:t>
      </w:r>
    </w:p>
    <w:p w14:paraId="22636836" w14:textId="4B59F7E2" w:rsidR="00A0367D" w:rsidRPr="00142B46" w:rsidRDefault="5B6C918E" w:rsidP="00F77472">
      <w:pPr>
        <w:pStyle w:val="HPRAHeadingL1"/>
        <w:rPr>
          <w:rStyle w:val="HPRABodyTextItalic"/>
          <w:i w:val="0"/>
          <w:sz w:val="28"/>
        </w:rPr>
      </w:pPr>
      <w:bookmarkStart w:id="19" w:name="_Toc66117036"/>
      <w:bookmarkStart w:id="20" w:name="_Toc235785020"/>
      <w:r w:rsidRPr="04A8E315">
        <w:rPr>
          <w:rStyle w:val="HPRABodyTextItalic"/>
          <w:i w:val="0"/>
          <w:sz w:val="28"/>
          <w:szCs w:val="28"/>
        </w:rPr>
        <w:t>Anticipated Timeline</w:t>
      </w:r>
      <w:bookmarkEnd w:id="19"/>
      <w:bookmarkEnd w:id="20"/>
    </w:p>
    <w:p w14:paraId="06110E0B" w14:textId="77777777" w:rsidR="00CC4598" w:rsidRDefault="00CC4598" w:rsidP="00BA5882">
      <w:pPr>
        <w:pStyle w:val="HPRABulletedList"/>
        <w:numPr>
          <w:ilvl w:val="0"/>
          <w:numId w:val="0"/>
        </w:numPr>
        <w:ind w:left="284" w:hanging="284"/>
      </w:pPr>
    </w:p>
    <w:p w14:paraId="1F85C5A1" w14:textId="6A562688" w:rsidR="00A0367D" w:rsidRDefault="00A0367D" w:rsidP="00BA5882">
      <w:pPr>
        <w:pStyle w:val="HPRABulletedList"/>
        <w:numPr>
          <w:ilvl w:val="0"/>
          <w:numId w:val="0"/>
        </w:numPr>
        <w:ind w:left="284" w:hanging="284"/>
        <w:rPr>
          <w:lang w:val="en-GB"/>
        </w:rPr>
      </w:pPr>
      <w:r w:rsidRPr="00BA5882">
        <w:t>The following indicative timeline is envisaged for this procurement:</w:t>
      </w:r>
    </w:p>
    <w:p w14:paraId="7EE8385E" w14:textId="77777777" w:rsidR="00A0367D" w:rsidRPr="00A0367D" w:rsidRDefault="00A0367D" w:rsidP="00A15500">
      <w:pPr>
        <w:pStyle w:val="HPRAMainBodyText"/>
        <w:ind w:left="567" w:right="567"/>
        <w:rPr>
          <w:lang w:val="en-GB"/>
        </w:rPr>
      </w:pPr>
    </w:p>
    <w:tbl>
      <w:tblPr>
        <w:tblStyle w:val="TableGrid"/>
        <w:tblW w:w="8025" w:type="dxa"/>
        <w:tblInd w:w="475" w:type="dxa"/>
        <w:tblLook w:val="04A0" w:firstRow="1" w:lastRow="0" w:firstColumn="1" w:lastColumn="0" w:noHBand="0" w:noVBand="1"/>
      </w:tblPr>
      <w:tblGrid>
        <w:gridCol w:w="4482"/>
        <w:gridCol w:w="3543"/>
      </w:tblGrid>
      <w:tr w:rsidR="00A0367D" w14:paraId="41386433" w14:textId="77777777" w:rsidTr="006A69A7">
        <w:trPr>
          <w:trHeight w:val="379"/>
        </w:trPr>
        <w:tc>
          <w:tcPr>
            <w:tcW w:w="4482" w:type="dxa"/>
          </w:tcPr>
          <w:p w14:paraId="5474B65F" w14:textId="77777777" w:rsidR="00A0367D" w:rsidRPr="00B66447" w:rsidRDefault="00A0367D" w:rsidP="00B66447">
            <w:pPr>
              <w:pStyle w:val="Body1"/>
              <w:rPr>
                <w:b/>
                <w:color w:val="007041" w:themeColor="accent4"/>
              </w:rPr>
            </w:pPr>
            <w:r w:rsidRPr="00B66447">
              <w:rPr>
                <w:b/>
                <w:color w:val="007041" w:themeColor="accent4"/>
              </w:rPr>
              <w:t>Issue RFT</w:t>
            </w:r>
          </w:p>
        </w:tc>
        <w:tc>
          <w:tcPr>
            <w:tcW w:w="3543" w:type="dxa"/>
          </w:tcPr>
          <w:p w14:paraId="1C854F1A" w14:textId="241DAE5E" w:rsidR="00A0367D" w:rsidRPr="003B5028" w:rsidRDefault="003D5AF9" w:rsidP="00A15500">
            <w:pPr>
              <w:ind w:left="567" w:right="567"/>
              <w:rPr>
                <w:rFonts w:ascii="Segoe UI" w:hAnsi="Segoe UI" w:cs="Segoe UI"/>
                <w:sz w:val="20"/>
                <w:szCs w:val="20"/>
              </w:rPr>
            </w:pPr>
            <w:r w:rsidRPr="003B5028">
              <w:rPr>
                <w:rFonts w:ascii="Segoe UI" w:hAnsi="Segoe UI" w:cs="Segoe UI"/>
                <w:sz w:val="20"/>
                <w:szCs w:val="20"/>
              </w:rPr>
              <w:t>24/07/2026</w:t>
            </w:r>
          </w:p>
        </w:tc>
      </w:tr>
      <w:tr w:rsidR="00A0367D" w14:paraId="67B098E7" w14:textId="77777777" w:rsidTr="006A69A7">
        <w:trPr>
          <w:trHeight w:val="390"/>
        </w:trPr>
        <w:tc>
          <w:tcPr>
            <w:tcW w:w="4482" w:type="dxa"/>
          </w:tcPr>
          <w:p w14:paraId="2B68C482" w14:textId="77777777" w:rsidR="00A0367D" w:rsidRPr="00B66447" w:rsidRDefault="00A0367D" w:rsidP="00B66447">
            <w:pPr>
              <w:pStyle w:val="Body1"/>
              <w:rPr>
                <w:b/>
                <w:color w:val="007041" w:themeColor="accent4"/>
              </w:rPr>
            </w:pPr>
            <w:r w:rsidRPr="00B66447">
              <w:rPr>
                <w:b/>
                <w:color w:val="007041" w:themeColor="accent4"/>
              </w:rPr>
              <w:t>Closing date for queries</w:t>
            </w:r>
          </w:p>
        </w:tc>
        <w:tc>
          <w:tcPr>
            <w:tcW w:w="3543" w:type="dxa"/>
          </w:tcPr>
          <w:p w14:paraId="6D4769BE" w14:textId="083DDF7E" w:rsidR="00A0367D" w:rsidRPr="003B5028" w:rsidRDefault="003B5028" w:rsidP="00BB2BDF">
            <w:pPr>
              <w:ind w:left="567" w:right="567"/>
              <w:rPr>
                <w:rFonts w:ascii="Segoe UI" w:hAnsi="Segoe UI" w:cs="Segoe UI"/>
                <w:sz w:val="20"/>
                <w:szCs w:val="20"/>
              </w:rPr>
            </w:pPr>
            <w:r w:rsidRPr="003B5028">
              <w:rPr>
                <w:rFonts w:ascii="Segoe UI" w:hAnsi="Segoe UI" w:cs="Segoe UI"/>
                <w:sz w:val="20"/>
                <w:szCs w:val="20"/>
              </w:rPr>
              <w:t>11/09/2026</w:t>
            </w:r>
            <w:r w:rsidR="003D5AF9" w:rsidRPr="003B5028">
              <w:rPr>
                <w:rFonts w:ascii="Segoe UI" w:hAnsi="Segoe UI" w:cs="Segoe UI"/>
                <w:sz w:val="20"/>
                <w:szCs w:val="20"/>
              </w:rPr>
              <w:t xml:space="preserve"> 12, Noon</w:t>
            </w:r>
          </w:p>
        </w:tc>
      </w:tr>
      <w:tr w:rsidR="00A0367D" w14:paraId="0FE1647D" w14:textId="77777777" w:rsidTr="006A69A7">
        <w:trPr>
          <w:trHeight w:val="382"/>
        </w:trPr>
        <w:tc>
          <w:tcPr>
            <w:tcW w:w="4482" w:type="dxa"/>
          </w:tcPr>
          <w:p w14:paraId="7CE6D1EC" w14:textId="77777777" w:rsidR="00A0367D" w:rsidRPr="00B66447" w:rsidRDefault="00A0367D" w:rsidP="00B66447">
            <w:pPr>
              <w:pStyle w:val="Body1"/>
              <w:rPr>
                <w:b/>
                <w:color w:val="007041" w:themeColor="accent4"/>
              </w:rPr>
            </w:pPr>
            <w:r w:rsidRPr="00B66447">
              <w:rPr>
                <w:b/>
                <w:color w:val="007041" w:themeColor="accent4"/>
              </w:rPr>
              <w:t>Closing date for receipt of tenders</w:t>
            </w:r>
          </w:p>
        </w:tc>
        <w:tc>
          <w:tcPr>
            <w:tcW w:w="3543" w:type="dxa"/>
          </w:tcPr>
          <w:p w14:paraId="3E103C2D" w14:textId="4D4A5E86" w:rsidR="00A0367D" w:rsidRPr="003B5028" w:rsidRDefault="003B5028" w:rsidP="00BB2BDF">
            <w:pPr>
              <w:ind w:left="567" w:right="567"/>
              <w:rPr>
                <w:rFonts w:ascii="Segoe UI" w:hAnsi="Segoe UI" w:cs="Segoe UI"/>
                <w:sz w:val="20"/>
                <w:szCs w:val="20"/>
              </w:rPr>
            </w:pPr>
            <w:r w:rsidRPr="003B5028">
              <w:rPr>
                <w:rFonts w:ascii="Segoe UI" w:hAnsi="Segoe UI" w:cs="Segoe UI"/>
                <w:sz w:val="20"/>
                <w:szCs w:val="20"/>
              </w:rPr>
              <w:t>25/09/2026</w:t>
            </w:r>
            <w:r w:rsidR="003D5AF9" w:rsidRPr="003B5028">
              <w:rPr>
                <w:rFonts w:ascii="Segoe UI" w:hAnsi="Segoe UI" w:cs="Segoe UI"/>
                <w:sz w:val="20"/>
                <w:szCs w:val="20"/>
              </w:rPr>
              <w:t xml:space="preserve"> 12 Noon</w:t>
            </w:r>
          </w:p>
        </w:tc>
      </w:tr>
    </w:tbl>
    <w:p w14:paraId="0B63F2F4" w14:textId="77777777" w:rsidR="009C1620" w:rsidRDefault="009C1620" w:rsidP="009C1620">
      <w:pPr>
        <w:jc w:val="both"/>
        <w:rPr>
          <w:rFonts w:ascii="Segoe UI" w:hAnsi="Segoe UI" w:cs="Segoe UI"/>
          <w:sz w:val="20"/>
          <w:szCs w:val="20"/>
        </w:rPr>
      </w:pPr>
    </w:p>
    <w:p w14:paraId="2166357F" w14:textId="5AA25B56" w:rsidR="00A0367D" w:rsidRDefault="00A0367D" w:rsidP="009C1620">
      <w:pPr>
        <w:jc w:val="both"/>
        <w:rPr>
          <w:rFonts w:ascii="Segoe UI" w:hAnsi="Segoe UI" w:cs="Segoe UI"/>
          <w:sz w:val="20"/>
          <w:szCs w:val="20"/>
        </w:rPr>
      </w:pPr>
      <w:r w:rsidRPr="009C1620">
        <w:rPr>
          <w:rFonts w:ascii="Segoe UI" w:hAnsi="Segoe UI" w:cs="Segoe UI"/>
          <w:sz w:val="20"/>
          <w:szCs w:val="20"/>
        </w:rPr>
        <w:t>The dates provided are estimates at the time of publication of the Request for Tender. The Contracting Authority will endeavour to run the process to this timetable, but this cannot be guaranteed.</w:t>
      </w:r>
    </w:p>
    <w:p w14:paraId="78B90FF7" w14:textId="77777777" w:rsidR="00762A48" w:rsidRPr="00762A48" w:rsidRDefault="00762A48" w:rsidP="00701E0D">
      <w:pPr>
        <w:pStyle w:val="HPRAMainBodyText"/>
        <w:ind w:right="567"/>
        <w:rPr>
          <w:lang w:val="en-GB"/>
        </w:rPr>
      </w:pPr>
    </w:p>
    <w:p w14:paraId="5DB40AF6" w14:textId="5C19E329" w:rsidR="009C5724" w:rsidRPr="00787B4B" w:rsidRDefault="00240212" w:rsidP="00C13E8A">
      <w:pPr>
        <w:pStyle w:val="HPRAHeadingL2"/>
        <w:rPr>
          <w:lang w:val="en-GB"/>
        </w:rPr>
      </w:pPr>
      <w:bookmarkStart w:id="21" w:name="_Toc235785021"/>
      <w:r>
        <w:rPr>
          <w:lang w:val="en-GB"/>
        </w:rPr>
        <w:lastRenderedPageBreak/>
        <w:t>Award to Runner Up</w:t>
      </w:r>
      <w:bookmarkEnd w:id="21"/>
    </w:p>
    <w:p w14:paraId="19196323" w14:textId="77777777" w:rsidR="00BA5882" w:rsidRDefault="00BA5882" w:rsidP="00BA5882">
      <w:pPr>
        <w:pStyle w:val="HPRAMainBodyText"/>
        <w:ind w:right="567"/>
        <w:rPr>
          <w:lang w:val="en-GB"/>
        </w:rPr>
      </w:pPr>
    </w:p>
    <w:p w14:paraId="77FE4633" w14:textId="77777777" w:rsidR="002C0498" w:rsidRDefault="002C0498" w:rsidP="002C0498">
      <w:pPr>
        <w:jc w:val="both"/>
        <w:rPr>
          <w:rFonts w:ascii="Segoe UI" w:hAnsi="Segoe UI" w:cs="Segoe UI"/>
          <w:sz w:val="20"/>
          <w:szCs w:val="20"/>
        </w:rPr>
      </w:pPr>
      <w:r>
        <w:rPr>
          <w:rFonts w:ascii="Segoe UI" w:hAnsi="Segoe UI" w:cs="Segoe UI"/>
          <w:sz w:val="20"/>
          <w:szCs w:val="20"/>
        </w:rPr>
        <w:t>If, following the award of a contract, the successful Tenderer cannot, for whatever reason, deliver the required services to the satisfaction of the Contracting Authority reserves the right to award the contract to the next highest scoring tenderer emerging from the process at any time during the contract tender validity period.</w:t>
      </w:r>
    </w:p>
    <w:p w14:paraId="70D81AE5" w14:textId="77777777" w:rsidR="002C0498" w:rsidRDefault="002C0498" w:rsidP="002C0498">
      <w:pPr>
        <w:jc w:val="both"/>
        <w:rPr>
          <w:rFonts w:ascii="Segoe UI" w:hAnsi="Segoe UI" w:cs="Segoe UI"/>
          <w:sz w:val="20"/>
          <w:szCs w:val="20"/>
        </w:rPr>
      </w:pPr>
    </w:p>
    <w:p w14:paraId="2D8CB383" w14:textId="77777777" w:rsidR="002C0498" w:rsidRDefault="002C0498" w:rsidP="002C0498">
      <w:pPr>
        <w:jc w:val="both"/>
        <w:rPr>
          <w:rFonts w:ascii="Segoe UI" w:hAnsi="Segoe UI" w:cs="Segoe UI"/>
          <w:sz w:val="20"/>
          <w:szCs w:val="20"/>
        </w:rPr>
      </w:pPr>
      <w:r>
        <w:rPr>
          <w:rFonts w:ascii="Segoe UI" w:hAnsi="Segoe UI" w:cs="Segoe UI"/>
          <w:sz w:val="20"/>
          <w:szCs w:val="20"/>
        </w:rPr>
        <w:t>This shall be without prejudice to the right of the Contracting Authority to cancel this competitive process and/or initiate a new contract award procedure at its sole discretion.</w:t>
      </w:r>
    </w:p>
    <w:p w14:paraId="09CF66DC" w14:textId="77777777" w:rsidR="002C0498" w:rsidRDefault="002C0498" w:rsidP="002C0498">
      <w:pPr>
        <w:jc w:val="both"/>
        <w:rPr>
          <w:b/>
          <w:bCs/>
          <w:caps/>
          <w:szCs w:val="20"/>
          <w:lang w:val="en-GB"/>
        </w:rPr>
      </w:pPr>
    </w:p>
    <w:p w14:paraId="3E690B85" w14:textId="3BC8972F" w:rsidR="00D8791A" w:rsidRPr="00787B4B" w:rsidRDefault="00D8791A" w:rsidP="00BA5882">
      <w:pPr>
        <w:pStyle w:val="HPRAHeadingL1"/>
        <w:ind w:left="284" w:right="567" w:hanging="284"/>
        <w:rPr>
          <w:sz w:val="32"/>
        </w:rPr>
      </w:pPr>
      <w:bookmarkStart w:id="22" w:name="_Toc235785022"/>
      <w:r w:rsidRPr="00787B4B">
        <w:rPr>
          <w:sz w:val="32"/>
        </w:rPr>
        <w:t>Selection Criteria</w:t>
      </w:r>
      <w:bookmarkEnd w:id="22"/>
    </w:p>
    <w:p w14:paraId="3E9B9339" w14:textId="77777777" w:rsidR="009C5724" w:rsidRPr="009C1620" w:rsidRDefault="009C5724" w:rsidP="009C1620">
      <w:pPr>
        <w:jc w:val="both"/>
        <w:rPr>
          <w:rFonts w:ascii="Segoe UI" w:hAnsi="Segoe UI" w:cs="Segoe UI"/>
          <w:sz w:val="20"/>
          <w:szCs w:val="20"/>
        </w:rPr>
      </w:pPr>
    </w:p>
    <w:p w14:paraId="5F4D547E" w14:textId="2A122C58" w:rsidR="00D8791A" w:rsidRPr="001C6394" w:rsidRDefault="00D8791A" w:rsidP="001C6394">
      <w:pPr>
        <w:jc w:val="both"/>
        <w:rPr>
          <w:rFonts w:ascii="Segoe UI" w:hAnsi="Segoe UI" w:cs="Segoe UI"/>
          <w:sz w:val="20"/>
          <w:szCs w:val="20"/>
        </w:rPr>
      </w:pPr>
      <w:r w:rsidRPr="009C1620">
        <w:rPr>
          <w:rFonts w:ascii="Segoe UI" w:hAnsi="Segoe UI" w:cs="Segoe UI"/>
          <w:sz w:val="20"/>
          <w:szCs w:val="20"/>
        </w:rPr>
        <w:t xml:space="preserve">The Contracting Authority is using a Single Stage Procedure for the award of this </w:t>
      </w:r>
      <w:r w:rsidR="00EF4792">
        <w:rPr>
          <w:rFonts w:ascii="Segoe UI" w:hAnsi="Segoe UI" w:cs="Segoe UI"/>
          <w:sz w:val="20"/>
          <w:szCs w:val="20"/>
        </w:rPr>
        <w:t>contract</w:t>
      </w:r>
      <w:r w:rsidRPr="009C1620">
        <w:rPr>
          <w:rFonts w:ascii="Segoe UI" w:hAnsi="Segoe UI" w:cs="Segoe UI"/>
          <w:sz w:val="20"/>
          <w:szCs w:val="20"/>
        </w:rPr>
        <w:t xml:space="preserve"> therefore, while all interested parties may submit a tender, only those demonstrating that they have the required level of financial and technical capacity will have their tender considered. </w:t>
      </w:r>
      <w:proofErr w:type="gramStart"/>
      <w:r w:rsidRPr="009C1620">
        <w:rPr>
          <w:rFonts w:ascii="Segoe UI" w:hAnsi="Segoe UI" w:cs="Segoe UI"/>
          <w:sz w:val="20"/>
          <w:szCs w:val="20"/>
        </w:rPr>
        <w:t>In order to</w:t>
      </w:r>
      <w:proofErr w:type="gramEnd"/>
      <w:r w:rsidRPr="009C1620">
        <w:rPr>
          <w:rFonts w:ascii="Segoe UI" w:hAnsi="Segoe UI" w:cs="Segoe UI"/>
          <w:sz w:val="20"/>
          <w:szCs w:val="20"/>
        </w:rPr>
        <w:t xml:space="preserve"> demonstrate a </w:t>
      </w:r>
      <w:r w:rsidR="001C6394" w:rsidRPr="009C1620">
        <w:rPr>
          <w:rFonts w:ascii="Segoe UI" w:hAnsi="Segoe UI" w:cs="Segoe UI"/>
          <w:sz w:val="20"/>
          <w:szCs w:val="20"/>
        </w:rPr>
        <w:t>tenderers qualification</w:t>
      </w:r>
      <w:r w:rsidRPr="009C1620">
        <w:rPr>
          <w:rFonts w:ascii="Segoe UI" w:hAnsi="Segoe UI" w:cs="Segoe UI"/>
          <w:sz w:val="20"/>
          <w:szCs w:val="20"/>
        </w:rPr>
        <w:t xml:space="preserve">, tenderers are required to provide the information set out below in the Tender Response Document (TRD) which is based on a </w:t>
      </w:r>
      <w:proofErr w:type="spellStart"/>
      <w:r w:rsidR="00983D79" w:rsidRPr="009C1620">
        <w:rPr>
          <w:rFonts w:ascii="Segoe UI" w:hAnsi="Segoe UI" w:cs="Segoe UI"/>
          <w:sz w:val="20"/>
          <w:szCs w:val="20"/>
        </w:rPr>
        <w:t>self</w:t>
      </w:r>
      <w:r w:rsidR="0055295E">
        <w:rPr>
          <w:rFonts w:ascii="Segoe UI" w:hAnsi="Segoe UI" w:cs="Segoe UI"/>
          <w:sz w:val="20"/>
          <w:szCs w:val="20"/>
        </w:rPr>
        <w:t xml:space="preserve"> </w:t>
      </w:r>
      <w:r w:rsidR="00983D79" w:rsidRPr="009C1620">
        <w:rPr>
          <w:rFonts w:ascii="Segoe UI" w:hAnsi="Segoe UI" w:cs="Segoe UI"/>
          <w:sz w:val="20"/>
          <w:szCs w:val="20"/>
        </w:rPr>
        <w:t>declaration</w:t>
      </w:r>
      <w:proofErr w:type="spellEnd"/>
      <w:r w:rsidRPr="009C1620">
        <w:rPr>
          <w:rFonts w:ascii="Segoe UI" w:hAnsi="Segoe UI" w:cs="Segoe UI"/>
          <w:sz w:val="20"/>
          <w:szCs w:val="20"/>
        </w:rPr>
        <w:t xml:space="preserve"> model, however tenderers are required to provide the minimum information required.</w:t>
      </w:r>
    </w:p>
    <w:p w14:paraId="09A9F743" w14:textId="6A22FE34" w:rsidR="0048320B" w:rsidRPr="00787B4B" w:rsidRDefault="0048320B" w:rsidP="00C13E8A">
      <w:pPr>
        <w:pStyle w:val="HPRAHeadingL2"/>
        <w:rPr>
          <w:lang w:val="en-GB"/>
        </w:rPr>
      </w:pPr>
      <w:bookmarkStart w:id="23" w:name="_Toc235785023"/>
      <w:r w:rsidRPr="00787B4B">
        <w:rPr>
          <w:lang w:val="en-GB"/>
        </w:rPr>
        <w:t>Declarations</w:t>
      </w:r>
      <w:r w:rsidR="00D4373C">
        <w:rPr>
          <w:lang w:val="en-GB"/>
        </w:rPr>
        <w:t xml:space="preserve"> &amp; </w:t>
      </w:r>
      <w:r w:rsidRPr="00787B4B">
        <w:rPr>
          <w:lang w:val="en-GB"/>
        </w:rPr>
        <w:t>Requirements</w:t>
      </w:r>
      <w:bookmarkEnd w:id="23"/>
    </w:p>
    <w:p w14:paraId="48A44748" w14:textId="77777777" w:rsidR="009C1620" w:rsidRDefault="009C1620" w:rsidP="009C1620">
      <w:pPr>
        <w:jc w:val="both"/>
        <w:rPr>
          <w:rFonts w:ascii="Segoe UI" w:hAnsi="Segoe UI" w:cs="Segoe UI"/>
          <w:sz w:val="20"/>
          <w:szCs w:val="20"/>
        </w:rPr>
      </w:pPr>
    </w:p>
    <w:p w14:paraId="11F5D7EA" w14:textId="690AE80A" w:rsidR="00F62D0C" w:rsidRDefault="0048320B" w:rsidP="009C1620">
      <w:pPr>
        <w:jc w:val="both"/>
        <w:rPr>
          <w:rFonts w:ascii="Segoe UI" w:hAnsi="Segoe UI" w:cs="Segoe UI"/>
          <w:sz w:val="20"/>
          <w:szCs w:val="20"/>
        </w:rPr>
      </w:pPr>
      <w:r w:rsidRPr="009C1620">
        <w:rPr>
          <w:rFonts w:ascii="Segoe UI" w:hAnsi="Segoe UI" w:cs="Segoe UI"/>
          <w:sz w:val="20"/>
          <w:szCs w:val="20"/>
        </w:rPr>
        <w:t>Tenderers are required to provide information in the Tender Response Document</w:t>
      </w:r>
      <w:r w:rsidR="00FD5E23">
        <w:rPr>
          <w:rFonts w:ascii="Segoe UI" w:hAnsi="Segoe UI" w:cs="Segoe UI"/>
          <w:sz w:val="20"/>
          <w:szCs w:val="20"/>
        </w:rPr>
        <w:t xml:space="preserve"> (TRD)</w:t>
      </w:r>
      <w:r w:rsidRPr="009C1620">
        <w:rPr>
          <w:rFonts w:ascii="Segoe UI" w:hAnsi="Segoe UI" w:cs="Segoe UI"/>
          <w:sz w:val="20"/>
          <w:szCs w:val="20"/>
        </w:rPr>
        <w:t xml:space="preserve">. </w:t>
      </w:r>
      <w:r w:rsidR="00F62D0C">
        <w:rPr>
          <w:rFonts w:ascii="Segoe UI" w:hAnsi="Segoe UI" w:cs="Segoe UI"/>
          <w:sz w:val="20"/>
          <w:szCs w:val="20"/>
        </w:rPr>
        <w:t>The Tender Response Document outlines the following areas that will be assessed on a pass/fail basis. Failure to comply with the requirements will result in the tender being considered inadmissible.</w:t>
      </w:r>
    </w:p>
    <w:p w14:paraId="5680D07C" w14:textId="77640266" w:rsidR="00F62D0C" w:rsidRDefault="00F62D0C" w:rsidP="009C1620">
      <w:pPr>
        <w:jc w:val="both"/>
        <w:rPr>
          <w:rFonts w:ascii="Segoe UI" w:hAnsi="Segoe UI" w:cs="Segoe UI"/>
          <w:sz w:val="20"/>
          <w:szCs w:val="20"/>
        </w:rPr>
      </w:pPr>
    </w:p>
    <w:p w14:paraId="52BCF9D1" w14:textId="78B81593" w:rsidR="00F62D0C" w:rsidRDefault="00F62D0C">
      <w:pPr>
        <w:pStyle w:val="ListParagraph"/>
        <w:numPr>
          <w:ilvl w:val="0"/>
          <w:numId w:val="20"/>
        </w:numPr>
        <w:jc w:val="both"/>
        <w:rPr>
          <w:rFonts w:ascii="Segoe UI" w:hAnsi="Segoe UI" w:cs="Segoe UI"/>
          <w:sz w:val="20"/>
          <w:szCs w:val="20"/>
        </w:rPr>
      </w:pPr>
      <w:r>
        <w:rPr>
          <w:rFonts w:ascii="Segoe UI" w:hAnsi="Segoe UI" w:cs="Segoe UI"/>
          <w:sz w:val="20"/>
          <w:szCs w:val="20"/>
        </w:rPr>
        <w:t>Section 2.1 of the TRD – General contact information</w:t>
      </w:r>
      <w:r w:rsidR="003B5028">
        <w:rPr>
          <w:rFonts w:ascii="Segoe UI" w:hAnsi="Segoe UI" w:cs="Segoe UI"/>
          <w:sz w:val="20"/>
          <w:szCs w:val="20"/>
        </w:rPr>
        <w:t>, turnover &amp; Insurance</w:t>
      </w:r>
    </w:p>
    <w:p w14:paraId="6D264BD8" w14:textId="4A4A7456" w:rsidR="00F62D0C" w:rsidRDefault="00F62D0C">
      <w:pPr>
        <w:pStyle w:val="ListParagraph"/>
        <w:numPr>
          <w:ilvl w:val="0"/>
          <w:numId w:val="20"/>
        </w:numPr>
        <w:jc w:val="both"/>
        <w:rPr>
          <w:rFonts w:ascii="Segoe UI" w:hAnsi="Segoe UI" w:cs="Segoe UI"/>
          <w:sz w:val="20"/>
          <w:szCs w:val="20"/>
        </w:rPr>
      </w:pPr>
      <w:r>
        <w:rPr>
          <w:rFonts w:ascii="Segoe UI" w:hAnsi="Segoe UI" w:cs="Segoe UI"/>
          <w:sz w:val="20"/>
          <w:szCs w:val="20"/>
        </w:rPr>
        <w:t>Section 2.2 of the TRD – Financial Information</w:t>
      </w:r>
    </w:p>
    <w:p w14:paraId="255DE97A" w14:textId="32E977AD" w:rsidR="00F62D0C" w:rsidRDefault="00F62D0C">
      <w:pPr>
        <w:pStyle w:val="ListParagraph"/>
        <w:numPr>
          <w:ilvl w:val="0"/>
          <w:numId w:val="20"/>
        </w:numPr>
        <w:jc w:val="both"/>
        <w:rPr>
          <w:rFonts w:ascii="Segoe UI" w:hAnsi="Segoe UI" w:cs="Segoe UI"/>
          <w:sz w:val="20"/>
          <w:szCs w:val="20"/>
        </w:rPr>
      </w:pPr>
      <w:r>
        <w:rPr>
          <w:rFonts w:ascii="Segoe UI" w:hAnsi="Segoe UI" w:cs="Segoe UI"/>
          <w:sz w:val="20"/>
          <w:szCs w:val="20"/>
        </w:rPr>
        <w:t>Section 2.3 of the TRD – Declaration Re Personal Circumstances – Article 57</w:t>
      </w:r>
    </w:p>
    <w:p w14:paraId="41A0E690" w14:textId="6F1FC148" w:rsidR="00F62D0C" w:rsidRDefault="00F62D0C">
      <w:pPr>
        <w:pStyle w:val="ListParagraph"/>
        <w:numPr>
          <w:ilvl w:val="0"/>
          <w:numId w:val="20"/>
        </w:numPr>
        <w:jc w:val="both"/>
        <w:rPr>
          <w:rFonts w:ascii="Segoe UI" w:hAnsi="Segoe UI" w:cs="Segoe UI"/>
          <w:sz w:val="20"/>
          <w:szCs w:val="20"/>
        </w:rPr>
      </w:pPr>
      <w:r>
        <w:rPr>
          <w:rFonts w:ascii="Segoe UI" w:hAnsi="Segoe UI" w:cs="Segoe UI"/>
          <w:sz w:val="20"/>
          <w:szCs w:val="20"/>
        </w:rPr>
        <w:t>Section 2.4 of the TRD – Declaration Re Statutory</w:t>
      </w:r>
      <w:r w:rsidR="006200F5">
        <w:rPr>
          <w:rFonts w:ascii="Segoe UI" w:hAnsi="Segoe UI" w:cs="Segoe UI"/>
          <w:sz w:val="20"/>
          <w:szCs w:val="20"/>
        </w:rPr>
        <w:t xml:space="preserve"> Obligations</w:t>
      </w:r>
    </w:p>
    <w:p w14:paraId="537BE31B" w14:textId="77777777" w:rsidR="003B5028" w:rsidRPr="003B5028" w:rsidRDefault="003B5028" w:rsidP="003B5028">
      <w:pPr>
        <w:jc w:val="both"/>
        <w:rPr>
          <w:rFonts w:ascii="Segoe UI" w:hAnsi="Segoe UI" w:cs="Segoe UI"/>
          <w:sz w:val="20"/>
          <w:szCs w:val="20"/>
        </w:rPr>
      </w:pPr>
    </w:p>
    <w:tbl>
      <w:tblPr>
        <w:tblW w:w="10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7"/>
        <w:gridCol w:w="2283"/>
        <w:gridCol w:w="5230"/>
      </w:tblGrid>
      <w:tr w:rsidR="003B5028" w:rsidRPr="003B5028" w14:paraId="038864C3"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4F3246E5" w14:textId="0331E9A3" w:rsidR="003B5028" w:rsidRPr="003B5028" w:rsidRDefault="003B5028" w:rsidP="003B5028">
            <w:pPr>
              <w:jc w:val="center"/>
              <w:rPr>
                <w:rFonts w:ascii="Segoe UI" w:hAnsi="Segoe UI" w:cs="Segoe UI"/>
                <w:sz w:val="20"/>
                <w:szCs w:val="20"/>
              </w:rPr>
            </w:pPr>
            <w:r w:rsidRPr="003B5028">
              <w:rPr>
                <w:rFonts w:ascii="Segoe UI" w:hAnsi="Segoe UI" w:cs="Segoe UI"/>
                <w:b/>
                <w:bCs/>
                <w:sz w:val="20"/>
                <w:szCs w:val="20"/>
                <w:lang w:val="en-GB"/>
              </w:rPr>
              <w:t>Tax</w:t>
            </w:r>
          </w:p>
        </w:tc>
        <w:tc>
          <w:tcPr>
            <w:tcW w:w="751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6D6A518"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Confirmation that the tenderer/all parties associated with the tenderer are fully tax compliant. Please refer to the tax rules contained in the Tender Response Document.</w:t>
            </w:r>
            <w:r w:rsidRPr="003B5028">
              <w:rPr>
                <w:rFonts w:ascii="Segoe UI" w:hAnsi="Segoe UI" w:cs="Segoe UI"/>
                <w:sz w:val="20"/>
                <w:szCs w:val="20"/>
              </w:rPr>
              <w:t> </w:t>
            </w:r>
          </w:p>
        </w:tc>
      </w:tr>
      <w:tr w:rsidR="003B5028" w:rsidRPr="003B5028" w14:paraId="4C5352F8"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228E348E" w14:textId="2CDCB31C" w:rsidR="003B5028" w:rsidRPr="003B5028" w:rsidRDefault="003B5028" w:rsidP="003B5028">
            <w:pPr>
              <w:jc w:val="center"/>
              <w:rPr>
                <w:rFonts w:ascii="Segoe UI" w:hAnsi="Segoe UI" w:cs="Segoe UI"/>
                <w:sz w:val="20"/>
                <w:szCs w:val="20"/>
              </w:rPr>
            </w:pPr>
            <w:r w:rsidRPr="003B5028">
              <w:rPr>
                <w:rFonts w:ascii="Segoe UI" w:hAnsi="Segoe UI" w:cs="Segoe UI"/>
                <w:b/>
                <w:bCs/>
                <w:sz w:val="20"/>
                <w:szCs w:val="20"/>
                <w:lang w:val="en-GB"/>
              </w:rPr>
              <w:t>Turnover and Financial Standing</w:t>
            </w:r>
          </w:p>
        </w:tc>
        <w:tc>
          <w:tcPr>
            <w:tcW w:w="751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482E967"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Confirmation of Financial standing ensuring the tendering party has the financial capacity to pay its debts identified on the current statement of assets and liabilities as being the debts as they fall due.</w:t>
            </w:r>
            <w:r w:rsidRPr="003B5028">
              <w:rPr>
                <w:rFonts w:ascii="Segoe UI" w:hAnsi="Segoe UI" w:cs="Segoe UI"/>
                <w:sz w:val="20"/>
                <w:szCs w:val="20"/>
              </w:rPr>
              <w:t> </w:t>
            </w:r>
          </w:p>
          <w:p w14:paraId="6D40E8A3"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rPr>
              <w:t> </w:t>
            </w:r>
          </w:p>
          <w:p w14:paraId="6E299558"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Evidence of the above statement will be required prior to the award of any contract.</w:t>
            </w:r>
            <w:r w:rsidRPr="003B5028">
              <w:rPr>
                <w:rFonts w:ascii="Segoe UI" w:hAnsi="Segoe UI" w:cs="Segoe UI"/>
                <w:sz w:val="20"/>
                <w:szCs w:val="20"/>
              </w:rPr>
              <w:t> </w:t>
            </w:r>
          </w:p>
        </w:tc>
      </w:tr>
      <w:tr w:rsidR="003B5028" w:rsidRPr="003B5028" w14:paraId="1FEA2038"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33A2D3A1" w14:textId="609841C4" w:rsidR="003B5028" w:rsidRPr="003B5028" w:rsidRDefault="003B5028" w:rsidP="003B5028">
            <w:pPr>
              <w:jc w:val="center"/>
              <w:rPr>
                <w:rFonts w:ascii="Segoe UI" w:hAnsi="Segoe UI" w:cs="Segoe UI"/>
                <w:sz w:val="20"/>
                <w:szCs w:val="20"/>
              </w:rPr>
            </w:pPr>
            <w:r w:rsidRPr="003B5028">
              <w:rPr>
                <w:rFonts w:ascii="Segoe UI" w:hAnsi="Segoe UI" w:cs="Segoe UI"/>
                <w:b/>
                <w:bCs/>
                <w:sz w:val="20"/>
                <w:szCs w:val="20"/>
                <w:lang w:val="en-GB"/>
              </w:rPr>
              <w:t>Insurance</w:t>
            </w:r>
          </w:p>
        </w:tc>
        <w:tc>
          <w:tcPr>
            <w:tcW w:w="751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89D91AC"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Confirmation of the following insurances being in place.</w:t>
            </w:r>
            <w:r w:rsidRPr="003B5028">
              <w:rPr>
                <w:rFonts w:ascii="Segoe UI" w:hAnsi="Segoe UI" w:cs="Segoe UI"/>
                <w:sz w:val="20"/>
                <w:szCs w:val="20"/>
              </w:rPr>
              <w:t> </w:t>
            </w:r>
          </w:p>
        </w:tc>
      </w:tr>
      <w:tr w:rsidR="003B5028" w:rsidRPr="003B5028" w14:paraId="79624031"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73E2C8AD"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rPr>
              <w:t> </w:t>
            </w:r>
          </w:p>
        </w:tc>
        <w:tc>
          <w:tcPr>
            <w:tcW w:w="2283" w:type="dxa"/>
            <w:tcBorders>
              <w:top w:val="single" w:sz="4" w:space="0" w:color="auto"/>
              <w:left w:val="single" w:sz="4" w:space="0" w:color="auto"/>
              <w:bottom w:val="single" w:sz="4" w:space="0" w:color="auto"/>
              <w:right w:val="single" w:sz="4" w:space="0" w:color="auto"/>
            </w:tcBorders>
            <w:shd w:val="clear" w:color="auto" w:fill="FFFFFF"/>
            <w:hideMark/>
          </w:tcPr>
          <w:p w14:paraId="5E3987DC" w14:textId="77777777" w:rsidR="003B5028" w:rsidRPr="003B5028" w:rsidRDefault="003B5028" w:rsidP="003B5028">
            <w:pPr>
              <w:jc w:val="both"/>
              <w:rPr>
                <w:rFonts w:ascii="Segoe UI" w:hAnsi="Segoe UI" w:cs="Segoe UI"/>
                <w:sz w:val="20"/>
                <w:szCs w:val="20"/>
              </w:rPr>
            </w:pPr>
            <w:r w:rsidRPr="003B5028">
              <w:rPr>
                <w:rFonts w:ascii="Segoe UI" w:hAnsi="Segoe UI" w:cs="Segoe UI"/>
                <w:b/>
                <w:bCs/>
                <w:sz w:val="20"/>
                <w:szCs w:val="20"/>
                <w:lang w:val="en-GB"/>
              </w:rPr>
              <w:t>Insurance type</w:t>
            </w:r>
            <w:r w:rsidRPr="003B5028">
              <w:rPr>
                <w:rFonts w:ascii="Segoe UI" w:hAnsi="Segoe UI" w:cs="Segoe UI"/>
                <w:sz w:val="20"/>
                <w:szCs w:val="20"/>
              </w:rPr>
              <w:t> </w:t>
            </w:r>
          </w:p>
        </w:tc>
        <w:tc>
          <w:tcPr>
            <w:tcW w:w="5230" w:type="dxa"/>
            <w:tcBorders>
              <w:top w:val="single" w:sz="4" w:space="0" w:color="auto"/>
              <w:left w:val="single" w:sz="4" w:space="0" w:color="auto"/>
              <w:bottom w:val="single" w:sz="4" w:space="0" w:color="auto"/>
              <w:right w:val="single" w:sz="4" w:space="0" w:color="auto"/>
            </w:tcBorders>
            <w:shd w:val="clear" w:color="auto" w:fill="FFFFFF"/>
            <w:hideMark/>
          </w:tcPr>
          <w:p w14:paraId="601DFC3B" w14:textId="77777777" w:rsidR="003B5028" w:rsidRPr="003B5028" w:rsidRDefault="003B5028" w:rsidP="003B5028">
            <w:pPr>
              <w:jc w:val="both"/>
              <w:rPr>
                <w:rFonts w:ascii="Segoe UI" w:hAnsi="Segoe UI" w:cs="Segoe UI"/>
                <w:sz w:val="20"/>
                <w:szCs w:val="20"/>
              </w:rPr>
            </w:pPr>
            <w:r w:rsidRPr="003B5028">
              <w:rPr>
                <w:rFonts w:ascii="Segoe UI" w:hAnsi="Segoe UI" w:cs="Segoe UI"/>
                <w:b/>
                <w:bCs/>
                <w:sz w:val="20"/>
                <w:szCs w:val="20"/>
                <w:lang w:val="en-GB"/>
              </w:rPr>
              <w:t>Required value €</w:t>
            </w:r>
            <w:r w:rsidRPr="003B5028">
              <w:rPr>
                <w:rFonts w:ascii="Segoe UI" w:hAnsi="Segoe UI" w:cs="Segoe UI"/>
                <w:sz w:val="20"/>
                <w:szCs w:val="20"/>
              </w:rPr>
              <w:t> </w:t>
            </w:r>
          </w:p>
        </w:tc>
      </w:tr>
      <w:tr w:rsidR="003B5028" w:rsidRPr="003B5028" w14:paraId="0CB6B822"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4945930F"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rPr>
              <w:t> </w:t>
            </w:r>
          </w:p>
        </w:tc>
        <w:tc>
          <w:tcPr>
            <w:tcW w:w="2283" w:type="dxa"/>
            <w:tcBorders>
              <w:top w:val="single" w:sz="4" w:space="0" w:color="auto"/>
              <w:left w:val="single" w:sz="4" w:space="0" w:color="auto"/>
              <w:bottom w:val="single" w:sz="4" w:space="0" w:color="auto"/>
              <w:right w:val="single" w:sz="4" w:space="0" w:color="auto"/>
            </w:tcBorders>
            <w:shd w:val="clear" w:color="auto" w:fill="FFFFFF"/>
            <w:hideMark/>
          </w:tcPr>
          <w:p w14:paraId="0D2778A6" w14:textId="77777777" w:rsidR="003B5028" w:rsidRPr="003B5028" w:rsidRDefault="003B5028" w:rsidP="003B5028">
            <w:pPr>
              <w:jc w:val="both"/>
              <w:rPr>
                <w:rFonts w:ascii="Segoe UI" w:hAnsi="Segoe UI" w:cs="Segoe UI"/>
                <w:sz w:val="20"/>
                <w:szCs w:val="20"/>
              </w:rPr>
            </w:pPr>
            <w:proofErr w:type="gramStart"/>
            <w:r w:rsidRPr="003B5028">
              <w:rPr>
                <w:rFonts w:ascii="Segoe UI" w:hAnsi="Segoe UI" w:cs="Segoe UI"/>
                <w:sz w:val="20"/>
                <w:szCs w:val="20"/>
                <w:lang w:val="en-GB"/>
              </w:rPr>
              <w:t>Employers</w:t>
            </w:r>
            <w:proofErr w:type="gramEnd"/>
            <w:r w:rsidRPr="003B5028">
              <w:rPr>
                <w:rFonts w:ascii="Segoe UI" w:hAnsi="Segoe UI" w:cs="Segoe UI"/>
                <w:sz w:val="20"/>
                <w:szCs w:val="20"/>
                <w:lang w:val="en-GB"/>
              </w:rPr>
              <w:t> liability</w:t>
            </w:r>
            <w:r w:rsidRPr="003B5028">
              <w:rPr>
                <w:rFonts w:ascii="Segoe UI" w:hAnsi="Segoe UI" w:cs="Segoe UI"/>
                <w:sz w:val="20"/>
                <w:szCs w:val="20"/>
              </w:rPr>
              <w:t> </w:t>
            </w:r>
          </w:p>
        </w:tc>
        <w:tc>
          <w:tcPr>
            <w:tcW w:w="5230" w:type="dxa"/>
            <w:tcBorders>
              <w:top w:val="single" w:sz="4" w:space="0" w:color="auto"/>
              <w:left w:val="single" w:sz="4" w:space="0" w:color="auto"/>
              <w:bottom w:val="single" w:sz="4" w:space="0" w:color="auto"/>
              <w:right w:val="single" w:sz="4" w:space="0" w:color="auto"/>
            </w:tcBorders>
            <w:shd w:val="clear" w:color="auto" w:fill="FFFFFF"/>
            <w:hideMark/>
          </w:tcPr>
          <w:p w14:paraId="3E4C35BF"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€12.7 million</w:t>
            </w:r>
            <w:r w:rsidRPr="003B5028">
              <w:rPr>
                <w:rFonts w:ascii="Segoe UI" w:hAnsi="Segoe UI" w:cs="Segoe UI"/>
                <w:sz w:val="20"/>
                <w:szCs w:val="20"/>
              </w:rPr>
              <w:t> </w:t>
            </w:r>
          </w:p>
        </w:tc>
      </w:tr>
      <w:tr w:rsidR="003B5028" w:rsidRPr="003B5028" w14:paraId="21181FB8"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58C2985D"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rPr>
              <w:t> </w:t>
            </w:r>
          </w:p>
        </w:tc>
        <w:tc>
          <w:tcPr>
            <w:tcW w:w="2283" w:type="dxa"/>
            <w:tcBorders>
              <w:top w:val="single" w:sz="4" w:space="0" w:color="auto"/>
              <w:left w:val="single" w:sz="4" w:space="0" w:color="auto"/>
              <w:bottom w:val="single" w:sz="4" w:space="0" w:color="auto"/>
              <w:right w:val="single" w:sz="4" w:space="0" w:color="auto"/>
            </w:tcBorders>
            <w:shd w:val="clear" w:color="auto" w:fill="FFFFFF"/>
            <w:hideMark/>
          </w:tcPr>
          <w:p w14:paraId="3C5C017A"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Public Liability</w:t>
            </w:r>
            <w:r w:rsidRPr="003B5028">
              <w:rPr>
                <w:rFonts w:ascii="Segoe UI" w:hAnsi="Segoe UI" w:cs="Segoe UI"/>
                <w:sz w:val="20"/>
                <w:szCs w:val="20"/>
              </w:rPr>
              <w:t> </w:t>
            </w:r>
          </w:p>
        </w:tc>
        <w:tc>
          <w:tcPr>
            <w:tcW w:w="5230" w:type="dxa"/>
            <w:tcBorders>
              <w:top w:val="single" w:sz="4" w:space="0" w:color="auto"/>
              <w:left w:val="single" w:sz="4" w:space="0" w:color="auto"/>
              <w:bottom w:val="single" w:sz="4" w:space="0" w:color="auto"/>
              <w:right w:val="single" w:sz="4" w:space="0" w:color="auto"/>
            </w:tcBorders>
            <w:shd w:val="clear" w:color="auto" w:fill="FFFFFF"/>
            <w:hideMark/>
          </w:tcPr>
          <w:p w14:paraId="30B1690F" w14:textId="54AF0C90"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w:t>
            </w:r>
            <w:r w:rsidR="00456DFC">
              <w:rPr>
                <w:rFonts w:ascii="Segoe UI" w:hAnsi="Segoe UI" w:cs="Segoe UI"/>
                <w:sz w:val="20"/>
                <w:szCs w:val="20"/>
                <w:lang w:val="en-GB"/>
              </w:rPr>
              <w:t>6.5</w:t>
            </w:r>
            <w:r w:rsidRPr="003B5028">
              <w:rPr>
                <w:rFonts w:ascii="Segoe UI" w:hAnsi="Segoe UI" w:cs="Segoe UI"/>
                <w:sz w:val="20"/>
                <w:szCs w:val="20"/>
                <w:lang w:val="en-GB"/>
              </w:rPr>
              <w:t xml:space="preserve"> million</w:t>
            </w:r>
            <w:r w:rsidRPr="003B5028">
              <w:rPr>
                <w:rFonts w:ascii="Segoe UI" w:hAnsi="Segoe UI" w:cs="Segoe UI"/>
                <w:sz w:val="20"/>
                <w:szCs w:val="20"/>
              </w:rPr>
              <w:t> </w:t>
            </w:r>
          </w:p>
        </w:tc>
      </w:tr>
      <w:tr w:rsidR="003B5028" w:rsidRPr="003B5028" w14:paraId="3417B090"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3585A352"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rPr>
              <w:t> </w:t>
            </w:r>
          </w:p>
        </w:tc>
        <w:tc>
          <w:tcPr>
            <w:tcW w:w="2283" w:type="dxa"/>
            <w:tcBorders>
              <w:top w:val="single" w:sz="4" w:space="0" w:color="auto"/>
              <w:left w:val="single" w:sz="4" w:space="0" w:color="auto"/>
              <w:bottom w:val="single" w:sz="4" w:space="0" w:color="auto"/>
              <w:right w:val="single" w:sz="4" w:space="0" w:color="auto"/>
            </w:tcBorders>
            <w:shd w:val="clear" w:color="auto" w:fill="FFFFFF"/>
            <w:hideMark/>
          </w:tcPr>
          <w:p w14:paraId="62D75395"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Professional Indemnity</w:t>
            </w:r>
            <w:r w:rsidRPr="003B5028">
              <w:rPr>
                <w:rFonts w:ascii="Segoe UI" w:hAnsi="Segoe UI" w:cs="Segoe UI"/>
                <w:sz w:val="20"/>
                <w:szCs w:val="20"/>
              </w:rPr>
              <w:t> </w:t>
            </w:r>
          </w:p>
        </w:tc>
        <w:tc>
          <w:tcPr>
            <w:tcW w:w="5230" w:type="dxa"/>
            <w:tcBorders>
              <w:top w:val="single" w:sz="4" w:space="0" w:color="auto"/>
              <w:left w:val="single" w:sz="4" w:space="0" w:color="auto"/>
              <w:bottom w:val="single" w:sz="4" w:space="0" w:color="auto"/>
              <w:right w:val="single" w:sz="4" w:space="0" w:color="auto"/>
            </w:tcBorders>
            <w:shd w:val="clear" w:color="auto" w:fill="FFFFFF"/>
            <w:hideMark/>
          </w:tcPr>
          <w:p w14:paraId="79AE7050" w14:textId="7E0F542D"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w:t>
            </w:r>
            <w:r w:rsidR="00456DFC">
              <w:rPr>
                <w:rFonts w:ascii="Segoe UI" w:hAnsi="Segoe UI" w:cs="Segoe UI"/>
                <w:sz w:val="20"/>
                <w:szCs w:val="20"/>
                <w:lang w:val="en-GB"/>
              </w:rPr>
              <w:t>1 Million</w:t>
            </w:r>
            <w:r w:rsidRPr="003B5028">
              <w:rPr>
                <w:rFonts w:ascii="Segoe UI" w:hAnsi="Segoe UI" w:cs="Segoe UI"/>
                <w:sz w:val="20"/>
                <w:szCs w:val="20"/>
              </w:rPr>
              <w:t> </w:t>
            </w:r>
          </w:p>
        </w:tc>
      </w:tr>
      <w:tr w:rsidR="003B5028" w:rsidRPr="003B5028" w14:paraId="7FD073A6" w14:textId="77777777" w:rsidTr="003B5028">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hideMark/>
          </w:tcPr>
          <w:p w14:paraId="0BDD55C3"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rPr>
              <w:t> </w:t>
            </w:r>
          </w:p>
        </w:tc>
        <w:tc>
          <w:tcPr>
            <w:tcW w:w="2283" w:type="dxa"/>
            <w:tcBorders>
              <w:top w:val="single" w:sz="4" w:space="0" w:color="auto"/>
              <w:left w:val="single" w:sz="4" w:space="0" w:color="auto"/>
              <w:bottom w:val="single" w:sz="4" w:space="0" w:color="auto"/>
              <w:right w:val="single" w:sz="4" w:space="0" w:color="auto"/>
            </w:tcBorders>
            <w:shd w:val="clear" w:color="auto" w:fill="FFFFFF"/>
            <w:hideMark/>
          </w:tcPr>
          <w:p w14:paraId="452FDE53"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Cyber Security</w:t>
            </w:r>
            <w:r w:rsidRPr="003B5028">
              <w:rPr>
                <w:rFonts w:ascii="Segoe UI" w:hAnsi="Segoe UI" w:cs="Segoe UI"/>
                <w:sz w:val="20"/>
                <w:szCs w:val="20"/>
              </w:rPr>
              <w:t> </w:t>
            </w:r>
          </w:p>
        </w:tc>
        <w:tc>
          <w:tcPr>
            <w:tcW w:w="5230" w:type="dxa"/>
            <w:tcBorders>
              <w:top w:val="single" w:sz="4" w:space="0" w:color="auto"/>
              <w:left w:val="single" w:sz="4" w:space="0" w:color="auto"/>
              <w:bottom w:val="single" w:sz="4" w:space="0" w:color="auto"/>
              <w:right w:val="single" w:sz="4" w:space="0" w:color="auto"/>
            </w:tcBorders>
            <w:shd w:val="clear" w:color="auto" w:fill="FFFFFF"/>
            <w:hideMark/>
          </w:tcPr>
          <w:p w14:paraId="5870F0BD" w14:textId="77777777" w:rsidR="003B5028" w:rsidRPr="003B5028" w:rsidRDefault="003B5028" w:rsidP="003B5028">
            <w:pPr>
              <w:jc w:val="both"/>
              <w:rPr>
                <w:rFonts w:ascii="Segoe UI" w:hAnsi="Segoe UI" w:cs="Segoe UI"/>
                <w:sz w:val="20"/>
                <w:szCs w:val="20"/>
              </w:rPr>
            </w:pPr>
            <w:r w:rsidRPr="003B5028">
              <w:rPr>
                <w:rFonts w:ascii="Segoe UI" w:hAnsi="Segoe UI" w:cs="Segoe UI"/>
                <w:sz w:val="20"/>
                <w:szCs w:val="20"/>
                <w:lang w:val="en-GB"/>
              </w:rPr>
              <w:t>€5 Million</w:t>
            </w:r>
            <w:r w:rsidRPr="003B5028">
              <w:rPr>
                <w:rFonts w:ascii="Segoe UI" w:hAnsi="Segoe UI" w:cs="Segoe UI"/>
                <w:sz w:val="20"/>
                <w:szCs w:val="20"/>
              </w:rPr>
              <w:t> </w:t>
            </w:r>
          </w:p>
        </w:tc>
      </w:tr>
    </w:tbl>
    <w:p w14:paraId="580EA69B" w14:textId="77777777" w:rsidR="00E26840" w:rsidRPr="00E26840" w:rsidRDefault="00E26840" w:rsidP="00E26840">
      <w:pPr>
        <w:jc w:val="both"/>
        <w:rPr>
          <w:rFonts w:ascii="Segoe UI" w:hAnsi="Segoe UI" w:cs="Segoe UI"/>
          <w:sz w:val="20"/>
          <w:szCs w:val="20"/>
        </w:rPr>
      </w:pPr>
    </w:p>
    <w:p w14:paraId="59BD1B33" w14:textId="1E362D46" w:rsidR="003C2305" w:rsidRPr="00787B4B" w:rsidRDefault="003C2305" w:rsidP="00BA5882">
      <w:pPr>
        <w:pStyle w:val="HPRAHeadingL1"/>
        <w:ind w:left="284" w:right="567" w:hanging="284"/>
        <w:rPr>
          <w:sz w:val="32"/>
        </w:rPr>
      </w:pPr>
      <w:bookmarkStart w:id="24" w:name="_Toc235785024"/>
      <w:r w:rsidRPr="00787B4B">
        <w:rPr>
          <w:sz w:val="32"/>
        </w:rPr>
        <w:t>Award Criteria</w:t>
      </w:r>
      <w:bookmarkEnd w:id="24"/>
    </w:p>
    <w:p w14:paraId="7CB23404" w14:textId="77777777" w:rsidR="00BA5882" w:rsidRDefault="00BA5882" w:rsidP="00BA5882">
      <w:pPr>
        <w:pStyle w:val="HPRAMainBodyText"/>
        <w:ind w:right="56"/>
        <w:rPr>
          <w:lang w:val="en-GB"/>
        </w:rPr>
      </w:pPr>
    </w:p>
    <w:p w14:paraId="534FEFA7" w14:textId="77777777" w:rsidR="00D72BB6" w:rsidRPr="00D72BB6" w:rsidRDefault="00D72BB6" w:rsidP="00D72BB6">
      <w:pPr>
        <w:jc w:val="both"/>
        <w:rPr>
          <w:rFonts w:ascii="Segoe UI" w:hAnsi="Segoe UI" w:cs="Segoe UI"/>
          <w:sz w:val="20"/>
          <w:szCs w:val="20"/>
        </w:rPr>
      </w:pPr>
      <w:r w:rsidRPr="00D72BB6">
        <w:rPr>
          <w:rFonts w:ascii="Segoe UI" w:hAnsi="Segoe UI" w:cs="Segoe UI"/>
          <w:sz w:val="20"/>
          <w:szCs w:val="20"/>
        </w:rPr>
        <w:lastRenderedPageBreak/>
        <w:t xml:space="preserve">Only tenders, which meet the selection criteria and are confirmed as valid and responsive to the specifications set out in this document will be evaluated against the award criteria. The contract will be awarded </w:t>
      </w:r>
      <w:proofErr w:type="gramStart"/>
      <w:r w:rsidRPr="00D72BB6">
        <w:rPr>
          <w:rFonts w:ascii="Segoe UI" w:hAnsi="Segoe UI" w:cs="Segoe UI"/>
          <w:sz w:val="20"/>
          <w:szCs w:val="20"/>
        </w:rPr>
        <w:t>on the basis of</w:t>
      </w:r>
      <w:proofErr w:type="gramEnd"/>
      <w:r w:rsidRPr="00D72BB6">
        <w:rPr>
          <w:rFonts w:ascii="Segoe UI" w:hAnsi="Segoe UI" w:cs="Segoe UI"/>
          <w:sz w:val="20"/>
          <w:szCs w:val="20"/>
        </w:rPr>
        <w:t xml:space="preserve"> the most economically advantageous tender as identified in accordance with the Award Criteria as set out in the table below. </w:t>
      </w:r>
    </w:p>
    <w:p w14:paraId="3CA9BAA0" w14:textId="77777777" w:rsidR="00D72BB6" w:rsidRPr="00D72BB6" w:rsidRDefault="00D72BB6" w:rsidP="00D72BB6">
      <w:pPr>
        <w:jc w:val="both"/>
        <w:rPr>
          <w:rFonts w:ascii="Segoe UI" w:hAnsi="Segoe UI" w:cs="Segoe UI"/>
          <w:sz w:val="20"/>
          <w:szCs w:val="20"/>
        </w:rPr>
      </w:pPr>
    </w:p>
    <w:p w14:paraId="5669679D" w14:textId="77777777" w:rsidR="00D72BB6" w:rsidRDefault="00D72BB6" w:rsidP="00D72BB6">
      <w:pPr>
        <w:jc w:val="both"/>
        <w:rPr>
          <w:rFonts w:ascii="Segoe UI" w:hAnsi="Segoe UI" w:cs="Segoe UI"/>
          <w:sz w:val="20"/>
          <w:szCs w:val="20"/>
        </w:rPr>
      </w:pPr>
      <w:r w:rsidRPr="00D72BB6">
        <w:rPr>
          <w:rFonts w:ascii="Segoe UI" w:hAnsi="Segoe UI" w:cs="Segoe UI"/>
          <w:sz w:val="20"/>
          <w:szCs w:val="20"/>
        </w:rPr>
        <w:t>Tenderers should ensure that they have submitted sufficient relevant information to allow tenders to be assessed under each of the award criteria set out below.</w:t>
      </w:r>
    </w:p>
    <w:p w14:paraId="3203E776" w14:textId="77777777" w:rsidR="00DE09E7" w:rsidRDefault="00DE09E7" w:rsidP="00D72BB6">
      <w:pPr>
        <w:jc w:val="both"/>
        <w:rPr>
          <w:rFonts w:ascii="Segoe UI" w:hAnsi="Segoe UI" w:cs="Segoe UI"/>
          <w:sz w:val="20"/>
          <w:szCs w:val="20"/>
        </w:rPr>
      </w:pPr>
    </w:p>
    <w:p w14:paraId="4AF52989" w14:textId="77777777" w:rsidR="00596E1F" w:rsidRDefault="00596E1F">
      <w:pPr>
        <w:jc w:val="both"/>
        <w:rPr>
          <w:sz w:val="20"/>
          <w:szCs w:val="20"/>
        </w:rPr>
      </w:pPr>
    </w:p>
    <w:p w14:paraId="0C8AE081" w14:textId="7EDDB475" w:rsidR="00596E1F" w:rsidRPr="00596E1F" w:rsidRDefault="00596E1F" w:rsidP="00596E1F">
      <w:pPr>
        <w:spacing w:line="300" w:lineRule="atLeast"/>
        <w:rPr>
          <w:rFonts w:ascii="Segoe UI" w:eastAsia="Times New Roman" w:hAnsi="Segoe UI" w:cs="Segoe UI"/>
          <w:sz w:val="21"/>
          <w:szCs w:val="21"/>
          <w:lang w:eastAsia="en-IE"/>
        </w:rPr>
      </w:pPr>
      <w:r w:rsidRPr="00596E1F">
        <w:rPr>
          <w:rFonts w:ascii="Segoe UI" w:eastAsia="Times New Roman" w:hAnsi="Segoe UI" w:cs="Segoe UI"/>
          <w:sz w:val="21"/>
          <w:szCs w:val="21"/>
          <w:lang w:eastAsia="en-IE"/>
        </w:rPr>
        <w:t>The evaluation will be conducted in two stages. A maximum of 9,000 marks will be awarded for the written proposal. Following the evaluation of written tenders, the Contracting Authority reserves the right to invite the highest-scoring tenderers to participate in a software demonstration. A maximum of 100</w:t>
      </w:r>
      <w:r>
        <w:rPr>
          <w:rFonts w:ascii="Segoe UI" w:eastAsia="Times New Roman" w:hAnsi="Segoe UI" w:cs="Segoe UI"/>
          <w:sz w:val="21"/>
          <w:szCs w:val="21"/>
          <w:lang w:eastAsia="en-IE"/>
        </w:rPr>
        <w:t>0</w:t>
      </w:r>
      <w:r w:rsidRPr="00596E1F">
        <w:rPr>
          <w:rFonts w:ascii="Segoe UI" w:eastAsia="Times New Roman" w:hAnsi="Segoe UI" w:cs="Segoe UI"/>
          <w:sz w:val="21"/>
          <w:szCs w:val="21"/>
          <w:lang w:eastAsia="en-IE"/>
        </w:rPr>
        <w:t xml:space="preserve"> marks will be awarded for the demonstration stage. The demonstration will be evaluated in accordance with the published award criteria and weightings set out </w:t>
      </w:r>
      <w:r>
        <w:rPr>
          <w:rFonts w:ascii="Segoe UI" w:eastAsia="Times New Roman" w:hAnsi="Segoe UI" w:cs="Segoe UI"/>
          <w:sz w:val="21"/>
          <w:szCs w:val="21"/>
          <w:lang w:eastAsia="en-IE"/>
        </w:rPr>
        <w:t>below</w:t>
      </w:r>
      <w:r w:rsidRPr="00596E1F">
        <w:rPr>
          <w:rFonts w:ascii="Segoe UI" w:eastAsia="Times New Roman" w:hAnsi="Segoe UI" w:cs="Segoe UI"/>
          <w:sz w:val="21"/>
          <w:szCs w:val="21"/>
          <w:lang w:eastAsia="en-IE"/>
        </w:rPr>
        <w:t>.”</w:t>
      </w:r>
    </w:p>
    <w:p w14:paraId="028C429A" w14:textId="77777777" w:rsidR="00596E1F" w:rsidRDefault="00596E1F">
      <w:pPr>
        <w:jc w:val="both"/>
        <w:rPr>
          <w:kern w:val="2"/>
          <w:lang w:eastAsia="en-IE"/>
          <w14:ligatures w14:val="standardContextual"/>
        </w:rPr>
      </w:pPr>
    </w:p>
    <w:p w14:paraId="24B8C38F" w14:textId="77777777" w:rsidR="00D72BB6" w:rsidRPr="00D72BB6" w:rsidRDefault="00D72BB6" w:rsidP="00D72BB6">
      <w:pPr>
        <w:jc w:val="both"/>
        <w:rPr>
          <w:rFonts w:ascii="Segoe UI" w:hAnsi="Segoe UI" w:cs="Segoe UI"/>
          <w:sz w:val="20"/>
          <w:szCs w:val="20"/>
        </w:rPr>
      </w:pPr>
    </w:p>
    <w:p w14:paraId="24EA9BBA" w14:textId="77777777" w:rsidR="00B91A18" w:rsidRDefault="00B91A18" w:rsidP="009C1620">
      <w:pPr>
        <w:jc w:val="both"/>
        <w:rPr>
          <w:rFonts w:ascii="Segoe UI" w:hAnsi="Segoe UI" w:cs="Segoe UI"/>
          <w:sz w:val="20"/>
          <w:szCs w:val="20"/>
        </w:rPr>
      </w:pPr>
    </w:p>
    <w:tbl>
      <w:tblPr>
        <w:tblStyle w:val="GridTable4-Accent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410"/>
        <w:gridCol w:w="2551"/>
        <w:gridCol w:w="2268"/>
      </w:tblGrid>
      <w:tr w:rsidR="00077791" w:rsidRPr="00032B89" w14:paraId="727E12ED" w14:textId="77777777" w:rsidTr="006A69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right w:val="none" w:sz="0" w:space="0" w:color="auto"/>
            </w:tcBorders>
            <w:shd w:val="clear" w:color="auto" w:fill="007041" w:themeFill="accent4"/>
          </w:tcPr>
          <w:p w14:paraId="39BC3CBE" w14:textId="77777777" w:rsidR="00077791" w:rsidRPr="003A2585" w:rsidRDefault="00077791" w:rsidP="006A69A7">
            <w:pPr>
              <w:pStyle w:val="HPRAMainBodyText"/>
              <w:ind w:left="567" w:right="567"/>
              <w:jc w:val="center"/>
              <w:rPr>
                <w:lang w:val="en-GB"/>
              </w:rPr>
            </w:pPr>
            <w:r w:rsidRPr="003A2585">
              <w:rPr>
                <w:lang w:val="en-GB"/>
              </w:rPr>
              <w:t>Criterion A</w:t>
            </w:r>
          </w:p>
        </w:tc>
        <w:tc>
          <w:tcPr>
            <w:tcW w:w="2410" w:type="dxa"/>
            <w:tcBorders>
              <w:top w:val="none" w:sz="0" w:space="0" w:color="auto"/>
              <w:left w:val="none" w:sz="0" w:space="0" w:color="auto"/>
              <w:bottom w:val="none" w:sz="0" w:space="0" w:color="auto"/>
              <w:right w:val="none" w:sz="0" w:space="0" w:color="auto"/>
            </w:tcBorders>
            <w:shd w:val="clear" w:color="auto" w:fill="007041" w:themeFill="accent4"/>
          </w:tcPr>
          <w:p w14:paraId="05730EFB" w14:textId="3F8AB805" w:rsidR="00077791" w:rsidRPr="003A2585" w:rsidRDefault="00077791" w:rsidP="006A69A7">
            <w:pPr>
              <w:pStyle w:val="HPRAMainBodyText"/>
              <w:ind w:left="567" w:right="567"/>
              <w:jc w:val="center"/>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Weighting</w:t>
            </w:r>
          </w:p>
        </w:tc>
        <w:tc>
          <w:tcPr>
            <w:tcW w:w="2551" w:type="dxa"/>
            <w:tcBorders>
              <w:top w:val="none" w:sz="0" w:space="0" w:color="auto"/>
              <w:left w:val="none" w:sz="0" w:space="0" w:color="auto"/>
              <w:bottom w:val="none" w:sz="0" w:space="0" w:color="auto"/>
              <w:right w:val="none" w:sz="0" w:space="0" w:color="auto"/>
            </w:tcBorders>
            <w:shd w:val="clear" w:color="auto" w:fill="007041" w:themeFill="accent4"/>
          </w:tcPr>
          <w:p w14:paraId="2A127160" w14:textId="77777777" w:rsidR="00077791" w:rsidRPr="003A2585" w:rsidRDefault="00077791" w:rsidP="006A69A7">
            <w:pPr>
              <w:pStyle w:val="HPRAMainBodyText"/>
              <w:ind w:left="567" w:right="567"/>
              <w:jc w:val="center"/>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Maximum Marks</w:t>
            </w:r>
          </w:p>
        </w:tc>
        <w:tc>
          <w:tcPr>
            <w:tcW w:w="2268" w:type="dxa"/>
            <w:tcBorders>
              <w:top w:val="none" w:sz="0" w:space="0" w:color="auto"/>
              <w:left w:val="none" w:sz="0" w:space="0" w:color="auto"/>
              <w:bottom w:val="none" w:sz="0" w:space="0" w:color="auto"/>
              <w:right w:val="none" w:sz="0" w:space="0" w:color="auto"/>
            </w:tcBorders>
            <w:shd w:val="clear" w:color="auto" w:fill="007041" w:themeFill="accent4"/>
          </w:tcPr>
          <w:p w14:paraId="20944093" w14:textId="47C26119" w:rsidR="00077791" w:rsidRPr="003A2585" w:rsidRDefault="00077791" w:rsidP="006A69A7">
            <w:pPr>
              <w:pStyle w:val="HPRAMainBodyText"/>
              <w:ind w:left="567" w:right="567"/>
              <w:jc w:val="center"/>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Minimum Marks</w:t>
            </w:r>
          </w:p>
        </w:tc>
      </w:tr>
      <w:tr w:rsidR="00077791" w:rsidRPr="00032B89" w14:paraId="51AEA88D"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69A911E5" w14:textId="77777777" w:rsidR="00077791" w:rsidRPr="00B91A18" w:rsidRDefault="00077791" w:rsidP="006A69A7">
            <w:pPr>
              <w:pStyle w:val="HPRAMainBodyText"/>
              <w:ind w:left="567" w:right="567"/>
              <w:jc w:val="center"/>
              <w:rPr>
                <w:color w:val="FFFFFF" w:themeColor="background1"/>
                <w:lang w:val="en-GB"/>
              </w:rPr>
            </w:pPr>
          </w:p>
        </w:tc>
        <w:tc>
          <w:tcPr>
            <w:tcW w:w="2410" w:type="dxa"/>
            <w:shd w:val="clear" w:color="auto" w:fill="007041" w:themeFill="accent4"/>
          </w:tcPr>
          <w:p w14:paraId="16206B84"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w:t>
            </w:r>
          </w:p>
        </w:tc>
        <w:tc>
          <w:tcPr>
            <w:tcW w:w="2551" w:type="dxa"/>
            <w:shd w:val="clear" w:color="auto" w:fill="007041" w:themeFill="accent4"/>
          </w:tcPr>
          <w:p w14:paraId="74C95AF3"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3000</w:t>
            </w:r>
          </w:p>
        </w:tc>
        <w:tc>
          <w:tcPr>
            <w:tcW w:w="2268" w:type="dxa"/>
            <w:shd w:val="clear" w:color="auto" w:fill="007041" w:themeFill="accent4"/>
          </w:tcPr>
          <w:p w14:paraId="6BB31EBA"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N/A</w:t>
            </w:r>
          </w:p>
        </w:tc>
      </w:tr>
      <w:tr w:rsidR="00077791" w:rsidRPr="00032B89" w14:paraId="2B500348" w14:textId="77777777" w:rsidTr="006A69A7">
        <w:tc>
          <w:tcPr>
            <w:cnfStyle w:val="001000000000" w:firstRow="0" w:lastRow="0" w:firstColumn="1" w:lastColumn="0" w:oddVBand="0" w:evenVBand="0" w:oddHBand="0" w:evenHBand="0" w:firstRowFirstColumn="0" w:firstRowLastColumn="0" w:lastRowFirstColumn="0" w:lastRowLastColumn="0"/>
            <w:tcW w:w="2547" w:type="dxa"/>
          </w:tcPr>
          <w:p w14:paraId="3485011D" w14:textId="77777777" w:rsidR="00077791" w:rsidRPr="00032B89" w:rsidRDefault="00077791" w:rsidP="00E16842">
            <w:pPr>
              <w:pStyle w:val="HPRAMainBodyText"/>
              <w:ind w:left="567" w:right="567"/>
              <w:rPr>
                <w:lang w:val="en-GB"/>
              </w:rPr>
            </w:pPr>
            <w:r w:rsidRPr="00032B89">
              <w:rPr>
                <w:lang w:val="en-GB"/>
              </w:rPr>
              <w:t>Title</w:t>
            </w:r>
          </w:p>
        </w:tc>
        <w:tc>
          <w:tcPr>
            <w:tcW w:w="7229" w:type="dxa"/>
            <w:gridSpan w:val="3"/>
          </w:tcPr>
          <w:p w14:paraId="6D8891D8" w14:textId="7B37CF6B" w:rsidR="00077791" w:rsidRPr="00032B89" w:rsidRDefault="001159A6" w:rsidP="00E16842">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Ultimate Cost</w:t>
            </w:r>
            <w:r w:rsidR="00077791">
              <w:rPr>
                <w:b/>
                <w:bCs/>
                <w:lang w:val="en-GB"/>
              </w:rPr>
              <w:t xml:space="preserve"> (excluding VAT)</w:t>
            </w:r>
          </w:p>
        </w:tc>
      </w:tr>
      <w:tr w:rsidR="00077791" w:rsidRPr="00032B89" w14:paraId="50BC7815"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79AA5B7" w14:textId="77777777" w:rsidR="00077791" w:rsidRPr="00032B89" w:rsidRDefault="00077791" w:rsidP="00E16842">
            <w:pPr>
              <w:pStyle w:val="HPRAMainBodyText"/>
              <w:ind w:left="567" w:right="567"/>
              <w:rPr>
                <w:lang w:val="en-GB"/>
              </w:rPr>
            </w:pPr>
            <w:r w:rsidRPr="00032B89">
              <w:rPr>
                <w:lang w:val="en-GB"/>
              </w:rPr>
              <w:t>Description</w:t>
            </w:r>
          </w:p>
        </w:tc>
        <w:tc>
          <w:tcPr>
            <w:tcW w:w="7229" w:type="dxa"/>
            <w:gridSpan w:val="3"/>
            <w:shd w:val="clear" w:color="auto" w:fill="auto"/>
          </w:tcPr>
          <w:p w14:paraId="42D43F0A" w14:textId="77777777" w:rsidR="00077791" w:rsidRDefault="00077791" w:rsidP="00E16842">
            <w:pPr>
              <w:pStyle w:val="HPRAMainBodyText"/>
              <w:cnfStyle w:val="000000100000" w:firstRow="0" w:lastRow="0" w:firstColumn="0" w:lastColumn="0" w:oddVBand="0" w:evenVBand="0" w:oddHBand="1" w:evenHBand="0" w:firstRowFirstColumn="0" w:firstRowLastColumn="0" w:lastRowFirstColumn="0" w:lastRowLastColumn="0"/>
              <w:rPr>
                <w:lang w:val="en-GB"/>
              </w:rPr>
            </w:pPr>
            <w:r>
              <w:rPr>
                <w:lang w:val="en-GB"/>
              </w:rPr>
              <w:t>Suppliers are required to complete the pricing schedule in the Tender Response Document (TRD)</w:t>
            </w:r>
          </w:p>
          <w:p w14:paraId="63832923" w14:textId="77777777" w:rsidR="00077791" w:rsidRDefault="00077791" w:rsidP="00E16842">
            <w:pPr>
              <w:pStyle w:val="HPRAMainBodyText"/>
              <w:cnfStyle w:val="000000100000" w:firstRow="0" w:lastRow="0" w:firstColumn="0" w:lastColumn="0" w:oddVBand="0" w:evenVBand="0" w:oddHBand="1" w:evenHBand="0" w:firstRowFirstColumn="0" w:firstRowLastColumn="0" w:lastRowFirstColumn="0" w:lastRowLastColumn="0"/>
              <w:rPr>
                <w:lang w:val="en-GB"/>
              </w:rPr>
            </w:pPr>
          </w:p>
          <w:p w14:paraId="39CE20FF" w14:textId="6C6C15F6" w:rsidR="00077791" w:rsidRPr="004E722D" w:rsidRDefault="00077791">
            <w:pPr>
              <w:numPr>
                <w:ilvl w:val="0"/>
                <w:numId w:val="25"/>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Pr>
                <w:rFonts w:ascii="Segoe UI" w:eastAsia="Segoe UI" w:hAnsi="Segoe UI" w:cs="Segoe UI"/>
                <w:b/>
                <w:bCs/>
                <w:sz w:val="20"/>
                <w:szCs w:val="20"/>
              </w:rPr>
              <w:t>Licensing Cost</w:t>
            </w:r>
            <w:r w:rsidRPr="00C439D6">
              <w:rPr>
                <w:rFonts w:ascii="Segoe UI" w:eastAsia="Segoe UI" w:hAnsi="Segoe UI" w:cs="Segoe UI"/>
                <w:b/>
                <w:bCs/>
                <w:sz w:val="20"/>
                <w:szCs w:val="20"/>
              </w:rPr>
              <w:t>:</w:t>
            </w:r>
            <w:r w:rsidRPr="004E722D">
              <w:rPr>
                <w:rFonts w:ascii="Segoe UI" w:eastAsia="Segoe UI" w:hAnsi="Segoe UI" w:cs="Segoe UI"/>
                <w:sz w:val="20"/>
                <w:szCs w:val="20"/>
              </w:rPr>
              <w:t xml:space="preserve"> Tenderers </w:t>
            </w:r>
            <w:r>
              <w:rPr>
                <w:rFonts w:ascii="Segoe UI" w:eastAsia="Segoe UI" w:hAnsi="Segoe UI" w:cs="Segoe UI"/>
                <w:sz w:val="20"/>
                <w:szCs w:val="20"/>
              </w:rPr>
              <w:t>must update the table provided in the TRD in respect of annual licensing costs</w:t>
            </w:r>
            <w:r w:rsidR="00701C4B">
              <w:rPr>
                <w:rFonts w:ascii="Segoe UI" w:eastAsia="Segoe UI" w:hAnsi="Segoe UI" w:cs="Segoe UI"/>
                <w:sz w:val="20"/>
                <w:szCs w:val="20"/>
              </w:rPr>
              <w:t xml:space="preserve"> </w:t>
            </w:r>
            <w:r w:rsidR="00066D27">
              <w:rPr>
                <w:rFonts w:ascii="Segoe UI" w:eastAsia="Segoe UI" w:hAnsi="Segoe UI" w:cs="Segoe UI"/>
                <w:sz w:val="20"/>
                <w:szCs w:val="20"/>
              </w:rPr>
              <w:t xml:space="preserve">(60% </w:t>
            </w:r>
            <w:r w:rsidR="00701C4B">
              <w:rPr>
                <w:rFonts w:ascii="Segoe UI" w:eastAsia="Segoe UI" w:hAnsi="Segoe UI" w:cs="Segoe UI"/>
                <w:sz w:val="20"/>
                <w:szCs w:val="20"/>
              </w:rPr>
              <w:t>of Ultimate Cost marks</w:t>
            </w:r>
            <w:r w:rsidR="00066D27">
              <w:rPr>
                <w:rFonts w:ascii="Segoe UI" w:eastAsia="Segoe UI" w:hAnsi="Segoe UI" w:cs="Segoe UI"/>
                <w:sz w:val="20"/>
                <w:szCs w:val="20"/>
              </w:rPr>
              <w:t>)</w:t>
            </w:r>
            <w:r w:rsidR="00701C4B">
              <w:rPr>
                <w:rFonts w:ascii="Segoe UI" w:eastAsia="Segoe UI" w:hAnsi="Segoe UI" w:cs="Segoe UI"/>
                <w:sz w:val="20"/>
                <w:szCs w:val="20"/>
              </w:rPr>
              <w:t>.</w:t>
            </w:r>
          </w:p>
          <w:p w14:paraId="33D4A516" w14:textId="6363579C" w:rsidR="00077791" w:rsidRDefault="00077791">
            <w:pPr>
              <w:numPr>
                <w:ilvl w:val="0"/>
                <w:numId w:val="25"/>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Pr>
                <w:rFonts w:ascii="Segoe UI" w:eastAsia="Segoe UI" w:hAnsi="Segoe UI" w:cs="Segoe UI"/>
                <w:b/>
                <w:bCs/>
                <w:sz w:val="20"/>
                <w:szCs w:val="20"/>
              </w:rPr>
              <w:t>Implementation Cost:</w:t>
            </w:r>
            <w:r>
              <w:rPr>
                <w:rFonts w:ascii="Segoe UI" w:eastAsia="Segoe UI" w:hAnsi="Segoe UI" w:cs="Segoe UI"/>
                <w:sz w:val="20"/>
                <w:szCs w:val="20"/>
              </w:rPr>
              <w:t xml:space="preserve"> Tenderers must update the table provided in the TRD in respect of implementation project costs</w:t>
            </w:r>
            <w:r w:rsidR="00066D27">
              <w:rPr>
                <w:rFonts w:ascii="Segoe UI" w:eastAsia="Segoe UI" w:hAnsi="Segoe UI" w:cs="Segoe UI"/>
                <w:sz w:val="20"/>
                <w:szCs w:val="20"/>
              </w:rPr>
              <w:t xml:space="preserve"> (30% of </w:t>
            </w:r>
            <w:r w:rsidR="00701C4B">
              <w:rPr>
                <w:rFonts w:ascii="Segoe UI" w:eastAsia="Segoe UI" w:hAnsi="Segoe UI" w:cs="Segoe UI"/>
                <w:sz w:val="20"/>
                <w:szCs w:val="20"/>
              </w:rPr>
              <w:t>Ultimate Cost marks).</w:t>
            </w:r>
          </w:p>
          <w:p w14:paraId="7FCE1DA5" w14:textId="7B0FE83E" w:rsidR="00077791" w:rsidRDefault="00077791">
            <w:pPr>
              <w:numPr>
                <w:ilvl w:val="0"/>
                <w:numId w:val="25"/>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Pr>
                <w:rFonts w:ascii="Segoe UI" w:eastAsia="Segoe UI" w:hAnsi="Segoe UI" w:cs="Segoe UI"/>
                <w:b/>
                <w:bCs/>
                <w:sz w:val="20"/>
                <w:szCs w:val="20"/>
              </w:rPr>
              <w:t>Additional Resourcing Costs</w:t>
            </w:r>
            <w:r w:rsidRPr="00C439D6">
              <w:rPr>
                <w:rFonts w:ascii="Segoe UI" w:eastAsia="Segoe UI" w:hAnsi="Segoe UI" w:cs="Segoe UI"/>
                <w:b/>
                <w:bCs/>
                <w:sz w:val="20"/>
                <w:szCs w:val="20"/>
              </w:rPr>
              <w:t>:</w:t>
            </w:r>
            <w:r>
              <w:rPr>
                <w:rFonts w:ascii="Segoe UI" w:eastAsia="Segoe UI" w:hAnsi="Segoe UI" w:cs="Segoe UI"/>
                <w:sz w:val="20"/>
                <w:szCs w:val="20"/>
              </w:rPr>
              <w:t xml:space="preserve"> </w:t>
            </w:r>
            <w:r w:rsidRPr="004E722D">
              <w:rPr>
                <w:rFonts w:ascii="Segoe UI" w:eastAsia="Segoe UI" w:hAnsi="Segoe UI" w:cs="Segoe UI"/>
                <w:sz w:val="20"/>
                <w:szCs w:val="20"/>
              </w:rPr>
              <w:t xml:space="preserve">Tenderers </w:t>
            </w:r>
            <w:r>
              <w:rPr>
                <w:rFonts w:ascii="Segoe UI" w:eastAsia="Segoe UI" w:hAnsi="Segoe UI" w:cs="Segoe UI"/>
                <w:sz w:val="20"/>
                <w:szCs w:val="20"/>
              </w:rPr>
              <w:t>must update the table provided in the TRD in respect of additional resourcing costs</w:t>
            </w:r>
            <w:r w:rsidR="00701C4B">
              <w:rPr>
                <w:rFonts w:ascii="Segoe UI" w:eastAsia="Segoe UI" w:hAnsi="Segoe UI" w:cs="Segoe UI"/>
                <w:sz w:val="20"/>
                <w:szCs w:val="20"/>
              </w:rPr>
              <w:t xml:space="preserve"> (10% of Ultimate Cost marks).</w:t>
            </w:r>
          </w:p>
          <w:p w14:paraId="21544F49" w14:textId="77777777" w:rsidR="00077791" w:rsidRDefault="00077791" w:rsidP="00E16842">
            <w:p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3A725F3D" w14:textId="77777777" w:rsidR="00077791" w:rsidRPr="00452DCB" w:rsidRDefault="00077791" w:rsidP="00E16842">
            <w:pPr>
              <w:pStyle w:val="HPRAMainBodyText"/>
              <w:ind w:left="567" w:right="567"/>
              <w:cnfStyle w:val="000000100000" w:firstRow="0" w:lastRow="0" w:firstColumn="0" w:lastColumn="0" w:oddVBand="0" w:evenVBand="0" w:oddHBand="1" w:evenHBand="0" w:firstRowFirstColumn="0" w:firstRowLastColumn="0" w:lastRowFirstColumn="0" w:lastRowLastColumn="0"/>
            </w:pPr>
          </w:p>
        </w:tc>
      </w:tr>
      <w:tr w:rsidR="00077791" w:rsidRPr="00032B89" w14:paraId="11124824" w14:textId="77777777" w:rsidTr="006A69A7">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69579E0F" w14:textId="77777777" w:rsidR="00077791" w:rsidRPr="003A2585" w:rsidRDefault="00077791" w:rsidP="006A69A7">
            <w:pPr>
              <w:pStyle w:val="HPRAMainBodyText"/>
              <w:ind w:left="567" w:right="567"/>
              <w:jc w:val="center"/>
              <w:rPr>
                <w:color w:val="FFFFFF" w:themeColor="background1"/>
                <w:lang w:val="en-GB"/>
              </w:rPr>
            </w:pPr>
            <w:r w:rsidRPr="003A2585">
              <w:rPr>
                <w:color w:val="FFFFFF" w:themeColor="background1"/>
                <w:lang w:val="en-GB"/>
              </w:rPr>
              <w:t>Criterion B</w:t>
            </w:r>
          </w:p>
        </w:tc>
        <w:tc>
          <w:tcPr>
            <w:tcW w:w="2410" w:type="dxa"/>
            <w:shd w:val="clear" w:color="auto" w:fill="007041" w:themeFill="accent4"/>
          </w:tcPr>
          <w:p w14:paraId="61579CE2" w14:textId="3D22AE36"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Weighting</w:t>
            </w:r>
          </w:p>
        </w:tc>
        <w:tc>
          <w:tcPr>
            <w:tcW w:w="2551" w:type="dxa"/>
            <w:shd w:val="clear" w:color="auto" w:fill="007041" w:themeFill="accent4"/>
          </w:tcPr>
          <w:p w14:paraId="792A7878" w14:textId="77777777"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268" w:type="dxa"/>
            <w:shd w:val="clear" w:color="auto" w:fill="007041" w:themeFill="accent4"/>
          </w:tcPr>
          <w:p w14:paraId="6D5C82C9" w14:textId="2E933B34"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 xml:space="preserve">Marks  </w:t>
            </w:r>
            <w:r w:rsidR="006A69A7">
              <w:rPr>
                <w:b/>
                <w:bCs/>
                <w:color w:val="FFFFFF" w:themeColor="background1"/>
                <w:lang w:val="en-GB"/>
              </w:rPr>
              <w:t>6</w:t>
            </w:r>
            <w:r w:rsidRPr="003A2585">
              <w:rPr>
                <w:b/>
                <w:bCs/>
                <w:color w:val="FFFFFF" w:themeColor="background1"/>
                <w:lang w:val="en-GB"/>
              </w:rPr>
              <w:t>0</w:t>
            </w:r>
            <w:proofErr w:type="gramEnd"/>
            <w:r w:rsidRPr="003A2585">
              <w:rPr>
                <w:b/>
                <w:bCs/>
                <w:color w:val="FFFFFF" w:themeColor="background1"/>
                <w:lang w:val="en-GB"/>
              </w:rPr>
              <w:t>%</w:t>
            </w:r>
          </w:p>
        </w:tc>
      </w:tr>
      <w:tr w:rsidR="00077791" w:rsidRPr="00032B89" w14:paraId="4E29AB79"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05664EF2" w14:textId="77777777" w:rsidR="00077791" w:rsidRPr="003A2585" w:rsidRDefault="00077791" w:rsidP="006A69A7">
            <w:pPr>
              <w:pStyle w:val="HPRAMainBodyText"/>
              <w:ind w:left="567" w:right="567"/>
              <w:jc w:val="center"/>
              <w:rPr>
                <w:color w:val="FFFFFF" w:themeColor="background1"/>
                <w:lang w:val="en-GB"/>
              </w:rPr>
            </w:pPr>
          </w:p>
        </w:tc>
        <w:tc>
          <w:tcPr>
            <w:tcW w:w="2410" w:type="dxa"/>
            <w:shd w:val="clear" w:color="auto" w:fill="007041" w:themeFill="accent4"/>
          </w:tcPr>
          <w:p w14:paraId="40EF406D"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w:t>
            </w:r>
            <w:r w:rsidRPr="00B91A18">
              <w:rPr>
                <w:b/>
                <w:color w:val="FFFFFF" w:themeColor="background1"/>
                <w:lang w:val="en-GB"/>
              </w:rPr>
              <w:t>0%</w:t>
            </w:r>
          </w:p>
        </w:tc>
        <w:tc>
          <w:tcPr>
            <w:tcW w:w="2551" w:type="dxa"/>
            <w:shd w:val="clear" w:color="auto" w:fill="007041" w:themeFill="accent4"/>
          </w:tcPr>
          <w:p w14:paraId="35877D60"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w:t>
            </w:r>
            <w:r w:rsidRPr="00B91A18">
              <w:rPr>
                <w:b/>
                <w:color w:val="FFFFFF" w:themeColor="background1"/>
                <w:lang w:val="en-GB"/>
              </w:rPr>
              <w:t>000</w:t>
            </w:r>
          </w:p>
        </w:tc>
        <w:tc>
          <w:tcPr>
            <w:tcW w:w="2268" w:type="dxa"/>
            <w:shd w:val="clear" w:color="auto" w:fill="007041" w:themeFill="accent4"/>
          </w:tcPr>
          <w:p w14:paraId="29E1954E" w14:textId="38BE30DB" w:rsidR="00077791" w:rsidRPr="00B91A18" w:rsidRDefault="002D1968"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w:t>
            </w:r>
            <w:r w:rsidR="006A69A7">
              <w:rPr>
                <w:b/>
                <w:color w:val="FFFFFF" w:themeColor="background1"/>
                <w:lang w:val="en-GB"/>
              </w:rPr>
              <w:t>4</w:t>
            </w:r>
            <w:r w:rsidR="00077791" w:rsidRPr="00B91A18">
              <w:rPr>
                <w:b/>
                <w:color w:val="FFFFFF" w:themeColor="background1"/>
                <w:lang w:val="en-GB"/>
              </w:rPr>
              <w:t>00</w:t>
            </w:r>
          </w:p>
        </w:tc>
      </w:tr>
      <w:tr w:rsidR="00077791" w:rsidRPr="00032B89" w14:paraId="2A00FC4B" w14:textId="77777777" w:rsidTr="006A69A7">
        <w:tc>
          <w:tcPr>
            <w:cnfStyle w:val="001000000000" w:firstRow="0" w:lastRow="0" w:firstColumn="1" w:lastColumn="0" w:oddVBand="0" w:evenVBand="0" w:oddHBand="0" w:evenHBand="0" w:firstRowFirstColumn="0" w:firstRowLastColumn="0" w:lastRowFirstColumn="0" w:lastRowLastColumn="0"/>
            <w:tcW w:w="2547" w:type="dxa"/>
          </w:tcPr>
          <w:p w14:paraId="2FA42E81" w14:textId="77777777" w:rsidR="00077791" w:rsidRPr="00032B89" w:rsidRDefault="00077791" w:rsidP="00E16842">
            <w:pPr>
              <w:pStyle w:val="HPRAMainBodyText"/>
              <w:ind w:left="567" w:right="567"/>
              <w:rPr>
                <w:lang w:val="en-GB"/>
              </w:rPr>
            </w:pPr>
            <w:r w:rsidRPr="00032B89">
              <w:rPr>
                <w:lang w:val="en-GB"/>
              </w:rPr>
              <w:t>Title</w:t>
            </w:r>
          </w:p>
        </w:tc>
        <w:tc>
          <w:tcPr>
            <w:tcW w:w="7229" w:type="dxa"/>
            <w:gridSpan w:val="3"/>
          </w:tcPr>
          <w:p w14:paraId="4898D3C5" w14:textId="77777777" w:rsidR="00077791" w:rsidRPr="00032B89" w:rsidRDefault="00077791" w:rsidP="00E16842">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Technical Merit</w:t>
            </w:r>
          </w:p>
        </w:tc>
      </w:tr>
      <w:tr w:rsidR="00077791" w:rsidRPr="00032B89" w14:paraId="2224A368"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2DB86EB" w14:textId="77777777" w:rsidR="00077791" w:rsidRPr="00032B89" w:rsidRDefault="00077791" w:rsidP="00E16842">
            <w:pPr>
              <w:pStyle w:val="HPRAMainBodyText"/>
              <w:ind w:left="567" w:right="567"/>
              <w:rPr>
                <w:lang w:val="en-GB"/>
              </w:rPr>
            </w:pPr>
            <w:r w:rsidRPr="00032B89">
              <w:rPr>
                <w:lang w:val="en-GB"/>
              </w:rPr>
              <w:t>Description</w:t>
            </w:r>
          </w:p>
        </w:tc>
        <w:tc>
          <w:tcPr>
            <w:tcW w:w="7229" w:type="dxa"/>
            <w:gridSpan w:val="3"/>
            <w:shd w:val="clear" w:color="auto" w:fill="auto"/>
          </w:tcPr>
          <w:p w14:paraId="3AD3854B" w14:textId="49EC641F" w:rsidR="00077791" w:rsidRPr="0078018D" w:rsidRDefault="00322EFB" w:rsidP="00CE61DE">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Pr>
                <w:rFonts w:ascii="Segoe UI" w:eastAsia="Segoe UI" w:hAnsi="Segoe UI" w:cs="Segoe UI"/>
                <w:b/>
                <w:bCs/>
                <w:sz w:val="20"/>
                <w:szCs w:val="20"/>
              </w:rPr>
              <w:t xml:space="preserve">Fit to </w:t>
            </w:r>
            <w:r w:rsidR="00077791" w:rsidRPr="0078018D">
              <w:rPr>
                <w:rFonts w:ascii="Segoe UI" w:eastAsia="Segoe UI" w:hAnsi="Segoe UI" w:cs="Segoe UI"/>
                <w:b/>
                <w:bCs/>
                <w:sz w:val="20"/>
                <w:szCs w:val="20"/>
              </w:rPr>
              <w:t>Requirements:</w:t>
            </w:r>
            <w:r w:rsidR="00077791" w:rsidRPr="0078018D">
              <w:rPr>
                <w:rFonts w:ascii="Segoe UI" w:eastAsia="Segoe UI" w:hAnsi="Segoe UI" w:cs="Segoe UI"/>
                <w:sz w:val="20"/>
                <w:szCs w:val="20"/>
              </w:rPr>
              <w:t xml:space="preserve"> Tenders </w:t>
            </w:r>
            <w:r w:rsidR="00AF6E33">
              <w:rPr>
                <w:rFonts w:ascii="Segoe UI" w:eastAsia="Segoe UI" w:hAnsi="Segoe UI" w:cs="Segoe UI"/>
                <w:sz w:val="20"/>
                <w:szCs w:val="20"/>
              </w:rPr>
              <w:t xml:space="preserve">solution demonstrably fits the requirements </w:t>
            </w:r>
            <w:r w:rsidR="00077791">
              <w:rPr>
                <w:rFonts w:ascii="Segoe UI" w:eastAsia="Segoe UI" w:hAnsi="Segoe UI" w:cs="Segoe UI"/>
                <w:sz w:val="20"/>
                <w:szCs w:val="20"/>
              </w:rPr>
              <w:t xml:space="preserve">as set out in section </w:t>
            </w:r>
            <w:r w:rsidR="001B2270">
              <w:rPr>
                <w:rFonts w:ascii="Segoe UI" w:eastAsia="Segoe UI" w:hAnsi="Segoe UI" w:cs="Segoe UI"/>
                <w:sz w:val="20"/>
                <w:szCs w:val="20"/>
              </w:rPr>
              <w:t xml:space="preserve">2.1 </w:t>
            </w:r>
            <w:r w:rsidR="00C82E0F">
              <w:rPr>
                <w:rFonts w:ascii="Segoe UI" w:eastAsia="Segoe UI" w:hAnsi="Segoe UI" w:cs="Segoe UI"/>
                <w:sz w:val="20"/>
                <w:szCs w:val="20"/>
              </w:rPr>
              <w:t xml:space="preserve">Solution </w:t>
            </w:r>
            <w:r w:rsidR="001B2270">
              <w:rPr>
                <w:rFonts w:ascii="Segoe UI" w:eastAsia="Segoe UI" w:hAnsi="Segoe UI" w:cs="Segoe UI"/>
                <w:sz w:val="20"/>
                <w:szCs w:val="20"/>
              </w:rPr>
              <w:t>Requirements</w:t>
            </w:r>
            <w:r w:rsidR="00596E1F">
              <w:rPr>
                <w:rFonts w:ascii="Segoe UI" w:eastAsia="Segoe UI" w:hAnsi="Segoe UI" w:cs="Segoe UI"/>
                <w:sz w:val="20"/>
                <w:szCs w:val="20"/>
              </w:rPr>
              <w:t xml:space="preserve"> </w:t>
            </w:r>
          </w:p>
          <w:p w14:paraId="16ECE5CC" w14:textId="2AB6AF10" w:rsidR="00077791" w:rsidRPr="00346DA3" w:rsidRDefault="00077791" w:rsidP="00CE61DE">
            <w:pPr>
              <w:pStyle w:val="pf0"/>
              <w:numPr>
                <w:ilvl w:val="0"/>
                <w:numId w:val="31"/>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346DA3">
              <w:rPr>
                <w:rFonts w:ascii="Segoe UI" w:eastAsia="Segoe UI" w:hAnsi="Segoe UI" w:cs="Segoe UI"/>
                <w:b/>
                <w:bCs/>
                <w:sz w:val="20"/>
                <w:szCs w:val="20"/>
              </w:rPr>
              <w:t>Quality of the proposal:</w:t>
            </w:r>
            <w:r w:rsidRPr="00346DA3">
              <w:rPr>
                <w:rStyle w:val="HeaderChar"/>
                <w:rFonts w:eastAsiaTheme="minorEastAsia"/>
                <w:sz w:val="20"/>
                <w:szCs w:val="20"/>
              </w:rPr>
              <w:t xml:space="preserve"> </w:t>
            </w:r>
            <w:r w:rsidRPr="00346DA3">
              <w:rPr>
                <w:rFonts w:ascii="Segoe UI" w:eastAsia="Segoe UI" w:hAnsi="Segoe UI" w:cs="Segoe UI"/>
                <w:sz w:val="20"/>
                <w:szCs w:val="20"/>
              </w:rPr>
              <w:t>Tenderers will demonstrate the quality of their proposal and how this will benefit the HPRA.</w:t>
            </w:r>
          </w:p>
          <w:p w14:paraId="19387337" w14:textId="6A5B95DD" w:rsidR="00077791" w:rsidRPr="00346DA3" w:rsidRDefault="00077791" w:rsidP="00CE61DE">
            <w:pPr>
              <w:numPr>
                <w:ilvl w:val="0"/>
                <w:numId w:val="31"/>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346DA3">
              <w:rPr>
                <w:rFonts w:ascii="Segoe UI" w:eastAsia="Segoe UI" w:hAnsi="Segoe UI" w:cs="Segoe UI"/>
                <w:b/>
                <w:bCs/>
                <w:sz w:val="20"/>
                <w:szCs w:val="20"/>
              </w:rPr>
              <w:t>Innovation:</w:t>
            </w:r>
            <w:r w:rsidRPr="00346DA3">
              <w:rPr>
                <w:rFonts w:ascii="Segoe UI" w:eastAsia="Segoe UI" w:hAnsi="Segoe UI" w:cs="Segoe UI"/>
                <w:sz w:val="20"/>
                <w:szCs w:val="20"/>
              </w:rPr>
              <w:t xml:space="preserve"> Tenderers will be evaluated on how innovative their proposal in respect of the HPRA requirements.</w:t>
            </w:r>
          </w:p>
          <w:p w14:paraId="25A8CFFC" w14:textId="78CBAC3F" w:rsidR="00077791" w:rsidRPr="00F628CB" w:rsidRDefault="00596E1F" w:rsidP="00F628CB">
            <w:pPr>
              <w:pStyle w:val="ListParagraph"/>
              <w:numPr>
                <w:ilvl w:val="0"/>
                <w:numId w:val="31"/>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6A69A7">
              <w:rPr>
                <w:rFonts w:ascii="Segoe UI" w:eastAsia="Segoe UI" w:hAnsi="Segoe UI" w:cs="Segoe UI"/>
                <w:b/>
                <w:bCs/>
                <w:sz w:val="20"/>
                <w:szCs w:val="20"/>
              </w:rPr>
              <w:t>Demonstration</w:t>
            </w:r>
            <w:r>
              <w:rPr>
                <w:rFonts w:ascii="Segoe UI" w:eastAsia="Segoe UI" w:hAnsi="Segoe UI" w:cs="Segoe UI"/>
                <w:sz w:val="20"/>
                <w:szCs w:val="20"/>
              </w:rPr>
              <w:t xml:space="preserve">: Highest scoring tenderers will be </w:t>
            </w:r>
            <w:r w:rsidR="00D12820">
              <w:rPr>
                <w:rFonts w:ascii="Segoe UI" w:eastAsia="Segoe UI" w:hAnsi="Segoe UI" w:cs="Segoe UI"/>
                <w:sz w:val="20"/>
                <w:szCs w:val="20"/>
              </w:rPr>
              <w:t>invited</w:t>
            </w:r>
            <w:r>
              <w:rPr>
                <w:rFonts w:ascii="Segoe UI" w:eastAsia="Segoe UI" w:hAnsi="Segoe UI" w:cs="Segoe UI"/>
                <w:sz w:val="20"/>
                <w:szCs w:val="20"/>
              </w:rPr>
              <w:t xml:space="preserve"> to demonstrate the software and answer questions and scenarios and or scripts</w:t>
            </w:r>
            <w:r w:rsidR="006A69A7">
              <w:rPr>
                <w:rFonts w:ascii="Segoe UI" w:eastAsia="Segoe UI" w:hAnsi="Segoe UI" w:cs="Segoe UI"/>
                <w:sz w:val="20"/>
                <w:szCs w:val="20"/>
              </w:rPr>
              <w:t xml:space="preserve"> </w:t>
            </w:r>
            <w:r>
              <w:rPr>
                <w:rFonts w:ascii="Segoe UI" w:eastAsia="Segoe UI" w:hAnsi="Segoe UI" w:cs="Segoe UI"/>
                <w:sz w:val="20"/>
                <w:szCs w:val="20"/>
              </w:rPr>
              <w:t>(1,000 Marks)</w:t>
            </w:r>
            <w:r w:rsidR="006A69A7">
              <w:rPr>
                <w:rFonts w:ascii="Segoe UI" w:eastAsia="Segoe UI" w:hAnsi="Segoe UI" w:cs="Segoe UI"/>
                <w:sz w:val="20"/>
                <w:szCs w:val="20"/>
              </w:rPr>
              <w:t>.</w:t>
            </w:r>
          </w:p>
          <w:p w14:paraId="583FC991" w14:textId="77777777" w:rsidR="00077791" w:rsidRPr="00D8104E" w:rsidRDefault="00077791" w:rsidP="00E16842">
            <w:pPr>
              <w:pStyle w:val="HPRAMainBodyText"/>
              <w:ind w:right="567"/>
              <w:cnfStyle w:val="000000100000" w:firstRow="0" w:lastRow="0" w:firstColumn="0" w:lastColumn="0" w:oddVBand="0" w:evenVBand="0" w:oddHBand="1" w:evenHBand="0" w:firstRowFirstColumn="0" w:firstRowLastColumn="0" w:lastRowFirstColumn="0" w:lastRowLastColumn="0"/>
            </w:pPr>
          </w:p>
        </w:tc>
      </w:tr>
      <w:tr w:rsidR="00077791" w:rsidRPr="00032B89" w14:paraId="78B3EDBF" w14:textId="77777777" w:rsidTr="006A69A7">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29D9D8D" w14:textId="77777777" w:rsidR="00077791" w:rsidRPr="003A2585" w:rsidRDefault="00077791" w:rsidP="006A69A7">
            <w:pPr>
              <w:pStyle w:val="HPRAMainBodyText"/>
              <w:ind w:left="567" w:right="567"/>
              <w:jc w:val="center"/>
              <w:rPr>
                <w:color w:val="FFFFFF" w:themeColor="background1"/>
                <w:lang w:val="en-GB"/>
              </w:rPr>
            </w:pPr>
            <w:r w:rsidRPr="003A2585">
              <w:rPr>
                <w:color w:val="FFFFFF" w:themeColor="background1"/>
                <w:lang w:val="en-GB"/>
              </w:rPr>
              <w:lastRenderedPageBreak/>
              <w:t>Criterion C</w:t>
            </w:r>
          </w:p>
        </w:tc>
        <w:tc>
          <w:tcPr>
            <w:tcW w:w="2410" w:type="dxa"/>
            <w:shd w:val="clear" w:color="auto" w:fill="007041" w:themeFill="accent4"/>
          </w:tcPr>
          <w:p w14:paraId="23B22316" w14:textId="13ACC3E0"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Weighting</w:t>
            </w:r>
          </w:p>
        </w:tc>
        <w:tc>
          <w:tcPr>
            <w:tcW w:w="2551" w:type="dxa"/>
            <w:shd w:val="clear" w:color="auto" w:fill="007041" w:themeFill="accent4"/>
          </w:tcPr>
          <w:p w14:paraId="03F8B606" w14:textId="77777777"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268" w:type="dxa"/>
            <w:shd w:val="clear" w:color="auto" w:fill="007041" w:themeFill="accent4"/>
          </w:tcPr>
          <w:p w14:paraId="776BAC0A" w14:textId="68D823B2"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 xml:space="preserve">Marks  </w:t>
            </w:r>
            <w:r w:rsidR="006A69A7">
              <w:rPr>
                <w:b/>
                <w:bCs/>
                <w:color w:val="FFFFFF" w:themeColor="background1"/>
                <w:lang w:val="en-GB"/>
              </w:rPr>
              <w:t>6</w:t>
            </w:r>
            <w:r w:rsidRPr="003A2585">
              <w:rPr>
                <w:b/>
                <w:bCs/>
                <w:color w:val="FFFFFF" w:themeColor="background1"/>
                <w:lang w:val="en-GB"/>
              </w:rPr>
              <w:t>0</w:t>
            </w:r>
            <w:proofErr w:type="gramEnd"/>
            <w:r w:rsidRPr="003A2585">
              <w:rPr>
                <w:b/>
                <w:bCs/>
                <w:color w:val="FFFFFF" w:themeColor="background1"/>
                <w:lang w:val="en-GB"/>
              </w:rPr>
              <w:t>%</w:t>
            </w:r>
          </w:p>
        </w:tc>
      </w:tr>
      <w:tr w:rsidR="00077791" w:rsidRPr="00032B89" w14:paraId="29354749"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29B4AACE" w14:textId="77777777" w:rsidR="00077791" w:rsidRPr="003A2585" w:rsidRDefault="00077791" w:rsidP="006A69A7">
            <w:pPr>
              <w:pStyle w:val="HPRAMainBodyText"/>
              <w:ind w:left="567" w:right="567"/>
              <w:jc w:val="center"/>
              <w:rPr>
                <w:color w:val="FFFFFF" w:themeColor="background1"/>
                <w:lang w:val="en-GB"/>
              </w:rPr>
            </w:pPr>
          </w:p>
        </w:tc>
        <w:tc>
          <w:tcPr>
            <w:tcW w:w="2410" w:type="dxa"/>
            <w:shd w:val="clear" w:color="auto" w:fill="007041" w:themeFill="accent4"/>
          </w:tcPr>
          <w:p w14:paraId="13096267"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w:t>
            </w:r>
            <w:r w:rsidRPr="00B91A18">
              <w:rPr>
                <w:b/>
                <w:color w:val="FFFFFF" w:themeColor="background1"/>
                <w:lang w:val="en-GB"/>
              </w:rPr>
              <w:t>0%</w:t>
            </w:r>
          </w:p>
        </w:tc>
        <w:tc>
          <w:tcPr>
            <w:tcW w:w="2551" w:type="dxa"/>
            <w:shd w:val="clear" w:color="auto" w:fill="007041" w:themeFill="accent4"/>
          </w:tcPr>
          <w:p w14:paraId="6A10BA6B" w14:textId="5A02D8F2" w:rsidR="00077791" w:rsidRPr="00B91A18" w:rsidRDefault="002C4EF9"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w:t>
            </w:r>
            <w:r w:rsidR="00077791" w:rsidRPr="00B91A18">
              <w:rPr>
                <w:b/>
                <w:color w:val="FFFFFF" w:themeColor="background1"/>
                <w:lang w:val="en-GB"/>
              </w:rPr>
              <w:t>000</w:t>
            </w:r>
          </w:p>
        </w:tc>
        <w:tc>
          <w:tcPr>
            <w:tcW w:w="2268" w:type="dxa"/>
            <w:shd w:val="clear" w:color="auto" w:fill="007041" w:themeFill="accent4"/>
          </w:tcPr>
          <w:p w14:paraId="1ECC9322" w14:textId="5365D8D3"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w:t>
            </w:r>
            <w:r w:rsidR="006A69A7">
              <w:rPr>
                <w:b/>
                <w:color w:val="FFFFFF" w:themeColor="background1"/>
                <w:lang w:val="en-GB"/>
              </w:rPr>
              <w:t>2</w:t>
            </w:r>
            <w:r w:rsidRPr="00B91A18">
              <w:rPr>
                <w:b/>
                <w:color w:val="FFFFFF" w:themeColor="background1"/>
                <w:lang w:val="en-GB"/>
              </w:rPr>
              <w:t>00</w:t>
            </w:r>
          </w:p>
        </w:tc>
      </w:tr>
      <w:tr w:rsidR="00077791" w:rsidRPr="00032B89" w14:paraId="0D0A6140" w14:textId="77777777" w:rsidTr="006A69A7">
        <w:tc>
          <w:tcPr>
            <w:cnfStyle w:val="001000000000" w:firstRow="0" w:lastRow="0" w:firstColumn="1" w:lastColumn="0" w:oddVBand="0" w:evenVBand="0" w:oddHBand="0" w:evenHBand="0" w:firstRowFirstColumn="0" w:firstRowLastColumn="0" w:lastRowFirstColumn="0" w:lastRowLastColumn="0"/>
            <w:tcW w:w="2547" w:type="dxa"/>
          </w:tcPr>
          <w:p w14:paraId="7BFC7D61" w14:textId="77777777" w:rsidR="00077791" w:rsidRPr="00032B89" w:rsidRDefault="00077791" w:rsidP="00E16842">
            <w:pPr>
              <w:pStyle w:val="HPRAMainBodyText"/>
              <w:ind w:left="567" w:right="567"/>
              <w:rPr>
                <w:lang w:val="en-GB"/>
              </w:rPr>
            </w:pPr>
            <w:r w:rsidRPr="004E722D">
              <w:rPr>
                <w:rFonts w:eastAsia="Segoe UI"/>
                <w:lang w:val="en-GB"/>
              </w:rPr>
              <w:t>Title</w:t>
            </w:r>
          </w:p>
        </w:tc>
        <w:tc>
          <w:tcPr>
            <w:tcW w:w="7229" w:type="dxa"/>
            <w:gridSpan w:val="3"/>
          </w:tcPr>
          <w:p w14:paraId="2062E57B" w14:textId="77777777" w:rsidR="00077791" w:rsidRPr="00032B89" w:rsidRDefault="00077791" w:rsidP="00E16842">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Pr>
                <w:rFonts w:eastAsia="Segoe UI"/>
                <w:b/>
                <w:bCs/>
                <w:lang w:val="en-GB"/>
              </w:rPr>
              <w:t>Project Delivery</w:t>
            </w:r>
          </w:p>
        </w:tc>
      </w:tr>
      <w:tr w:rsidR="00077791" w:rsidRPr="00032B89" w14:paraId="6075A450"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483E717C" w14:textId="77777777" w:rsidR="00077791" w:rsidRDefault="00077791" w:rsidP="00E16842">
            <w:pPr>
              <w:pStyle w:val="HPRAMainBodyText"/>
              <w:ind w:left="567" w:right="567"/>
              <w:rPr>
                <w:rFonts w:eastAsia="Segoe UI"/>
                <w:b w:val="0"/>
                <w:bCs w:val="0"/>
                <w:lang w:val="en-GB"/>
              </w:rPr>
            </w:pPr>
          </w:p>
          <w:p w14:paraId="62418540" w14:textId="193485BC" w:rsidR="003B5028" w:rsidRPr="00032B89" w:rsidRDefault="003B5028" w:rsidP="00E16842">
            <w:pPr>
              <w:pStyle w:val="HPRAMainBodyText"/>
              <w:ind w:left="567" w:right="567"/>
              <w:rPr>
                <w:lang w:val="en-GB"/>
              </w:rPr>
            </w:pPr>
          </w:p>
        </w:tc>
        <w:tc>
          <w:tcPr>
            <w:tcW w:w="7229" w:type="dxa"/>
            <w:gridSpan w:val="3"/>
            <w:shd w:val="clear" w:color="auto" w:fill="auto"/>
          </w:tcPr>
          <w:p w14:paraId="06A1E084" w14:textId="77777777" w:rsidR="00077791" w:rsidRPr="00346DA3" w:rsidRDefault="00077791">
            <w:pPr>
              <w:numPr>
                <w:ilvl w:val="0"/>
                <w:numId w:val="23"/>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346DA3">
              <w:rPr>
                <w:rFonts w:ascii="Segoe UI" w:eastAsia="Segoe UI" w:hAnsi="Segoe UI" w:cs="Segoe UI"/>
                <w:b/>
                <w:bCs/>
                <w:sz w:val="20"/>
                <w:szCs w:val="20"/>
              </w:rPr>
              <w:t>Approach and Methodology:</w:t>
            </w:r>
            <w:r w:rsidRPr="00346DA3">
              <w:rPr>
                <w:rFonts w:ascii="Segoe UI" w:eastAsia="Segoe UI" w:hAnsi="Segoe UI" w:cs="Segoe UI"/>
                <w:sz w:val="20"/>
                <w:szCs w:val="20"/>
              </w:rPr>
              <w:t xml:space="preserve"> Tenderers will outline and demonstrate the approach and methodology they will use to implement the project as required.</w:t>
            </w:r>
          </w:p>
          <w:p w14:paraId="0B2EC986" w14:textId="77777777" w:rsidR="00077791" w:rsidRPr="00346DA3" w:rsidRDefault="00077791">
            <w:pPr>
              <w:numPr>
                <w:ilvl w:val="0"/>
                <w:numId w:val="23"/>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346DA3">
              <w:rPr>
                <w:rFonts w:ascii="Segoe UI" w:eastAsia="Segoe UI" w:hAnsi="Segoe UI" w:cs="Segoe UI"/>
                <w:b/>
                <w:bCs/>
                <w:sz w:val="20"/>
                <w:szCs w:val="20"/>
              </w:rPr>
              <w:t>Previous Experience:</w:t>
            </w:r>
            <w:r w:rsidRPr="00346DA3">
              <w:rPr>
                <w:rFonts w:ascii="Segoe UI" w:eastAsia="Segoe UI" w:hAnsi="Segoe UI" w:cs="Segoe UI"/>
                <w:sz w:val="20"/>
                <w:szCs w:val="20"/>
              </w:rPr>
              <w:t xml:space="preserve"> Tenderers will outline and demonstrate their relevant experience delivering a project of similar size and nature. </w:t>
            </w:r>
          </w:p>
          <w:p w14:paraId="1CF5DB8B" w14:textId="77777777" w:rsidR="00077791" w:rsidRPr="00346DA3" w:rsidRDefault="00077791" w:rsidP="00E16842">
            <w:p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p>
          <w:p w14:paraId="18F0944A" w14:textId="77777777" w:rsidR="00077791" w:rsidRPr="00984CE7" w:rsidRDefault="00077791" w:rsidP="00BA23C7">
            <w:pPr>
              <w:pStyle w:val="HPRAMainBodyText"/>
              <w:ind w:right="567"/>
              <w:cnfStyle w:val="000000100000" w:firstRow="0" w:lastRow="0" w:firstColumn="0" w:lastColumn="0" w:oddVBand="0" w:evenVBand="0" w:oddHBand="1" w:evenHBand="0" w:firstRowFirstColumn="0" w:firstRowLastColumn="0" w:lastRowFirstColumn="0" w:lastRowLastColumn="0"/>
              <w:rPr>
                <w:rFonts w:eastAsia="Segoe UI"/>
                <w:lang w:val="en-GB"/>
              </w:rPr>
            </w:pPr>
          </w:p>
        </w:tc>
      </w:tr>
      <w:tr w:rsidR="00077791" w:rsidRPr="00032B89" w14:paraId="7A4EE3C3" w14:textId="77777777" w:rsidTr="006A69A7">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1C2D6B34" w14:textId="77777777" w:rsidR="00077791" w:rsidRPr="003A2585" w:rsidRDefault="00077791" w:rsidP="006A69A7">
            <w:pPr>
              <w:pStyle w:val="HPRAMainBodyText"/>
              <w:ind w:left="567" w:right="567"/>
              <w:jc w:val="center"/>
              <w:rPr>
                <w:color w:val="FFFFFF" w:themeColor="background1"/>
                <w:lang w:val="en-GB"/>
              </w:rPr>
            </w:pPr>
            <w:r w:rsidRPr="003A2585">
              <w:rPr>
                <w:color w:val="FFFFFF" w:themeColor="background1"/>
                <w:lang w:val="en-GB"/>
              </w:rPr>
              <w:t>Criterion D</w:t>
            </w:r>
          </w:p>
        </w:tc>
        <w:tc>
          <w:tcPr>
            <w:tcW w:w="2410" w:type="dxa"/>
            <w:shd w:val="clear" w:color="auto" w:fill="007041" w:themeFill="accent4"/>
          </w:tcPr>
          <w:p w14:paraId="15767113" w14:textId="31D27DC0"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Weighting</w:t>
            </w:r>
          </w:p>
        </w:tc>
        <w:tc>
          <w:tcPr>
            <w:tcW w:w="2551" w:type="dxa"/>
            <w:shd w:val="clear" w:color="auto" w:fill="007041" w:themeFill="accent4"/>
          </w:tcPr>
          <w:p w14:paraId="7BDCAECE" w14:textId="77777777"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268" w:type="dxa"/>
            <w:shd w:val="clear" w:color="auto" w:fill="007041" w:themeFill="accent4"/>
          </w:tcPr>
          <w:p w14:paraId="5C2B0AEC" w14:textId="0A6525E1" w:rsidR="00077791" w:rsidRPr="003A2585" w:rsidRDefault="00077791" w:rsidP="006A69A7">
            <w:pPr>
              <w:pStyle w:val="HPRAMainBodyText"/>
              <w:ind w:left="567" w:right="567"/>
              <w:jc w:val="center"/>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 xml:space="preserve">Marks  </w:t>
            </w:r>
            <w:r w:rsidR="006A69A7">
              <w:rPr>
                <w:b/>
                <w:bCs/>
                <w:color w:val="FFFFFF" w:themeColor="background1"/>
                <w:lang w:val="en-GB"/>
              </w:rPr>
              <w:t>6</w:t>
            </w:r>
            <w:r w:rsidRPr="003A2585">
              <w:rPr>
                <w:b/>
                <w:bCs/>
                <w:color w:val="FFFFFF" w:themeColor="background1"/>
                <w:lang w:val="en-GB"/>
              </w:rPr>
              <w:t>0</w:t>
            </w:r>
            <w:proofErr w:type="gramEnd"/>
            <w:r w:rsidRPr="003A2585">
              <w:rPr>
                <w:b/>
                <w:bCs/>
                <w:color w:val="FFFFFF" w:themeColor="background1"/>
                <w:lang w:val="en-GB"/>
              </w:rPr>
              <w:t>%</w:t>
            </w:r>
          </w:p>
        </w:tc>
      </w:tr>
      <w:tr w:rsidR="00077791" w:rsidRPr="00032B89" w14:paraId="31F981C7"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3F849C7C" w14:textId="77777777" w:rsidR="00077791" w:rsidRPr="003A2585" w:rsidRDefault="00077791" w:rsidP="006A69A7">
            <w:pPr>
              <w:pStyle w:val="HPRAMainBodyText"/>
              <w:ind w:left="567" w:right="567"/>
              <w:jc w:val="center"/>
              <w:rPr>
                <w:color w:val="FFFFFF" w:themeColor="background1"/>
                <w:lang w:val="en-GB"/>
              </w:rPr>
            </w:pPr>
          </w:p>
        </w:tc>
        <w:tc>
          <w:tcPr>
            <w:tcW w:w="2410" w:type="dxa"/>
            <w:shd w:val="clear" w:color="auto" w:fill="007041" w:themeFill="accent4"/>
          </w:tcPr>
          <w:p w14:paraId="5D742992"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w:t>
            </w:r>
          </w:p>
        </w:tc>
        <w:tc>
          <w:tcPr>
            <w:tcW w:w="2551" w:type="dxa"/>
            <w:shd w:val="clear" w:color="auto" w:fill="007041" w:themeFill="accent4"/>
          </w:tcPr>
          <w:p w14:paraId="4C6BAECA" w14:textId="77777777" w:rsidR="00077791" w:rsidRPr="00B91A18" w:rsidRDefault="00077791"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1000</w:t>
            </w:r>
          </w:p>
        </w:tc>
        <w:tc>
          <w:tcPr>
            <w:tcW w:w="2268" w:type="dxa"/>
            <w:shd w:val="clear" w:color="auto" w:fill="007041" w:themeFill="accent4"/>
          </w:tcPr>
          <w:p w14:paraId="5A1D52AC" w14:textId="35AA7A38" w:rsidR="00077791" w:rsidRPr="00B91A18" w:rsidRDefault="006A69A7" w:rsidP="006A69A7">
            <w:pPr>
              <w:pStyle w:val="HPRAMainBodyText"/>
              <w:ind w:left="567" w:right="567"/>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6</w:t>
            </w:r>
            <w:r w:rsidR="00077791" w:rsidRPr="00B91A18">
              <w:rPr>
                <w:b/>
                <w:color w:val="FFFFFF" w:themeColor="background1"/>
                <w:lang w:val="en-GB"/>
              </w:rPr>
              <w:t>00</w:t>
            </w:r>
          </w:p>
        </w:tc>
      </w:tr>
      <w:tr w:rsidR="00077791" w:rsidRPr="00032B89" w14:paraId="39D436B0" w14:textId="77777777" w:rsidTr="006A69A7">
        <w:tc>
          <w:tcPr>
            <w:cnfStyle w:val="001000000000" w:firstRow="0" w:lastRow="0" w:firstColumn="1" w:lastColumn="0" w:oddVBand="0" w:evenVBand="0" w:oddHBand="0" w:evenHBand="0" w:firstRowFirstColumn="0" w:firstRowLastColumn="0" w:lastRowFirstColumn="0" w:lastRowLastColumn="0"/>
            <w:tcW w:w="2547" w:type="dxa"/>
          </w:tcPr>
          <w:p w14:paraId="4BF47B58" w14:textId="77777777" w:rsidR="00077791" w:rsidRPr="00032B89" w:rsidRDefault="00077791" w:rsidP="00E16842">
            <w:pPr>
              <w:pStyle w:val="HPRAMainBodyText"/>
              <w:ind w:left="567" w:right="567"/>
              <w:rPr>
                <w:lang w:val="en-GB"/>
              </w:rPr>
            </w:pPr>
            <w:r w:rsidRPr="00032B89">
              <w:rPr>
                <w:lang w:val="en-GB"/>
              </w:rPr>
              <w:t>Title</w:t>
            </w:r>
          </w:p>
        </w:tc>
        <w:tc>
          <w:tcPr>
            <w:tcW w:w="7229" w:type="dxa"/>
            <w:gridSpan w:val="3"/>
          </w:tcPr>
          <w:p w14:paraId="7D2CC6D1" w14:textId="77777777" w:rsidR="00077791" w:rsidRPr="00032B89" w:rsidRDefault="00077791" w:rsidP="00E97D5E">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Contract and Relationship Management</w:t>
            </w:r>
          </w:p>
        </w:tc>
      </w:tr>
      <w:tr w:rsidR="00077791" w:rsidRPr="00032B89" w14:paraId="21AD78DD" w14:textId="77777777" w:rsidTr="006A6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D42D408" w14:textId="77777777" w:rsidR="00077791" w:rsidRPr="00032B89" w:rsidRDefault="00077791" w:rsidP="00E16842">
            <w:pPr>
              <w:pStyle w:val="HPRAMainBodyText"/>
              <w:ind w:left="567" w:right="567"/>
              <w:rPr>
                <w:lang w:val="en-GB"/>
              </w:rPr>
            </w:pPr>
            <w:r w:rsidRPr="00032B89">
              <w:rPr>
                <w:lang w:val="en-GB"/>
              </w:rPr>
              <w:t>Description</w:t>
            </w:r>
          </w:p>
        </w:tc>
        <w:tc>
          <w:tcPr>
            <w:tcW w:w="7229" w:type="dxa"/>
            <w:gridSpan w:val="3"/>
            <w:shd w:val="clear" w:color="auto" w:fill="auto"/>
          </w:tcPr>
          <w:p w14:paraId="292C405A" w14:textId="73C5E025" w:rsidR="00077791" w:rsidRPr="00BA23C7" w:rsidRDefault="00077791" w:rsidP="00BA23C7">
            <w:pPr>
              <w:pStyle w:val="HPRAMainBodyText"/>
              <w:numPr>
                <w:ilvl w:val="0"/>
                <w:numId w:val="18"/>
              </w:numPr>
              <w:ind w:right="567"/>
              <w:cnfStyle w:val="000000100000" w:firstRow="0" w:lastRow="0" w:firstColumn="0" w:lastColumn="0" w:oddVBand="0" w:evenVBand="0" w:oddHBand="1" w:evenHBand="0" w:firstRowFirstColumn="0" w:firstRowLastColumn="0" w:lastRowFirstColumn="0" w:lastRowLastColumn="0"/>
              <w:rPr>
                <w:lang w:val="en-GB"/>
              </w:rPr>
            </w:pPr>
            <w:r w:rsidRPr="009634F3">
              <w:rPr>
                <w:b/>
                <w:lang w:val="en-GB"/>
              </w:rPr>
              <w:t>Contract and relationship management: Tenderers</w:t>
            </w:r>
            <w:r>
              <w:rPr>
                <w:lang w:val="en-GB"/>
              </w:rPr>
              <w:t xml:space="preserve"> are required to demonstrate their approach to contract a relationship management.</w:t>
            </w:r>
          </w:p>
        </w:tc>
      </w:tr>
    </w:tbl>
    <w:p w14:paraId="25791CE0" w14:textId="77777777" w:rsidR="00077791" w:rsidRDefault="00077791" w:rsidP="009C1620">
      <w:pPr>
        <w:jc w:val="both"/>
        <w:rPr>
          <w:rFonts w:ascii="Segoe UI" w:hAnsi="Segoe UI" w:cs="Segoe UI"/>
          <w:sz w:val="20"/>
          <w:szCs w:val="20"/>
        </w:rPr>
      </w:pPr>
    </w:p>
    <w:p w14:paraId="3509FDE5" w14:textId="77777777" w:rsidR="00077791" w:rsidRPr="009C1620" w:rsidRDefault="00077791" w:rsidP="009C1620">
      <w:pPr>
        <w:jc w:val="both"/>
        <w:rPr>
          <w:rFonts w:ascii="Segoe UI" w:hAnsi="Segoe UI" w:cs="Segoe UI"/>
          <w:sz w:val="20"/>
          <w:szCs w:val="20"/>
        </w:rPr>
      </w:pPr>
    </w:p>
    <w:p w14:paraId="02F9DCEE" w14:textId="550F9C0A" w:rsidR="00F11100" w:rsidRDefault="00F11100" w:rsidP="009C1620">
      <w:pPr>
        <w:jc w:val="both"/>
        <w:rPr>
          <w:rFonts w:ascii="Segoe UI" w:hAnsi="Segoe UI" w:cs="Segoe UI"/>
          <w:sz w:val="20"/>
          <w:szCs w:val="20"/>
        </w:rPr>
      </w:pPr>
      <w:r w:rsidRPr="009C1620">
        <w:rPr>
          <w:rFonts w:ascii="Segoe UI" w:hAnsi="Segoe UI" w:cs="Segoe UI"/>
          <w:sz w:val="20"/>
          <w:szCs w:val="20"/>
        </w:rPr>
        <w:t xml:space="preserve">Note: Tenderers should ensure in their tenders that they provide detailed information in respect of all aspects of the </w:t>
      </w:r>
      <w:r w:rsidR="006E7A2C">
        <w:rPr>
          <w:rFonts w:ascii="Segoe UI" w:hAnsi="Segoe UI" w:cs="Segoe UI"/>
          <w:sz w:val="20"/>
          <w:szCs w:val="20"/>
        </w:rPr>
        <w:t>contract</w:t>
      </w:r>
      <w:r w:rsidRPr="009C1620">
        <w:rPr>
          <w:rFonts w:ascii="Segoe UI" w:hAnsi="Segoe UI" w:cs="Segoe UI"/>
          <w:sz w:val="20"/>
          <w:szCs w:val="20"/>
        </w:rPr>
        <w:t xml:space="preserve"> award criteria as stated above. This will enable the awarding authority to fully assess the extent of their offers.</w:t>
      </w:r>
    </w:p>
    <w:p w14:paraId="017DE901" w14:textId="77777777" w:rsidR="00596E1F" w:rsidRDefault="00596E1F" w:rsidP="009C1620">
      <w:pPr>
        <w:jc w:val="both"/>
        <w:rPr>
          <w:rFonts w:ascii="Segoe UI" w:hAnsi="Segoe UI" w:cs="Segoe UI"/>
          <w:sz w:val="20"/>
          <w:szCs w:val="20"/>
        </w:rPr>
      </w:pPr>
    </w:p>
    <w:p w14:paraId="1979CDF2" w14:textId="77777777" w:rsidR="00596E1F" w:rsidRDefault="00596E1F" w:rsidP="009C1620">
      <w:pPr>
        <w:jc w:val="both"/>
        <w:rPr>
          <w:rFonts w:ascii="Segoe UI" w:hAnsi="Segoe UI" w:cs="Segoe UI"/>
          <w:sz w:val="20"/>
          <w:szCs w:val="20"/>
        </w:rPr>
      </w:pPr>
    </w:p>
    <w:p w14:paraId="198FEE82" w14:textId="59CA8B8F" w:rsidR="00F11100" w:rsidRDefault="00F11100" w:rsidP="00D64324">
      <w:pPr>
        <w:pStyle w:val="HPRAMainBodyText"/>
        <w:ind w:right="567"/>
        <w:rPr>
          <w:lang w:val="en-GB"/>
        </w:rPr>
      </w:pPr>
    </w:p>
    <w:p w14:paraId="4A58C0DE" w14:textId="2A0EBA49" w:rsidR="00F11100" w:rsidRPr="003A2585" w:rsidRDefault="00F11100" w:rsidP="00C13E8A">
      <w:pPr>
        <w:pStyle w:val="HPRAHeadingL2"/>
        <w:rPr>
          <w:lang w:val="en-GB"/>
        </w:rPr>
      </w:pPr>
      <w:bookmarkStart w:id="25" w:name="_Toc235785025"/>
      <w:r w:rsidRPr="003A2585">
        <w:rPr>
          <w:lang w:val="en-GB"/>
        </w:rPr>
        <w:t xml:space="preserve">Methodology for </w:t>
      </w:r>
      <w:r w:rsidR="003A2585">
        <w:rPr>
          <w:lang w:val="en-GB"/>
        </w:rPr>
        <w:t>evaluating</w:t>
      </w:r>
      <w:r w:rsidR="00BB6886" w:rsidRPr="003A2585">
        <w:rPr>
          <w:lang w:val="en-GB"/>
        </w:rPr>
        <w:t xml:space="preserve"> Criterion A </w:t>
      </w:r>
      <w:r w:rsidR="00AC0D2D">
        <w:rPr>
          <w:lang w:val="en-GB"/>
        </w:rPr>
        <w:t>–</w:t>
      </w:r>
      <w:r w:rsidR="00BB6886" w:rsidRPr="003A2585">
        <w:rPr>
          <w:lang w:val="en-GB"/>
        </w:rPr>
        <w:t xml:space="preserve"> </w:t>
      </w:r>
      <w:r w:rsidR="00AC0D2D">
        <w:rPr>
          <w:lang w:val="en-GB"/>
        </w:rPr>
        <w:t>Ultimate Cost</w:t>
      </w:r>
      <w:bookmarkEnd w:id="25"/>
    </w:p>
    <w:p w14:paraId="75B3B829" w14:textId="77777777" w:rsidR="00BA5882" w:rsidRDefault="00BA5882" w:rsidP="00BA5882">
      <w:pPr>
        <w:pStyle w:val="HPRAMainBodyText"/>
        <w:ind w:right="567"/>
        <w:rPr>
          <w:lang w:val="en-GB"/>
        </w:rPr>
      </w:pPr>
    </w:p>
    <w:p w14:paraId="2CC9130D" w14:textId="4C17A54A" w:rsidR="00071BF2" w:rsidRDefault="00B91A18" w:rsidP="000672C8">
      <w:pPr>
        <w:pStyle w:val="ListParagraph"/>
        <w:ind w:left="0"/>
        <w:jc w:val="both"/>
        <w:rPr>
          <w:rFonts w:ascii="Segoe UI" w:hAnsi="Segoe UI" w:cs="Segoe UI"/>
          <w:sz w:val="20"/>
          <w:szCs w:val="20"/>
        </w:rPr>
      </w:pPr>
      <w:r>
        <w:rPr>
          <w:rFonts w:ascii="Segoe UI" w:hAnsi="Segoe UI" w:cs="Segoe UI"/>
          <w:sz w:val="20"/>
          <w:szCs w:val="20"/>
        </w:rPr>
        <w:t xml:space="preserve">Please take note of </w:t>
      </w:r>
      <w:r w:rsidRPr="00CB36D9">
        <w:rPr>
          <w:rFonts w:ascii="Segoe UI" w:hAnsi="Segoe UI" w:cs="Segoe UI"/>
          <w:sz w:val="20"/>
          <w:szCs w:val="20"/>
        </w:rPr>
        <w:t xml:space="preserve">section </w:t>
      </w:r>
      <w:r w:rsidR="004A081C">
        <w:rPr>
          <w:rFonts w:ascii="Segoe UI" w:hAnsi="Segoe UI" w:cs="Segoe UI"/>
          <w:sz w:val="20"/>
          <w:szCs w:val="20"/>
        </w:rPr>
        <w:t>7</w:t>
      </w:r>
      <w:r w:rsidRPr="00CB36D9">
        <w:rPr>
          <w:rFonts w:ascii="Segoe UI" w:hAnsi="Segoe UI" w:cs="Segoe UI"/>
          <w:sz w:val="20"/>
          <w:szCs w:val="20"/>
        </w:rPr>
        <w:t xml:space="preserve">.4 Clarification of Abnormally Low Tenderers of this document when completing </w:t>
      </w:r>
      <w:r w:rsidR="00427A99">
        <w:rPr>
          <w:rFonts w:ascii="Segoe UI" w:hAnsi="Segoe UI" w:cs="Segoe UI"/>
          <w:sz w:val="20"/>
          <w:szCs w:val="20"/>
        </w:rPr>
        <w:t>Pricing information.</w:t>
      </w:r>
      <w:r w:rsidR="00B30EF8">
        <w:rPr>
          <w:rFonts w:ascii="Segoe UI" w:hAnsi="Segoe UI" w:cs="Segoe UI"/>
          <w:sz w:val="20"/>
          <w:szCs w:val="20"/>
        </w:rPr>
        <w:t xml:space="preserve"> </w:t>
      </w:r>
      <w:r w:rsidR="00B30EF8" w:rsidRPr="00335BE1">
        <w:rPr>
          <w:rFonts w:ascii="Segoe UI" w:eastAsia="Segoe UI" w:hAnsi="Segoe UI" w:cs="Segoe UI"/>
          <w:sz w:val="20"/>
          <w:szCs w:val="20"/>
        </w:rPr>
        <w:t>Please complete the cost schedule included in the TRD</w:t>
      </w:r>
      <w:r w:rsidR="00AD4D82">
        <w:rPr>
          <w:rFonts w:ascii="Segoe UI" w:eastAsia="Segoe UI" w:hAnsi="Segoe UI" w:cs="Segoe UI"/>
          <w:sz w:val="20"/>
          <w:szCs w:val="20"/>
        </w:rPr>
        <w:t xml:space="preserve"> and should include </w:t>
      </w:r>
      <w:r w:rsidR="00AD4D82" w:rsidRPr="00335BE1">
        <w:rPr>
          <w:rFonts w:ascii="Segoe UI" w:eastAsia="Segoe UI" w:hAnsi="Segoe UI" w:cs="Segoe UI"/>
          <w:sz w:val="20"/>
          <w:szCs w:val="20"/>
        </w:rPr>
        <w:t>details on any cost savings that may apply.</w:t>
      </w:r>
      <w:r w:rsidR="00B30EF8" w:rsidRPr="00335BE1">
        <w:rPr>
          <w:rFonts w:ascii="Segoe UI" w:eastAsia="Segoe UI" w:hAnsi="Segoe UI" w:cs="Segoe UI"/>
          <w:sz w:val="20"/>
          <w:szCs w:val="20"/>
        </w:rPr>
        <w:t xml:space="preserve"> All costs must be quoted in Euro (€), exclusive of VAT and shall </w:t>
      </w:r>
      <w:proofErr w:type="gramStart"/>
      <w:r w:rsidR="00B30EF8" w:rsidRPr="00335BE1">
        <w:rPr>
          <w:rFonts w:ascii="Segoe UI" w:eastAsia="Segoe UI" w:hAnsi="Segoe UI" w:cs="Segoe UI"/>
          <w:sz w:val="20"/>
          <w:szCs w:val="20"/>
        </w:rPr>
        <w:t>be considered to be</w:t>
      </w:r>
      <w:proofErr w:type="gramEnd"/>
      <w:r w:rsidR="00B30EF8" w:rsidRPr="00335BE1">
        <w:rPr>
          <w:rFonts w:ascii="Segoe UI" w:eastAsia="Segoe UI" w:hAnsi="Segoe UI" w:cs="Segoe UI"/>
          <w:sz w:val="20"/>
          <w:szCs w:val="20"/>
        </w:rPr>
        <w:t xml:space="preserve"> a best</w:t>
      </w:r>
      <w:r w:rsidR="00B30EF8" w:rsidRPr="00B85FFA">
        <w:rPr>
          <w:rFonts w:ascii="Segoe UI" w:eastAsia="Segoe UI" w:hAnsi="Segoe UI" w:cs="Segoe UI"/>
          <w:sz w:val="20"/>
          <w:szCs w:val="20"/>
        </w:rPr>
        <w:t xml:space="preserve"> and final offer.</w:t>
      </w:r>
    </w:p>
    <w:p w14:paraId="0555AF84" w14:textId="77777777" w:rsidR="00071BF2" w:rsidRDefault="00071BF2" w:rsidP="000672C8">
      <w:pPr>
        <w:jc w:val="both"/>
        <w:rPr>
          <w:rFonts w:ascii="Segoe UI" w:hAnsi="Segoe UI" w:cs="Segoe UI"/>
          <w:sz w:val="20"/>
          <w:szCs w:val="20"/>
        </w:rPr>
      </w:pPr>
    </w:p>
    <w:p w14:paraId="7793BD16" w14:textId="7DD8E853" w:rsidR="00F11100" w:rsidRPr="009C1620" w:rsidRDefault="007014D1" w:rsidP="000672C8">
      <w:pPr>
        <w:jc w:val="both"/>
        <w:rPr>
          <w:rFonts w:ascii="Segoe UI" w:hAnsi="Segoe UI" w:cs="Segoe UI"/>
          <w:sz w:val="20"/>
          <w:szCs w:val="20"/>
        </w:rPr>
      </w:pPr>
      <w:r>
        <w:rPr>
          <w:rFonts w:ascii="Segoe UI" w:hAnsi="Segoe UI" w:cs="Segoe UI"/>
          <w:sz w:val="20"/>
          <w:szCs w:val="20"/>
        </w:rPr>
        <w:t xml:space="preserve"> </w:t>
      </w:r>
    </w:p>
    <w:p w14:paraId="66B344E4" w14:textId="2B2EC104" w:rsidR="00F11100" w:rsidRDefault="00F11100" w:rsidP="000672C8">
      <w:pPr>
        <w:jc w:val="both"/>
        <w:rPr>
          <w:rFonts w:ascii="Segoe UI" w:hAnsi="Segoe UI" w:cs="Segoe UI"/>
          <w:sz w:val="20"/>
          <w:szCs w:val="20"/>
        </w:rPr>
      </w:pPr>
    </w:p>
    <w:p w14:paraId="2C3FCBB7" w14:textId="56DA1159" w:rsidR="00427A99" w:rsidRDefault="00315EE0" w:rsidP="000672C8">
      <w:pPr>
        <w:pStyle w:val="ListParagraph"/>
        <w:ind w:left="0"/>
        <w:jc w:val="both"/>
        <w:rPr>
          <w:rFonts w:ascii="Segoe UI" w:eastAsia="Segoe UI" w:hAnsi="Segoe UI" w:cs="Segoe UI"/>
          <w:sz w:val="20"/>
          <w:szCs w:val="20"/>
        </w:rPr>
      </w:pPr>
      <w:r w:rsidRPr="00B85FFA">
        <w:rPr>
          <w:rFonts w:ascii="Segoe UI" w:eastAsia="Segoe UI" w:hAnsi="Segoe UI" w:cs="Segoe UI"/>
          <w:sz w:val="20"/>
          <w:szCs w:val="20"/>
        </w:rPr>
        <w:t xml:space="preserve">Tenderers are required to submit all </w:t>
      </w:r>
      <w:r w:rsidR="00EC2CB6">
        <w:rPr>
          <w:rFonts w:ascii="Segoe UI" w:eastAsia="Segoe UI" w:hAnsi="Segoe UI" w:cs="Segoe UI"/>
          <w:sz w:val="20"/>
          <w:szCs w:val="20"/>
        </w:rPr>
        <w:t xml:space="preserve">licensing/subscription </w:t>
      </w:r>
      <w:r w:rsidRPr="00B85FFA">
        <w:rPr>
          <w:rFonts w:ascii="Segoe UI" w:eastAsia="Segoe UI" w:hAnsi="Segoe UI" w:cs="Segoe UI"/>
          <w:sz w:val="20"/>
          <w:szCs w:val="20"/>
        </w:rPr>
        <w:t xml:space="preserve">costs associated with </w:t>
      </w:r>
      <w:r w:rsidR="00EC2CB6">
        <w:rPr>
          <w:rFonts w:ascii="Segoe UI" w:eastAsia="Segoe UI" w:hAnsi="Segoe UI" w:cs="Segoe UI"/>
          <w:sz w:val="20"/>
          <w:szCs w:val="20"/>
        </w:rPr>
        <w:t>the use of the proposed solution as outlined in Section 3.1 Licensing/Subscr</w:t>
      </w:r>
      <w:r w:rsidR="00427A99">
        <w:rPr>
          <w:rFonts w:ascii="Segoe UI" w:eastAsia="Segoe UI" w:hAnsi="Segoe UI" w:cs="Segoe UI"/>
          <w:sz w:val="20"/>
          <w:szCs w:val="20"/>
        </w:rPr>
        <w:t>iption Costs.</w:t>
      </w:r>
      <w:r w:rsidR="00AC0C58">
        <w:rPr>
          <w:rFonts w:ascii="Segoe UI" w:eastAsia="Segoe UI" w:hAnsi="Segoe UI" w:cs="Segoe UI"/>
          <w:sz w:val="20"/>
          <w:szCs w:val="20"/>
        </w:rPr>
        <w:t xml:space="preserve"> Refer to the </w:t>
      </w:r>
      <w:r w:rsidR="0046748E">
        <w:rPr>
          <w:rFonts w:ascii="Segoe UI" w:eastAsia="Segoe UI" w:hAnsi="Segoe UI" w:cs="Segoe UI"/>
          <w:sz w:val="20"/>
          <w:szCs w:val="20"/>
        </w:rPr>
        <w:t>details</w:t>
      </w:r>
      <w:r w:rsidR="00AC0C58" w:rsidRPr="0046748E">
        <w:rPr>
          <w:rFonts w:ascii="Segoe UI" w:eastAsia="Segoe UI" w:hAnsi="Segoe UI" w:cs="Segoe UI"/>
          <w:sz w:val="20"/>
          <w:szCs w:val="20"/>
        </w:rPr>
        <w:t xml:space="preserve"> provided </w:t>
      </w:r>
      <w:r w:rsidR="009F43A6" w:rsidRPr="0046748E">
        <w:rPr>
          <w:rFonts w:ascii="Segoe UI" w:eastAsia="Segoe UI" w:hAnsi="Segoe UI" w:cs="Segoe UI"/>
          <w:sz w:val="20"/>
          <w:szCs w:val="20"/>
        </w:rPr>
        <w:t>in</w:t>
      </w:r>
      <w:r w:rsidR="0046748E">
        <w:rPr>
          <w:rFonts w:ascii="Segoe UI" w:eastAsia="Segoe UI" w:hAnsi="Segoe UI" w:cs="Segoe UI"/>
          <w:sz w:val="20"/>
          <w:szCs w:val="20"/>
        </w:rPr>
        <w:t xml:space="preserve"> this section for information on how the costs information provide will be used for evaluation.</w:t>
      </w:r>
      <w:r w:rsidR="009F43A6">
        <w:rPr>
          <w:rFonts w:ascii="Segoe UI" w:eastAsia="Segoe UI" w:hAnsi="Segoe UI" w:cs="Segoe UI"/>
          <w:sz w:val="20"/>
          <w:szCs w:val="20"/>
        </w:rPr>
        <w:t xml:space="preserve"> </w:t>
      </w:r>
      <w:r w:rsidR="00427A99">
        <w:rPr>
          <w:rFonts w:ascii="Segoe UI" w:eastAsia="Segoe UI" w:hAnsi="Segoe UI" w:cs="Segoe UI"/>
          <w:sz w:val="20"/>
          <w:szCs w:val="20"/>
        </w:rPr>
        <w:t xml:space="preserve"> </w:t>
      </w:r>
    </w:p>
    <w:p w14:paraId="0ED6762D" w14:textId="77777777" w:rsidR="00427A99" w:rsidRDefault="00427A99" w:rsidP="000672C8">
      <w:pPr>
        <w:pStyle w:val="ListParagraph"/>
        <w:ind w:left="0"/>
        <w:jc w:val="both"/>
        <w:rPr>
          <w:rFonts w:ascii="Segoe UI" w:eastAsia="Segoe UI" w:hAnsi="Segoe UI" w:cs="Segoe UI"/>
          <w:sz w:val="20"/>
          <w:szCs w:val="20"/>
        </w:rPr>
      </w:pPr>
    </w:p>
    <w:p w14:paraId="38F02429" w14:textId="3C71E28D" w:rsidR="00315EE0" w:rsidRDefault="007E5E44" w:rsidP="000672C8">
      <w:pPr>
        <w:pStyle w:val="ListParagraph"/>
        <w:ind w:left="0"/>
        <w:jc w:val="both"/>
        <w:rPr>
          <w:rFonts w:ascii="Segoe UI" w:eastAsia="Segoe UI" w:hAnsi="Segoe UI" w:cs="Segoe UI"/>
          <w:sz w:val="20"/>
          <w:szCs w:val="20"/>
        </w:rPr>
      </w:pPr>
      <w:r w:rsidRPr="007E5E44">
        <w:rPr>
          <w:rFonts w:ascii="Segoe UI" w:eastAsia="Segoe UI" w:hAnsi="Segoe UI" w:cs="Segoe UI"/>
          <w:sz w:val="20"/>
          <w:szCs w:val="20"/>
        </w:rPr>
        <w:t xml:space="preserve">For the avoidance of doubt, all prices are fixed for the duration of the Contract </w:t>
      </w:r>
      <w:r w:rsidR="00003617">
        <w:rPr>
          <w:rFonts w:ascii="Segoe UI" w:eastAsia="Segoe UI" w:hAnsi="Segoe UI" w:cs="Segoe UI"/>
          <w:sz w:val="20"/>
          <w:szCs w:val="20"/>
        </w:rPr>
        <w:t>(</w:t>
      </w:r>
      <w:r>
        <w:rPr>
          <w:rFonts w:ascii="Segoe UI" w:eastAsia="Segoe UI" w:hAnsi="Segoe UI" w:cs="Segoe UI"/>
          <w:sz w:val="20"/>
          <w:szCs w:val="20"/>
        </w:rPr>
        <w:t>3 years</w:t>
      </w:r>
      <w:r w:rsidR="00003617">
        <w:rPr>
          <w:rFonts w:ascii="Segoe UI" w:eastAsia="Segoe UI" w:hAnsi="Segoe UI" w:cs="Segoe UI"/>
          <w:sz w:val="20"/>
          <w:szCs w:val="20"/>
        </w:rPr>
        <w:t>)</w:t>
      </w:r>
      <w:r>
        <w:rPr>
          <w:rFonts w:ascii="Segoe UI" w:eastAsia="Segoe UI" w:hAnsi="Segoe UI" w:cs="Segoe UI"/>
          <w:sz w:val="20"/>
          <w:szCs w:val="20"/>
        </w:rPr>
        <w:t xml:space="preserve"> </w:t>
      </w:r>
      <w:r w:rsidRPr="007E5E44">
        <w:rPr>
          <w:rFonts w:ascii="Segoe UI" w:eastAsia="Segoe UI" w:hAnsi="Segoe UI" w:cs="Segoe UI"/>
          <w:sz w:val="20"/>
          <w:szCs w:val="20"/>
        </w:rPr>
        <w:t xml:space="preserve">with </w:t>
      </w:r>
      <w:r>
        <w:rPr>
          <w:rFonts w:ascii="Segoe UI" w:eastAsia="Segoe UI" w:hAnsi="Segoe UI" w:cs="Segoe UI"/>
          <w:sz w:val="20"/>
          <w:szCs w:val="20"/>
        </w:rPr>
        <w:t xml:space="preserve">the </w:t>
      </w:r>
      <w:r w:rsidRPr="007E5E44">
        <w:rPr>
          <w:rFonts w:ascii="Segoe UI" w:eastAsia="Segoe UI" w:hAnsi="Segoe UI" w:cs="Segoe UI"/>
          <w:sz w:val="20"/>
          <w:szCs w:val="20"/>
        </w:rPr>
        <w:t>option to extend</w:t>
      </w:r>
      <w:r>
        <w:rPr>
          <w:rFonts w:ascii="Segoe UI" w:eastAsia="Segoe UI" w:hAnsi="Segoe UI" w:cs="Segoe UI"/>
          <w:sz w:val="20"/>
          <w:szCs w:val="20"/>
        </w:rPr>
        <w:t xml:space="preserve"> annually thereafter.</w:t>
      </w:r>
      <w:r w:rsidR="00003617">
        <w:rPr>
          <w:rFonts w:ascii="Segoe UI" w:eastAsia="Segoe UI" w:hAnsi="Segoe UI" w:cs="Segoe UI"/>
          <w:sz w:val="20"/>
          <w:szCs w:val="20"/>
        </w:rPr>
        <w:t xml:space="preserve"> </w:t>
      </w:r>
      <w:r w:rsidR="00315EE0" w:rsidRPr="00335BE1">
        <w:rPr>
          <w:rFonts w:ascii="Segoe UI" w:eastAsia="Segoe UI" w:hAnsi="Segoe UI" w:cs="Segoe UI"/>
          <w:sz w:val="20"/>
          <w:szCs w:val="20"/>
        </w:rPr>
        <w:t xml:space="preserve">Any extension to this contract will be charged at the same fee structures submitted at this time. </w:t>
      </w:r>
    </w:p>
    <w:p w14:paraId="6FA7FAD4" w14:textId="77777777" w:rsidR="00315EE0" w:rsidRDefault="00315EE0" w:rsidP="000672C8">
      <w:pPr>
        <w:pStyle w:val="ListParagraph"/>
        <w:ind w:left="0"/>
        <w:jc w:val="both"/>
        <w:rPr>
          <w:rFonts w:ascii="Segoe UI" w:eastAsia="Segoe UI" w:hAnsi="Segoe UI" w:cs="Segoe UI"/>
          <w:sz w:val="20"/>
          <w:szCs w:val="20"/>
        </w:rPr>
      </w:pPr>
    </w:p>
    <w:p w14:paraId="1A4E913A" w14:textId="56C20532" w:rsidR="00315EE0" w:rsidRPr="00B85FFA" w:rsidRDefault="00315EE0" w:rsidP="000672C8">
      <w:pPr>
        <w:pStyle w:val="ListParagraph"/>
        <w:ind w:left="0"/>
        <w:jc w:val="both"/>
        <w:rPr>
          <w:rFonts w:ascii="Segoe UI" w:eastAsia="Segoe UI" w:hAnsi="Segoe UI" w:cs="Segoe UI"/>
          <w:sz w:val="20"/>
          <w:szCs w:val="20"/>
        </w:rPr>
      </w:pPr>
      <w:r w:rsidRPr="00B85FFA">
        <w:rPr>
          <w:rFonts w:ascii="Segoe UI" w:eastAsia="Segoe UI" w:hAnsi="Segoe UI" w:cs="Segoe UI"/>
          <w:sz w:val="20"/>
          <w:szCs w:val="20"/>
        </w:rPr>
        <w:t xml:space="preserve">Tenders should be priced in such a way as to facilitate the calculation of the cost of the provision of the service required, as detailed within this document. The Charges below shall include </w:t>
      </w:r>
      <w:proofErr w:type="gramStart"/>
      <w:r w:rsidRPr="00B85FFA">
        <w:rPr>
          <w:rFonts w:ascii="Segoe UI" w:eastAsia="Segoe UI" w:hAnsi="Segoe UI" w:cs="Segoe UI"/>
          <w:sz w:val="20"/>
          <w:szCs w:val="20"/>
        </w:rPr>
        <w:t>any and all</w:t>
      </w:r>
      <w:proofErr w:type="gramEnd"/>
      <w:r w:rsidRPr="00B85FFA">
        <w:rPr>
          <w:rFonts w:ascii="Segoe UI" w:eastAsia="Segoe UI" w:hAnsi="Segoe UI" w:cs="Segoe UI"/>
          <w:sz w:val="20"/>
          <w:szCs w:val="20"/>
        </w:rPr>
        <w:t xml:space="preserve"> expenses incurred by the </w:t>
      </w:r>
      <w:r w:rsidR="00DF7B75">
        <w:rPr>
          <w:rFonts w:ascii="Segoe UI" w:eastAsia="Segoe UI" w:hAnsi="Segoe UI" w:cs="Segoe UI"/>
          <w:sz w:val="20"/>
          <w:szCs w:val="20"/>
        </w:rPr>
        <w:t>Tenderer</w:t>
      </w:r>
      <w:r w:rsidRPr="00B85FFA">
        <w:rPr>
          <w:rFonts w:ascii="Segoe UI" w:eastAsia="Segoe UI" w:hAnsi="Segoe UI" w:cs="Segoe UI"/>
          <w:sz w:val="20"/>
          <w:szCs w:val="20"/>
        </w:rPr>
        <w:t>, its employees, servants and agents in the performance of the Services.</w:t>
      </w:r>
    </w:p>
    <w:p w14:paraId="53261B70" w14:textId="77777777" w:rsidR="00315EE0" w:rsidRDefault="00315EE0" w:rsidP="000672C8">
      <w:pPr>
        <w:pStyle w:val="ListParagraph"/>
        <w:ind w:left="0"/>
        <w:jc w:val="both"/>
        <w:rPr>
          <w:rFonts w:cs="Calibri"/>
          <w:color w:val="1F4E79"/>
          <w:sz w:val="20"/>
        </w:rPr>
      </w:pPr>
    </w:p>
    <w:p w14:paraId="77F76875" w14:textId="0A42EF81" w:rsidR="00315EE0" w:rsidRPr="00B85FFA" w:rsidRDefault="00315EE0" w:rsidP="000672C8">
      <w:pPr>
        <w:pStyle w:val="ListParagraph"/>
        <w:ind w:left="0"/>
        <w:jc w:val="both"/>
        <w:rPr>
          <w:rFonts w:ascii="Segoe UI" w:eastAsia="Segoe UI" w:hAnsi="Segoe UI" w:cs="Segoe UI"/>
          <w:sz w:val="20"/>
          <w:szCs w:val="20"/>
        </w:rPr>
      </w:pPr>
      <w:r w:rsidRPr="00B85FFA">
        <w:rPr>
          <w:rFonts w:ascii="Segoe UI" w:eastAsia="Segoe UI" w:hAnsi="Segoe UI" w:cs="Segoe UI"/>
          <w:sz w:val="20"/>
          <w:szCs w:val="20"/>
        </w:rPr>
        <w:t>The cost of all materials and services included in the Contract shall be invoiced and paid in Euro. No variations shall be allowed for any currency fluctuations or inflation during the life of the contract</w:t>
      </w:r>
    </w:p>
    <w:p w14:paraId="696F495C" w14:textId="77777777" w:rsidR="00315EE0" w:rsidRDefault="00315EE0" w:rsidP="00315EE0">
      <w:pPr>
        <w:pStyle w:val="ListParagraph"/>
        <w:ind w:left="0"/>
        <w:rPr>
          <w:rFonts w:cs="Calibri"/>
          <w:color w:val="1F4E79"/>
          <w:sz w:val="20"/>
        </w:rPr>
      </w:pPr>
    </w:p>
    <w:p w14:paraId="5B52D971" w14:textId="26ADC90F" w:rsidR="00831C07" w:rsidRDefault="00831C07" w:rsidP="00C13E8A">
      <w:pPr>
        <w:pStyle w:val="HPRAHeadingL2"/>
        <w:rPr>
          <w:lang w:val="en-GB"/>
        </w:rPr>
      </w:pPr>
      <w:bookmarkStart w:id="26" w:name="_Toc235785026"/>
      <w:r w:rsidRPr="003A2585">
        <w:rPr>
          <w:lang w:val="en-GB"/>
        </w:rPr>
        <w:lastRenderedPageBreak/>
        <w:t>Methodology for calculating Scoring of Qualitative Criteria</w:t>
      </w:r>
      <w:bookmarkEnd w:id="26"/>
    </w:p>
    <w:p w14:paraId="6B7CED03" w14:textId="77777777" w:rsidR="00B66447" w:rsidRPr="00142B46" w:rsidRDefault="00B66447" w:rsidP="00B66447">
      <w:pPr>
        <w:pStyle w:val="Body1"/>
        <w:rPr>
          <w:lang w:val="en-GB"/>
        </w:rPr>
      </w:pPr>
    </w:p>
    <w:p w14:paraId="528C51A0" w14:textId="5FB9D4B0" w:rsidR="00831C07" w:rsidRDefault="00831C07" w:rsidP="00957B08">
      <w:pPr>
        <w:pStyle w:val="Body1"/>
        <w:jc w:val="center"/>
      </w:pPr>
      <w:r>
        <w:rPr>
          <w:noProof/>
        </w:rPr>
        <w:drawing>
          <wp:inline distT="0" distB="0" distL="0" distR="0" wp14:anchorId="4A8B0B1D" wp14:editId="5E94485B">
            <wp:extent cx="5256530" cy="312547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56530" cy="3125470"/>
                    </a:xfrm>
                    <a:prstGeom prst="rect">
                      <a:avLst/>
                    </a:prstGeom>
                  </pic:spPr>
                </pic:pic>
              </a:graphicData>
            </a:graphic>
          </wp:inline>
        </w:drawing>
      </w:r>
    </w:p>
    <w:p w14:paraId="093ECA39" w14:textId="77777777" w:rsidR="00BA5882" w:rsidRDefault="00BA5882" w:rsidP="00C13E8A">
      <w:pPr>
        <w:pStyle w:val="HPRAHeadingL2"/>
        <w:numPr>
          <w:ilvl w:val="0"/>
          <w:numId w:val="0"/>
        </w:numPr>
        <w:ind w:left="567"/>
      </w:pPr>
    </w:p>
    <w:p w14:paraId="6572FA73" w14:textId="258C8BD2" w:rsidR="00BA5882" w:rsidRPr="00CC7124" w:rsidRDefault="00831C07" w:rsidP="00C13E8A">
      <w:pPr>
        <w:pStyle w:val="HPRAHeadingL2"/>
        <w:rPr>
          <w:lang w:val="en-GB"/>
        </w:rPr>
      </w:pPr>
      <w:bookmarkStart w:id="27" w:name="_Toc235785027"/>
      <w:r w:rsidRPr="003A2585">
        <w:rPr>
          <w:lang w:val="en-GB"/>
        </w:rPr>
        <w:t>Clarification/Verification/Negotiation meetings</w:t>
      </w:r>
      <w:bookmarkEnd w:id="27"/>
    </w:p>
    <w:p w14:paraId="03544071" w14:textId="77777777" w:rsidR="009E0684" w:rsidRDefault="009E0684" w:rsidP="009C1620">
      <w:pPr>
        <w:jc w:val="both"/>
        <w:rPr>
          <w:rFonts w:ascii="Segoe UI" w:hAnsi="Segoe UI" w:cs="Segoe UI"/>
          <w:sz w:val="20"/>
          <w:szCs w:val="20"/>
        </w:rPr>
      </w:pPr>
    </w:p>
    <w:p w14:paraId="37E17D6D" w14:textId="4DF3AFF1" w:rsidR="00831C07" w:rsidRDefault="00831C07" w:rsidP="009C1620">
      <w:pPr>
        <w:jc w:val="both"/>
        <w:rPr>
          <w:rFonts w:ascii="Segoe UI" w:hAnsi="Segoe UI" w:cs="Segoe UI"/>
          <w:sz w:val="20"/>
          <w:szCs w:val="20"/>
        </w:rPr>
      </w:pPr>
      <w:r w:rsidRPr="009C1620">
        <w:rPr>
          <w:rFonts w:ascii="Segoe UI" w:hAnsi="Segoe UI" w:cs="Segoe UI"/>
          <w:sz w:val="20"/>
          <w:szCs w:val="20"/>
        </w:rPr>
        <w:t xml:space="preserve">Award of contract may be subject to attendance at a clarification and verification meeting. It would be essential that the key </w:t>
      </w:r>
      <w:r w:rsidR="00A3736E" w:rsidRPr="009C1620">
        <w:rPr>
          <w:rFonts w:ascii="Segoe UI" w:hAnsi="Segoe UI" w:cs="Segoe UI"/>
          <w:sz w:val="20"/>
          <w:szCs w:val="20"/>
        </w:rPr>
        <w:t>individual</w:t>
      </w:r>
      <w:r w:rsidRPr="009C1620">
        <w:rPr>
          <w:rFonts w:ascii="Segoe UI" w:hAnsi="Segoe UI" w:cs="Segoe UI"/>
          <w:sz w:val="20"/>
          <w:szCs w:val="20"/>
        </w:rPr>
        <w:t xml:space="preserve"> proposed to be assigned to this </w:t>
      </w:r>
      <w:r w:rsidR="003A35C8">
        <w:rPr>
          <w:rFonts w:ascii="Segoe UI" w:hAnsi="Segoe UI" w:cs="Segoe UI"/>
          <w:sz w:val="20"/>
          <w:szCs w:val="20"/>
        </w:rPr>
        <w:t>contract</w:t>
      </w:r>
      <w:r w:rsidRPr="009C1620">
        <w:rPr>
          <w:rFonts w:ascii="Segoe UI" w:hAnsi="Segoe UI" w:cs="Segoe UI"/>
          <w:sz w:val="20"/>
          <w:szCs w:val="20"/>
        </w:rPr>
        <w:t xml:space="preserve"> agreement would be available and present for this meeting. If required tenderers will be notified of the date, time agenda and format for such meetings as soon as possible. However, the contracting authority reserves the right to award the contract on foot of an original tender without such a meeting.</w:t>
      </w:r>
    </w:p>
    <w:p w14:paraId="4C4AF937" w14:textId="77777777" w:rsidR="00A44B6C" w:rsidRDefault="00A44B6C" w:rsidP="009C1620">
      <w:pPr>
        <w:jc w:val="both"/>
        <w:rPr>
          <w:rFonts w:ascii="Segoe UI" w:hAnsi="Segoe UI" w:cs="Segoe UI"/>
          <w:sz w:val="20"/>
          <w:szCs w:val="20"/>
        </w:rPr>
      </w:pPr>
    </w:p>
    <w:p w14:paraId="7B4D490A" w14:textId="77777777" w:rsidR="00A44B6C" w:rsidRDefault="00A44B6C" w:rsidP="009C1620">
      <w:pPr>
        <w:jc w:val="both"/>
        <w:rPr>
          <w:rFonts w:ascii="Segoe UI" w:hAnsi="Segoe UI" w:cs="Segoe UI"/>
          <w:sz w:val="20"/>
          <w:szCs w:val="20"/>
        </w:rPr>
      </w:pPr>
    </w:p>
    <w:p w14:paraId="220BD561" w14:textId="77777777" w:rsidR="003A2585" w:rsidRPr="009C1620" w:rsidRDefault="003A2585" w:rsidP="009C1620">
      <w:pPr>
        <w:jc w:val="both"/>
        <w:rPr>
          <w:rFonts w:ascii="Segoe UI" w:hAnsi="Segoe UI" w:cs="Segoe UI"/>
          <w:sz w:val="20"/>
          <w:szCs w:val="20"/>
        </w:rPr>
      </w:pPr>
    </w:p>
    <w:p w14:paraId="0B5A2099" w14:textId="423F7BD7" w:rsidR="00AB09C5" w:rsidRDefault="00AB09C5" w:rsidP="00C13E8A">
      <w:pPr>
        <w:pStyle w:val="HPRAHeadingL2"/>
        <w:rPr>
          <w:lang w:val="en-GB"/>
        </w:rPr>
      </w:pPr>
      <w:bookmarkStart w:id="28" w:name="_Toc235785028"/>
      <w:r w:rsidRPr="003A2585">
        <w:rPr>
          <w:lang w:val="en-GB"/>
        </w:rPr>
        <w:t>Clarification of Abnormally Low Tenders</w:t>
      </w:r>
      <w:bookmarkEnd w:id="28"/>
    </w:p>
    <w:p w14:paraId="1689D282" w14:textId="77777777" w:rsidR="009E0684" w:rsidRDefault="009E0684" w:rsidP="009C1620">
      <w:pPr>
        <w:jc w:val="both"/>
        <w:rPr>
          <w:rFonts w:ascii="Segoe UI" w:hAnsi="Segoe UI" w:cs="Segoe UI"/>
          <w:sz w:val="20"/>
          <w:szCs w:val="20"/>
        </w:rPr>
      </w:pPr>
    </w:p>
    <w:p w14:paraId="2C6EAB6B" w14:textId="5CDC9D42" w:rsidR="00AB09C5" w:rsidRPr="009C1620" w:rsidRDefault="00AB09C5" w:rsidP="009C1620">
      <w:pPr>
        <w:jc w:val="both"/>
        <w:rPr>
          <w:rFonts w:ascii="Segoe UI" w:hAnsi="Segoe UI" w:cs="Segoe UI"/>
          <w:sz w:val="20"/>
          <w:szCs w:val="20"/>
        </w:rPr>
      </w:pPr>
      <w:r w:rsidRPr="009C1620">
        <w:rPr>
          <w:rFonts w:ascii="Segoe UI" w:hAnsi="Segoe UI" w:cs="Segoe UI"/>
          <w:sz w:val="20"/>
          <w:szCs w:val="20"/>
        </w:rPr>
        <w:t>If the Contracting Authority considers the tender submission to be commercially unsustainable or otherwise problematic in light of the tendered price or any other financial matter (</w:t>
      </w:r>
      <w:r w:rsidR="006E011B" w:rsidRPr="009C1620">
        <w:rPr>
          <w:rFonts w:ascii="Segoe UI" w:hAnsi="Segoe UI" w:cs="Segoe UI"/>
          <w:sz w:val="20"/>
          <w:szCs w:val="20"/>
        </w:rPr>
        <w:t xml:space="preserve">including proposed indicative </w:t>
      </w:r>
      <w:r w:rsidR="00A3736E" w:rsidRPr="009C1620">
        <w:rPr>
          <w:rFonts w:ascii="Segoe UI" w:hAnsi="Segoe UI" w:cs="Segoe UI"/>
          <w:sz w:val="20"/>
          <w:szCs w:val="20"/>
        </w:rPr>
        <w:t>days</w:t>
      </w:r>
      <w:r w:rsidR="006E011B" w:rsidRPr="009C1620">
        <w:rPr>
          <w:rFonts w:ascii="Segoe UI" w:hAnsi="Segoe UI" w:cs="Segoe UI"/>
          <w:sz w:val="20"/>
          <w:szCs w:val="20"/>
        </w:rPr>
        <w:t xml:space="preserve">),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r w:rsidR="00FA2B0D" w:rsidRPr="009C1620">
        <w:rPr>
          <w:rFonts w:ascii="Segoe UI" w:hAnsi="Segoe UI" w:cs="Segoe UI"/>
          <w:sz w:val="20"/>
          <w:szCs w:val="20"/>
        </w:rPr>
        <w:t>based on</w:t>
      </w:r>
      <w:r w:rsidR="006E011B" w:rsidRPr="009C1620">
        <w:rPr>
          <w:rFonts w:ascii="Segoe UI" w:hAnsi="Segoe UI" w:cs="Segoe UI"/>
          <w:sz w:val="20"/>
          <w:szCs w:val="20"/>
        </w:rPr>
        <w:t xml:space="preserve"> it being considered abnormally low.</w:t>
      </w:r>
    </w:p>
    <w:p w14:paraId="7096BDE2" w14:textId="51C26CF4" w:rsidR="009B414F" w:rsidRDefault="009B414F" w:rsidP="00AB09C5">
      <w:pPr>
        <w:pStyle w:val="HPRAMainBodyText"/>
        <w:ind w:right="567"/>
        <w:rPr>
          <w:lang w:val="en-GB"/>
        </w:rPr>
      </w:pPr>
    </w:p>
    <w:p w14:paraId="2ADAC0EE" w14:textId="77777777" w:rsidR="009B414F" w:rsidRDefault="009B414F" w:rsidP="00AB09C5">
      <w:pPr>
        <w:pStyle w:val="HPRAMainBodyText"/>
        <w:ind w:right="567"/>
        <w:rPr>
          <w:lang w:val="en-GB"/>
        </w:rPr>
      </w:pPr>
    </w:p>
    <w:p w14:paraId="2BB5A7BE" w14:textId="16C6729E" w:rsidR="006774C2" w:rsidRPr="003A2585" w:rsidRDefault="006774C2" w:rsidP="00BA5882">
      <w:pPr>
        <w:pStyle w:val="HPRAHeadingL1"/>
        <w:ind w:left="284" w:right="567" w:hanging="284"/>
        <w:rPr>
          <w:sz w:val="32"/>
        </w:rPr>
      </w:pPr>
      <w:bookmarkStart w:id="29" w:name="_Toc235785029"/>
      <w:r w:rsidRPr="003A2585">
        <w:rPr>
          <w:sz w:val="32"/>
        </w:rPr>
        <w:lastRenderedPageBreak/>
        <w:t>Instructions For Tenderers</w:t>
      </w:r>
      <w:bookmarkEnd w:id="29"/>
    </w:p>
    <w:p w14:paraId="1CDDB690" w14:textId="489ADCC2" w:rsidR="006774C2" w:rsidRPr="003A2585" w:rsidRDefault="006774C2" w:rsidP="00C13E8A">
      <w:pPr>
        <w:pStyle w:val="HPRAHeadingL2"/>
        <w:rPr>
          <w:lang w:val="en-GB"/>
        </w:rPr>
      </w:pPr>
      <w:bookmarkStart w:id="30" w:name="_Toc235785030"/>
      <w:r w:rsidRPr="003A2585">
        <w:rPr>
          <w:lang w:val="en-GB"/>
        </w:rPr>
        <w:t>Submissions of tenders</w:t>
      </w:r>
      <w:bookmarkEnd w:id="30"/>
    </w:p>
    <w:p w14:paraId="6B960E9B" w14:textId="77777777" w:rsidR="00821BC3" w:rsidRDefault="00821BC3" w:rsidP="009C1620">
      <w:pPr>
        <w:jc w:val="both"/>
        <w:rPr>
          <w:rFonts w:ascii="Segoe UI" w:hAnsi="Segoe UI" w:cs="Segoe UI"/>
          <w:sz w:val="20"/>
          <w:szCs w:val="20"/>
        </w:rPr>
      </w:pPr>
    </w:p>
    <w:p w14:paraId="6F0200CE" w14:textId="36CAFAF5" w:rsidR="006774C2" w:rsidRPr="009C1620" w:rsidRDefault="006774C2" w:rsidP="009C1620">
      <w:pPr>
        <w:jc w:val="both"/>
        <w:rPr>
          <w:rFonts w:ascii="Segoe UI" w:hAnsi="Segoe UI" w:cs="Segoe UI"/>
          <w:sz w:val="20"/>
          <w:szCs w:val="20"/>
        </w:rPr>
      </w:pPr>
      <w:r w:rsidRPr="009C1620">
        <w:rPr>
          <w:rFonts w:ascii="Segoe UI" w:hAnsi="Segoe UI" w:cs="Segoe UI"/>
          <w:sz w:val="20"/>
          <w:szCs w:val="20"/>
        </w:rPr>
        <w:t>The Contracting Authority is using the Tender Post</w:t>
      </w:r>
      <w:r w:rsidR="0055295E">
        <w:rPr>
          <w:rFonts w:ascii="Segoe UI" w:hAnsi="Segoe UI" w:cs="Segoe UI"/>
          <w:sz w:val="20"/>
          <w:szCs w:val="20"/>
        </w:rPr>
        <w:t xml:space="preserve"> </w:t>
      </w:r>
      <w:r w:rsidRPr="009C1620">
        <w:rPr>
          <w:rFonts w:ascii="Segoe UI" w:hAnsi="Segoe UI" w:cs="Segoe UI"/>
          <w:sz w:val="20"/>
          <w:szCs w:val="20"/>
        </w:rPr>
        <w:t xml:space="preserve">box </w:t>
      </w:r>
      <w:proofErr w:type="gramStart"/>
      <w:r w:rsidRPr="009C1620">
        <w:rPr>
          <w:rFonts w:ascii="Segoe UI" w:hAnsi="Segoe UI" w:cs="Segoe UI"/>
          <w:sz w:val="20"/>
          <w:szCs w:val="20"/>
        </w:rPr>
        <w:t>facility</w:t>
      </w:r>
      <w:proofErr w:type="gramEnd"/>
      <w:r w:rsidRPr="009C1620">
        <w:rPr>
          <w:rFonts w:ascii="Segoe UI" w:hAnsi="Segoe UI" w:cs="Segoe UI"/>
          <w:sz w:val="20"/>
          <w:szCs w:val="20"/>
        </w:rPr>
        <w:t xml:space="preserve"> and tenders must be submitted electronically via the eTenders post</w:t>
      </w:r>
      <w:r w:rsidR="0055295E">
        <w:rPr>
          <w:rFonts w:ascii="Segoe UI" w:hAnsi="Segoe UI" w:cs="Segoe UI"/>
          <w:sz w:val="20"/>
          <w:szCs w:val="20"/>
        </w:rPr>
        <w:t xml:space="preserve"> </w:t>
      </w:r>
      <w:r w:rsidRPr="009C1620">
        <w:rPr>
          <w:rFonts w:ascii="Segoe UI" w:hAnsi="Segoe UI" w:cs="Segoe UI"/>
          <w:sz w:val="20"/>
          <w:szCs w:val="20"/>
        </w:rPr>
        <w:t>box facility on only. Only Tenders submitted to the electronic post</w:t>
      </w:r>
      <w:r w:rsidR="0055295E">
        <w:rPr>
          <w:rFonts w:ascii="Segoe UI" w:hAnsi="Segoe UI" w:cs="Segoe UI"/>
          <w:sz w:val="20"/>
          <w:szCs w:val="20"/>
        </w:rPr>
        <w:t xml:space="preserve"> </w:t>
      </w:r>
      <w:r w:rsidRPr="009C1620">
        <w:rPr>
          <w:rFonts w:ascii="Segoe UI" w:hAnsi="Segoe UI" w:cs="Segoe UI"/>
          <w:sz w:val="20"/>
          <w:szCs w:val="20"/>
        </w:rPr>
        <w:t>box will be accepted. Tenders submitted by any other means will not be accepted.</w:t>
      </w:r>
    </w:p>
    <w:p w14:paraId="76B7E81F" w14:textId="2DECB1DE" w:rsidR="006774C2" w:rsidRDefault="006774C2" w:rsidP="00AB09C5">
      <w:pPr>
        <w:pStyle w:val="HPRAMainBodyText"/>
        <w:ind w:right="567"/>
        <w:rPr>
          <w:lang w:val="en-GB"/>
        </w:rPr>
      </w:pPr>
    </w:p>
    <w:p w14:paraId="74613C55" w14:textId="41DB98F1" w:rsidR="00821BC3" w:rsidRDefault="006774C2" w:rsidP="00821BC3">
      <w:pPr>
        <w:pStyle w:val="HPRAHeadingL2"/>
        <w:rPr>
          <w:lang w:val="en-GB"/>
        </w:rPr>
      </w:pPr>
      <w:bookmarkStart w:id="31" w:name="_Toc235785031"/>
      <w:r w:rsidRPr="003A2585">
        <w:rPr>
          <w:lang w:val="en-GB"/>
        </w:rPr>
        <w:t>Closing date for Tenders</w:t>
      </w:r>
      <w:bookmarkEnd w:id="31"/>
    </w:p>
    <w:p w14:paraId="29AD9049" w14:textId="77777777" w:rsidR="00821BC3" w:rsidRPr="00821BC3" w:rsidRDefault="00821BC3" w:rsidP="00821BC3">
      <w:pPr>
        <w:pStyle w:val="HPRAHeadingL2"/>
        <w:numPr>
          <w:ilvl w:val="0"/>
          <w:numId w:val="0"/>
        </w:numPr>
        <w:rPr>
          <w:lang w:val="en-GB"/>
        </w:rPr>
      </w:pPr>
    </w:p>
    <w:tbl>
      <w:tblPr>
        <w:tblStyle w:val="TableGrid"/>
        <w:tblW w:w="0" w:type="auto"/>
        <w:jc w:val="center"/>
        <w:tblLook w:val="04A0" w:firstRow="1" w:lastRow="0" w:firstColumn="1" w:lastColumn="0" w:noHBand="0" w:noVBand="1"/>
      </w:tblPr>
      <w:tblGrid>
        <w:gridCol w:w="4134"/>
        <w:gridCol w:w="4134"/>
      </w:tblGrid>
      <w:tr w:rsidR="006774C2" w14:paraId="01363D97" w14:textId="77777777" w:rsidTr="007E38E5">
        <w:trPr>
          <w:trHeight w:val="306"/>
          <w:jc w:val="center"/>
        </w:trPr>
        <w:tc>
          <w:tcPr>
            <w:tcW w:w="4134" w:type="dxa"/>
          </w:tcPr>
          <w:p w14:paraId="4081BF37" w14:textId="25BEE77F" w:rsidR="006774C2" w:rsidRDefault="00A60CB2" w:rsidP="007E38E5">
            <w:pPr>
              <w:pStyle w:val="Body1"/>
              <w:rPr>
                <w:lang w:val="en-GB"/>
              </w:rPr>
            </w:pPr>
            <w:r>
              <w:rPr>
                <w:b/>
                <w:color w:val="007041" w:themeColor="accent4"/>
                <w:sz w:val="24"/>
              </w:rPr>
              <w:t>The closing date for tender responses</w:t>
            </w:r>
          </w:p>
        </w:tc>
        <w:tc>
          <w:tcPr>
            <w:tcW w:w="4134" w:type="dxa"/>
          </w:tcPr>
          <w:p w14:paraId="4C916756" w14:textId="05E0BD75" w:rsidR="006774C2" w:rsidRPr="007E38E5" w:rsidRDefault="00B230E2" w:rsidP="00AB09C5">
            <w:pPr>
              <w:pStyle w:val="HPRAMainBodyText"/>
              <w:ind w:right="567"/>
              <w:rPr>
                <w:b/>
                <w:lang w:val="en-GB"/>
              </w:rPr>
            </w:pPr>
            <w:r>
              <w:rPr>
                <w:b/>
                <w:lang w:val="en-GB"/>
              </w:rPr>
              <w:t>25</w:t>
            </w:r>
            <w:r w:rsidRPr="00B230E2">
              <w:rPr>
                <w:b/>
                <w:vertAlign w:val="superscript"/>
                <w:lang w:val="en-GB"/>
              </w:rPr>
              <w:t>th</w:t>
            </w:r>
            <w:r>
              <w:rPr>
                <w:b/>
                <w:lang w:val="en-GB"/>
              </w:rPr>
              <w:t xml:space="preserve"> of September at 12 Noon</w:t>
            </w:r>
          </w:p>
        </w:tc>
      </w:tr>
    </w:tbl>
    <w:p w14:paraId="738AABA9" w14:textId="7B3BE881" w:rsidR="006774C2" w:rsidRDefault="006774C2" w:rsidP="00AB09C5">
      <w:pPr>
        <w:pStyle w:val="HPRAMainBodyText"/>
        <w:ind w:right="567"/>
        <w:rPr>
          <w:lang w:val="en-GB"/>
        </w:rPr>
      </w:pPr>
    </w:p>
    <w:p w14:paraId="4453840A" w14:textId="37DD67BD" w:rsidR="006774C2" w:rsidRPr="009C1620" w:rsidRDefault="006774C2" w:rsidP="009C1620">
      <w:pPr>
        <w:jc w:val="both"/>
        <w:rPr>
          <w:rFonts w:ascii="Segoe UI" w:hAnsi="Segoe UI" w:cs="Segoe UI"/>
          <w:sz w:val="20"/>
          <w:szCs w:val="20"/>
        </w:rPr>
      </w:pPr>
      <w:r w:rsidRPr="009C1620">
        <w:rPr>
          <w:rFonts w:ascii="Segoe UI" w:hAnsi="Segoe UI" w:cs="Segoe UI"/>
          <w:sz w:val="20"/>
          <w:szCs w:val="20"/>
        </w:rPr>
        <w:t>It is the responsibility of the tenderer to ensure that their tender is complete and is uploaded/submitted by the designated deadline.</w:t>
      </w:r>
    </w:p>
    <w:p w14:paraId="43E18824" w14:textId="782FDB97" w:rsidR="006774C2" w:rsidRDefault="006774C2" w:rsidP="00AB09C5">
      <w:pPr>
        <w:pStyle w:val="HPRAMainBodyText"/>
        <w:ind w:right="567"/>
        <w:rPr>
          <w:lang w:val="en-GB"/>
        </w:rPr>
      </w:pPr>
    </w:p>
    <w:p w14:paraId="68F9B13F" w14:textId="39056E3B" w:rsidR="00142B46" w:rsidRPr="00C13E8A" w:rsidRDefault="000A3DCB" w:rsidP="00C13E8A">
      <w:pPr>
        <w:pStyle w:val="HPRAHeadingL2"/>
        <w:rPr>
          <w:lang w:val="en-GB"/>
        </w:rPr>
      </w:pPr>
      <w:bookmarkStart w:id="32" w:name="_Toc235785032"/>
      <w:r w:rsidRPr="003A2585">
        <w:rPr>
          <w:lang w:val="en-GB"/>
        </w:rPr>
        <w:t>Queries</w:t>
      </w:r>
      <w:bookmarkEnd w:id="32"/>
    </w:p>
    <w:p w14:paraId="66689820" w14:textId="77777777" w:rsidR="00C13E8A" w:rsidRDefault="00C13E8A" w:rsidP="00BA5882">
      <w:pPr>
        <w:jc w:val="both"/>
        <w:rPr>
          <w:rFonts w:ascii="Segoe UI" w:hAnsi="Segoe UI" w:cs="Segoe UI"/>
          <w:sz w:val="20"/>
          <w:szCs w:val="20"/>
        </w:rPr>
      </w:pPr>
    </w:p>
    <w:p w14:paraId="6E55B295" w14:textId="33B94A6A" w:rsidR="006774C2" w:rsidRPr="00BA5882" w:rsidRDefault="000A3DCB" w:rsidP="00BA5882">
      <w:pPr>
        <w:jc w:val="both"/>
        <w:rPr>
          <w:rFonts w:ascii="Segoe UI" w:hAnsi="Segoe UI" w:cs="Segoe UI"/>
          <w:sz w:val="20"/>
          <w:szCs w:val="20"/>
        </w:rPr>
      </w:pPr>
      <w:r w:rsidRPr="00BA5882">
        <w:rPr>
          <w:rFonts w:ascii="Segoe UI" w:hAnsi="Segoe UI" w:cs="Segoe UI"/>
          <w:sz w:val="20"/>
          <w:szCs w:val="20"/>
        </w:rPr>
        <w:t xml:space="preserve">All queries regarding this tender should be through the messaging facility on </w:t>
      </w:r>
      <w:hyperlink r:id="rId18" w:history="1">
        <w:r w:rsidRPr="00BA5882">
          <w:rPr>
            <w:rFonts w:ascii="Segoe UI" w:hAnsi="Segoe UI" w:cs="Segoe UI"/>
            <w:sz w:val="20"/>
            <w:szCs w:val="20"/>
          </w:rPr>
          <w:t>www.etenders.gov.ie</w:t>
        </w:r>
      </w:hyperlink>
      <w:r w:rsidRPr="00BA5882">
        <w:rPr>
          <w:rFonts w:ascii="Segoe UI" w:hAnsi="Segoe UI" w:cs="Segoe UI"/>
          <w:sz w:val="20"/>
          <w:szCs w:val="20"/>
        </w:rPr>
        <w:t xml:space="preserve"> including any omissions, which would prevent tenderers from submitting a comprehensive tender. Please submit queries as soon as possible.</w:t>
      </w:r>
    </w:p>
    <w:p w14:paraId="16AA2F8F" w14:textId="77777777" w:rsidR="00BA5882" w:rsidRDefault="00BA5882" w:rsidP="00AB09C5">
      <w:pPr>
        <w:pStyle w:val="HPRAMainBodyText"/>
        <w:ind w:right="567"/>
        <w:rPr>
          <w:lang w:val="en-GB"/>
        </w:rPr>
      </w:pPr>
    </w:p>
    <w:tbl>
      <w:tblPr>
        <w:tblStyle w:val="TableGrid"/>
        <w:tblW w:w="0" w:type="auto"/>
        <w:jc w:val="center"/>
        <w:tblLook w:val="04A0" w:firstRow="1" w:lastRow="0" w:firstColumn="1" w:lastColumn="0" w:noHBand="0" w:noVBand="1"/>
      </w:tblPr>
      <w:tblGrid>
        <w:gridCol w:w="4134"/>
        <w:gridCol w:w="4134"/>
      </w:tblGrid>
      <w:tr w:rsidR="00C817D3" w14:paraId="24C0BCB9" w14:textId="77777777" w:rsidTr="007E38E5">
        <w:trPr>
          <w:jc w:val="center"/>
        </w:trPr>
        <w:tc>
          <w:tcPr>
            <w:tcW w:w="4134" w:type="dxa"/>
          </w:tcPr>
          <w:p w14:paraId="6456C40A" w14:textId="6132A9FF" w:rsidR="00C817D3" w:rsidRPr="00B66447" w:rsidRDefault="00C817D3" w:rsidP="00B66447">
            <w:pPr>
              <w:pStyle w:val="Body1"/>
              <w:rPr>
                <w:b/>
                <w:color w:val="007041" w:themeColor="accent4"/>
                <w:sz w:val="24"/>
                <w:lang w:val="en-GB"/>
              </w:rPr>
            </w:pPr>
            <w:r w:rsidRPr="00B66447">
              <w:rPr>
                <w:b/>
                <w:color w:val="007041" w:themeColor="accent4"/>
                <w:sz w:val="24"/>
              </w:rPr>
              <w:t>The closing date for queries</w:t>
            </w:r>
          </w:p>
        </w:tc>
        <w:tc>
          <w:tcPr>
            <w:tcW w:w="4134" w:type="dxa"/>
          </w:tcPr>
          <w:p w14:paraId="6FAB96AF" w14:textId="1BD5C6CB" w:rsidR="00C817D3" w:rsidRPr="007E38E5" w:rsidRDefault="00B230E2" w:rsidP="00AB09C5">
            <w:pPr>
              <w:pStyle w:val="HPRAMainBodyText"/>
              <w:ind w:right="567"/>
              <w:rPr>
                <w:b/>
                <w:lang w:val="en-GB"/>
              </w:rPr>
            </w:pPr>
            <w:r>
              <w:rPr>
                <w:b/>
                <w:lang w:val="en-GB"/>
              </w:rPr>
              <w:t>11</w:t>
            </w:r>
            <w:r w:rsidRPr="00B230E2">
              <w:rPr>
                <w:b/>
                <w:vertAlign w:val="superscript"/>
                <w:lang w:val="en-GB"/>
              </w:rPr>
              <w:t>th</w:t>
            </w:r>
            <w:r>
              <w:rPr>
                <w:b/>
                <w:lang w:val="en-GB"/>
              </w:rPr>
              <w:t xml:space="preserve"> of September at 12 Noon</w:t>
            </w:r>
          </w:p>
        </w:tc>
      </w:tr>
      <w:tr w:rsidR="00EA4C3C" w14:paraId="327C61C3" w14:textId="77777777" w:rsidTr="007E38E5">
        <w:trPr>
          <w:jc w:val="center"/>
        </w:trPr>
        <w:tc>
          <w:tcPr>
            <w:tcW w:w="4134" w:type="dxa"/>
          </w:tcPr>
          <w:p w14:paraId="1114D682" w14:textId="531606E4" w:rsidR="00EA4C3C" w:rsidRPr="00B66447" w:rsidRDefault="00EA4C3C" w:rsidP="00EA4C3C">
            <w:pPr>
              <w:pStyle w:val="Body1"/>
              <w:rPr>
                <w:b/>
                <w:color w:val="007041" w:themeColor="accent4"/>
                <w:sz w:val="24"/>
                <w:lang w:val="en-GB"/>
              </w:rPr>
            </w:pPr>
            <w:r w:rsidRPr="00B66447">
              <w:rPr>
                <w:b/>
                <w:color w:val="007041" w:themeColor="accent4"/>
                <w:sz w:val="24"/>
              </w:rPr>
              <w:t>Process for submitting queries</w:t>
            </w:r>
          </w:p>
        </w:tc>
        <w:tc>
          <w:tcPr>
            <w:tcW w:w="4134" w:type="dxa"/>
          </w:tcPr>
          <w:p w14:paraId="6775EFC6" w14:textId="1D3794BB" w:rsidR="00EA4C3C" w:rsidRDefault="00EA4C3C" w:rsidP="00EA4C3C">
            <w:pPr>
              <w:pStyle w:val="HPRAMainBodyText"/>
              <w:ind w:right="567"/>
              <w:rPr>
                <w:lang w:val="en-GB"/>
              </w:rPr>
            </w:pPr>
            <w:r>
              <w:rPr>
                <w:lang w:val="en-GB"/>
              </w:rPr>
              <w:t>Via the e-tenders messaging facility</w:t>
            </w:r>
          </w:p>
        </w:tc>
      </w:tr>
    </w:tbl>
    <w:p w14:paraId="6E186622" w14:textId="77777777" w:rsidR="00C817D3" w:rsidRDefault="00C817D3" w:rsidP="00AB09C5">
      <w:pPr>
        <w:pStyle w:val="HPRAMainBodyText"/>
        <w:ind w:right="567"/>
        <w:rPr>
          <w:lang w:val="en-GB"/>
        </w:rPr>
      </w:pPr>
    </w:p>
    <w:p w14:paraId="4B7062F8" w14:textId="317454B6" w:rsidR="008E766E" w:rsidRPr="003A2585" w:rsidRDefault="008E766E" w:rsidP="00C13E8A">
      <w:pPr>
        <w:pStyle w:val="HPRAHeadingL2"/>
        <w:rPr>
          <w:lang w:val="en-GB"/>
        </w:rPr>
      </w:pPr>
      <w:bookmarkStart w:id="33" w:name="_Toc235785033"/>
      <w:r w:rsidRPr="003A2585">
        <w:rPr>
          <w:lang w:val="en-GB"/>
        </w:rPr>
        <w:t>Extension of Tender Period</w:t>
      </w:r>
      <w:bookmarkEnd w:id="33"/>
    </w:p>
    <w:p w14:paraId="2F2BAEF6" w14:textId="77777777" w:rsidR="00821BC3" w:rsidRDefault="00821BC3" w:rsidP="00BA5882">
      <w:pPr>
        <w:jc w:val="both"/>
        <w:rPr>
          <w:rFonts w:ascii="Segoe UI" w:hAnsi="Segoe UI" w:cs="Segoe UI"/>
          <w:sz w:val="20"/>
          <w:szCs w:val="20"/>
        </w:rPr>
      </w:pPr>
    </w:p>
    <w:p w14:paraId="325AF47A" w14:textId="0CBC4EE7"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The Contracting Authority reserves the right at its sole discretion to extend the closing date for receipt of tenders by giving notice in writing to all parties who have expressed an interest in the notice via eTenders no later than six days before the original closing date.</w:t>
      </w:r>
    </w:p>
    <w:p w14:paraId="5B30A277" w14:textId="1FDC6BCC" w:rsidR="008E766E" w:rsidRPr="00BA5882" w:rsidRDefault="008E766E" w:rsidP="00BA5882">
      <w:pPr>
        <w:jc w:val="both"/>
        <w:rPr>
          <w:rFonts w:ascii="Segoe UI" w:hAnsi="Segoe UI" w:cs="Segoe UI"/>
          <w:sz w:val="20"/>
          <w:szCs w:val="20"/>
        </w:rPr>
      </w:pPr>
    </w:p>
    <w:p w14:paraId="662040AE" w14:textId="23736A09"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 xml:space="preserve">Tenderers will be responsible for any costs incurred by them </w:t>
      </w:r>
      <w:proofErr w:type="gramStart"/>
      <w:r w:rsidRPr="00BA5882">
        <w:rPr>
          <w:rFonts w:ascii="Segoe UI" w:hAnsi="Segoe UI" w:cs="Segoe UI"/>
          <w:sz w:val="20"/>
          <w:szCs w:val="20"/>
        </w:rPr>
        <w:t>in the event that</w:t>
      </w:r>
      <w:proofErr w:type="gramEnd"/>
      <w:r w:rsidRPr="00BA5882">
        <w:rPr>
          <w:rFonts w:ascii="Segoe UI" w:hAnsi="Segoe UI" w:cs="Segoe UI"/>
          <w:sz w:val="20"/>
          <w:szCs w:val="20"/>
        </w:rPr>
        <w:t xml:space="preserve"> they are required to attend clarification or other meetings or make a presentation of their proposals.</w:t>
      </w:r>
    </w:p>
    <w:p w14:paraId="1DB7B184" w14:textId="3BB515F9" w:rsidR="008D5A6F" w:rsidRDefault="008D5A6F" w:rsidP="008E766E">
      <w:pPr>
        <w:pStyle w:val="HPRAMainBodyText"/>
        <w:ind w:right="567"/>
      </w:pPr>
    </w:p>
    <w:p w14:paraId="08710E86" w14:textId="3F336FCF" w:rsidR="008E766E" w:rsidRPr="003A2585" w:rsidRDefault="008E766E" w:rsidP="00C13E8A">
      <w:pPr>
        <w:pStyle w:val="HPRAHeadingL2"/>
        <w:rPr>
          <w:lang w:val="en-GB"/>
        </w:rPr>
      </w:pPr>
      <w:bookmarkStart w:id="34" w:name="_Toc235785034"/>
      <w:r w:rsidRPr="003A2585">
        <w:rPr>
          <w:lang w:val="en-GB"/>
        </w:rPr>
        <w:t>Tender validity period</w:t>
      </w:r>
      <w:bookmarkEnd w:id="34"/>
    </w:p>
    <w:p w14:paraId="205AB434" w14:textId="77777777" w:rsidR="00821BC3" w:rsidRDefault="00821BC3" w:rsidP="00BA5882">
      <w:pPr>
        <w:jc w:val="both"/>
        <w:rPr>
          <w:rFonts w:ascii="Segoe UI" w:hAnsi="Segoe UI" w:cs="Segoe UI"/>
          <w:sz w:val="20"/>
          <w:szCs w:val="20"/>
        </w:rPr>
      </w:pPr>
    </w:p>
    <w:p w14:paraId="5BF86557" w14:textId="0E8F090B"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To allow sufficient time for Tender assessment a Tender Validity period of 12 months is required, this period commencing on the closing date by which the tenders are due to be returned.</w:t>
      </w:r>
    </w:p>
    <w:p w14:paraId="00A313FD" w14:textId="4A59555C" w:rsidR="008E766E" w:rsidRDefault="008E766E" w:rsidP="008E766E">
      <w:pPr>
        <w:pStyle w:val="HPRAMainBodyText"/>
        <w:ind w:right="567"/>
      </w:pPr>
    </w:p>
    <w:p w14:paraId="602C7905" w14:textId="15D6F099" w:rsidR="008E766E" w:rsidRPr="003A2585" w:rsidRDefault="008E766E" w:rsidP="00C13E8A">
      <w:pPr>
        <w:pStyle w:val="HPRAHeadingL2"/>
        <w:rPr>
          <w:lang w:val="en-GB"/>
        </w:rPr>
      </w:pPr>
      <w:bookmarkStart w:id="35" w:name="_Toc235785035"/>
      <w:r w:rsidRPr="003A2585">
        <w:rPr>
          <w:lang w:val="en-GB"/>
        </w:rPr>
        <w:t>Formatting of Tenders/ Amending Tender Documentation</w:t>
      </w:r>
      <w:bookmarkEnd w:id="35"/>
    </w:p>
    <w:p w14:paraId="5D9C2941" w14:textId="77777777" w:rsidR="00BA5882" w:rsidRDefault="00BA5882" w:rsidP="008E766E">
      <w:pPr>
        <w:pStyle w:val="HPRAMainBodyText"/>
        <w:ind w:right="567"/>
      </w:pPr>
    </w:p>
    <w:p w14:paraId="71D8E80F" w14:textId="6C6AF093" w:rsidR="008E766E" w:rsidRDefault="008E766E" w:rsidP="008E766E">
      <w:pPr>
        <w:pStyle w:val="HPRAMainBodyText"/>
        <w:ind w:right="567"/>
      </w:pPr>
      <w:r>
        <w:t>Tenderers must ensure the following:</w:t>
      </w:r>
    </w:p>
    <w:p w14:paraId="0E947306" w14:textId="131447C1" w:rsidR="008E766E" w:rsidRDefault="008E766E">
      <w:pPr>
        <w:pStyle w:val="HPRAMainBodyText"/>
        <w:numPr>
          <w:ilvl w:val="0"/>
          <w:numId w:val="26"/>
        </w:numPr>
        <w:ind w:right="567"/>
      </w:pPr>
      <w:r>
        <w:lastRenderedPageBreak/>
        <w:t>The first page of their tender contains all the relevant contact information.</w:t>
      </w:r>
    </w:p>
    <w:p w14:paraId="0C116D24" w14:textId="043166A6" w:rsidR="008E766E" w:rsidRDefault="008E766E">
      <w:pPr>
        <w:pStyle w:val="HPRAMainBodyText"/>
        <w:numPr>
          <w:ilvl w:val="0"/>
          <w:numId w:val="26"/>
        </w:numPr>
        <w:ind w:right="567"/>
      </w:pPr>
      <w:r>
        <w:t>All responses should include page numbers and contents page.</w:t>
      </w:r>
    </w:p>
    <w:p w14:paraId="763BA23A" w14:textId="2D5BB852" w:rsidR="008E766E" w:rsidRDefault="008E766E">
      <w:pPr>
        <w:pStyle w:val="HPRAMainBodyText"/>
        <w:numPr>
          <w:ilvl w:val="0"/>
          <w:numId w:val="26"/>
        </w:numPr>
        <w:ind w:right="567"/>
      </w:pPr>
      <w:r>
        <w:t>Follow where possible the number structure of the invitation to Tender.</w:t>
      </w:r>
    </w:p>
    <w:p w14:paraId="32BAF82F" w14:textId="59BFD7C2" w:rsidR="008E766E" w:rsidRDefault="008E766E">
      <w:pPr>
        <w:pStyle w:val="HPRAMainBodyText"/>
        <w:numPr>
          <w:ilvl w:val="0"/>
          <w:numId w:val="26"/>
        </w:numPr>
        <w:ind w:right="567"/>
      </w:pPr>
      <w:r>
        <w:t>Ensure that the tender response is structured in a format for ease of evaluation customised to the RFT.</w:t>
      </w:r>
    </w:p>
    <w:p w14:paraId="2FC514E1" w14:textId="131906EE" w:rsidR="008E766E" w:rsidRDefault="008E766E" w:rsidP="008E766E">
      <w:pPr>
        <w:pStyle w:val="HPRAMainBodyText"/>
        <w:ind w:right="567"/>
      </w:pPr>
    </w:p>
    <w:p w14:paraId="422BA137" w14:textId="00014BBF"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The Contracting Authority may at its discretion eliminate the tenderer from further consideration. Likewise, failure to use the template documentation provided particularly in relation to costing/pricing may result being elimin</w:t>
      </w:r>
      <w:r w:rsidR="001070F3" w:rsidRPr="00BA5882">
        <w:rPr>
          <w:rFonts w:ascii="Segoe UI" w:hAnsi="Segoe UI" w:cs="Segoe UI"/>
          <w:sz w:val="20"/>
          <w:szCs w:val="20"/>
        </w:rPr>
        <w:t>ated.</w:t>
      </w:r>
    </w:p>
    <w:p w14:paraId="4CC38832" w14:textId="2646E137" w:rsidR="001070F3" w:rsidRDefault="001070F3" w:rsidP="008E766E">
      <w:pPr>
        <w:pStyle w:val="HPRAMainBodyText"/>
        <w:ind w:right="567"/>
      </w:pPr>
    </w:p>
    <w:p w14:paraId="083AB8A6" w14:textId="48FCB662" w:rsidR="001070F3" w:rsidRPr="003A2585" w:rsidRDefault="001070F3" w:rsidP="00C13E8A">
      <w:pPr>
        <w:pStyle w:val="HPRAHeadingL2"/>
        <w:rPr>
          <w:lang w:val="en-GB"/>
        </w:rPr>
      </w:pPr>
      <w:bookmarkStart w:id="36" w:name="_Toc235785036"/>
      <w:r w:rsidRPr="003A2585">
        <w:rPr>
          <w:lang w:val="en-GB"/>
        </w:rPr>
        <w:t>Confidentiality</w:t>
      </w:r>
      <w:bookmarkEnd w:id="36"/>
      <w:r w:rsidR="00B230E2">
        <w:rPr>
          <w:lang w:val="en-GB"/>
        </w:rPr>
        <w:t xml:space="preserve">, </w:t>
      </w:r>
      <w:proofErr w:type="spellStart"/>
      <w:r w:rsidR="00B230E2">
        <w:rPr>
          <w:lang w:val="en-GB"/>
        </w:rPr>
        <w:t>Lobbyying</w:t>
      </w:r>
      <w:proofErr w:type="spellEnd"/>
      <w:r w:rsidR="00B230E2">
        <w:rPr>
          <w:lang w:val="en-GB"/>
        </w:rPr>
        <w:t xml:space="preserve"> and Freedom of Information</w:t>
      </w:r>
    </w:p>
    <w:p w14:paraId="14329200" w14:textId="77777777" w:rsidR="00821BC3" w:rsidRDefault="00821BC3" w:rsidP="00BA5882">
      <w:pPr>
        <w:jc w:val="both"/>
        <w:rPr>
          <w:rFonts w:ascii="Segoe UI" w:hAnsi="Segoe UI" w:cs="Segoe UI"/>
          <w:sz w:val="20"/>
          <w:szCs w:val="20"/>
        </w:rPr>
      </w:pPr>
    </w:p>
    <w:p w14:paraId="2A3F2F9A" w14:textId="298FFEE6"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w:t>
      </w:r>
    </w:p>
    <w:p w14:paraId="4A6B6F58" w14:textId="70AFA330" w:rsidR="001070F3" w:rsidRPr="00BA5882" w:rsidRDefault="001070F3" w:rsidP="00BA5882">
      <w:pPr>
        <w:jc w:val="both"/>
        <w:rPr>
          <w:rFonts w:ascii="Segoe UI" w:hAnsi="Segoe UI" w:cs="Segoe UI"/>
          <w:sz w:val="20"/>
          <w:szCs w:val="20"/>
        </w:rPr>
      </w:pPr>
    </w:p>
    <w:p w14:paraId="1D146186" w14:textId="512B27AA"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Tenderers shall treat the details of all documents supplied to them in connection with this contract as private and confidential and shall not disclose the contents to a third party without the permission of the Contracting Authority.</w:t>
      </w:r>
    </w:p>
    <w:p w14:paraId="7F9D8AE2" w14:textId="2E8999CC" w:rsidR="001070F3" w:rsidRPr="00BA5882" w:rsidRDefault="001070F3" w:rsidP="00BA5882">
      <w:pPr>
        <w:jc w:val="both"/>
        <w:rPr>
          <w:rFonts w:ascii="Segoe UI" w:hAnsi="Segoe UI" w:cs="Segoe UI"/>
          <w:sz w:val="20"/>
          <w:szCs w:val="20"/>
        </w:rPr>
      </w:pPr>
    </w:p>
    <w:p w14:paraId="6FDDFF39" w14:textId="51203C13"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Any effort by the Tenderer to influence the Contracting Authority or their staff in the process of examination clarification evaluation and comparison of tenders and in decisions concerning the award of the contract may result in the rejection of that Tender.</w:t>
      </w:r>
    </w:p>
    <w:p w14:paraId="38805908" w14:textId="77777777" w:rsidR="001070F3" w:rsidRDefault="001070F3" w:rsidP="008E766E">
      <w:pPr>
        <w:pStyle w:val="HPRAMainBodyText"/>
        <w:ind w:right="567"/>
      </w:pPr>
    </w:p>
    <w:p w14:paraId="15C6C092" w14:textId="77777777" w:rsidR="00B230E2" w:rsidRPr="00B230E2" w:rsidRDefault="00B230E2" w:rsidP="00B230E2">
      <w:pPr>
        <w:jc w:val="both"/>
        <w:rPr>
          <w:rFonts w:ascii="Segoe UI" w:hAnsi="Segoe UI" w:cs="Segoe UI"/>
          <w:sz w:val="20"/>
          <w:szCs w:val="20"/>
        </w:rPr>
      </w:pPr>
      <w:r w:rsidRPr="00B230E2">
        <w:rPr>
          <w:rFonts w:ascii="Segoe UI" w:hAnsi="Segoe UI" w:cs="Segoe UI"/>
          <w:sz w:val="20"/>
          <w:szCs w:val="20"/>
        </w:rPr>
        <w:t xml:space="preserve">Tenderers should be aware that information provided by them during this Competition may be liable to be disclosed under the Freedom of Information Act 2014 and the European Communities (Access to Information on the Environment) Regulations 2007 to 2014. </w:t>
      </w:r>
    </w:p>
    <w:p w14:paraId="6DAD5D7B" w14:textId="77777777" w:rsidR="00B230E2" w:rsidRDefault="00B230E2" w:rsidP="008E766E">
      <w:pPr>
        <w:pStyle w:val="HPRAMainBodyText"/>
        <w:ind w:right="567"/>
      </w:pPr>
    </w:p>
    <w:p w14:paraId="7F468596" w14:textId="7A265830" w:rsidR="001070F3" w:rsidRPr="003A2585" w:rsidRDefault="005F35A2" w:rsidP="00C13E8A">
      <w:pPr>
        <w:pStyle w:val="HPRAHeadingL2"/>
        <w:rPr>
          <w:lang w:val="en-GB"/>
        </w:rPr>
      </w:pPr>
      <w:bookmarkStart w:id="37" w:name="_Toc235785037"/>
      <w:r w:rsidRPr="003A2585">
        <w:rPr>
          <w:lang w:val="en-GB"/>
        </w:rPr>
        <w:t>Clarification of Tenders</w:t>
      </w:r>
      <w:bookmarkEnd w:id="37"/>
    </w:p>
    <w:p w14:paraId="1D7C6EC3" w14:textId="77777777" w:rsidR="00821BC3" w:rsidRDefault="00821BC3" w:rsidP="00BA5882">
      <w:pPr>
        <w:jc w:val="both"/>
        <w:rPr>
          <w:rFonts w:ascii="Segoe UI" w:hAnsi="Segoe UI" w:cs="Segoe UI"/>
          <w:sz w:val="20"/>
          <w:szCs w:val="20"/>
        </w:rPr>
      </w:pPr>
    </w:p>
    <w:p w14:paraId="63440FB4" w14:textId="268D8036" w:rsidR="005F35A2" w:rsidRDefault="005F35A2" w:rsidP="00BA5882">
      <w:pPr>
        <w:jc w:val="both"/>
        <w:rPr>
          <w:rFonts w:ascii="Segoe UI" w:hAnsi="Segoe UI" w:cs="Segoe UI"/>
          <w:sz w:val="20"/>
          <w:szCs w:val="20"/>
        </w:rPr>
      </w:pPr>
      <w:r w:rsidRPr="00BA5882">
        <w:rPr>
          <w:rFonts w:ascii="Segoe UI" w:hAnsi="Segoe UI" w:cs="Segoe UI"/>
          <w:sz w:val="20"/>
          <w:szCs w:val="20"/>
        </w:rPr>
        <w:t xml:space="preserve">The Contracting </w:t>
      </w:r>
      <w:r w:rsidR="00706662" w:rsidRPr="00BA5882">
        <w:rPr>
          <w:rFonts w:ascii="Segoe UI" w:hAnsi="Segoe UI" w:cs="Segoe UI"/>
          <w:sz w:val="20"/>
          <w:szCs w:val="20"/>
        </w:rPr>
        <w:t>Authority</w:t>
      </w:r>
      <w:r w:rsidRPr="00BA5882">
        <w:rPr>
          <w:rFonts w:ascii="Segoe UI" w:hAnsi="Segoe UI" w:cs="Segoe UI"/>
          <w:sz w:val="20"/>
          <w:szCs w:val="20"/>
        </w:rPr>
        <w:t xml:space="preserve"> is entitled but not obliged to seek clarifications of tenders including pricing breakdowns </w:t>
      </w:r>
      <w:proofErr w:type="gramStart"/>
      <w:r w:rsidRPr="00BA5882">
        <w:rPr>
          <w:rFonts w:ascii="Segoe UI" w:hAnsi="Segoe UI" w:cs="Segoe UI"/>
          <w:sz w:val="20"/>
          <w:szCs w:val="20"/>
        </w:rPr>
        <w:t>in the course of</w:t>
      </w:r>
      <w:proofErr w:type="gramEnd"/>
      <w:r w:rsidRPr="00BA5882">
        <w:rPr>
          <w:rFonts w:ascii="Segoe UI" w:hAnsi="Segoe UI" w:cs="Segoe UI"/>
          <w:sz w:val="20"/>
          <w:szCs w:val="20"/>
        </w:rPr>
        <w:t xml:space="preserve"> the evaluation process. No change in the price or substance of the Tender shall be sought offered or permitted.</w:t>
      </w:r>
      <w:r w:rsidR="00706662" w:rsidRPr="00BA5882">
        <w:rPr>
          <w:rFonts w:ascii="Segoe UI" w:hAnsi="Segoe UI" w:cs="Segoe UI"/>
          <w:sz w:val="20"/>
          <w:szCs w:val="20"/>
        </w:rPr>
        <w:t xml:space="preserve"> To assist in finalising the tender evaluation selected tenderers may be invited to attend clarification meetings with the Contracting Authority.</w:t>
      </w:r>
    </w:p>
    <w:p w14:paraId="013EB418" w14:textId="77777777" w:rsidR="003A2585" w:rsidRPr="00BA5882" w:rsidRDefault="003A2585" w:rsidP="00BA5882">
      <w:pPr>
        <w:jc w:val="both"/>
        <w:rPr>
          <w:rFonts w:ascii="Segoe UI" w:hAnsi="Segoe UI" w:cs="Segoe UI"/>
          <w:sz w:val="20"/>
          <w:szCs w:val="20"/>
        </w:rPr>
      </w:pPr>
    </w:p>
    <w:p w14:paraId="7F1B840D" w14:textId="09D6587A" w:rsidR="00706662" w:rsidRPr="003A2585" w:rsidRDefault="00FB6AB2" w:rsidP="00C13E8A">
      <w:pPr>
        <w:pStyle w:val="HPRAHeadingL2"/>
        <w:rPr>
          <w:lang w:val="en-GB"/>
        </w:rPr>
      </w:pPr>
      <w:bookmarkStart w:id="38" w:name="_Toc235785038"/>
      <w:r w:rsidRPr="003A2585">
        <w:rPr>
          <w:lang w:val="en-GB"/>
        </w:rPr>
        <w:t>Correction of Errors</w:t>
      </w:r>
      <w:bookmarkEnd w:id="38"/>
    </w:p>
    <w:p w14:paraId="10995E71" w14:textId="77777777" w:rsidR="00821BC3" w:rsidRDefault="00821BC3" w:rsidP="00BA5882">
      <w:pPr>
        <w:jc w:val="both"/>
        <w:rPr>
          <w:rFonts w:ascii="Segoe UI" w:hAnsi="Segoe UI" w:cs="Segoe UI"/>
          <w:sz w:val="20"/>
          <w:szCs w:val="20"/>
        </w:rPr>
      </w:pPr>
    </w:p>
    <w:p w14:paraId="3B173B78" w14:textId="5B601884" w:rsidR="00706662" w:rsidRPr="00BA5882" w:rsidRDefault="00FB6AB2" w:rsidP="00BA5882">
      <w:pPr>
        <w:jc w:val="both"/>
        <w:rPr>
          <w:rFonts w:ascii="Segoe UI" w:hAnsi="Segoe UI" w:cs="Segoe UI"/>
          <w:sz w:val="20"/>
          <w:szCs w:val="20"/>
        </w:rPr>
      </w:pPr>
      <w:r w:rsidRPr="00BA5882">
        <w:rPr>
          <w:rFonts w:ascii="Segoe UI" w:hAnsi="Segoe UI" w:cs="Segoe UI"/>
          <w:sz w:val="20"/>
          <w:szCs w:val="20"/>
        </w:rPr>
        <w:t>Detailed pricing of all tenders will be examined for errors that might alter the tender pricing as determined from the figures on the tender or as between the hard copy and electronic versions of the tender. In general, the following approach will be applied to manifest errors – where there is discrepancy between the unit price and the total amount derived from the multiplication of the unit price and the quantity the unit price as quoted will normally govern.</w:t>
      </w:r>
    </w:p>
    <w:p w14:paraId="410AE1C6" w14:textId="77777777" w:rsidR="00BA5882" w:rsidRPr="00BA5882" w:rsidRDefault="00BA5882" w:rsidP="00BA5882">
      <w:pPr>
        <w:jc w:val="both"/>
        <w:rPr>
          <w:rFonts w:ascii="Segoe UI" w:hAnsi="Segoe UI" w:cs="Segoe UI"/>
          <w:sz w:val="20"/>
          <w:szCs w:val="20"/>
        </w:rPr>
      </w:pPr>
    </w:p>
    <w:p w14:paraId="2FCF8804" w14:textId="652B167F" w:rsidR="00FB6AB2" w:rsidRPr="00BA5882" w:rsidRDefault="00FB6AB2" w:rsidP="00BA5882">
      <w:pPr>
        <w:jc w:val="both"/>
        <w:rPr>
          <w:rFonts w:ascii="Segoe UI" w:hAnsi="Segoe UI" w:cs="Segoe UI"/>
          <w:sz w:val="20"/>
          <w:szCs w:val="20"/>
        </w:rPr>
      </w:pPr>
      <w:r w:rsidRPr="00BA5882">
        <w:rPr>
          <w:rFonts w:ascii="Segoe UI" w:hAnsi="Segoe UI" w:cs="Segoe UI"/>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62680C24" w14:textId="77777777" w:rsidR="00FB6AB2" w:rsidRPr="00FB6AB2" w:rsidRDefault="00FB6AB2" w:rsidP="00FB6AB2">
      <w:pPr>
        <w:pStyle w:val="HPRAMainBodyText"/>
        <w:ind w:right="567"/>
      </w:pPr>
    </w:p>
    <w:p w14:paraId="63277FF2" w14:textId="781AC9B0" w:rsidR="00C12F66" w:rsidRPr="003A2585" w:rsidRDefault="00C12F66" w:rsidP="00C13E8A">
      <w:pPr>
        <w:pStyle w:val="HPRAHeadingL2"/>
        <w:rPr>
          <w:lang w:val="en-GB"/>
        </w:rPr>
      </w:pPr>
      <w:bookmarkStart w:id="39" w:name="_Toc235785039"/>
      <w:r w:rsidRPr="003A2585">
        <w:rPr>
          <w:lang w:val="en-GB"/>
        </w:rPr>
        <w:t>Conflict of interest</w:t>
      </w:r>
      <w:bookmarkEnd w:id="39"/>
    </w:p>
    <w:p w14:paraId="193AE7AC" w14:textId="77777777" w:rsidR="00821BC3" w:rsidRDefault="00821BC3" w:rsidP="00BA5882">
      <w:pPr>
        <w:jc w:val="both"/>
        <w:rPr>
          <w:rFonts w:ascii="Segoe UI" w:hAnsi="Segoe UI" w:cs="Segoe UI"/>
          <w:sz w:val="20"/>
          <w:szCs w:val="20"/>
        </w:rPr>
      </w:pPr>
    </w:p>
    <w:p w14:paraId="4EDADDD2" w14:textId="3A3B8A71"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lastRenderedPageBreak/>
        <w:t xml:space="preserve">Any conflicts of interest involving a contractor (or contractors in the event of a consortium bid) must be fully disclosed to the HPRA, particularly where there is </w:t>
      </w:r>
      <w:r w:rsidR="000A03C1" w:rsidRPr="00BA5882">
        <w:rPr>
          <w:rFonts w:ascii="Segoe UI" w:hAnsi="Segoe UI" w:cs="Segoe UI"/>
          <w:sz w:val="20"/>
          <w:szCs w:val="20"/>
        </w:rPr>
        <w:t>a</w:t>
      </w:r>
      <w:r w:rsidRPr="00BA5882">
        <w:rPr>
          <w:rFonts w:ascii="Segoe UI" w:hAnsi="Segoe UI" w:cs="Segoe UI"/>
          <w:sz w:val="20"/>
          <w:szCs w:val="20"/>
        </w:rPr>
        <w:t xml:space="preserve"> </w:t>
      </w:r>
      <w:r w:rsidR="004E7223">
        <w:rPr>
          <w:rFonts w:ascii="Segoe UI" w:hAnsi="Segoe UI" w:cs="Segoe UI"/>
          <w:sz w:val="20"/>
          <w:szCs w:val="20"/>
        </w:rPr>
        <w:t>conflict</w:t>
      </w:r>
      <w:r w:rsidRPr="00BA5882">
        <w:rPr>
          <w:rFonts w:ascii="Segoe UI" w:hAnsi="Segoe UI" w:cs="Segoe UI"/>
          <w:sz w:val="20"/>
          <w:szCs w:val="20"/>
        </w:rPr>
        <w:t xml:space="preserve"> of interest in relation to any recommendations or proposals put forward.</w:t>
      </w:r>
    </w:p>
    <w:p w14:paraId="3D7C9489" w14:textId="77777777" w:rsidR="00C12F66" w:rsidRPr="00BA5882" w:rsidRDefault="00C12F66" w:rsidP="00BA5882">
      <w:pPr>
        <w:jc w:val="both"/>
        <w:rPr>
          <w:rFonts w:ascii="Segoe UI" w:hAnsi="Segoe UI" w:cs="Segoe UI"/>
          <w:sz w:val="20"/>
          <w:szCs w:val="20"/>
        </w:rPr>
      </w:pPr>
    </w:p>
    <w:p w14:paraId="6F5B1E0A" w14:textId="0311BF45"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 xml:space="preserve">Any registerable interest involving the contractor or any </w:t>
      </w:r>
      <w:proofErr w:type="spellStart"/>
      <w:r w:rsidRPr="00BA5882">
        <w:rPr>
          <w:rFonts w:ascii="Segoe UI" w:hAnsi="Segoe UI" w:cs="Segoe UI"/>
          <w:sz w:val="20"/>
          <w:szCs w:val="20"/>
        </w:rPr>
        <w:t>sub</w:t>
      </w:r>
      <w:r w:rsidR="0055295E">
        <w:rPr>
          <w:rFonts w:ascii="Segoe UI" w:hAnsi="Segoe UI" w:cs="Segoe UI"/>
          <w:sz w:val="20"/>
          <w:szCs w:val="20"/>
        </w:rPr>
        <w:t xml:space="preserve"> </w:t>
      </w:r>
      <w:r w:rsidRPr="00BA5882">
        <w:rPr>
          <w:rFonts w:ascii="Segoe UI" w:hAnsi="Segoe UI" w:cs="Segoe UI"/>
          <w:sz w:val="20"/>
          <w:szCs w:val="20"/>
        </w:rPr>
        <w:t>contractors</w:t>
      </w:r>
      <w:proofErr w:type="spellEnd"/>
      <w:r w:rsidRPr="00BA5882">
        <w:rPr>
          <w:rFonts w:ascii="Segoe UI" w:hAnsi="Segoe UI" w:cs="Segoe UI"/>
          <w:sz w:val="20"/>
          <w:szCs w:val="20"/>
        </w:rPr>
        <w:t xml:space="preserve"> and the Minister for Health, members of the Government, members of the Oireachtas or employees of the Health Products Regulatory Authority, or their relatives must be fully disclosed in the response to this invitation to tender or should be communicated to the HPRA immediately upon such information becoming known to the contractor, in the event of this information only coming to their notice after the submission of a bid and prior to the award of the contract.  The terms ‘registerable interest’ and ‘relative’ shall be interpreted as per section 2 of the Ethics in Public Office Act, 1994.</w:t>
      </w:r>
    </w:p>
    <w:p w14:paraId="5B9D190C" w14:textId="18AD4342" w:rsidR="00C12F66" w:rsidRDefault="00C12F66" w:rsidP="00C12F66">
      <w:pPr>
        <w:pStyle w:val="HPRAMainBodyText"/>
        <w:ind w:right="567"/>
      </w:pPr>
    </w:p>
    <w:p w14:paraId="7462C4A9" w14:textId="77777777" w:rsidR="00C12F66" w:rsidRPr="003A2585" w:rsidRDefault="00C12F66" w:rsidP="00C13E8A">
      <w:pPr>
        <w:pStyle w:val="HPRAHeadingL2"/>
        <w:rPr>
          <w:lang w:val="en-GB"/>
        </w:rPr>
      </w:pPr>
      <w:bookmarkStart w:id="40" w:name="_Toc235785040"/>
      <w:r w:rsidRPr="003A2585">
        <w:rPr>
          <w:lang w:val="en-GB"/>
        </w:rPr>
        <w:t>Interference with the tender evaluation process</w:t>
      </w:r>
      <w:bookmarkEnd w:id="40"/>
    </w:p>
    <w:p w14:paraId="42FCA227" w14:textId="46A4109A" w:rsidR="00C12F66" w:rsidRDefault="00C12F66" w:rsidP="00C12F66">
      <w:pPr>
        <w:pStyle w:val="HPRAMainBodyText"/>
        <w:ind w:right="567"/>
      </w:pPr>
    </w:p>
    <w:p w14:paraId="31C04205" w14:textId="77777777"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Tenderers who endeavour to influence or interfere in any way with the tender evaluation process or award decision will have their tender rejected.</w:t>
      </w:r>
    </w:p>
    <w:p w14:paraId="1F1DB266" w14:textId="052721C9" w:rsidR="00C12F66" w:rsidRDefault="00C12F66" w:rsidP="00C12F66">
      <w:pPr>
        <w:pStyle w:val="HPRAMainBodyText"/>
        <w:ind w:right="567"/>
      </w:pPr>
    </w:p>
    <w:p w14:paraId="611844FE" w14:textId="77777777" w:rsidR="00F85B29" w:rsidRPr="003A2585" w:rsidRDefault="00F85B29" w:rsidP="00C13E8A">
      <w:pPr>
        <w:pStyle w:val="HPRAHeadingL2"/>
        <w:rPr>
          <w:lang w:val="en-GB"/>
        </w:rPr>
      </w:pPr>
      <w:bookmarkStart w:id="41" w:name="_Toc235785041"/>
      <w:r w:rsidRPr="003A2585">
        <w:rPr>
          <w:lang w:val="en-GB"/>
        </w:rPr>
        <w:t>Right not to award</w:t>
      </w:r>
      <w:bookmarkEnd w:id="41"/>
    </w:p>
    <w:p w14:paraId="5F6F1F57" w14:textId="77777777" w:rsidR="00397139" w:rsidRDefault="00397139" w:rsidP="00BA5882">
      <w:pPr>
        <w:jc w:val="both"/>
        <w:rPr>
          <w:rFonts w:ascii="Segoe UI" w:hAnsi="Segoe UI" w:cs="Segoe UI"/>
          <w:sz w:val="20"/>
          <w:szCs w:val="20"/>
        </w:rPr>
      </w:pPr>
    </w:p>
    <w:p w14:paraId="37861889" w14:textId="67F7C7FD" w:rsidR="009C1620" w:rsidRDefault="00F85B29" w:rsidP="00397139">
      <w:pPr>
        <w:jc w:val="both"/>
        <w:rPr>
          <w:rFonts w:ascii="Segoe UI" w:hAnsi="Segoe UI" w:cs="Segoe UI"/>
          <w:sz w:val="20"/>
          <w:szCs w:val="20"/>
        </w:rPr>
      </w:pPr>
      <w:r w:rsidRPr="00BA5882">
        <w:rPr>
          <w:rFonts w:ascii="Segoe UI" w:hAnsi="Segoe UI" w:cs="Segoe UI"/>
          <w:sz w:val="20"/>
          <w:szCs w:val="20"/>
        </w:rPr>
        <w:t>The HPRA is not bound to accept the lowest or any tender; no commitment of any kind, contractual or otherwise, will exist unless a formal contract has been executed by and on behalf of both parties. The award of this tender will not give rise to any enforceable rights by the tenderer. The HPRA reserves its position.</w:t>
      </w:r>
    </w:p>
    <w:p w14:paraId="1795B18A" w14:textId="77777777" w:rsidR="00397139" w:rsidRPr="00397139" w:rsidRDefault="00397139" w:rsidP="00397139">
      <w:pPr>
        <w:jc w:val="both"/>
        <w:rPr>
          <w:rFonts w:ascii="Segoe UI" w:hAnsi="Segoe UI" w:cs="Segoe UI"/>
          <w:sz w:val="20"/>
          <w:szCs w:val="20"/>
        </w:rPr>
      </w:pPr>
    </w:p>
    <w:p w14:paraId="7F83C9D3" w14:textId="15201E27" w:rsidR="00FB6AB2" w:rsidRPr="003A2585" w:rsidRDefault="00F85B29" w:rsidP="00C13E8A">
      <w:pPr>
        <w:pStyle w:val="HPRAHeadingL2"/>
        <w:rPr>
          <w:lang w:val="en-GB"/>
        </w:rPr>
      </w:pPr>
      <w:bookmarkStart w:id="42" w:name="_Toc235785042"/>
      <w:r w:rsidRPr="003A2585">
        <w:rPr>
          <w:lang w:val="en-GB"/>
        </w:rPr>
        <w:t>Notification of Tender Evaluations</w:t>
      </w:r>
      <w:bookmarkEnd w:id="42"/>
    </w:p>
    <w:p w14:paraId="24A919E3" w14:textId="77777777" w:rsidR="00397139" w:rsidRDefault="00397139" w:rsidP="00BA5882">
      <w:pPr>
        <w:jc w:val="both"/>
        <w:rPr>
          <w:rFonts w:ascii="Segoe UI" w:hAnsi="Segoe UI" w:cs="Segoe UI"/>
          <w:sz w:val="20"/>
          <w:szCs w:val="20"/>
        </w:rPr>
      </w:pPr>
    </w:p>
    <w:p w14:paraId="1146B664" w14:textId="1BB25D11"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All tenderers will be informed of the outcome of their tenders following tender evaluation and any necessary clarifications.</w:t>
      </w:r>
    </w:p>
    <w:p w14:paraId="595B8C49" w14:textId="77777777" w:rsidR="00397139" w:rsidRDefault="00397139" w:rsidP="00F85B29">
      <w:pPr>
        <w:pStyle w:val="HPRAMainBodyText"/>
        <w:rPr>
          <w:lang w:val="en-GB"/>
        </w:rPr>
      </w:pPr>
    </w:p>
    <w:p w14:paraId="47587200" w14:textId="7B568BF9" w:rsidR="00F85B29" w:rsidRDefault="00F85B29" w:rsidP="00397139">
      <w:pPr>
        <w:pStyle w:val="HPRAMainBodyText"/>
        <w:rPr>
          <w:lang w:val="en-GB"/>
        </w:rPr>
      </w:pPr>
      <w:r w:rsidRPr="00F85B29">
        <w:rPr>
          <w:lang w:val="en-GB"/>
        </w:rPr>
        <w:t>Potential outcomes can be:</w:t>
      </w:r>
    </w:p>
    <w:p w14:paraId="5C932DA2" w14:textId="77777777" w:rsidR="00397139" w:rsidRPr="00397139" w:rsidRDefault="00397139" w:rsidP="00397139">
      <w:pPr>
        <w:pStyle w:val="HPRAMainBodyText"/>
        <w:rPr>
          <w:lang w:val="en-GB"/>
        </w:rPr>
      </w:pPr>
    </w:p>
    <w:p w14:paraId="22B7B2FF" w14:textId="5E319AAC" w:rsidR="00F85B29" w:rsidRDefault="00F85B29">
      <w:pPr>
        <w:pStyle w:val="Body1"/>
        <w:numPr>
          <w:ilvl w:val="0"/>
          <w:numId w:val="19"/>
        </w:numPr>
      </w:pPr>
      <w:r>
        <w:t>Establishment of Award of Contract</w:t>
      </w:r>
    </w:p>
    <w:p w14:paraId="002BD9B0" w14:textId="7E853DE1" w:rsidR="00F85B29" w:rsidRDefault="00F85B29">
      <w:pPr>
        <w:pStyle w:val="Body1"/>
        <w:numPr>
          <w:ilvl w:val="0"/>
          <w:numId w:val="19"/>
        </w:numPr>
      </w:pPr>
      <w:r>
        <w:t>Letter of Regret</w:t>
      </w:r>
    </w:p>
    <w:p w14:paraId="1691A8C7" w14:textId="6555055C" w:rsidR="008D5A6F" w:rsidRDefault="00F85B29">
      <w:pPr>
        <w:pStyle w:val="Body1"/>
        <w:numPr>
          <w:ilvl w:val="0"/>
          <w:numId w:val="19"/>
        </w:numPr>
      </w:pPr>
      <w:r>
        <w:t xml:space="preserve">Decision not to proceed with the </w:t>
      </w:r>
      <w:r w:rsidR="003A35C8">
        <w:t>award of the contract</w:t>
      </w:r>
    </w:p>
    <w:p w14:paraId="6BDAEE1F" w14:textId="77777777" w:rsidR="006058AA" w:rsidRPr="00397139" w:rsidRDefault="006058AA" w:rsidP="006058AA">
      <w:pPr>
        <w:pStyle w:val="Body1"/>
      </w:pPr>
    </w:p>
    <w:p w14:paraId="3DEB318F" w14:textId="4430A8E9" w:rsidR="00F85B29" w:rsidRPr="003A2585" w:rsidRDefault="00F85B29" w:rsidP="00C13E8A">
      <w:pPr>
        <w:pStyle w:val="HPRAHeadingL2"/>
        <w:rPr>
          <w:lang w:val="en-GB"/>
        </w:rPr>
      </w:pPr>
      <w:bookmarkStart w:id="43" w:name="_Toc235785043"/>
      <w:r w:rsidRPr="003A2585">
        <w:rPr>
          <w:lang w:val="en-GB"/>
        </w:rPr>
        <w:t>Award Notices</w:t>
      </w:r>
      <w:bookmarkEnd w:id="2"/>
      <w:bookmarkEnd w:id="3"/>
      <w:bookmarkEnd w:id="43"/>
    </w:p>
    <w:p w14:paraId="6F93C54D" w14:textId="77777777" w:rsidR="006058AA" w:rsidRDefault="006058AA" w:rsidP="00BA5882">
      <w:pPr>
        <w:jc w:val="both"/>
        <w:rPr>
          <w:rFonts w:ascii="Segoe UI" w:hAnsi="Segoe UI" w:cs="Segoe UI"/>
          <w:sz w:val="20"/>
          <w:szCs w:val="20"/>
        </w:rPr>
      </w:pPr>
    </w:p>
    <w:p w14:paraId="6497044E" w14:textId="3741BA45"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 xml:space="preserve">Following the award of contract, an award notice will be despatched </w:t>
      </w:r>
      <w:r w:rsidR="008D5A6F" w:rsidRPr="00BA5882">
        <w:rPr>
          <w:rFonts w:ascii="Segoe UI" w:hAnsi="Segoe UI" w:cs="Segoe UI"/>
          <w:sz w:val="20"/>
          <w:szCs w:val="20"/>
        </w:rPr>
        <w:t>via e</w:t>
      </w:r>
      <w:r w:rsidR="00AA2F92">
        <w:rPr>
          <w:rFonts w:ascii="Segoe UI" w:hAnsi="Segoe UI" w:cs="Segoe UI"/>
          <w:sz w:val="20"/>
          <w:szCs w:val="20"/>
        </w:rPr>
        <w:t>-</w:t>
      </w:r>
      <w:r w:rsidR="008D5A6F" w:rsidRPr="00BA5882">
        <w:rPr>
          <w:rFonts w:ascii="Segoe UI" w:hAnsi="Segoe UI" w:cs="Segoe UI"/>
          <w:sz w:val="20"/>
          <w:szCs w:val="20"/>
        </w:rPr>
        <w:t>tenders</w:t>
      </w:r>
      <w:r w:rsidR="00BF5798">
        <w:rPr>
          <w:rFonts w:ascii="Segoe UI" w:hAnsi="Segoe UI" w:cs="Segoe UI"/>
          <w:sz w:val="20"/>
          <w:szCs w:val="20"/>
        </w:rPr>
        <w:t>/Email</w:t>
      </w:r>
      <w:r w:rsidR="008D5A6F" w:rsidRPr="00BA5882">
        <w:rPr>
          <w:rFonts w:ascii="Segoe UI" w:hAnsi="Segoe UI" w:cs="Segoe UI"/>
          <w:sz w:val="20"/>
          <w:szCs w:val="20"/>
        </w:rPr>
        <w:t xml:space="preserve"> </w:t>
      </w:r>
      <w:r w:rsidRPr="00BA5882">
        <w:rPr>
          <w:rFonts w:ascii="Segoe UI" w:hAnsi="Segoe UI" w:cs="Segoe UI"/>
          <w:sz w:val="20"/>
          <w:szCs w:val="20"/>
        </w:rPr>
        <w:t xml:space="preserve">announcing the </w:t>
      </w:r>
      <w:r w:rsidR="008D5A6F" w:rsidRPr="00BA5882">
        <w:rPr>
          <w:rFonts w:ascii="Segoe UI" w:hAnsi="Segoe UI" w:cs="Segoe UI"/>
          <w:sz w:val="20"/>
          <w:szCs w:val="20"/>
        </w:rPr>
        <w:t xml:space="preserve">successful supplier in respect </w:t>
      </w:r>
      <w:r w:rsidRPr="00BA5882">
        <w:rPr>
          <w:rFonts w:ascii="Segoe UI" w:hAnsi="Segoe UI" w:cs="Segoe UI"/>
          <w:sz w:val="20"/>
          <w:szCs w:val="20"/>
        </w:rPr>
        <w:t xml:space="preserve">of </w:t>
      </w:r>
      <w:r w:rsidR="008D5A6F" w:rsidRPr="00BA5882">
        <w:rPr>
          <w:rFonts w:ascii="Segoe UI" w:hAnsi="Segoe UI" w:cs="Segoe UI"/>
          <w:sz w:val="20"/>
          <w:szCs w:val="20"/>
        </w:rPr>
        <w:t xml:space="preserve">this </w:t>
      </w:r>
      <w:r w:rsidRPr="00BA5882">
        <w:rPr>
          <w:rFonts w:ascii="Segoe UI" w:hAnsi="Segoe UI" w:cs="Segoe UI"/>
          <w:sz w:val="20"/>
          <w:szCs w:val="20"/>
        </w:rPr>
        <w:t>competition</w:t>
      </w:r>
    </w:p>
    <w:p w14:paraId="01858FA5" w14:textId="5D8561DE" w:rsidR="00F85B29" w:rsidRDefault="00F85B29" w:rsidP="00F85B29">
      <w:pPr>
        <w:pStyle w:val="HPRAMainBodyText"/>
        <w:rPr>
          <w:lang w:val="en-GB"/>
        </w:rPr>
      </w:pPr>
    </w:p>
    <w:p w14:paraId="6108629B" w14:textId="77DED7B1" w:rsidR="00995497" w:rsidRPr="003A2585" w:rsidRDefault="00995497" w:rsidP="00C13E8A">
      <w:pPr>
        <w:pStyle w:val="HPRAHeadingL2"/>
        <w:rPr>
          <w:lang w:val="en-GB"/>
        </w:rPr>
      </w:pPr>
      <w:bookmarkStart w:id="44" w:name="_Toc235785044"/>
      <w:r w:rsidRPr="003A2585">
        <w:rPr>
          <w:lang w:val="en-GB"/>
        </w:rPr>
        <w:t>Policy on personal debriefings</w:t>
      </w:r>
      <w:bookmarkEnd w:id="44"/>
    </w:p>
    <w:p w14:paraId="486C8DF3" w14:textId="77777777" w:rsidR="006058AA" w:rsidRDefault="006058AA" w:rsidP="00BA5882">
      <w:pPr>
        <w:jc w:val="both"/>
        <w:rPr>
          <w:rFonts w:ascii="Segoe UI" w:hAnsi="Segoe UI" w:cs="Segoe UI"/>
          <w:sz w:val="20"/>
          <w:szCs w:val="20"/>
        </w:rPr>
      </w:pPr>
    </w:p>
    <w:p w14:paraId="3B96FDEA" w14:textId="6177B521" w:rsidR="00995497" w:rsidRPr="00BA5882" w:rsidRDefault="00995497" w:rsidP="00BA5882">
      <w:pPr>
        <w:jc w:val="both"/>
        <w:rPr>
          <w:rFonts w:ascii="Segoe UI" w:hAnsi="Segoe UI" w:cs="Segoe UI"/>
          <w:sz w:val="20"/>
          <w:szCs w:val="20"/>
        </w:rPr>
      </w:pPr>
      <w:r w:rsidRPr="00BA5882">
        <w:rPr>
          <w:rFonts w:ascii="Segoe UI" w:hAnsi="Segoe UI" w:cs="Segoe UI"/>
          <w:sz w:val="20"/>
          <w:szCs w:val="20"/>
        </w:rPr>
        <w:t xml:space="preserve">Based on the provision of the information to unsuccessful tenderers outlined above and due to resourcing </w:t>
      </w:r>
      <w:r w:rsidR="00055F13" w:rsidRPr="00BA5882">
        <w:rPr>
          <w:rFonts w:ascii="Segoe UI" w:hAnsi="Segoe UI" w:cs="Segoe UI"/>
          <w:sz w:val="20"/>
          <w:szCs w:val="20"/>
        </w:rPr>
        <w:t>constraints,</w:t>
      </w:r>
      <w:r w:rsidRPr="00BA5882">
        <w:rPr>
          <w:rFonts w:ascii="Segoe UI" w:hAnsi="Segoe UI" w:cs="Segoe UI"/>
          <w:sz w:val="20"/>
          <w:szCs w:val="20"/>
        </w:rPr>
        <w:t xml:space="preserve"> the Contracting Authority will not be offering individual debriefing meetings to unsuccessful</w:t>
      </w:r>
      <w:r w:rsidR="00DF7D0C" w:rsidRPr="00BA5882">
        <w:rPr>
          <w:rFonts w:ascii="Segoe UI" w:hAnsi="Segoe UI" w:cs="Segoe UI"/>
          <w:sz w:val="20"/>
          <w:szCs w:val="20"/>
        </w:rPr>
        <w:t xml:space="preserve"> bidders.</w:t>
      </w:r>
    </w:p>
    <w:p w14:paraId="336FBBDE" w14:textId="76ABAEF2" w:rsidR="00DF7D0C" w:rsidRDefault="00DF7D0C" w:rsidP="00DF7D0C">
      <w:pPr>
        <w:pStyle w:val="HPRAMainBodyText"/>
        <w:rPr>
          <w:lang w:val="en-GB"/>
        </w:rPr>
      </w:pPr>
    </w:p>
    <w:p w14:paraId="33636609" w14:textId="519EF80E" w:rsidR="00DF7D0C" w:rsidRPr="003A2585" w:rsidRDefault="003435C6" w:rsidP="00C13E8A">
      <w:pPr>
        <w:pStyle w:val="HPRAHeadingL2"/>
        <w:rPr>
          <w:lang w:val="en-GB"/>
        </w:rPr>
      </w:pPr>
      <w:bookmarkStart w:id="45" w:name="_Toc235785045"/>
      <w:r w:rsidRPr="003A2585">
        <w:rPr>
          <w:lang w:val="en-GB"/>
        </w:rPr>
        <w:lastRenderedPageBreak/>
        <w:t>Environmental Aspects</w:t>
      </w:r>
      <w:bookmarkEnd w:id="45"/>
    </w:p>
    <w:p w14:paraId="14824CA5" w14:textId="77777777" w:rsidR="006058AA" w:rsidRDefault="006058AA" w:rsidP="00BA5882">
      <w:pPr>
        <w:jc w:val="both"/>
        <w:rPr>
          <w:rFonts w:ascii="Segoe UI" w:hAnsi="Segoe UI" w:cs="Segoe UI"/>
          <w:sz w:val="20"/>
          <w:szCs w:val="20"/>
        </w:rPr>
      </w:pPr>
    </w:p>
    <w:p w14:paraId="11D7D7D2" w14:textId="6DC75E87"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The Contracting Authority is committed to the principles of environmental management in its </w:t>
      </w:r>
      <w:r w:rsidR="002E7CBD" w:rsidRPr="00BA5882">
        <w:rPr>
          <w:rFonts w:ascii="Segoe UI" w:hAnsi="Segoe UI" w:cs="Segoe UI"/>
          <w:sz w:val="20"/>
          <w:szCs w:val="20"/>
        </w:rPr>
        <w:t>activities,</w:t>
      </w:r>
      <w:r w:rsidRPr="00BA5882">
        <w:rPr>
          <w:rFonts w:ascii="Segoe UI" w:hAnsi="Segoe UI" w:cs="Segoe UI"/>
          <w:sz w:val="20"/>
          <w:szCs w:val="20"/>
        </w:rPr>
        <w:t xml:space="preserve"> and it encourages the implementation of sustainability principles in its procurement practices. Tenderers/contractors should make all reasonable efforts to minimise adverse environmental impact in the methods of services delivery and in materials used.</w:t>
      </w:r>
    </w:p>
    <w:p w14:paraId="06AB7835" w14:textId="1798A3D0" w:rsidR="003435C6" w:rsidRDefault="003435C6" w:rsidP="003435C6">
      <w:pPr>
        <w:pStyle w:val="HPRAMainBodyText"/>
        <w:rPr>
          <w:lang w:val="en-GB"/>
        </w:rPr>
      </w:pPr>
    </w:p>
    <w:p w14:paraId="5ADDC5B2" w14:textId="4611FA4F" w:rsidR="003435C6" w:rsidRPr="003A2585" w:rsidRDefault="0031447A" w:rsidP="00C13E8A">
      <w:pPr>
        <w:pStyle w:val="HPRAHeadingL2"/>
        <w:rPr>
          <w:lang w:val="en-GB"/>
        </w:rPr>
      </w:pPr>
      <w:r>
        <w:rPr>
          <w:lang w:val="en-GB"/>
        </w:rPr>
        <w:t>Tax Clearance Certificate</w:t>
      </w:r>
    </w:p>
    <w:p w14:paraId="08F61961" w14:textId="77777777" w:rsidR="003435C6" w:rsidRPr="00C16F99" w:rsidRDefault="003435C6" w:rsidP="003435C6">
      <w:pPr>
        <w:pStyle w:val="HPRAMainBodyText"/>
        <w:rPr>
          <w:lang w:val="en-GB"/>
        </w:rPr>
      </w:pPr>
    </w:p>
    <w:p w14:paraId="64385E4D" w14:textId="77777777"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It will be a condition for the award of this contract and that the successful candidate furnishes a General Tax Clearance Certificate issued by the Irish Revenue Commissioners.</w:t>
      </w:r>
    </w:p>
    <w:p w14:paraId="55D11B22" w14:textId="66673364" w:rsidR="003435C6" w:rsidRDefault="003435C6" w:rsidP="003435C6">
      <w:pPr>
        <w:pStyle w:val="HPRAMainBodyText"/>
        <w:rPr>
          <w:lang w:val="en-GB"/>
        </w:rPr>
      </w:pPr>
    </w:p>
    <w:p w14:paraId="0ED4AA59" w14:textId="77777777" w:rsidR="003435C6" w:rsidRPr="003A2585" w:rsidRDefault="003435C6" w:rsidP="00C13E8A">
      <w:pPr>
        <w:pStyle w:val="HPRAHeadingL2"/>
        <w:rPr>
          <w:lang w:val="en-GB"/>
        </w:rPr>
      </w:pPr>
      <w:bookmarkStart w:id="46" w:name="_Toc235785047"/>
      <w:r w:rsidRPr="003A2585">
        <w:rPr>
          <w:lang w:val="en-GB"/>
        </w:rPr>
        <w:t>Review of supplier performance</w:t>
      </w:r>
      <w:bookmarkEnd w:id="46"/>
    </w:p>
    <w:p w14:paraId="0F97DCAB" w14:textId="77777777" w:rsidR="003435C6" w:rsidRPr="00C16F99" w:rsidRDefault="003435C6" w:rsidP="003435C6">
      <w:pPr>
        <w:pStyle w:val="HPRAMainBodyText"/>
        <w:rPr>
          <w:lang w:val="en-GB"/>
        </w:rPr>
      </w:pPr>
    </w:p>
    <w:p w14:paraId="4FF958C6" w14:textId="1CFD6A62"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The successful tenderers will be appointed for a probationary period of six (6) months, during that time the supplier will be assessed based on various relevant qualitative criteria. At the end of the six (6) month probationary period, the contract shall either be allowed to continue if performance has been </w:t>
      </w:r>
      <w:r w:rsidR="001639B5" w:rsidRPr="00BA5882">
        <w:rPr>
          <w:rFonts w:ascii="Segoe UI" w:hAnsi="Segoe UI" w:cs="Segoe UI"/>
          <w:sz w:val="20"/>
          <w:szCs w:val="20"/>
        </w:rPr>
        <w:t>satisfactory or</w:t>
      </w:r>
      <w:r w:rsidRPr="00BA5882">
        <w:rPr>
          <w:rFonts w:ascii="Segoe UI" w:hAnsi="Segoe UI" w:cs="Segoe UI"/>
          <w:sz w:val="20"/>
          <w:szCs w:val="20"/>
        </w:rPr>
        <w:t xml:space="preserve"> terminated if it has not and supplier shortcomings cannot be addressed. </w:t>
      </w:r>
      <w:proofErr w:type="gramStart"/>
      <w:r w:rsidRPr="00BA5882">
        <w:rPr>
          <w:rFonts w:ascii="Segoe UI" w:hAnsi="Segoe UI" w:cs="Segoe UI"/>
          <w:sz w:val="20"/>
          <w:szCs w:val="20"/>
        </w:rPr>
        <w:t>In the event that</w:t>
      </w:r>
      <w:proofErr w:type="gramEnd"/>
      <w:r w:rsidRPr="00BA5882">
        <w:rPr>
          <w:rFonts w:ascii="Segoe UI" w:hAnsi="Segoe UI" w:cs="Segoe UI"/>
          <w:sz w:val="20"/>
          <w:szCs w:val="20"/>
        </w:rPr>
        <w:t xml:space="preserve"> the contract is renewed, the contract shall be subject to a further official review every twelve (12) months thereafter and will only be renewed subject to satisfactory performance.</w:t>
      </w:r>
    </w:p>
    <w:p w14:paraId="2BCF76CD" w14:textId="77777777" w:rsidR="003435C6" w:rsidRDefault="003435C6" w:rsidP="003435C6">
      <w:pPr>
        <w:pStyle w:val="HPRAMainBodyText"/>
        <w:rPr>
          <w:lang w:val="en-GB"/>
        </w:rPr>
      </w:pPr>
    </w:p>
    <w:p w14:paraId="510D6C44" w14:textId="1215463B"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Supplier performance will however be continually monitored over the term of the </w:t>
      </w:r>
      <w:r w:rsidR="00FA2B0D" w:rsidRPr="00BA5882">
        <w:rPr>
          <w:rFonts w:ascii="Segoe UI" w:hAnsi="Segoe UI" w:cs="Segoe UI"/>
          <w:sz w:val="20"/>
          <w:szCs w:val="20"/>
        </w:rPr>
        <w:t>contract</w:t>
      </w:r>
      <w:r w:rsidR="00FA2B0D">
        <w:rPr>
          <w:rFonts w:ascii="Segoe UI" w:hAnsi="Segoe UI" w:cs="Segoe UI"/>
          <w:sz w:val="20"/>
          <w:szCs w:val="20"/>
        </w:rPr>
        <w:t>,</w:t>
      </w:r>
      <w:r w:rsidR="00FA2B0D" w:rsidRPr="00BA5882">
        <w:rPr>
          <w:rFonts w:ascii="Segoe UI" w:hAnsi="Segoe UI" w:cs="Segoe UI"/>
          <w:sz w:val="20"/>
          <w:szCs w:val="20"/>
        </w:rPr>
        <w:t xml:space="preserve"> cost</w:t>
      </w:r>
      <w:r w:rsidRPr="00BA5882">
        <w:rPr>
          <w:rFonts w:ascii="Segoe UI" w:hAnsi="Segoe UI" w:cs="Segoe UI"/>
          <w:sz w:val="20"/>
          <w:szCs w:val="20"/>
        </w:rPr>
        <w:t xml:space="preserve"> competitiveness, quality of service and turnaround time will be the main criteria for measuring performance. It is expected that the successful </w:t>
      </w:r>
      <w:r w:rsidR="00FA2B0D" w:rsidRPr="00BA5882">
        <w:rPr>
          <w:rFonts w:ascii="Segoe UI" w:hAnsi="Segoe UI" w:cs="Segoe UI"/>
          <w:sz w:val="20"/>
          <w:szCs w:val="20"/>
        </w:rPr>
        <w:t>tenderers</w:t>
      </w:r>
      <w:r w:rsidRPr="00BA5882">
        <w:rPr>
          <w:rFonts w:ascii="Segoe UI" w:hAnsi="Segoe UI" w:cs="Segoe UI"/>
          <w:sz w:val="20"/>
          <w:szCs w:val="20"/>
        </w:rPr>
        <w:t xml:space="preserve"> will take a proactive role in monitoring performance with a view to making appropriate recommendations where necessary.</w:t>
      </w:r>
    </w:p>
    <w:p w14:paraId="202B70BA" w14:textId="0E47CA24" w:rsidR="003435C6" w:rsidRDefault="003435C6" w:rsidP="003435C6">
      <w:pPr>
        <w:pStyle w:val="HPRAMainBodyText"/>
        <w:rPr>
          <w:lang w:val="en-GB"/>
        </w:rPr>
      </w:pPr>
    </w:p>
    <w:p w14:paraId="6CBB2F98" w14:textId="11575747" w:rsidR="003435C6" w:rsidRPr="003A2585" w:rsidRDefault="003435C6" w:rsidP="00C13E8A">
      <w:pPr>
        <w:pStyle w:val="HPRAHeadingL2"/>
        <w:rPr>
          <w:lang w:val="en-GB"/>
        </w:rPr>
      </w:pPr>
      <w:bookmarkStart w:id="47" w:name="_Toc49167237"/>
      <w:bookmarkStart w:id="48" w:name="_Toc235785048"/>
      <w:r w:rsidRPr="003A2585">
        <w:rPr>
          <w:lang w:val="en-GB"/>
        </w:rPr>
        <w:t>Payment terms</w:t>
      </w:r>
      <w:bookmarkEnd w:id="47"/>
      <w:bookmarkEnd w:id="48"/>
    </w:p>
    <w:p w14:paraId="641DBB66" w14:textId="77777777" w:rsidR="003435C6" w:rsidRPr="00A9741F" w:rsidRDefault="003435C6" w:rsidP="003435C6">
      <w:pPr>
        <w:jc w:val="both"/>
        <w:rPr>
          <w:rFonts w:ascii="Segoe UI" w:hAnsi="Segoe UI" w:cs="Segoe UI"/>
        </w:rPr>
      </w:pPr>
    </w:p>
    <w:p w14:paraId="63AB2885" w14:textId="77777777" w:rsidR="003435C6" w:rsidRPr="004B1607" w:rsidRDefault="003435C6" w:rsidP="003435C6">
      <w:pPr>
        <w:jc w:val="both"/>
        <w:rPr>
          <w:rFonts w:ascii="Segoe UI" w:hAnsi="Segoe UI" w:cs="Segoe UI"/>
          <w:b/>
          <w:color w:val="707173" w:themeColor="text2"/>
          <w:sz w:val="20"/>
          <w:szCs w:val="20"/>
        </w:rPr>
      </w:pPr>
      <w:r w:rsidRPr="004B1607">
        <w:rPr>
          <w:rFonts w:ascii="Segoe UI" w:hAnsi="Segoe UI" w:cs="Segoe UI"/>
          <w:b/>
          <w:color w:val="707173" w:themeColor="text2"/>
          <w:sz w:val="20"/>
          <w:szCs w:val="20"/>
        </w:rPr>
        <w:t>European Communities (Late Payments in Commercial Transactions) Regulator 2012 (SI Number 580 of 2012)</w:t>
      </w:r>
    </w:p>
    <w:p w14:paraId="383E68CF" w14:textId="77777777" w:rsidR="003435C6" w:rsidRPr="004B1607" w:rsidRDefault="003435C6" w:rsidP="003435C6">
      <w:pPr>
        <w:jc w:val="both"/>
        <w:rPr>
          <w:rFonts w:ascii="Segoe UI" w:hAnsi="Segoe UI" w:cs="Segoe UI"/>
          <w:sz w:val="20"/>
          <w:szCs w:val="20"/>
        </w:rPr>
      </w:pPr>
    </w:p>
    <w:p w14:paraId="4D4795A8" w14:textId="76A10E68" w:rsidR="003435C6" w:rsidRPr="004B1607" w:rsidRDefault="003435C6" w:rsidP="003435C6">
      <w:pPr>
        <w:jc w:val="both"/>
        <w:rPr>
          <w:rFonts w:ascii="Segoe UI" w:hAnsi="Segoe UI" w:cs="Segoe UI"/>
          <w:sz w:val="20"/>
          <w:szCs w:val="20"/>
        </w:rPr>
      </w:pPr>
      <w:r w:rsidRPr="004B1607">
        <w:rPr>
          <w:rFonts w:ascii="Segoe UI" w:hAnsi="Segoe UI" w:cs="Segoe UI"/>
          <w:sz w:val="20"/>
          <w:szCs w:val="20"/>
        </w:rPr>
        <w:t>The service provider shall be paid in accordance with the provisions of the Prompt Payment Accounts Act 1997, as amended by the European Communities (Late Payment in Commercial Transactions) Regulations 2012 (SI Number 580</w:t>
      </w:r>
      <w:r w:rsidR="00F76306" w:rsidRPr="004B1607">
        <w:rPr>
          <w:rFonts w:ascii="Segoe UI" w:hAnsi="Segoe UI" w:cs="Segoe UI"/>
          <w:sz w:val="20"/>
          <w:szCs w:val="20"/>
        </w:rPr>
        <w:t>)</w:t>
      </w:r>
      <w:r w:rsidRPr="004B1607">
        <w:rPr>
          <w:rFonts w:ascii="Segoe UI" w:hAnsi="Segoe UI" w:cs="Segoe UI"/>
          <w:sz w:val="20"/>
          <w:szCs w:val="20"/>
        </w:rPr>
        <w:t xml:space="preserve"> and is obliged to pay subcontractors (if relevant) in accordance with those provisions. </w:t>
      </w:r>
    </w:p>
    <w:p w14:paraId="4E451A4F" w14:textId="77777777" w:rsidR="003435C6" w:rsidRPr="004B1607" w:rsidRDefault="003435C6" w:rsidP="003435C6">
      <w:pPr>
        <w:jc w:val="both"/>
        <w:rPr>
          <w:rFonts w:ascii="Segoe UI" w:hAnsi="Segoe UI" w:cs="Segoe UI"/>
          <w:sz w:val="20"/>
          <w:szCs w:val="20"/>
        </w:rPr>
      </w:pPr>
    </w:p>
    <w:p w14:paraId="4C0F1F17" w14:textId="77777777" w:rsidR="003435C6" w:rsidRPr="004B1607" w:rsidRDefault="003435C6" w:rsidP="003435C6">
      <w:pPr>
        <w:jc w:val="both"/>
        <w:rPr>
          <w:rFonts w:ascii="Segoe UI" w:hAnsi="Segoe UI" w:cs="Segoe UI"/>
          <w:sz w:val="20"/>
          <w:szCs w:val="20"/>
        </w:rPr>
      </w:pPr>
      <w:r w:rsidRPr="004B1607">
        <w:rPr>
          <w:rFonts w:ascii="Segoe UI" w:hAnsi="Segoe UI" w:cs="Segoe UI"/>
          <w:sz w:val="20"/>
          <w:szCs w:val="20"/>
        </w:rPr>
        <w:t>The HPRA retains the right to withhold payment where the service provider has failed to meet its contractual obligations in relation to the delivery of services to an acceptable level of quality.</w:t>
      </w:r>
    </w:p>
    <w:p w14:paraId="7B289FC0" w14:textId="77777777" w:rsidR="003435C6" w:rsidRPr="004B1607" w:rsidRDefault="003435C6" w:rsidP="003435C6">
      <w:pPr>
        <w:jc w:val="both"/>
        <w:rPr>
          <w:rFonts w:ascii="Segoe UI" w:hAnsi="Segoe UI" w:cs="Segoe UI"/>
          <w:sz w:val="20"/>
          <w:szCs w:val="20"/>
        </w:rPr>
      </w:pPr>
    </w:p>
    <w:p w14:paraId="3BB442B8" w14:textId="26CEC4DE" w:rsidR="003435C6" w:rsidRDefault="003435C6" w:rsidP="006058AA">
      <w:pPr>
        <w:jc w:val="both"/>
        <w:rPr>
          <w:rFonts w:ascii="Segoe UI" w:hAnsi="Segoe UI" w:cs="Segoe UI"/>
          <w:sz w:val="20"/>
          <w:szCs w:val="20"/>
        </w:rPr>
      </w:pPr>
      <w:r w:rsidRPr="004B1607">
        <w:rPr>
          <w:rFonts w:ascii="Segoe UI" w:hAnsi="Segoe UI" w:cs="Segoe UI"/>
          <w:sz w:val="20"/>
          <w:szCs w:val="20"/>
        </w:rPr>
        <w:t xml:space="preserve">All costs, </w:t>
      </w:r>
      <w:r w:rsidR="00F95920" w:rsidRPr="004B1607">
        <w:rPr>
          <w:rFonts w:ascii="Segoe UI" w:hAnsi="Segoe UI" w:cs="Segoe UI"/>
          <w:sz w:val="20"/>
          <w:szCs w:val="20"/>
        </w:rPr>
        <w:t>damages,</w:t>
      </w:r>
      <w:r w:rsidRPr="004B1607">
        <w:rPr>
          <w:rFonts w:ascii="Segoe UI" w:hAnsi="Segoe UI" w:cs="Segoe UI"/>
          <w:sz w:val="20"/>
          <w:szCs w:val="20"/>
        </w:rPr>
        <w:t xml:space="preserve"> or expenses for which the service provider is liable to the HPRA may be deducted from any monies due or becoming due to the service provider or may be recovered by action at law or otherwise from the service provider.</w:t>
      </w:r>
    </w:p>
    <w:p w14:paraId="7B9A0C23" w14:textId="77777777" w:rsidR="00B230E2" w:rsidRDefault="00B230E2" w:rsidP="006058AA">
      <w:pPr>
        <w:jc w:val="both"/>
        <w:rPr>
          <w:rFonts w:ascii="Segoe UI" w:hAnsi="Segoe UI" w:cs="Segoe UI"/>
          <w:sz w:val="20"/>
          <w:szCs w:val="20"/>
        </w:rPr>
      </w:pPr>
    </w:p>
    <w:p w14:paraId="4289EA44" w14:textId="77777777" w:rsidR="00B230E2" w:rsidRPr="00B230E2" w:rsidRDefault="00B230E2" w:rsidP="00B230E2">
      <w:pPr>
        <w:pStyle w:val="HPRAHeadingL2"/>
        <w:ind w:left="357" w:hanging="357"/>
        <w:rPr>
          <w:rFonts w:eastAsiaTheme="minorHAnsi"/>
          <w:color w:val="auto"/>
          <w:sz w:val="20"/>
        </w:rPr>
      </w:pPr>
      <w:r w:rsidRPr="00B230E2">
        <w:rPr>
          <w:lang w:val="en-GB"/>
        </w:rPr>
        <w:lastRenderedPageBreak/>
        <w:tab/>
        <w:t>Data Pr</w:t>
      </w:r>
      <w:r>
        <w:rPr>
          <w:lang w:val="en-GB"/>
        </w:rPr>
        <w:t>o</w:t>
      </w:r>
      <w:r w:rsidRPr="00B230E2">
        <w:rPr>
          <w:lang w:val="en-GB"/>
        </w:rPr>
        <w:t>tection</w:t>
      </w:r>
      <w:r>
        <w:rPr>
          <w:lang w:val="en-GB"/>
        </w:rPr>
        <w:t xml:space="preserve"> </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14:paraId="3532AF63" w14:textId="4ED0FD15" w:rsidR="00B230E2" w:rsidRPr="00B230E2" w:rsidRDefault="00B230E2" w:rsidP="00B230E2">
      <w:pPr>
        <w:pStyle w:val="HPRAHeadingL2"/>
        <w:numPr>
          <w:ilvl w:val="0"/>
          <w:numId w:val="0"/>
        </w:numPr>
        <w:rPr>
          <w:rFonts w:eastAsiaTheme="minorHAnsi"/>
          <w:color w:val="auto"/>
          <w:sz w:val="20"/>
        </w:rPr>
      </w:pPr>
      <w:r w:rsidRPr="00B230E2">
        <w:rPr>
          <w:rFonts w:eastAsiaTheme="minorHAnsi"/>
          <w:color w:val="auto"/>
          <w:sz w:val="20"/>
        </w:rPr>
        <w:t>The Contracting Authority will be a Data Controller in respect of any Personal Data required to be provided by the Tenderer in response to this RFT. The Tenderer, as Data Controller in respect of any Personal Data provided by it in its Tender, is required to ensure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29CAEFC7" w14:textId="07364044" w:rsidR="00B230E2" w:rsidRPr="00B230E2" w:rsidRDefault="00B230E2" w:rsidP="00B230E2">
      <w:pPr>
        <w:pStyle w:val="HPRAHeadingL2"/>
        <w:numPr>
          <w:ilvl w:val="0"/>
          <w:numId w:val="0"/>
        </w:numPr>
        <w:ind w:left="357"/>
        <w:rPr>
          <w:lang w:val="en-GB"/>
        </w:rPr>
      </w:pPr>
    </w:p>
    <w:sectPr w:rsidR="00B230E2" w:rsidRPr="00B230E2" w:rsidSect="00BB6886">
      <w:headerReference w:type="default" r:id="rId19"/>
      <w:footerReference w:type="default" r:id="rId20"/>
      <w:type w:val="continuous"/>
      <w:pgSz w:w="11906" w:h="16838" w:code="9"/>
      <w:pgMar w:top="720" w:right="720" w:bottom="720" w:left="720" w:header="170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57AB7" w14:textId="77777777" w:rsidR="004B0E8C" w:rsidRDefault="004B0E8C" w:rsidP="00D1047B">
      <w:r>
        <w:separator/>
      </w:r>
    </w:p>
    <w:p w14:paraId="62B16A63" w14:textId="77777777" w:rsidR="004B0E8C" w:rsidRDefault="004B0E8C"/>
  </w:endnote>
  <w:endnote w:type="continuationSeparator" w:id="0">
    <w:p w14:paraId="214C2048" w14:textId="77777777" w:rsidR="004B0E8C" w:rsidRDefault="004B0E8C" w:rsidP="00D1047B">
      <w:r>
        <w:continuationSeparator/>
      </w:r>
    </w:p>
    <w:p w14:paraId="007F38E9" w14:textId="77777777" w:rsidR="004B0E8C" w:rsidRDefault="004B0E8C"/>
  </w:endnote>
  <w:endnote w:type="continuationNotice" w:id="1">
    <w:p w14:paraId="247FFB46" w14:textId="77777777" w:rsidR="004B0E8C" w:rsidRDefault="004B0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2E94" w14:textId="77777777" w:rsidR="005068CB" w:rsidRDefault="00506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8FBC" w14:textId="77777777" w:rsidR="005068CB" w:rsidRDefault="005068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4207" w14:textId="77777777" w:rsidR="005068CB" w:rsidRDefault="005068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C" w14:textId="17495A1F" w:rsidR="00BB0131" w:rsidRPr="00E82AD9" w:rsidRDefault="00BB0131" w:rsidP="00865E50">
    <w:pPr>
      <w:pStyle w:val="HPRAS2Footer"/>
      <w:tabs>
        <w:tab w:val="clear" w:pos="8278"/>
        <w:tab w:val="right" w:pos="10206"/>
      </w:tabs>
      <w:rPr>
        <w:sz w:val="16"/>
        <w:szCs w:val="16"/>
      </w:rPr>
    </w:pPr>
    <w:r w:rsidRPr="00A562DD">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sidR="005545D7">
      <w:rPr>
        <w:noProof/>
        <w:sz w:val="16"/>
        <w:szCs w:val="16"/>
      </w:rPr>
      <w:t>22</w:t>
    </w:r>
    <w:r>
      <w:rPr>
        <w:sz w:val="16"/>
        <w:szCs w:val="16"/>
      </w:rPr>
      <w:fldChar w:fldCharType="end"/>
    </w:r>
    <w:r w:rsidRPr="00A562DD">
      <w:rPr>
        <w:sz w:val="16"/>
        <w:szCs w:val="16"/>
      </w:rPr>
      <w:t>/</w:t>
    </w:r>
    <w:fldSimple w:instr="SECTIONPAGES   \* MERGEFORMAT">
      <w:r w:rsidR="003C1CC1">
        <w:rPr>
          <w:noProof/>
        </w:rPr>
        <w:t>27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2C4A" w14:textId="77777777" w:rsidR="004B0E8C" w:rsidRDefault="004B0E8C" w:rsidP="00D1047B">
      <w:r>
        <w:separator/>
      </w:r>
    </w:p>
    <w:p w14:paraId="54FF00F4" w14:textId="77777777" w:rsidR="004B0E8C" w:rsidRDefault="004B0E8C"/>
  </w:footnote>
  <w:footnote w:type="continuationSeparator" w:id="0">
    <w:p w14:paraId="500BAD9B" w14:textId="77777777" w:rsidR="004B0E8C" w:rsidRDefault="004B0E8C" w:rsidP="00D1047B">
      <w:r>
        <w:continuationSeparator/>
      </w:r>
    </w:p>
    <w:p w14:paraId="6B0FF9F5" w14:textId="77777777" w:rsidR="004B0E8C" w:rsidRDefault="004B0E8C"/>
  </w:footnote>
  <w:footnote w:type="continuationNotice" w:id="1">
    <w:p w14:paraId="7DCD8916" w14:textId="77777777" w:rsidR="004B0E8C" w:rsidRDefault="004B0E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9B93" w14:textId="77777777" w:rsidR="005068CB" w:rsidRDefault="00506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29AE" w14:textId="77777777" w:rsidR="005068CB" w:rsidRDefault="005068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9" w14:textId="1EC285BC" w:rsidR="00BB0131" w:rsidRDefault="00BB0131">
    <w:pPr>
      <w:pStyle w:val="Header"/>
    </w:pPr>
    <w:r>
      <w:rPr>
        <w:noProof/>
        <w:lang w:eastAsia="en-IE"/>
      </w:rPr>
      <mc:AlternateContent>
        <mc:Choice Requires="wps">
          <w:drawing>
            <wp:anchor distT="0" distB="0" distL="114300" distR="114300" simplePos="0" relativeHeight="251660288" behindDoc="0" locked="1" layoutInCell="1" allowOverlap="0" wp14:anchorId="78B9114D" wp14:editId="1C4F06BF">
              <wp:simplePos x="0" y="0"/>
              <wp:positionH relativeFrom="page">
                <wp:posOffset>4975860</wp:posOffset>
              </wp:positionH>
              <wp:positionV relativeFrom="page">
                <wp:posOffset>223520</wp:posOffset>
              </wp:positionV>
              <wp:extent cx="2087880" cy="1151890"/>
              <wp:effectExtent l="3810" t="444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9114E" w14:textId="77777777" w:rsidR="00BB0131" w:rsidRDefault="00BB0131" w:rsidP="00A85878">
                          <w:r>
                            <w:rPr>
                              <w:noProof/>
                              <w:lang w:eastAsia="en-IE"/>
                            </w:rPr>
                            <w:drawing>
                              <wp:inline distT="0" distB="0" distL="0" distR="0" wp14:anchorId="78B9114F" wp14:editId="78B91150">
                                <wp:extent cx="2084660" cy="1158144"/>
                                <wp:effectExtent l="19050" t="0" r="0" b="0"/>
                                <wp:docPr id="3" name="Picture 0" descr="HPRA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RA_rgb.png"/>
                                        <pic:cNvPicPr/>
                                      </pic:nvPicPr>
                                      <pic:blipFill>
                                        <a:blip r:embed="rId1"/>
                                        <a:stretch>
                                          <a:fillRect/>
                                        </a:stretch>
                                      </pic:blipFill>
                                      <pic:spPr>
                                        <a:xfrm>
                                          <a:off x="0" y="0"/>
                                          <a:ext cx="2084660" cy="115814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9114D" id="_x0000_t202" coordsize="21600,21600" o:spt="202" path="m,l,21600r21600,l21600,xe">
              <v:stroke joinstyle="miter"/>
              <v:path gradientshapeok="t" o:connecttype="rect"/>
            </v:shapetype>
            <v:shape id="Text Box 1" o:spid="_x0000_s1026" type="#_x0000_t202" style="position:absolute;margin-left:391.8pt;margin-top:17.6pt;width:164.4pt;height:90.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" o:allowoverlap="f" filled="f" stroked="f">
              <v:textbox inset="0,0,0,0">
                <w:txbxContent>
                  <w:p w14:paraId="78B9114E" w14:textId="77777777" w:rsidR="00BB0131" w:rsidRDefault="00BB0131" w:rsidP="00A85878">
                    <w:r>
                      <w:rPr>
                        <w:noProof/>
                        <w:lang w:eastAsia="en-IE"/>
                      </w:rPr>
                      <w:drawing>
                        <wp:inline distT="0" distB="0" distL="0" distR="0" wp14:anchorId="78B9114F" wp14:editId="78B91150">
                          <wp:extent cx="2084660" cy="1158144"/>
                          <wp:effectExtent l="19050" t="0" r="0" b="0"/>
                          <wp:docPr id="3" name="Picture 0" descr="HPRA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RA_rgb.png"/>
                                  <pic:cNvPicPr/>
                                </pic:nvPicPr>
                                <pic:blipFill>
                                  <a:blip r:embed="rId1"/>
                                  <a:stretch>
                                    <a:fillRect/>
                                  </a:stretch>
                                </pic:blipFill>
                                <pic:spPr>
                                  <a:xfrm>
                                    <a:off x="0" y="0"/>
                                    <a:ext cx="2084660" cy="1158144"/>
                                  </a:xfrm>
                                  <a:prstGeom prst="rect">
                                    <a:avLst/>
                                  </a:prstGeom>
                                </pic:spPr>
                              </pic:pic>
                            </a:graphicData>
                          </a:graphic>
                        </wp:inline>
                      </w:drawing>
                    </w: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B" w14:textId="136A2588" w:rsidR="00BB0131" w:rsidRDefault="007E46B6">
    <w:pPr>
      <w:rPr>
        <w:sz w:val="16"/>
        <w:szCs w:val="16"/>
      </w:rPr>
    </w:pPr>
    <w:r w:rsidRPr="00900861">
      <w:rPr>
        <w:sz w:val="16"/>
        <w:szCs w:val="16"/>
      </w:rPr>
      <w:t>Request for Tender for a Pharmacovigilance Database and Case Management Solution</w:t>
    </w:r>
  </w:p>
  <w:p w14:paraId="2B58C03B" w14:textId="77777777" w:rsidR="00963A88" w:rsidRPr="00900861" w:rsidRDefault="00963A88">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6F4"/>
    <w:multiLevelType w:val="multilevel"/>
    <w:tmpl w:val="F46EA2F2"/>
    <w:styleLink w:val="HPRAIndentedBulletedList"/>
    <w:lvl w:ilvl="0">
      <w:start w:val="1"/>
      <w:numFmt w:val="bullet"/>
      <w:pStyle w:val="HPRAIndentedBulletList"/>
      <w:lvlText w:val="-"/>
      <w:lvlJc w:val="left"/>
      <w:pPr>
        <w:tabs>
          <w:tab w:val="num" w:pos="567"/>
        </w:tabs>
        <w:ind w:left="567" w:hanging="283"/>
      </w:pPr>
      <w:rPr>
        <w:rFonts w:ascii="Segoe UI" w:hAnsi="Segoe UI" w:hint="default"/>
        <w:color w:val="007041" w:themeColor="accent4"/>
      </w:rPr>
    </w:lvl>
    <w:lvl w:ilvl="1">
      <w:start w:val="1"/>
      <w:numFmt w:val="bullet"/>
      <w:lvlText w:val="o"/>
      <w:lvlJc w:val="left"/>
      <w:pPr>
        <w:ind w:left="851" w:hanging="284"/>
      </w:pPr>
      <w:rPr>
        <w:rFonts w:ascii="Courier New" w:hAnsi="Courier New" w:hint="default"/>
        <w:color w:val="007041" w:themeColor="accent4"/>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1642EF"/>
    <w:multiLevelType w:val="hybridMultilevel"/>
    <w:tmpl w:val="28CEEC44"/>
    <w:lvl w:ilvl="0" w:tplc="33AE0F22">
      <w:start w:val="1"/>
      <w:numFmt w:val="upp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553239"/>
    <w:multiLevelType w:val="multilevel"/>
    <w:tmpl w:val="F074495A"/>
    <w:styleLink w:val="HPRAArabicNumerals"/>
    <w:lvl w:ilvl="0">
      <w:start w:val="1"/>
      <w:numFmt w:val="decimal"/>
      <w:pStyle w:val="HPRAArabicNumeralBulletedList"/>
      <w:lvlText w:val="%1"/>
      <w:lvlJc w:val="left"/>
      <w:pPr>
        <w:ind w:left="709" w:hanging="709"/>
      </w:pPr>
      <w:rPr>
        <w:rFonts w:asciiTheme="minorHAnsi" w:hAnsiTheme="minorHAnsi" w:hint="default"/>
        <w:b w:val="0"/>
        <w:i w:val="0"/>
        <w:color w:val="007041" w:themeColor="accent4"/>
        <w:sz w:val="20"/>
      </w:rPr>
    </w:lvl>
    <w:lvl w:ilvl="1">
      <w:start w:val="1"/>
      <w:numFmt w:val="bullet"/>
      <w:lvlText w:val="-"/>
      <w:lvlJc w:val="left"/>
      <w:pPr>
        <w:tabs>
          <w:tab w:val="num" w:pos="709"/>
        </w:tabs>
        <w:ind w:left="992" w:hanging="283"/>
      </w:pPr>
      <w:rPr>
        <w:rFonts w:ascii="Segoe UI" w:hAnsi="Segoe UI" w:hint="default"/>
        <w:b w:val="0"/>
        <w:i w:val="0"/>
        <w:color w:val="007041" w:themeColor="accent4"/>
        <w:sz w:val="20"/>
      </w:rPr>
    </w:lvl>
    <w:lvl w:ilvl="2">
      <w:start w:val="1"/>
      <w:numFmt w:val="bullet"/>
      <w:pStyle w:val="HPRAArabicnumberalbulletedlist"/>
      <w:lvlText w:val="o"/>
      <w:lvlJc w:val="left"/>
      <w:pPr>
        <w:tabs>
          <w:tab w:val="num" w:pos="992"/>
        </w:tabs>
        <w:ind w:left="1276" w:hanging="284"/>
      </w:pPr>
      <w:rPr>
        <w:rFonts w:ascii="Courier New" w:hAnsi="Courier New" w:hint="default"/>
        <w:color w:val="007041" w:themeColor="accent4"/>
        <w:sz w:val="20"/>
      </w:rPr>
    </w:lvl>
    <w:lvl w:ilvl="3">
      <w:start w:val="1"/>
      <w:numFmt w:val="bullet"/>
      <w:lvlText w:val="o"/>
      <w:lvlJc w:val="left"/>
      <w:pPr>
        <w:ind w:left="1559" w:hanging="283"/>
      </w:pPr>
      <w:rPr>
        <w:rFonts w:ascii="Courier New" w:hAnsi="Courier New"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3" w15:restartNumberingAfterBreak="0">
    <w:nsid w:val="069108FA"/>
    <w:multiLevelType w:val="multilevel"/>
    <w:tmpl w:val="F7E49264"/>
    <w:numStyleLink w:val="IndentedBulletedList"/>
  </w:abstractNum>
  <w:abstractNum w:abstractNumId="4" w15:restartNumberingAfterBreak="0">
    <w:nsid w:val="084606D0"/>
    <w:multiLevelType w:val="multilevel"/>
    <w:tmpl w:val="9A4E08E0"/>
    <w:styleLink w:val="HPRALowecaseAlphabetBullet"/>
    <w:lvl w:ilvl="0">
      <w:start w:val="1"/>
      <w:numFmt w:val="lowerLetter"/>
      <w:pStyle w:val="HPRALowercaseAlphabetBulletList"/>
      <w:lvlText w:val="%1)"/>
      <w:lvlJc w:val="left"/>
      <w:pPr>
        <w:ind w:left="709" w:hanging="709"/>
      </w:pPr>
      <w:rPr>
        <w:rFonts w:hint="default"/>
        <w:color w:val="007041" w:themeColor="accent4"/>
      </w:rPr>
    </w:lvl>
    <w:lvl w:ilvl="1">
      <w:start w:val="1"/>
      <w:numFmt w:val="bullet"/>
      <w:lvlText w:val="-"/>
      <w:lvlJc w:val="left"/>
      <w:pPr>
        <w:tabs>
          <w:tab w:val="num" w:pos="709"/>
        </w:tabs>
        <w:ind w:left="992" w:hanging="283"/>
      </w:pPr>
      <w:rPr>
        <w:rFonts w:ascii="Segoe UI" w:hAnsi="Segoe UI" w:hint="default"/>
        <w:color w:val="007041" w:themeColor="accent4"/>
      </w:rPr>
    </w:lvl>
    <w:lvl w:ilvl="2">
      <w:start w:val="1"/>
      <w:numFmt w:val="bullet"/>
      <w:lvlText w:val="o"/>
      <w:lvlJc w:val="left"/>
      <w:pPr>
        <w:tabs>
          <w:tab w:val="num" w:pos="992"/>
        </w:tabs>
        <w:ind w:left="1276" w:hanging="284"/>
      </w:pPr>
      <w:rPr>
        <w:rFonts w:ascii="Courier New" w:hAnsi="Courier New" w:hint="default"/>
        <w:color w:val="007041" w:themeColor="accent4"/>
      </w:rPr>
    </w:lvl>
    <w:lvl w:ilvl="3">
      <w:start w:val="1"/>
      <w:numFmt w:val="decimal"/>
      <w:lvlText w:val="(%4)"/>
      <w:lvlJc w:val="left"/>
      <w:pPr>
        <w:ind w:left="1559" w:hanging="283"/>
      </w:pPr>
      <w:rPr>
        <w:rFonts w:hint="default"/>
      </w:rPr>
    </w:lvl>
    <w:lvl w:ilvl="4">
      <w:start w:val="1"/>
      <w:numFmt w:val="lowerLetter"/>
      <w:lvlText w:val="(%5)"/>
      <w:lvlJc w:val="left"/>
      <w:pPr>
        <w:ind w:left="1843"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3313F2"/>
    <w:multiLevelType w:val="hybridMultilevel"/>
    <w:tmpl w:val="A998C1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9E101ED"/>
    <w:multiLevelType w:val="hybridMultilevel"/>
    <w:tmpl w:val="28CEEC4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DC4FF2"/>
    <w:multiLevelType w:val="multilevel"/>
    <w:tmpl w:val="24A2C2A8"/>
    <w:styleLink w:val="HPRAAlphabetBulletedList"/>
    <w:lvl w:ilvl="0">
      <w:start w:val="1"/>
      <w:numFmt w:val="upperLetter"/>
      <w:pStyle w:val="HPRAAlphabetBulletedList0"/>
      <w:lvlText w:val="%1"/>
      <w:lvlJc w:val="left"/>
      <w:pPr>
        <w:ind w:left="709" w:hanging="709"/>
      </w:pPr>
      <w:rPr>
        <w:rFonts w:ascii="Segoe UI" w:hAnsi="Segoe UI" w:hint="default"/>
        <w:b w:val="0"/>
        <w:i w:val="0"/>
        <w:color w:val="007041" w:themeColor="accent4"/>
        <w:sz w:val="20"/>
      </w:rPr>
    </w:lvl>
    <w:lvl w:ilvl="1">
      <w:start w:val="1"/>
      <w:numFmt w:val="bullet"/>
      <w:lvlText w:val="-"/>
      <w:lvlJc w:val="left"/>
      <w:pPr>
        <w:ind w:left="992" w:hanging="283"/>
      </w:pPr>
      <w:rPr>
        <w:rFonts w:ascii="Segoe UI" w:hAnsi="Segoe UI" w:hint="default"/>
        <w:color w:val="007041" w:themeColor="accent4"/>
        <w:sz w:val="16"/>
      </w:rPr>
    </w:lvl>
    <w:lvl w:ilvl="2">
      <w:start w:val="1"/>
      <w:numFmt w:val="bullet"/>
      <w:lvlRestart w:val="1"/>
      <w:lvlText w:val="o"/>
      <w:lvlJc w:val="left"/>
      <w:pPr>
        <w:ind w:left="1276" w:hanging="284"/>
      </w:pPr>
      <w:rPr>
        <w:rFonts w:ascii="Courier New" w:hAnsi="Courier New" w:hint="default"/>
        <w:color w:val="007041" w:themeColor="accent4"/>
      </w:rPr>
    </w:lvl>
    <w:lvl w:ilvl="3">
      <w:start w:val="1"/>
      <w:numFmt w:val="lowerRoman"/>
      <w:lvlText w:val="%4)"/>
      <w:lvlJc w:val="left"/>
      <w:pPr>
        <w:ind w:left="1559" w:hanging="283"/>
      </w:pPr>
      <w:rPr>
        <w:rFonts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8" w15:restartNumberingAfterBreak="0">
    <w:nsid w:val="211E3115"/>
    <w:multiLevelType w:val="multilevel"/>
    <w:tmpl w:val="24A2C2A8"/>
    <w:numStyleLink w:val="HPRAAlphabetBulletedList"/>
  </w:abstractNum>
  <w:abstractNum w:abstractNumId="9" w15:restartNumberingAfterBreak="0">
    <w:nsid w:val="221E08AB"/>
    <w:multiLevelType w:val="multilevel"/>
    <w:tmpl w:val="0BDAF322"/>
    <w:styleLink w:val="HPRARomanNumeralsBulletedlist"/>
    <w:lvl w:ilvl="0">
      <w:start w:val="1"/>
      <w:numFmt w:val="lowerRoman"/>
      <w:pStyle w:val="HPRARomanNumeralsBulletedList0"/>
      <w:lvlText w:val="(%1)"/>
      <w:lvlJc w:val="left"/>
      <w:pPr>
        <w:ind w:left="709" w:hanging="709"/>
      </w:pPr>
      <w:rPr>
        <w:rFonts w:hint="default"/>
        <w:color w:val="007041" w:themeColor="accent4"/>
      </w:rPr>
    </w:lvl>
    <w:lvl w:ilvl="1">
      <w:start w:val="1"/>
      <w:numFmt w:val="bullet"/>
      <w:lvlText w:val="-"/>
      <w:lvlJc w:val="left"/>
      <w:pPr>
        <w:tabs>
          <w:tab w:val="num" w:pos="709"/>
        </w:tabs>
        <w:ind w:left="992" w:hanging="283"/>
      </w:pPr>
      <w:rPr>
        <w:rFonts w:ascii="Segoe UI" w:hAnsi="Segoe UI" w:hint="default"/>
        <w:color w:val="007041" w:themeColor="accent4"/>
      </w:rPr>
    </w:lvl>
    <w:lvl w:ilvl="2">
      <w:start w:val="1"/>
      <w:numFmt w:val="bullet"/>
      <w:lvlText w:val="o"/>
      <w:lvlJc w:val="left"/>
      <w:pPr>
        <w:tabs>
          <w:tab w:val="num" w:pos="992"/>
        </w:tabs>
        <w:ind w:left="1276" w:hanging="284"/>
      </w:pPr>
      <w:rPr>
        <w:rFonts w:ascii="Courier New" w:hAnsi="Courier New" w:hint="default"/>
        <w:color w:val="007041" w:themeColor="accent4"/>
      </w:rPr>
    </w:lvl>
    <w:lvl w:ilvl="3">
      <w:start w:val="1"/>
      <w:numFmt w:val="decimal"/>
      <w:lvlText w:val="(%4)"/>
      <w:lvlJc w:val="left"/>
      <w:pPr>
        <w:ind w:left="1559"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644D59"/>
    <w:multiLevelType w:val="hybridMultilevel"/>
    <w:tmpl w:val="AC32A34A"/>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921EE6"/>
    <w:multiLevelType w:val="multilevel"/>
    <w:tmpl w:val="401C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030B6"/>
    <w:multiLevelType w:val="multilevel"/>
    <w:tmpl w:val="B3EE4AE4"/>
    <w:styleLink w:val="Style1"/>
    <w:lvl w:ilvl="0">
      <w:start w:val="1"/>
      <w:numFmt w:val="bullet"/>
      <w:pStyle w:val="HPRABulletedList"/>
      <w:lvlText w:val="-"/>
      <w:lvlJc w:val="left"/>
      <w:pPr>
        <w:ind w:left="284" w:hanging="284"/>
      </w:pPr>
      <w:rPr>
        <w:rFonts w:ascii="Segoe UI" w:hAnsi="Segoe UI" w:hint="default"/>
        <w:b w:val="0"/>
        <w:i w:val="0"/>
        <w:color w:val="007041" w:themeColor="accent4"/>
        <w:sz w:val="20"/>
      </w:rPr>
    </w:lvl>
    <w:lvl w:ilvl="1">
      <w:start w:val="1"/>
      <w:numFmt w:val="bullet"/>
      <w:lvlText w:val="o"/>
      <w:lvlJc w:val="left"/>
      <w:pPr>
        <w:ind w:left="567" w:hanging="283"/>
      </w:pPr>
      <w:rPr>
        <w:rFonts w:ascii="Courier New" w:hAnsi="Courier New" w:hint="default"/>
        <w:color w:val="007041" w:themeColor="accent4"/>
        <w:sz w:val="16"/>
      </w:rPr>
    </w:lvl>
    <w:lvl w:ilvl="2">
      <w:start w:val="1"/>
      <w:numFmt w:val="bullet"/>
      <w:lvlText w:val="-"/>
      <w:lvlJc w:val="left"/>
      <w:pPr>
        <w:ind w:left="851" w:hanging="284"/>
      </w:pPr>
      <w:rPr>
        <w:rFonts w:ascii="Segoe UI" w:hAnsi="Segoe UI" w:hint="default"/>
        <w:color w:val="007041" w:themeColor="accent4"/>
      </w:rPr>
    </w:lvl>
    <w:lvl w:ilvl="3">
      <w:start w:val="1"/>
      <w:numFmt w:val="bullet"/>
      <w:lvlText w:val="o"/>
      <w:lvlJc w:val="left"/>
      <w:pPr>
        <w:ind w:left="1418" w:hanging="284"/>
      </w:pPr>
      <w:rPr>
        <w:rFonts w:ascii="Courier New" w:hAnsi="Courier New"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13" w15:restartNumberingAfterBreak="0">
    <w:nsid w:val="2BFD4CAA"/>
    <w:multiLevelType w:val="hybridMultilevel"/>
    <w:tmpl w:val="D9B447B0"/>
    <w:lvl w:ilvl="0" w:tplc="406854B4">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2C8068AA"/>
    <w:multiLevelType w:val="hybridMultilevel"/>
    <w:tmpl w:val="3F202A5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4E2F57"/>
    <w:multiLevelType w:val="multilevel"/>
    <w:tmpl w:val="EA16F702"/>
    <w:styleLink w:val="HPRANumberedList"/>
    <w:lvl w:ilvl="0">
      <w:start w:val="1"/>
      <w:numFmt w:val="decimal"/>
      <w:lvlText w:val="%1"/>
      <w:lvlJc w:val="left"/>
      <w:pPr>
        <w:ind w:left="360" w:hanging="360"/>
      </w:pPr>
      <w:rPr>
        <w:rFonts w:asciiTheme="majorHAnsi" w:hAnsiTheme="majorHAnsi" w:hint="default"/>
        <w:b/>
        <w:color w:val="007041" w:themeColor="accent4"/>
        <w:sz w:val="20"/>
      </w:rPr>
    </w:lvl>
    <w:lvl w:ilvl="1">
      <w:start w:val="1"/>
      <w:numFmt w:val="decimal"/>
      <w:lvlText w:val="%1.%2"/>
      <w:lvlJc w:val="left"/>
      <w:pPr>
        <w:ind w:left="360" w:hanging="360"/>
      </w:pPr>
      <w:rPr>
        <w:rFonts w:asciiTheme="majorHAnsi" w:hAnsiTheme="majorHAnsi" w:hint="default"/>
        <w:b/>
        <w:color w:val="007041" w:themeColor="accent4"/>
        <w:sz w:val="20"/>
      </w:rPr>
    </w:lvl>
    <w:lvl w:ilvl="2">
      <w:start w:val="1"/>
      <w:numFmt w:val="decimal"/>
      <w:lvlText w:val="%1.%2.%3"/>
      <w:lvlJc w:val="left"/>
      <w:pPr>
        <w:ind w:left="720" w:hanging="720"/>
      </w:pPr>
      <w:rPr>
        <w:rFonts w:asciiTheme="minorHAnsi" w:hAnsiTheme="minorHAnsi" w:hint="default"/>
        <w:color w:val="007041" w:themeColor="accent4"/>
        <w:sz w:val="20"/>
      </w:rPr>
    </w:lvl>
    <w:lvl w:ilvl="3">
      <w:start w:val="1"/>
      <w:numFmt w:val="decimal"/>
      <w:lvlText w:val="%1.%2.%3.%4"/>
      <w:lvlJc w:val="left"/>
      <w:pPr>
        <w:ind w:left="720" w:hanging="720"/>
      </w:pPr>
      <w:rPr>
        <w:rFonts w:asciiTheme="minorHAnsi" w:hAnsiTheme="minorHAnsi" w:hint="default"/>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87094"/>
    <w:multiLevelType w:val="multilevel"/>
    <w:tmpl w:val="7ACE9B0E"/>
    <w:lvl w:ilvl="0">
      <w:start w:val="1"/>
      <w:numFmt w:val="decimal"/>
      <w:pStyle w:val="HPRANumberedList0"/>
      <w:lvlText w:val="%1"/>
      <w:lvlJc w:val="left"/>
      <w:pPr>
        <w:ind w:left="360" w:hanging="360"/>
      </w:pPr>
      <w:rPr>
        <w:rFonts w:ascii="Segoe UI" w:hAnsi="Segoe UI" w:hint="default"/>
        <w:b w:val="0"/>
        <w:i w:val="0"/>
        <w:color w:val="0057B8" w:themeColor="accent3"/>
        <w:sz w:val="20"/>
      </w:rPr>
    </w:lvl>
    <w:lvl w:ilvl="1">
      <w:start w:val="1"/>
      <w:numFmt w:val="decimal"/>
      <w:lvlText w:val="%1.%2"/>
      <w:lvlJc w:val="left"/>
      <w:pPr>
        <w:ind w:left="360" w:hanging="360"/>
      </w:pPr>
      <w:rPr>
        <w:rFonts w:asciiTheme="majorHAnsi" w:hAnsiTheme="majorHAnsi" w:hint="default"/>
        <w:b/>
        <w:color w:val="0057B8" w:themeColor="accent3"/>
        <w:sz w:val="20"/>
      </w:rPr>
    </w:lvl>
    <w:lvl w:ilvl="2">
      <w:start w:val="1"/>
      <w:numFmt w:val="decimal"/>
      <w:lvlText w:val="%1.%2.%3"/>
      <w:lvlJc w:val="left"/>
      <w:pPr>
        <w:ind w:left="720" w:hanging="720"/>
      </w:pPr>
      <w:rPr>
        <w:rFonts w:asciiTheme="minorHAnsi" w:hAnsiTheme="minorHAnsi" w:hint="default"/>
        <w:b/>
        <w:color w:val="007041" w:themeColor="accent4"/>
        <w:sz w:val="20"/>
      </w:rPr>
    </w:lvl>
    <w:lvl w:ilvl="3">
      <w:start w:val="1"/>
      <w:numFmt w:val="decimal"/>
      <w:lvlText w:val="%1.%2.%3.%4"/>
      <w:lvlJc w:val="left"/>
      <w:pPr>
        <w:ind w:left="720" w:hanging="720"/>
      </w:pPr>
      <w:rPr>
        <w:rFonts w:asciiTheme="minorHAnsi" w:hAnsiTheme="minorHAnsi" w:hint="default"/>
        <w:b/>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0D0482"/>
    <w:multiLevelType w:val="hybridMultilevel"/>
    <w:tmpl w:val="394EAE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9AA7B74"/>
    <w:multiLevelType w:val="hybridMultilevel"/>
    <w:tmpl w:val="605C4316"/>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6030E9"/>
    <w:multiLevelType w:val="hybridMultilevel"/>
    <w:tmpl w:val="3F202A5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867372"/>
    <w:multiLevelType w:val="multilevel"/>
    <w:tmpl w:val="0BDAF322"/>
    <w:numStyleLink w:val="HPRARomanNumeralsBulletedlist"/>
  </w:abstractNum>
  <w:abstractNum w:abstractNumId="21" w15:restartNumberingAfterBreak="0">
    <w:nsid w:val="440539A9"/>
    <w:multiLevelType w:val="multilevel"/>
    <w:tmpl w:val="93709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6041AD"/>
    <w:multiLevelType w:val="multilevel"/>
    <w:tmpl w:val="F074495A"/>
    <w:numStyleLink w:val="HPRAArabicNumerals"/>
  </w:abstractNum>
  <w:abstractNum w:abstractNumId="23" w15:restartNumberingAfterBreak="0">
    <w:nsid w:val="547725A5"/>
    <w:multiLevelType w:val="hybridMultilevel"/>
    <w:tmpl w:val="3F202A5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C3063E"/>
    <w:multiLevelType w:val="hybridMultilevel"/>
    <w:tmpl w:val="598CEA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C737E39"/>
    <w:multiLevelType w:val="multilevel"/>
    <w:tmpl w:val="F7E49264"/>
    <w:styleLink w:val="IndentedBulletedList"/>
    <w:lvl w:ilvl="0">
      <w:start w:val="1"/>
      <w:numFmt w:val="bullet"/>
      <w:pStyle w:val="HPRAGreaterindentbulletedlist"/>
      <w:lvlText w:val="-"/>
      <w:lvlJc w:val="left"/>
      <w:pPr>
        <w:tabs>
          <w:tab w:val="num" w:pos="709"/>
        </w:tabs>
        <w:ind w:left="992" w:hanging="283"/>
      </w:pPr>
      <w:rPr>
        <w:rFonts w:ascii="Segoe UI" w:hAnsi="Segoe UI" w:hint="default"/>
        <w:color w:val="007041" w:themeColor="accent4"/>
      </w:rPr>
    </w:lvl>
    <w:lvl w:ilvl="1">
      <w:start w:val="1"/>
      <w:numFmt w:val="bullet"/>
      <w:lvlText w:val="o"/>
      <w:lvlJc w:val="left"/>
      <w:pPr>
        <w:tabs>
          <w:tab w:val="num" w:pos="992"/>
        </w:tabs>
        <w:ind w:left="1276" w:hanging="284"/>
      </w:pPr>
      <w:rPr>
        <w:rFonts w:ascii="Courier New" w:hAnsi="Courier New" w:hint="default"/>
        <w:color w:val="007041" w:themeColor="accent4"/>
      </w:rPr>
    </w:lvl>
    <w:lvl w:ilvl="2">
      <w:start w:val="1"/>
      <w:numFmt w:val="lowerRoman"/>
      <w:lvlText w:val="%3)"/>
      <w:lvlJc w:val="left"/>
      <w:pPr>
        <w:ind w:left="1559" w:hanging="283"/>
      </w:pPr>
      <w:rPr>
        <w:rFonts w:hint="default"/>
      </w:rPr>
    </w:lvl>
    <w:lvl w:ilvl="3">
      <w:start w:val="1"/>
      <w:numFmt w:val="decimal"/>
      <w:lvlText w:val="(%4)"/>
      <w:lvlJc w:val="left"/>
      <w:pPr>
        <w:ind w:left="1418" w:hanging="284"/>
      </w:pPr>
      <w:rPr>
        <w:rFonts w:hint="default"/>
      </w:rPr>
    </w:lvl>
    <w:lvl w:ilvl="4">
      <w:start w:val="1"/>
      <w:numFmt w:val="lowerLetter"/>
      <w:lvlText w:val="(%5)"/>
      <w:lvlJc w:val="left"/>
      <w:pPr>
        <w:ind w:left="1701" w:hanging="283"/>
      </w:pPr>
      <w:rPr>
        <w:rFonts w:hint="default"/>
      </w:rPr>
    </w:lvl>
    <w:lvl w:ilvl="5">
      <w:start w:val="1"/>
      <w:numFmt w:val="lowerRoman"/>
      <w:lvlText w:val="(%6)"/>
      <w:lvlJc w:val="left"/>
      <w:pPr>
        <w:ind w:left="1985" w:hanging="284"/>
      </w:pPr>
      <w:rPr>
        <w:rFonts w:hint="default"/>
      </w:rPr>
    </w:lvl>
    <w:lvl w:ilvl="6">
      <w:start w:val="1"/>
      <w:numFmt w:val="decimal"/>
      <w:lvlText w:val="%7."/>
      <w:lvlJc w:val="left"/>
      <w:pPr>
        <w:ind w:left="2552" w:hanging="284"/>
      </w:pPr>
      <w:rPr>
        <w:rFonts w:hint="default"/>
      </w:rPr>
    </w:lvl>
    <w:lvl w:ilvl="7">
      <w:start w:val="1"/>
      <w:numFmt w:val="lowerLetter"/>
      <w:lvlText w:val="%8."/>
      <w:lvlJc w:val="left"/>
      <w:pPr>
        <w:ind w:left="2835" w:hanging="283"/>
      </w:pPr>
      <w:rPr>
        <w:rFonts w:hint="default"/>
      </w:rPr>
    </w:lvl>
    <w:lvl w:ilvl="8">
      <w:start w:val="1"/>
      <w:numFmt w:val="lowerRoman"/>
      <w:lvlText w:val="%9."/>
      <w:lvlJc w:val="left"/>
      <w:pPr>
        <w:ind w:left="3119" w:hanging="284"/>
      </w:pPr>
      <w:rPr>
        <w:rFonts w:hint="default"/>
      </w:rPr>
    </w:lvl>
  </w:abstractNum>
  <w:abstractNum w:abstractNumId="26" w15:restartNumberingAfterBreak="0">
    <w:nsid w:val="62077135"/>
    <w:multiLevelType w:val="hybridMultilevel"/>
    <w:tmpl w:val="AC32A34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9D02B78"/>
    <w:multiLevelType w:val="multilevel"/>
    <w:tmpl w:val="50C04ED6"/>
    <w:lvl w:ilvl="0">
      <w:start w:val="1"/>
      <w:numFmt w:val="decimal"/>
      <w:pStyle w:val="HPRAHeadingL1"/>
      <w:lvlText w:val="%1"/>
      <w:lvlJc w:val="left"/>
      <w:pPr>
        <w:ind w:left="360" w:hanging="360"/>
      </w:pPr>
      <w:rPr>
        <w:rFonts w:asciiTheme="majorHAnsi" w:hAnsiTheme="majorHAnsi" w:hint="default"/>
        <w:b/>
        <w:color w:val="007041" w:themeColor="accent4"/>
        <w:sz w:val="32"/>
      </w:rPr>
    </w:lvl>
    <w:lvl w:ilvl="1">
      <w:start w:val="1"/>
      <w:numFmt w:val="decimal"/>
      <w:pStyle w:val="HPRAHeadingL2"/>
      <w:lvlText w:val="%1.%2"/>
      <w:lvlJc w:val="left"/>
      <w:pPr>
        <w:ind w:left="1777" w:hanging="360"/>
      </w:pPr>
      <w:rPr>
        <w:rFonts w:asciiTheme="majorHAnsi" w:hAnsiTheme="majorHAnsi" w:hint="default"/>
        <w:b/>
        <w:color w:val="007041" w:themeColor="accent4"/>
        <w:sz w:val="28"/>
      </w:rPr>
    </w:lvl>
    <w:lvl w:ilvl="2">
      <w:start w:val="1"/>
      <w:numFmt w:val="decimal"/>
      <w:pStyle w:val="HPRAHeadingL3"/>
      <w:lvlText w:val="%1.%2.%3"/>
      <w:lvlJc w:val="left"/>
      <w:pPr>
        <w:ind w:left="720" w:hanging="720"/>
      </w:pPr>
      <w:rPr>
        <w:rFonts w:asciiTheme="minorHAnsi" w:hAnsiTheme="minorHAnsi" w:hint="default"/>
        <w:color w:val="007041" w:themeColor="accent4"/>
        <w:sz w:val="24"/>
      </w:rPr>
    </w:lvl>
    <w:lvl w:ilvl="3">
      <w:start w:val="1"/>
      <w:numFmt w:val="decimal"/>
      <w:pStyle w:val="HPRABodyTextL4"/>
      <w:lvlText w:val="%1.%2.%3.%4"/>
      <w:lvlJc w:val="left"/>
      <w:pPr>
        <w:ind w:left="720" w:hanging="720"/>
      </w:pPr>
      <w:rPr>
        <w:rFonts w:asciiTheme="minorHAnsi" w:hAnsiTheme="minorHAnsi" w:hint="default"/>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D24053"/>
    <w:multiLevelType w:val="hybridMultilevel"/>
    <w:tmpl w:val="F7F8ACD0"/>
    <w:lvl w:ilvl="0" w:tplc="1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FE5D4B"/>
    <w:multiLevelType w:val="hybridMultilevel"/>
    <w:tmpl w:val="F81CCDF0"/>
    <w:lvl w:ilvl="0" w:tplc="1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E0A4512"/>
    <w:multiLevelType w:val="hybridMultilevel"/>
    <w:tmpl w:val="04A47B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E382638"/>
    <w:multiLevelType w:val="hybridMultilevel"/>
    <w:tmpl w:val="DE388404"/>
    <w:lvl w:ilvl="0" w:tplc="406854B4">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E3B1D89"/>
    <w:multiLevelType w:val="multilevel"/>
    <w:tmpl w:val="B3EE4AE4"/>
    <w:numStyleLink w:val="Style1"/>
  </w:abstractNum>
  <w:abstractNum w:abstractNumId="33" w15:restartNumberingAfterBreak="0">
    <w:nsid w:val="6E9650B6"/>
    <w:multiLevelType w:val="multilevel"/>
    <w:tmpl w:val="F46EA2F2"/>
    <w:numStyleLink w:val="HPRAIndentedBulletedList"/>
  </w:abstractNum>
  <w:abstractNum w:abstractNumId="34" w15:restartNumberingAfterBreak="0">
    <w:nsid w:val="75B14E1D"/>
    <w:multiLevelType w:val="hybridMultilevel"/>
    <w:tmpl w:val="88B4E0B4"/>
    <w:lvl w:ilvl="0" w:tplc="1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1809000F">
      <w:start w:val="1"/>
      <w:numFmt w:val="decimal"/>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510F37"/>
    <w:multiLevelType w:val="hybridMultilevel"/>
    <w:tmpl w:val="F890528A"/>
    <w:lvl w:ilvl="0" w:tplc="DEAC223C">
      <w:start w:val="1"/>
      <w:numFmt w:val="upp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344239218">
    <w:abstractNumId w:val="15"/>
  </w:num>
  <w:num w:numId="2" w16cid:durableId="2000185010">
    <w:abstractNumId w:val="16"/>
  </w:num>
  <w:num w:numId="3" w16cid:durableId="1840265975">
    <w:abstractNumId w:val="27"/>
  </w:num>
  <w:num w:numId="4" w16cid:durableId="784037734">
    <w:abstractNumId w:val="4"/>
  </w:num>
  <w:num w:numId="5" w16cid:durableId="33508842">
    <w:abstractNumId w:val="9"/>
  </w:num>
  <w:num w:numId="6" w16cid:durableId="1454055265">
    <w:abstractNumId w:val="7"/>
  </w:num>
  <w:num w:numId="7" w16cid:durableId="1658798089">
    <w:abstractNumId w:val="2"/>
  </w:num>
  <w:num w:numId="8" w16cid:durableId="637801168">
    <w:abstractNumId w:val="25"/>
  </w:num>
  <w:num w:numId="9" w16cid:durableId="2087918107">
    <w:abstractNumId w:val="8"/>
  </w:num>
  <w:num w:numId="10" w16cid:durableId="78331173">
    <w:abstractNumId w:val="22"/>
  </w:num>
  <w:num w:numId="11" w16cid:durableId="1523668629">
    <w:abstractNumId w:val="0"/>
  </w:num>
  <w:num w:numId="12" w16cid:durableId="416950295">
    <w:abstractNumId w:val="12"/>
  </w:num>
  <w:num w:numId="13" w16cid:durableId="260647606">
    <w:abstractNumId w:val="32"/>
  </w:num>
  <w:num w:numId="14" w16cid:durableId="1249653814">
    <w:abstractNumId w:val="33"/>
  </w:num>
  <w:num w:numId="15" w16cid:durableId="1038352992">
    <w:abstractNumId w:val="3"/>
  </w:num>
  <w:num w:numId="16" w16cid:durableId="523130663">
    <w:abstractNumId w:val="20"/>
  </w:num>
  <w:num w:numId="17" w16cid:durableId="689650727">
    <w:abstractNumId w:val="13"/>
  </w:num>
  <w:num w:numId="18" w16cid:durableId="1893035733">
    <w:abstractNumId w:val="35"/>
  </w:num>
  <w:num w:numId="19" w16cid:durableId="393939718">
    <w:abstractNumId w:val="17"/>
  </w:num>
  <w:num w:numId="20" w16cid:durableId="1868174493">
    <w:abstractNumId w:val="24"/>
  </w:num>
  <w:num w:numId="21" w16cid:durableId="2108959438">
    <w:abstractNumId w:val="29"/>
  </w:num>
  <w:num w:numId="22" w16cid:durableId="1898085733">
    <w:abstractNumId w:val="34"/>
  </w:num>
  <w:num w:numId="23" w16cid:durableId="1125780216">
    <w:abstractNumId w:val="31"/>
  </w:num>
  <w:num w:numId="24" w16cid:durableId="1558980008">
    <w:abstractNumId w:val="28"/>
  </w:num>
  <w:num w:numId="25" w16cid:durableId="544024661">
    <w:abstractNumId w:val="1"/>
  </w:num>
  <w:num w:numId="26" w16cid:durableId="2000380906">
    <w:abstractNumId w:val="5"/>
  </w:num>
  <w:num w:numId="27" w16cid:durableId="1349334091">
    <w:abstractNumId w:val="30"/>
  </w:num>
  <w:num w:numId="28" w16cid:durableId="510677996">
    <w:abstractNumId w:val="10"/>
  </w:num>
  <w:num w:numId="29" w16cid:durableId="1777630507">
    <w:abstractNumId w:val="18"/>
  </w:num>
  <w:num w:numId="30" w16cid:durableId="151258145">
    <w:abstractNumId w:val="14"/>
  </w:num>
  <w:num w:numId="31" w16cid:durableId="545262048">
    <w:abstractNumId w:val="6"/>
  </w:num>
  <w:num w:numId="32" w16cid:durableId="478033107">
    <w:abstractNumId w:val="19"/>
  </w:num>
  <w:num w:numId="33" w16cid:durableId="1720323010">
    <w:abstractNumId w:val="23"/>
  </w:num>
  <w:num w:numId="34" w16cid:durableId="1601330111">
    <w:abstractNumId w:val="26"/>
  </w:num>
  <w:num w:numId="35" w16cid:durableId="470026619">
    <w:abstractNumId w:val="11"/>
  </w:num>
  <w:num w:numId="36" w16cid:durableId="1897472269">
    <w:abstractNumId w:val="21"/>
  </w:num>
  <w:num w:numId="37" w16cid:durableId="732773939">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6A7"/>
    <w:rsid w:val="00000151"/>
    <w:rsid w:val="00000E14"/>
    <w:rsid w:val="00001F83"/>
    <w:rsid w:val="00002AF4"/>
    <w:rsid w:val="00002EAB"/>
    <w:rsid w:val="00003496"/>
    <w:rsid w:val="00003617"/>
    <w:rsid w:val="00003BB3"/>
    <w:rsid w:val="000050FE"/>
    <w:rsid w:val="00006F2E"/>
    <w:rsid w:val="00007E0C"/>
    <w:rsid w:val="00007F11"/>
    <w:rsid w:val="00010B97"/>
    <w:rsid w:val="00010F2F"/>
    <w:rsid w:val="00011931"/>
    <w:rsid w:val="00011ACD"/>
    <w:rsid w:val="00011F1C"/>
    <w:rsid w:val="00012D01"/>
    <w:rsid w:val="0001329E"/>
    <w:rsid w:val="00014605"/>
    <w:rsid w:val="00014E59"/>
    <w:rsid w:val="00015021"/>
    <w:rsid w:val="00015120"/>
    <w:rsid w:val="00015458"/>
    <w:rsid w:val="00015763"/>
    <w:rsid w:val="00015E42"/>
    <w:rsid w:val="00017495"/>
    <w:rsid w:val="000201C1"/>
    <w:rsid w:val="000203DA"/>
    <w:rsid w:val="0002060D"/>
    <w:rsid w:val="0002108B"/>
    <w:rsid w:val="00021B18"/>
    <w:rsid w:val="00021BDC"/>
    <w:rsid w:val="00022192"/>
    <w:rsid w:val="00022C01"/>
    <w:rsid w:val="000231E0"/>
    <w:rsid w:val="00024252"/>
    <w:rsid w:val="00024B20"/>
    <w:rsid w:val="000266E3"/>
    <w:rsid w:val="00030B91"/>
    <w:rsid w:val="00031120"/>
    <w:rsid w:val="00031BBD"/>
    <w:rsid w:val="00031C20"/>
    <w:rsid w:val="00032408"/>
    <w:rsid w:val="00032B89"/>
    <w:rsid w:val="00033B7E"/>
    <w:rsid w:val="000359E3"/>
    <w:rsid w:val="00035AD8"/>
    <w:rsid w:val="000364E7"/>
    <w:rsid w:val="000365EC"/>
    <w:rsid w:val="00036736"/>
    <w:rsid w:val="00036A2A"/>
    <w:rsid w:val="0003758C"/>
    <w:rsid w:val="000408C9"/>
    <w:rsid w:val="00040AB4"/>
    <w:rsid w:val="000413BA"/>
    <w:rsid w:val="0004141B"/>
    <w:rsid w:val="000427C2"/>
    <w:rsid w:val="00042FB9"/>
    <w:rsid w:val="00043114"/>
    <w:rsid w:val="0004361A"/>
    <w:rsid w:val="00043689"/>
    <w:rsid w:val="000436BA"/>
    <w:rsid w:val="00044001"/>
    <w:rsid w:val="0004466D"/>
    <w:rsid w:val="000457F7"/>
    <w:rsid w:val="00045BCE"/>
    <w:rsid w:val="00046AD9"/>
    <w:rsid w:val="00047344"/>
    <w:rsid w:val="00047527"/>
    <w:rsid w:val="000478B2"/>
    <w:rsid w:val="00050140"/>
    <w:rsid w:val="00050AEB"/>
    <w:rsid w:val="0005163F"/>
    <w:rsid w:val="00051DA1"/>
    <w:rsid w:val="00052284"/>
    <w:rsid w:val="00052B7B"/>
    <w:rsid w:val="000544DD"/>
    <w:rsid w:val="00054A1F"/>
    <w:rsid w:val="00054D33"/>
    <w:rsid w:val="0005532F"/>
    <w:rsid w:val="000553E9"/>
    <w:rsid w:val="00055F13"/>
    <w:rsid w:val="000566B6"/>
    <w:rsid w:val="0005794F"/>
    <w:rsid w:val="00060A85"/>
    <w:rsid w:val="00061A0F"/>
    <w:rsid w:val="00062FC3"/>
    <w:rsid w:val="000630D9"/>
    <w:rsid w:val="00063604"/>
    <w:rsid w:val="00063875"/>
    <w:rsid w:val="000647DF"/>
    <w:rsid w:val="00065303"/>
    <w:rsid w:val="0006547C"/>
    <w:rsid w:val="00065EFD"/>
    <w:rsid w:val="00066D27"/>
    <w:rsid w:val="00066E96"/>
    <w:rsid w:val="000672C8"/>
    <w:rsid w:val="000673F7"/>
    <w:rsid w:val="00067567"/>
    <w:rsid w:val="00070250"/>
    <w:rsid w:val="000703DB"/>
    <w:rsid w:val="00071098"/>
    <w:rsid w:val="00071544"/>
    <w:rsid w:val="000719D6"/>
    <w:rsid w:val="00071BF2"/>
    <w:rsid w:val="0007218A"/>
    <w:rsid w:val="00072F83"/>
    <w:rsid w:val="000741C0"/>
    <w:rsid w:val="00074471"/>
    <w:rsid w:val="0007456A"/>
    <w:rsid w:val="00075610"/>
    <w:rsid w:val="000767FF"/>
    <w:rsid w:val="00076B15"/>
    <w:rsid w:val="00077053"/>
    <w:rsid w:val="00077791"/>
    <w:rsid w:val="00077896"/>
    <w:rsid w:val="00077D4E"/>
    <w:rsid w:val="00080785"/>
    <w:rsid w:val="00081841"/>
    <w:rsid w:val="00083BE3"/>
    <w:rsid w:val="000842FE"/>
    <w:rsid w:val="00084F62"/>
    <w:rsid w:val="000850EC"/>
    <w:rsid w:val="00087E2F"/>
    <w:rsid w:val="000901DD"/>
    <w:rsid w:val="00091636"/>
    <w:rsid w:val="00091F9C"/>
    <w:rsid w:val="000922E9"/>
    <w:rsid w:val="0009254A"/>
    <w:rsid w:val="00092797"/>
    <w:rsid w:val="00092D85"/>
    <w:rsid w:val="00093043"/>
    <w:rsid w:val="00093EB6"/>
    <w:rsid w:val="000944CF"/>
    <w:rsid w:val="00094EBB"/>
    <w:rsid w:val="0009518C"/>
    <w:rsid w:val="00095683"/>
    <w:rsid w:val="0009595D"/>
    <w:rsid w:val="00095CC8"/>
    <w:rsid w:val="00095D4B"/>
    <w:rsid w:val="00096948"/>
    <w:rsid w:val="00096E25"/>
    <w:rsid w:val="0009799D"/>
    <w:rsid w:val="00097D49"/>
    <w:rsid w:val="000A00BA"/>
    <w:rsid w:val="000A03C1"/>
    <w:rsid w:val="000A1106"/>
    <w:rsid w:val="000A11A8"/>
    <w:rsid w:val="000A1851"/>
    <w:rsid w:val="000A18A1"/>
    <w:rsid w:val="000A1BCF"/>
    <w:rsid w:val="000A2C2E"/>
    <w:rsid w:val="000A301E"/>
    <w:rsid w:val="000A340A"/>
    <w:rsid w:val="000A3C80"/>
    <w:rsid w:val="000A3DCB"/>
    <w:rsid w:val="000A3F27"/>
    <w:rsid w:val="000A44B6"/>
    <w:rsid w:val="000A4A3C"/>
    <w:rsid w:val="000A4CB4"/>
    <w:rsid w:val="000A4F38"/>
    <w:rsid w:val="000A4F8C"/>
    <w:rsid w:val="000A526F"/>
    <w:rsid w:val="000A5F7E"/>
    <w:rsid w:val="000A7CCF"/>
    <w:rsid w:val="000B00C2"/>
    <w:rsid w:val="000B06B3"/>
    <w:rsid w:val="000B1C0C"/>
    <w:rsid w:val="000B1D4C"/>
    <w:rsid w:val="000B1F43"/>
    <w:rsid w:val="000B262B"/>
    <w:rsid w:val="000B2C83"/>
    <w:rsid w:val="000B30F3"/>
    <w:rsid w:val="000B3A27"/>
    <w:rsid w:val="000B4824"/>
    <w:rsid w:val="000B48AF"/>
    <w:rsid w:val="000B4A49"/>
    <w:rsid w:val="000B4BAA"/>
    <w:rsid w:val="000B5EF4"/>
    <w:rsid w:val="000B600C"/>
    <w:rsid w:val="000B628A"/>
    <w:rsid w:val="000B6C05"/>
    <w:rsid w:val="000B7021"/>
    <w:rsid w:val="000B7861"/>
    <w:rsid w:val="000B7D9A"/>
    <w:rsid w:val="000C0802"/>
    <w:rsid w:val="000C0C10"/>
    <w:rsid w:val="000C0CBD"/>
    <w:rsid w:val="000C204F"/>
    <w:rsid w:val="000C23F7"/>
    <w:rsid w:val="000C344B"/>
    <w:rsid w:val="000C3525"/>
    <w:rsid w:val="000C3A36"/>
    <w:rsid w:val="000C407D"/>
    <w:rsid w:val="000C44CF"/>
    <w:rsid w:val="000C4710"/>
    <w:rsid w:val="000C50B4"/>
    <w:rsid w:val="000C5C91"/>
    <w:rsid w:val="000C6282"/>
    <w:rsid w:val="000C7687"/>
    <w:rsid w:val="000C772A"/>
    <w:rsid w:val="000C778F"/>
    <w:rsid w:val="000D004E"/>
    <w:rsid w:val="000D0499"/>
    <w:rsid w:val="000D1794"/>
    <w:rsid w:val="000D2006"/>
    <w:rsid w:val="000D2A52"/>
    <w:rsid w:val="000D3D08"/>
    <w:rsid w:val="000D3D69"/>
    <w:rsid w:val="000D421B"/>
    <w:rsid w:val="000D470D"/>
    <w:rsid w:val="000D48CA"/>
    <w:rsid w:val="000D4E5E"/>
    <w:rsid w:val="000D5EA3"/>
    <w:rsid w:val="000D66D5"/>
    <w:rsid w:val="000D6D3B"/>
    <w:rsid w:val="000D73F6"/>
    <w:rsid w:val="000E15FC"/>
    <w:rsid w:val="000E1703"/>
    <w:rsid w:val="000E1D09"/>
    <w:rsid w:val="000E2380"/>
    <w:rsid w:val="000E2C68"/>
    <w:rsid w:val="000E2E09"/>
    <w:rsid w:val="000E3055"/>
    <w:rsid w:val="000E3556"/>
    <w:rsid w:val="000E4472"/>
    <w:rsid w:val="000E515B"/>
    <w:rsid w:val="000E5347"/>
    <w:rsid w:val="000E684F"/>
    <w:rsid w:val="000E70CF"/>
    <w:rsid w:val="000E72B6"/>
    <w:rsid w:val="000F00D5"/>
    <w:rsid w:val="000F09C7"/>
    <w:rsid w:val="000F12C8"/>
    <w:rsid w:val="000F1BD8"/>
    <w:rsid w:val="000F1C87"/>
    <w:rsid w:val="000F1FEF"/>
    <w:rsid w:val="000F2DDF"/>
    <w:rsid w:val="000F32D1"/>
    <w:rsid w:val="000F380B"/>
    <w:rsid w:val="000F3A0F"/>
    <w:rsid w:val="000F3C70"/>
    <w:rsid w:val="000F3D13"/>
    <w:rsid w:val="000F3E79"/>
    <w:rsid w:val="000F42DA"/>
    <w:rsid w:val="000F4909"/>
    <w:rsid w:val="000F4A0D"/>
    <w:rsid w:val="000F4EF1"/>
    <w:rsid w:val="000F5666"/>
    <w:rsid w:val="000F5E21"/>
    <w:rsid w:val="000F6F98"/>
    <w:rsid w:val="000F74A7"/>
    <w:rsid w:val="0010050F"/>
    <w:rsid w:val="00100D54"/>
    <w:rsid w:val="001014F5"/>
    <w:rsid w:val="00101CA5"/>
    <w:rsid w:val="00102F5E"/>
    <w:rsid w:val="00103D3D"/>
    <w:rsid w:val="001047FE"/>
    <w:rsid w:val="00104988"/>
    <w:rsid w:val="0010621B"/>
    <w:rsid w:val="001070F3"/>
    <w:rsid w:val="001077B1"/>
    <w:rsid w:val="001077D6"/>
    <w:rsid w:val="00107C6F"/>
    <w:rsid w:val="00107CB5"/>
    <w:rsid w:val="00110438"/>
    <w:rsid w:val="00110898"/>
    <w:rsid w:val="001116E4"/>
    <w:rsid w:val="001124B1"/>
    <w:rsid w:val="0011297A"/>
    <w:rsid w:val="00113783"/>
    <w:rsid w:val="0011469F"/>
    <w:rsid w:val="00114A7E"/>
    <w:rsid w:val="001155C3"/>
    <w:rsid w:val="001158AC"/>
    <w:rsid w:val="001159A6"/>
    <w:rsid w:val="00116B97"/>
    <w:rsid w:val="001176B0"/>
    <w:rsid w:val="0012284E"/>
    <w:rsid w:val="00122E76"/>
    <w:rsid w:val="00123365"/>
    <w:rsid w:val="00123788"/>
    <w:rsid w:val="0012383F"/>
    <w:rsid w:val="00123E61"/>
    <w:rsid w:val="001243A1"/>
    <w:rsid w:val="001253B1"/>
    <w:rsid w:val="00125530"/>
    <w:rsid w:val="00125D98"/>
    <w:rsid w:val="0012629D"/>
    <w:rsid w:val="001268AC"/>
    <w:rsid w:val="0013141E"/>
    <w:rsid w:val="00131C26"/>
    <w:rsid w:val="0013267D"/>
    <w:rsid w:val="001327EB"/>
    <w:rsid w:val="00132AA6"/>
    <w:rsid w:val="00133279"/>
    <w:rsid w:val="00133775"/>
    <w:rsid w:val="0013401D"/>
    <w:rsid w:val="00134D43"/>
    <w:rsid w:val="001361C7"/>
    <w:rsid w:val="001363E5"/>
    <w:rsid w:val="00136F86"/>
    <w:rsid w:val="001409B6"/>
    <w:rsid w:val="00140E18"/>
    <w:rsid w:val="00141593"/>
    <w:rsid w:val="00142397"/>
    <w:rsid w:val="001427F7"/>
    <w:rsid w:val="00142B46"/>
    <w:rsid w:val="00142D17"/>
    <w:rsid w:val="00142D33"/>
    <w:rsid w:val="00142F0A"/>
    <w:rsid w:val="00142FF7"/>
    <w:rsid w:val="0014698A"/>
    <w:rsid w:val="0014709E"/>
    <w:rsid w:val="00150609"/>
    <w:rsid w:val="00150BFD"/>
    <w:rsid w:val="00151013"/>
    <w:rsid w:val="00151429"/>
    <w:rsid w:val="00151C75"/>
    <w:rsid w:val="00152553"/>
    <w:rsid w:val="001526CA"/>
    <w:rsid w:val="001536AC"/>
    <w:rsid w:val="00153A1A"/>
    <w:rsid w:val="00153D2A"/>
    <w:rsid w:val="00153E82"/>
    <w:rsid w:val="00154653"/>
    <w:rsid w:val="00155127"/>
    <w:rsid w:val="0015536F"/>
    <w:rsid w:val="00155BA6"/>
    <w:rsid w:val="00156395"/>
    <w:rsid w:val="001564FC"/>
    <w:rsid w:val="001606F6"/>
    <w:rsid w:val="00160BA8"/>
    <w:rsid w:val="00160D7E"/>
    <w:rsid w:val="00161C6F"/>
    <w:rsid w:val="001628B3"/>
    <w:rsid w:val="00163287"/>
    <w:rsid w:val="001639B5"/>
    <w:rsid w:val="001652B3"/>
    <w:rsid w:val="001653B9"/>
    <w:rsid w:val="00165420"/>
    <w:rsid w:val="0016558B"/>
    <w:rsid w:val="00166895"/>
    <w:rsid w:val="00167664"/>
    <w:rsid w:val="00167F08"/>
    <w:rsid w:val="00170239"/>
    <w:rsid w:val="001703E1"/>
    <w:rsid w:val="00170EFE"/>
    <w:rsid w:val="00171B80"/>
    <w:rsid w:val="00173018"/>
    <w:rsid w:val="0017327F"/>
    <w:rsid w:val="00174133"/>
    <w:rsid w:val="001742D5"/>
    <w:rsid w:val="00174997"/>
    <w:rsid w:val="00175141"/>
    <w:rsid w:val="001757F9"/>
    <w:rsid w:val="00176610"/>
    <w:rsid w:val="0017667B"/>
    <w:rsid w:val="001771ED"/>
    <w:rsid w:val="00177385"/>
    <w:rsid w:val="001777D9"/>
    <w:rsid w:val="0018056F"/>
    <w:rsid w:val="00182718"/>
    <w:rsid w:val="00182B13"/>
    <w:rsid w:val="00182EBE"/>
    <w:rsid w:val="00184160"/>
    <w:rsid w:val="00184400"/>
    <w:rsid w:val="00184BEF"/>
    <w:rsid w:val="00185281"/>
    <w:rsid w:val="0018538E"/>
    <w:rsid w:val="001854D8"/>
    <w:rsid w:val="001858CF"/>
    <w:rsid w:val="00185CE4"/>
    <w:rsid w:val="0018655E"/>
    <w:rsid w:val="00186D34"/>
    <w:rsid w:val="00187822"/>
    <w:rsid w:val="001879B8"/>
    <w:rsid w:val="00190155"/>
    <w:rsid w:val="00190919"/>
    <w:rsid w:val="0019109D"/>
    <w:rsid w:val="001913D7"/>
    <w:rsid w:val="00192B30"/>
    <w:rsid w:val="0019366E"/>
    <w:rsid w:val="00193F03"/>
    <w:rsid w:val="00193F58"/>
    <w:rsid w:val="0019428B"/>
    <w:rsid w:val="00194380"/>
    <w:rsid w:val="0019449B"/>
    <w:rsid w:val="00194CD6"/>
    <w:rsid w:val="0019695A"/>
    <w:rsid w:val="0019759A"/>
    <w:rsid w:val="001A0250"/>
    <w:rsid w:val="001A0BCE"/>
    <w:rsid w:val="001A1B95"/>
    <w:rsid w:val="001A2313"/>
    <w:rsid w:val="001A2C94"/>
    <w:rsid w:val="001A2E8A"/>
    <w:rsid w:val="001A3BA9"/>
    <w:rsid w:val="001A45FE"/>
    <w:rsid w:val="001A4618"/>
    <w:rsid w:val="001A4CF1"/>
    <w:rsid w:val="001A4EA8"/>
    <w:rsid w:val="001A53DE"/>
    <w:rsid w:val="001A5DEF"/>
    <w:rsid w:val="001A6A0D"/>
    <w:rsid w:val="001A6CF8"/>
    <w:rsid w:val="001A730B"/>
    <w:rsid w:val="001A7387"/>
    <w:rsid w:val="001A75D2"/>
    <w:rsid w:val="001B0476"/>
    <w:rsid w:val="001B0987"/>
    <w:rsid w:val="001B0CEE"/>
    <w:rsid w:val="001B1BA7"/>
    <w:rsid w:val="001B217F"/>
    <w:rsid w:val="001B2270"/>
    <w:rsid w:val="001B31A0"/>
    <w:rsid w:val="001B3AC9"/>
    <w:rsid w:val="001B4117"/>
    <w:rsid w:val="001B5B9C"/>
    <w:rsid w:val="001B641B"/>
    <w:rsid w:val="001B6ACB"/>
    <w:rsid w:val="001B71A8"/>
    <w:rsid w:val="001C0901"/>
    <w:rsid w:val="001C36B4"/>
    <w:rsid w:val="001C3963"/>
    <w:rsid w:val="001C3BB1"/>
    <w:rsid w:val="001C5313"/>
    <w:rsid w:val="001C56C6"/>
    <w:rsid w:val="001C59E2"/>
    <w:rsid w:val="001C6394"/>
    <w:rsid w:val="001C666D"/>
    <w:rsid w:val="001C7150"/>
    <w:rsid w:val="001C7FF5"/>
    <w:rsid w:val="001D0794"/>
    <w:rsid w:val="001D090E"/>
    <w:rsid w:val="001D0F0B"/>
    <w:rsid w:val="001D1176"/>
    <w:rsid w:val="001D122B"/>
    <w:rsid w:val="001D1755"/>
    <w:rsid w:val="001D231A"/>
    <w:rsid w:val="001D2BB1"/>
    <w:rsid w:val="001D31BD"/>
    <w:rsid w:val="001D5240"/>
    <w:rsid w:val="001D5427"/>
    <w:rsid w:val="001D6032"/>
    <w:rsid w:val="001D6327"/>
    <w:rsid w:val="001E1CDE"/>
    <w:rsid w:val="001E1E4E"/>
    <w:rsid w:val="001E1EC3"/>
    <w:rsid w:val="001E1EEE"/>
    <w:rsid w:val="001E2366"/>
    <w:rsid w:val="001E2C83"/>
    <w:rsid w:val="001E3648"/>
    <w:rsid w:val="001E3E5F"/>
    <w:rsid w:val="001E3E80"/>
    <w:rsid w:val="001E433D"/>
    <w:rsid w:val="001E5280"/>
    <w:rsid w:val="001E5A80"/>
    <w:rsid w:val="001E5C7E"/>
    <w:rsid w:val="001E62FA"/>
    <w:rsid w:val="001E7523"/>
    <w:rsid w:val="001E7E43"/>
    <w:rsid w:val="001E7FBD"/>
    <w:rsid w:val="001E8EEC"/>
    <w:rsid w:val="001F0951"/>
    <w:rsid w:val="001F2CC0"/>
    <w:rsid w:val="001F339A"/>
    <w:rsid w:val="001F4672"/>
    <w:rsid w:val="001F47A0"/>
    <w:rsid w:val="001F4EFC"/>
    <w:rsid w:val="001F5220"/>
    <w:rsid w:val="001F58AF"/>
    <w:rsid w:val="001F67D8"/>
    <w:rsid w:val="001F7219"/>
    <w:rsid w:val="001F7305"/>
    <w:rsid w:val="001F752A"/>
    <w:rsid w:val="001F7C5A"/>
    <w:rsid w:val="0020185B"/>
    <w:rsid w:val="00201A5C"/>
    <w:rsid w:val="00202895"/>
    <w:rsid w:val="00203343"/>
    <w:rsid w:val="002036DC"/>
    <w:rsid w:val="00203C89"/>
    <w:rsid w:val="00203F54"/>
    <w:rsid w:val="002044A6"/>
    <w:rsid w:val="00204E46"/>
    <w:rsid w:val="00205248"/>
    <w:rsid w:val="00205C0E"/>
    <w:rsid w:val="00206CC2"/>
    <w:rsid w:val="00207DE6"/>
    <w:rsid w:val="00207E94"/>
    <w:rsid w:val="002108FF"/>
    <w:rsid w:val="002109E4"/>
    <w:rsid w:val="002113EB"/>
    <w:rsid w:val="00211783"/>
    <w:rsid w:val="00211995"/>
    <w:rsid w:val="00211BE1"/>
    <w:rsid w:val="00211C6F"/>
    <w:rsid w:val="002120C7"/>
    <w:rsid w:val="002127A6"/>
    <w:rsid w:val="002129DA"/>
    <w:rsid w:val="002133AD"/>
    <w:rsid w:val="002133BF"/>
    <w:rsid w:val="00213BF2"/>
    <w:rsid w:val="00216126"/>
    <w:rsid w:val="0021745A"/>
    <w:rsid w:val="0021C18F"/>
    <w:rsid w:val="002208BD"/>
    <w:rsid w:val="002210E1"/>
    <w:rsid w:val="00221152"/>
    <w:rsid w:val="00221310"/>
    <w:rsid w:val="00221B1F"/>
    <w:rsid w:val="00221D27"/>
    <w:rsid w:val="00221FE0"/>
    <w:rsid w:val="0022213C"/>
    <w:rsid w:val="002226E4"/>
    <w:rsid w:val="00222F03"/>
    <w:rsid w:val="00223088"/>
    <w:rsid w:val="002238A1"/>
    <w:rsid w:val="00223EBE"/>
    <w:rsid w:val="00223FDE"/>
    <w:rsid w:val="0022406B"/>
    <w:rsid w:val="00224180"/>
    <w:rsid w:val="00224274"/>
    <w:rsid w:val="0022428B"/>
    <w:rsid w:val="002246B1"/>
    <w:rsid w:val="002247C3"/>
    <w:rsid w:val="00224BA8"/>
    <w:rsid w:val="00226250"/>
    <w:rsid w:val="0022662E"/>
    <w:rsid w:val="00227F6C"/>
    <w:rsid w:val="002301E2"/>
    <w:rsid w:val="00230DBB"/>
    <w:rsid w:val="00230EA2"/>
    <w:rsid w:val="00230F8E"/>
    <w:rsid w:val="00231EE4"/>
    <w:rsid w:val="002321A4"/>
    <w:rsid w:val="00232D09"/>
    <w:rsid w:val="00233549"/>
    <w:rsid w:val="0023375C"/>
    <w:rsid w:val="00234405"/>
    <w:rsid w:val="00235106"/>
    <w:rsid w:val="00235CE1"/>
    <w:rsid w:val="00236A19"/>
    <w:rsid w:val="0023733F"/>
    <w:rsid w:val="0023795E"/>
    <w:rsid w:val="00240212"/>
    <w:rsid w:val="00241644"/>
    <w:rsid w:val="00241C37"/>
    <w:rsid w:val="00241EF3"/>
    <w:rsid w:val="00242D63"/>
    <w:rsid w:val="00242E93"/>
    <w:rsid w:val="00243115"/>
    <w:rsid w:val="002432F7"/>
    <w:rsid w:val="00244916"/>
    <w:rsid w:val="00244DA4"/>
    <w:rsid w:val="0024552D"/>
    <w:rsid w:val="00245679"/>
    <w:rsid w:val="002456E0"/>
    <w:rsid w:val="00245803"/>
    <w:rsid w:val="00246200"/>
    <w:rsid w:val="0024659A"/>
    <w:rsid w:val="00246AA2"/>
    <w:rsid w:val="00246B5E"/>
    <w:rsid w:val="00247336"/>
    <w:rsid w:val="00250016"/>
    <w:rsid w:val="002504BE"/>
    <w:rsid w:val="0025053E"/>
    <w:rsid w:val="00250612"/>
    <w:rsid w:val="0025061B"/>
    <w:rsid w:val="00250CBB"/>
    <w:rsid w:val="00251A7A"/>
    <w:rsid w:val="002529C0"/>
    <w:rsid w:val="00252E07"/>
    <w:rsid w:val="002543D7"/>
    <w:rsid w:val="002553AB"/>
    <w:rsid w:val="0025570B"/>
    <w:rsid w:val="00255F30"/>
    <w:rsid w:val="00256209"/>
    <w:rsid w:val="0025732F"/>
    <w:rsid w:val="0025740B"/>
    <w:rsid w:val="0026010E"/>
    <w:rsid w:val="0026043D"/>
    <w:rsid w:val="00260690"/>
    <w:rsid w:val="00261231"/>
    <w:rsid w:val="00261D74"/>
    <w:rsid w:val="00262175"/>
    <w:rsid w:val="00262AE4"/>
    <w:rsid w:val="0026346A"/>
    <w:rsid w:val="00263F62"/>
    <w:rsid w:val="00263F63"/>
    <w:rsid w:val="002659CF"/>
    <w:rsid w:val="00265FB9"/>
    <w:rsid w:val="002661FD"/>
    <w:rsid w:val="00267622"/>
    <w:rsid w:val="00267925"/>
    <w:rsid w:val="002704F5"/>
    <w:rsid w:val="00270D08"/>
    <w:rsid w:val="0027122B"/>
    <w:rsid w:val="002724C1"/>
    <w:rsid w:val="00272C59"/>
    <w:rsid w:val="002740F3"/>
    <w:rsid w:val="00275BAA"/>
    <w:rsid w:val="00276456"/>
    <w:rsid w:val="002766A1"/>
    <w:rsid w:val="00281509"/>
    <w:rsid w:val="00281A83"/>
    <w:rsid w:val="002847AF"/>
    <w:rsid w:val="002851ED"/>
    <w:rsid w:val="002854FF"/>
    <w:rsid w:val="0028615A"/>
    <w:rsid w:val="002863DE"/>
    <w:rsid w:val="00286905"/>
    <w:rsid w:val="002870B8"/>
    <w:rsid w:val="00287D2E"/>
    <w:rsid w:val="00290117"/>
    <w:rsid w:val="0029025F"/>
    <w:rsid w:val="002916FB"/>
    <w:rsid w:val="00292C13"/>
    <w:rsid w:val="002936F1"/>
    <w:rsid w:val="0029394D"/>
    <w:rsid w:val="00293E84"/>
    <w:rsid w:val="0029424A"/>
    <w:rsid w:val="0029448E"/>
    <w:rsid w:val="00294622"/>
    <w:rsid w:val="00295170"/>
    <w:rsid w:val="0029560C"/>
    <w:rsid w:val="0029566A"/>
    <w:rsid w:val="00295891"/>
    <w:rsid w:val="00295E03"/>
    <w:rsid w:val="002964F6"/>
    <w:rsid w:val="002973C5"/>
    <w:rsid w:val="0029767E"/>
    <w:rsid w:val="002A0FBA"/>
    <w:rsid w:val="002A1FD1"/>
    <w:rsid w:val="002A203D"/>
    <w:rsid w:val="002A383A"/>
    <w:rsid w:val="002A3D13"/>
    <w:rsid w:val="002A3F01"/>
    <w:rsid w:val="002A6CD2"/>
    <w:rsid w:val="002A6CFF"/>
    <w:rsid w:val="002A705A"/>
    <w:rsid w:val="002A7AB0"/>
    <w:rsid w:val="002A7ADC"/>
    <w:rsid w:val="002A7F5F"/>
    <w:rsid w:val="002B0698"/>
    <w:rsid w:val="002B0834"/>
    <w:rsid w:val="002B2D57"/>
    <w:rsid w:val="002B3CA8"/>
    <w:rsid w:val="002B3F05"/>
    <w:rsid w:val="002B427C"/>
    <w:rsid w:val="002B4B13"/>
    <w:rsid w:val="002B4B26"/>
    <w:rsid w:val="002B4E7F"/>
    <w:rsid w:val="002B4F5B"/>
    <w:rsid w:val="002B5653"/>
    <w:rsid w:val="002B61B2"/>
    <w:rsid w:val="002B7341"/>
    <w:rsid w:val="002C0498"/>
    <w:rsid w:val="002C0A50"/>
    <w:rsid w:val="002C0E72"/>
    <w:rsid w:val="002C192D"/>
    <w:rsid w:val="002C29BF"/>
    <w:rsid w:val="002C37E8"/>
    <w:rsid w:val="002C3B29"/>
    <w:rsid w:val="002C3C58"/>
    <w:rsid w:val="002C4837"/>
    <w:rsid w:val="002C4EF9"/>
    <w:rsid w:val="002C5093"/>
    <w:rsid w:val="002C5117"/>
    <w:rsid w:val="002C5514"/>
    <w:rsid w:val="002C581F"/>
    <w:rsid w:val="002C74B2"/>
    <w:rsid w:val="002C7BC7"/>
    <w:rsid w:val="002D1968"/>
    <w:rsid w:val="002D1BB7"/>
    <w:rsid w:val="002D1D5D"/>
    <w:rsid w:val="002D2278"/>
    <w:rsid w:val="002D2B1E"/>
    <w:rsid w:val="002D433D"/>
    <w:rsid w:val="002D5806"/>
    <w:rsid w:val="002D6B07"/>
    <w:rsid w:val="002D6FBB"/>
    <w:rsid w:val="002D728D"/>
    <w:rsid w:val="002E0069"/>
    <w:rsid w:val="002E0409"/>
    <w:rsid w:val="002E12F0"/>
    <w:rsid w:val="002E1537"/>
    <w:rsid w:val="002E1AE4"/>
    <w:rsid w:val="002E1D2E"/>
    <w:rsid w:val="002E2399"/>
    <w:rsid w:val="002E3334"/>
    <w:rsid w:val="002E3805"/>
    <w:rsid w:val="002E3C28"/>
    <w:rsid w:val="002E3DAC"/>
    <w:rsid w:val="002E4034"/>
    <w:rsid w:val="002E4754"/>
    <w:rsid w:val="002E4B4B"/>
    <w:rsid w:val="002E4C71"/>
    <w:rsid w:val="002E4EB4"/>
    <w:rsid w:val="002E5762"/>
    <w:rsid w:val="002E6069"/>
    <w:rsid w:val="002E63B4"/>
    <w:rsid w:val="002E7CBD"/>
    <w:rsid w:val="002F00F6"/>
    <w:rsid w:val="002F0310"/>
    <w:rsid w:val="002F0579"/>
    <w:rsid w:val="002F18E3"/>
    <w:rsid w:val="002F1938"/>
    <w:rsid w:val="002F22EE"/>
    <w:rsid w:val="002F2483"/>
    <w:rsid w:val="002F25B0"/>
    <w:rsid w:val="002F2F26"/>
    <w:rsid w:val="002F3648"/>
    <w:rsid w:val="002F5319"/>
    <w:rsid w:val="002F5882"/>
    <w:rsid w:val="002F7027"/>
    <w:rsid w:val="002F7461"/>
    <w:rsid w:val="002F75CC"/>
    <w:rsid w:val="002F7A7F"/>
    <w:rsid w:val="0030045C"/>
    <w:rsid w:val="00300B06"/>
    <w:rsid w:val="00300DC6"/>
    <w:rsid w:val="00302132"/>
    <w:rsid w:val="0030215F"/>
    <w:rsid w:val="00302433"/>
    <w:rsid w:val="003024C7"/>
    <w:rsid w:val="00303465"/>
    <w:rsid w:val="00304687"/>
    <w:rsid w:val="00305CD8"/>
    <w:rsid w:val="003061BE"/>
    <w:rsid w:val="0030629D"/>
    <w:rsid w:val="003062F0"/>
    <w:rsid w:val="003066AF"/>
    <w:rsid w:val="00307207"/>
    <w:rsid w:val="003115F2"/>
    <w:rsid w:val="003119D6"/>
    <w:rsid w:val="00311CEF"/>
    <w:rsid w:val="00312E00"/>
    <w:rsid w:val="00312FA7"/>
    <w:rsid w:val="0031447A"/>
    <w:rsid w:val="003154F9"/>
    <w:rsid w:val="003157FE"/>
    <w:rsid w:val="00315EE0"/>
    <w:rsid w:val="00315F85"/>
    <w:rsid w:val="00316151"/>
    <w:rsid w:val="0031621C"/>
    <w:rsid w:val="00320332"/>
    <w:rsid w:val="003209E7"/>
    <w:rsid w:val="00320F57"/>
    <w:rsid w:val="00321058"/>
    <w:rsid w:val="00321398"/>
    <w:rsid w:val="0032145B"/>
    <w:rsid w:val="0032188B"/>
    <w:rsid w:val="003220EF"/>
    <w:rsid w:val="003226BB"/>
    <w:rsid w:val="00322EFB"/>
    <w:rsid w:val="00322F26"/>
    <w:rsid w:val="0032346B"/>
    <w:rsid w:val="00323AD9"/>
    <w:rsid w:val="00324A0D"/>
    <w:rsid w:val="003266EF"/>
    <w:rsid w:val="00326898"/>
    <w:rsid w:val="00330AE0"/>
    <w:rsid w:val="00330D01"/>
    <w:rsid w:val="00331112"/>
    <w:rsid w:val="003328CA"/>
    <w:rsid w:val="00333057"/>
    <w:rsid w:val="0033370B"/>
    <w:rsid w:val="003337F0"/>
    <w:rsid w:val="003339C5"/>
    <w:rsid w:val="003342F7"/>
    <w:rsid w:val="00334C54"/>
    <w:rsid w:val="00335031"/>
    <w:rsid w:val="00335386"/>
    <w:rsid w:val="00335BE1"/>
    <w:rsid w:val="003367BC"/>
    <w:rsid w:val="00337534"/>
    <w:rsid w:val="00337FEF"/>
    <w:rsid w:val="00341714"/>
    <w:rsid w:val="003417A1"/>
    <w:rsid w:val="0034268B"/>
    <w:rsid w:val="003429F3"/>
    <w:rsid w:val="00343560"/>
    <w:rsid w:val="003435C6"/>
    <w:rsid w:val="00343D68"/>
    <w:rsid w:val="00345548"/>
    <w:rsid w:val="00346394"/>
    <w:rsid w:val="003463FD"/>
    <w:rsid w:val="003472C2"/>
    <w:rsid w:val="003479BD"/>
    <w:rsid w:val="00350674"/>
    <w:rsid w:val="00350C83"/>
    <w:rsid w:val="003522D8"/>
    <w:rsid w:val="00353062"/>
    <w:rsid w:val="00353959"/>
    <w:rsid w:val="00353A92"/>
    <w:rsid w:val="0035424B"/>
    <w:rsid w:val="00354256"/>
    <w:rsid w:val="00354B2F"/>
    <w:rsid w:val="00354EE4"/>
    <w:rsid w:val="00356436"/>
    <w:rsid w:val="00356724"/>
    <w:rsid w:val="00356E0A"/>
    <w:rsid w:val="00357A81"/>
    <w:rsid w:val="00357B1C"/>
    <w:rsid w:val="003601FD"/>
    <w:rsid w:val="00361645"/>
    <w:rsid w:val="003620D6"/>
    <w:rsid w:val="00362A57"/>
    <w:rsid w:val="003632E2"/>
    <w:rsid w:val="003632F0"/>
    <w:rsid w:val="00363AAB"/>
    <w:rsid w:val="003646D0"/>
    <w:rsid w:val="00364732"/>
    <w:rsid w:val="003650B6"/>
    <w:rsid w:val="00365679"/>
    <w:rsid w:val="0036630C"/>
    <w:rsid w:val="003663E5"/>
    <w:rsid w:val="0036784E"/>
    <w:rsid w:val="00367A22"/>
    <w:rsid w:val="00367B40"/>
    <w:rsid w:val="00367EE2"/>
    <w:rsid w:val="00370C8F"/>
    <w:rsid w:val="00371D0A"/>
    <w:rsid w:val="00372B91"/>
    <w:rsid w:val="00372FC1"/>
    <w:rsid w:val="00374C6F"/>
    <w:rsid w:val="00375030"/>
    <w:rsid w:val="0037577D"/>
    <w:rsid w:val="0037637A"/>
    <w:rsid w:val="003765DE"/>
    <w:rsid w:val="00377D51"/>
    <w:rsid w:val="00380084"/>
    <w:rsid w:val="0038034F"/>
    <w:rsid w:val="00380C02"/>
    <w:rsid w:val="00380CE7"/>
    <w:rsid w:val="00380D28"/>
    <w:rsid w:val="0038208C"/>
    <w:rsid w:val="0038256A"/>
    <w:rsid w:val="003848F4"/>
    <w:rsid w:val="00385A1D"/>
    <w:rsid w:val="00385D86"/>
    <w:rsid w:val="00386D59"/>
    <w:rsid w:val="00387209"/>
    <w:rsid w:val="00387945"/>
    <w:rsid w:val="00387E9B"/>
    <w:rsid w:val="003903B0"/>
    <w:rsid w:val="00390487"/>
    <w:rsid w:val="003906BE"/>
    <w:rsid w:val="00390785"/>
    <w:rsid w:val="00390F54"/>
    <w:rsid w:val="00391145"/>
    <w:rsid w:val="003916DF"/>
    <w:rsid w:val="00391868"/>
    <w:rsid w:val="003919BA"/>
    <w:rsid w:val="0039313C"/>
    <w:rsid w:val="00393740"/>
    <w:rsid w:val="00393C59"/>
    <w:rsid w:val="00393E47"/>
    <w:rsid w:val="00394346"/>
    <w:rsid w:val="00394F0C"/>
    <w:rsid w:val="00394F86"/>
    <w:rsid w:val="0039631B"/>
    <w:rsid w:val="00397139"/>
    <w:rsid w:val="003A1B62"/>
    <w:rsid w:val="003A2585"/>
    <w:rsid w:val="003A35C8"/>
    <w:rsid w:val="003A362B"/>
    <w:rsid w:val="003A3A01"/>
    <w:rsid w:val="003A3DE0"/>
    <w:rsid w:val="003A3E51"/>
    <w:rsid w:val="003A423A"/>
    <w:rsid w:val="003A4962"/>
    <w:rsid w:val="003A4D6A"/>
    <w:rsid w:val="003A4E03"/>
    <w:rsid w:val="003A50F5"/>
    <w:rsid w:val="003A6545"/>
    <w:rsid w:val="003A6E41"/>
    <w:rsid w:val="003B0B13"/>
    <w:rsid w:val="003B0DB8"/>
    <w:rsid w:val="003B10EE"/>
    <w:rsid w:val="003B135C"/>
    <w:rsid w:val="003B149B"/>
    <w:rsid w:val="003B168A"/>
    <w:rsid w:val="003B2109"/>
    <w:rsid w:val="003B2EC5"/>
    <w:rsid w:val="003B4089"/>
    <w:rsid w:val="003B5028"/>
    <w:rsid w:val="003B5519"/>
    <w:rsid w:val="003B55CF"/>
    <w:rsid w:val="003B620C"/>
    <w:rsid w:val="003B6B52"/>
    <w:rsid w:val="003B6D8C"/>
    <w:rsid w:val="003B7A9A"/>
    <w:rsid w:val="003C0E9C"/>
    <w:rsid w:val="003C0F52"/>
    <w:rsid w:val="003C170B"/>
    <w:rsid w:val="003C1CC1"/>
    <w:rsid w:val="003C1ED4"/>
    <w:rsid w:val="003C2305"/>
    <w:rsid w:val="003C27EC"/>
    <w:rsid w:val="003C289F"/>
    <w:rsid w:val="003C30BC"/>
    <w:rsid w:val="003C36DC"/>
    <w:rsid w:val="003C3B7B"/>
    <w:rsid w:val="003C3D16"/>
    <w:rsid w:val="003C4DEE"/>
    <w:rsid w:val="003C5252"/>
    <w:rsid w:val="003C60B7"/>
    <w:rsid w:val="003C6245"/>
    <w:rsid w:val="003C6671"/>
    <w:rsid w:val="003C6E6F"/>
    <w:rsid w:val="003C75D2"/>
    <w:rsid w:val="003C7668"/>
    <w:rsid w:val="003C7C9A"/>
    <w:rsid w:val="003C7F48"/>
    <w:rsid w:val="003D00E1"/>
    <w:rsid w:val="003D112D"/>
    <w:rsid w:val="003D118F"/>
    <w:rsid w:val="003D196C"/>
    <w:rsid w:val="003D2761"/>
    <w:rsid w:val="003D2CCF"/>
    <w:rsid w:val="003D3A87"/>
    <w:rsid w:val="003D3DA1"/>
    <w:rsid w:val="003D455E"/>
    <w:rsid w:val="003D56C2"/>
    <w:rsid w:val="003D5896"/>
    <w:rsid w:val="003D58EC"/>
    <w:rsid w:val="003D5AF9"/>
    <w:rsid w:val="003D6036"/>
    <w:rsid w:val="003D7D29"/>
    <w:rsid w:val="003D7EFD"/>
    <w:rsid w:val="003E059C"/>
    <w:rsid w:val="003E1694"/>
    <w:rsid w:val="003E1B67"/>
    <w:rsid w:val="003E2037"/>
    <w:rsid w:val="003E3460"/>
    <w:rsid w:val="003E3586"/>
    <w:rsid w:val="003E35C3"/>
    <w:rsid w:val="003E3A6D"/>
    <w:rsid w:val="003E457A"/>
    <w:rsid w:val="003E48B3"/>
    <w:rsid w:val="003E6332"/>
    <w:rsid w:val="003E6D5A"/>
    <w:rsid w:val="003E7039"/>
    <w:rsid w:val="003E75C2"/>
    <w:rsid w:val="003E79C1"/>
    <w:rsid w:val="003E7D0F"/>
    <w:rsid w:val="003F007E"/>
    <w:rsid w:val="003F0209"/>
    <w:rsid w:val="003F0541"/>
    <w:rsid w:val="003F0D7F"/>
    <w:rsid w:val="003F0F06"/>
    <w:rsid w:val="003F1D64"/>
    <w:rsid w:val="003F2266"/>
    <w:rsid w:val="003F26D6"/>
    <w:rsid w:val="003F3698"/>
    <w:rsid w:val="003F3D65"/>
    <w:rsid w:val="003F4408"/>
    <w:rsid w:val="003F44BB"/>
    <w:rsid w:val="003F476D"/>
    <w:rsid w:val="003F48D6"/>
    <w:rsid w:val="003F4E66"/>
    <w:rsid w:val="003F629C"/>
    <w:rsid w:val="003F63F0"/>
    <w:rsid w:val="003F6909"/>
    <w:rsid w:val="003F763B"/>
    <w:rsid w:val="003F7971"/>
    <w:rsid w:val="003F7C38"/>
    <w:rsid w:val="003F7FF9"/>
    <w:rsid w:val="004003FC"/>
    <w:rsid w:val="00400628"/>
    <w:rsid w:val="00400F11"/>
    <w:rsid w:val="0040133E"/>
    <w:rsid w:val="004015EB"/>
    <w:rsid w:val="00402698"/>
    <w:rsid w:val="00402DCD"/>
    <w:rsid w:val="0040356E"/>
    <w:rsid w:val="004040D6"/>
    <w:rsid w:val="00404743"/>
    <w:rsid w:val="00404AE5"/>
    <w:rsid w:val="00404D21"/>
    <w:rsid w:val="00404D8B"/>
    <w:rsid w:val="004052D3"/>
    <w:rsid w:val="00405385"/>
    <w:rsid w:val="00405437"/>
    <w:rsid w:val="00405D7D"/>
    <w:rsid w:val="004060D9"/>
    <w:rsid w:val="00406766"/>
    <w:rsid w:val="00406AD5"/>
    <w:rsid w:val="00406B2C"/>
    <w:rsid w:val="00407206"/>
    <w:rsid w:val="00407274"/>
    <w:rsid w:val="0040749F"/>
    <w:rsid w:val="00407AD9"/>
    <w:rsid w:val="00407ECB"/>
    <w:rsid w:val="00407FE9"/>
    <w:rsid w:val="004106B1"/>
    <w:rsid w:val="00410D73"/>
    <w:rsid w:val="00411B08"/>
    <w:rsid w:val="00411CCE"/>
    <w:rsid w:val="00411D79"/>
    <w:rsid w:val="00411FC0"/>
    <w:rsid w:val="00411FD6"/>
    <w:rsid w:val="0041245D"/>
    <w:rsid w:val="00414132"/>
    <w:rsid w:val="00414946"/>
    <w:rsid w:val="00414FA2"/>
    <w:rsid w:val="004153BC"/>
    <w:rsid w:val="0041659A"/>
    <w:rsid w:val="0041676B"/>
    <w:rsid w:val="004167B9"/>
    <w:rsid w:val="00417144"/>
    <w:rsid w:val="004174EC"/>
    <w:rsid w:val="004178DF"/>
    <w:rsid w:val="004179D8"/>
    <w:rsid w:val="00417AF0"/>
    <w:rsid w:val="00420227"/>
    <w:rsid w:val="004204EC"/>
    <w:rsid w:val="004208F5"/>
    <w:rsid w:val="004209FB"/>
    <w:rsid w:val="00420C84"/>
    <w:rsid w:val="00420DE0"/>
    <w:rsid w:val="00420F7F"/>
    <w:rsid w:val="00421916"/>
    <w:rsid w:val="004219B6"/>
    <w:rsid w:val="00421E1B"/>
    <w:rsid w:val="004222DA"/>
    <w:rsid w:val="00422671"/>
    <w:rsid w:val="00422AEA"/>
    <w:rsid w:val="00425225"/>
    <w:rsid w:val="004252EB"/>
    <w:rsid w:val="00425775"/>
    <w:rsid w:val="00426202"/>
    <w:rsid w:val="00426928"/>
    <w:rsid w:val="004270FA"/>
    <w:rsid w:val="0042724B"/>
    <w:rsid w:val="00427A99"/>
    <w:rsid w:val="00427FE9"/>
    <w:rsid w:val="00430183"/>
    <w:rsid w:val="004318D0"/>
    <w:rsid w:val="00431F8A"/>
    <w:rsid w:val="004324E9"/>
    <w:rsid w:val="004325AE"/>
    <w:rsid w:val="00432814"/>
    <w:rsid w:val="00432917"/>
    <w:rsid w:val="00432D42"/>
    <w:rsid w:val="00433150"/>
    <w:rsid w:val="00433A7D"/>
    <w:rsid w:val="00434291"/>
    <w:rsid w:val="004347C7"/>
    <w:rsid w:val="00434AC3"/>
    <w:rsid w:val="00435635"/>
    <w:rsid w:val="00436CFF"/>
    <w:rsid w:val="00440AB5"/>
    <w:rsid w:val="004424D2"/>
    <w:rsid w:val="00442AEB"/>
    <w:rsid w:val="00442C7A"/>
    <w:rsid w:val="0044345E"/>
    <w:rsid w:val="00443A4F"/>
    <w:rsid w:val="0044537D"/>
    <w:rsid w:val="00446128"/>
    <w:rsid w:val="00446BEB"/>
    <w:rsid w:val="00450A96"/>
    <w:rsid w:val="0045121A"/>
    <w:rsid w:val="004513A2"/>
    <w:rsid w:val="00451E55"/>
    <w:rsid w:val="00451EFF"/>
    <w:rsid w:val="00452181"/>
    <w:rsid w:val="00452729"/>
    <w:rsid w:val="00452BF5"/>
    <w:rsid w:val="004556C8"/>
    <w:rsid w:val="004559D9"/>
    <w:rsid w:val="00455DBC"/>
    <w:rsid w:val="00455F0F"/>
    <w:rsid w:val="0045617B"/>
    <w:rsid w:val="004562CF"/>
    <w:rsid w:val="00456963"/>
    <w:rsid w:val="00456DFC"/>
    <w:rsid w:val="00457295"/>
    <w:rsid w:val="00457641"/>
    <w:rsid w:val="004577AE"/>
    <w:rsid w:val="00460F18"/>
    <w:rsid w:val="00461920"/>
    <w:rsid w:val="00461A71"/>
    <w:rsid w:val="004624EE"/>
    <w:rsid w:val="004629ED"/>
    <w:rsid w:val="00462A99"/>
    <w:rsid w:val="004636C3"/>
    <w:rsid w:val="004650A1"/>
    <w:rsid w:val="004657FF"/>
    <w:rsid w:val="00465A76"/>
    <w:rsid w:val="00466158"/>
    <w:rsid w:val="00466410"/>
    <w:rsid w:val="00466B80"/>
    <w:rsid w:val="00466D98"/>
    <w:rsid w:val="00467391"/>
    <w:rsid w:val="0046748E"/>
    <w:rsid w:val="00471017"/>
    <w:rsid w:val="00471800"/>
    <w:rsid w:val="00473274"/>
    <w:rsid w:val="00474236"/>
    <w:rsid w:val="004746A5"/>
    <w:rsid w:val="00474970"/>
    <w:rsid w:val="0047504C"/>
    <w:rsid w:val="004756C9"/>
    <w:rsid w:val="00475A56"/>
    <w:rsid w:val="004760E7"/>
    <w:rsid w:val="0047675C"/>
    <w:rsid w:val="00476F2F"/>
    <w:rsid w:val="00477F60"/>
    <w:rsid w:val="00480214"/>
    <w:rsid w:val="00480645"/>
    <w:rsid w:val="004809E2"/>
    <w:rsid w:val="0048138D"/>
    <w:rsid w:val="00481AC3"/>
    <w:rsid w:val="00482278"/>
    <w:rsid w:val="00482586"/>
    <w:rsid w:val="00482F59"/>
    <w:rsid w:val="00482F70"/>
    <w:rsid w:val="0048320B"/>
    <w:rsid w:val="0048335F"/>
    <w:rsid w:val="004843D4"/>
    <w:rsid w:val="00485C20"/>
    <w:rsid w:val="00487201"/>
    <w:rsid w:val="00490191"/>
    <w:rsid w:val="00490D2E"/>
    <w:rsid w:val="004913B3"/>
    <w:rsid w:val="004913D2"/>
    <w:rsid w:val="004919B6"/>
    <w:rsid w:val="00492012"/>
    <w:rsid w:val="0049248C"/>
    <w:rsid w:val="00493250"/>
    <w:rsid w:val="00493E30"/>
    <w:rsid w:val="004948F6"/>
    <w:rsid w:val="0049529A"/>
    <w:rsid w:val="0049561D"/>
    <w:rsid w:val="00496416"/>
    <w:rsid w:val="00496501"/>
    <w:rsid w:val="00497148"/>
    <w:rsid w:val="004A081C"/>
    <w:rsid w:val="004A0E2D"/>
    <w:rsid w:val="004A1E27"/>
    <w:rsid w:val="004A3016"/>
    <w:rsid w:val="004A3B8E"/>
    <w:rsid w:val="004A3BBA"/>
    <w:rsid w:val="004A3E13"/>
    <w:rsid w:val="004A417B"/>
    <w:rsid w:val="004A4B08"/>
    <w:rsid w:val="004A4DBD"/>
    <w:rsid w:val="004A605D"/>
    <w:rsid w:val="004A6A3E"/>
    <w:rsid w:val="004A6E9D"/>
    <w:rsid w:val="004A78CB"/>
    <w:rsid w:val="004A7AEB"/>
    <w:rsid w:val="004B0CCA"/>
    <w:rsid w:val="004B0E8C"/>
    <w:rsid w:val="004B1144"/>
    <w:rsid w:val="004B1607"/>
    <w:rsid w:val="004B19BF"/>
    <w:rsid w:val="004B1FF8"/>
    <w:rsid w:val="004B320E"/>
    <w:rsid w:val="004B3615"/>
    <w:rsid w:val="004B367A"/>
    <w:rsid w:val="004B3DBD"/>
    <w:rsid w:val="004B4377"/>
    <w:rsid w:val="004B498A"/>
    <w:rsid w:val="004B5BCF"/>
    <w:rsid w:val="004B5E57"/>
    <w:rsid w:val="004B646D"/>
    <w:rsid w:val="004B67A1"/>
    <w:rsid w:val="004B779E"/>
    <w:rsid w:val="004B786F"/>
    <w:rsid w:val="004C05EF"/>
    <w:rsid w:val="004C0C8D"/>
    <w:rsid w:val="004C0F45"/>
    <w:rsid w:val="004C11DD"/>
    <w:rsid w:val="004C1209"/>
    <w:rsid w:val="004C1D27"/>
    <w:rsid w:val="004C23DA"/>
    <w:rsid w:val="004C2682"/>
    <w:rsid w:val="004C29B7"/>
    <w:rsid w:val="004C2C9E"/>
    <w:rsid w:val="004C377C"/>
    <w:rsid w:val="004C40C4"/>
    <w:rsid w:val="004C49D3"/>
    <w:rsid w:val="004C57CA"/>
    <w:rsid w:val="004C632F"/>
    <w:rsid w:val="004C675C"/>
    <w:rsid w:val="004C7212"/>
    <w:rsid w:val="004C793D"/>
    <w:rsid w:val="004C7B69"/>
    <w:rsid w:val="004D0210"/>
    <w:rsid w:val="004D0D62"/>
    <w:rsid w:val="004D180A"/>
    <w:rsid w:val="004D1B04"/>
    <w:rsid w:val="004D2C1B"/>
    <w:rsid w:val="004D2C4A"/>
    <w:rsid w:val="004D30FB"/>
    <w:rsid w:val="004D37F1"/>
    <w:rsid w:val="004D3B30"/>
    <w:rsid w:val="004D3DEA"/>
    <w:rsid w:val="004D47D8"/>
    <w:rsid w:val="004D49D0"/>
    <w:rsid w:val="004D5F78"/>
    <w:rsid w:val="004D6445"/>
    <w:rsid w:val="004D7713"/>
    <w:rsid w:val="004E002A"/>
    <w:rsid w:val="004E03C7"/>
    <w:rsid w:val="004E0BA6"/>
    <w:rsid w:val="004E1161"/>
    <w:rsid w:val="004E15AC"/>
    <w:rsid w:val="004E1613"/>
    <w:rsid w:val="004E193D"/>
    <w:rsid w:val="004E1C32"/>
    <w:rsid w:val="004E1E92"/>
    <w:rsid w:val="004E3FF9"/>
    <w:rsid w:val="004E4217"/>
    <w:rsid w:val="004E4A6A"/>
    <w:rsid w:val="004E517F"/>
    <w:rsid w:val="004E54FE"/>
    <w:rsid w:val="004E573A"/>
    <w:rsid w:val="004E7223"/>
    <w:rsid w:val="004E7F7F"/>
    <w:rsid w:val="004F04D6"/>
    <w:rsid w:val="004F09E8"/>
    <w:rsid w:val="004F0B2B"/>
    <w:rsid w:val="004F176A"/>
    <w:rsid w:val="004F20FC"/>
    <w:rsid w:val="004F2224"/>
    <w:rsid w:val="004F24CB"/>
    <w:rsid w:val="004F38E2"/>
    <w:rsid w:val="004F4BCE"/>
    <w:rsid w:val="004F5505"/>
    <w:rsid w:val="004F5EAF"/>
    <w:rsid w:val="004F6783"/>
    <w:rsid w:val="004F6EDC"/>
    <w:rsid w:val="004F7102"/>
    <w:rsid w:val="004F769D"/>
    <w:rsid w:val="004F79BB"/>
    <w:rsid w:val="00500412"/>
    <w:rsid w:val="00500DAD"/>
    <w:rsid w:val="00502CD4"/>
    <w:rsid w:val="00502E96"/>
    <w:rsid w:val="00503B2E"/>
    <w:rsid w:val="00503E75"/>
    <w:rsid w:val="00505327"/>
    <w:rsid w:val="00506526"/>
    <w:rsid w:val="005068CB"/>
    <w:rsid w:val="00506B31"/>
    <w:rsid w:val="00506D25"/>
    <w:rsid w:val="00507160"/>
    <w:rsid w:val="00510201"/>
    <w:rsid w:val="00510605"/>
    <w:rsid w:val="00510B1F"/>
    <w:rsid w:val="00510EF7"/>
    <w:rsid w:val="00511D44"/>
    <w:rsid w:val="00513234"/>
    <w:rsid w:val="00514299"/>
    <w:rsid w:val="0051445F"/>
    <w:rsid w:val="00514684"/>
    <w:rsid w:val="005148EA"/>
    <w:rsid w:val="005148F1"/>
    <w:rsid w:val="00515399"/>
    <w:rsid w:val="00515826"/>
    <w:rsid w:val="00516225"/>
    <w:rsid w:val="00516457"/>
    <w:rsid w:val="005165B1"/>
    <w:rsid w:val="00516E5B"/>
    <w:rsid w:val="00517228"/>
    <w:rsid w:val="005209AC"/>
    <w:rsid w:val="00521D6C"/>
    <w:rsid w:val="00522563"/>
    <w:rsid w:val="00522FF4"/>
    <w:rsid w:val="00524348"/>
    <w:rsid w:val="00524CEB"/>
    <w:rsid w:val="00524F06"/>
    <w:rsid w:val="00525322"/>
    <w:rsid w:val="00525842"/>
    <w:rsid w:val="00525B0C"/>
    <w:rsid w:val="005264E9"/>
    <w:rsid w:val="0052710D"/>
    <w:rsid w:val="00530893"/>
    <w:rsid w:val="00530B9F"/>
    <w:rsid w:val="00530E24"/>
    <w:rsid w:val="00532E28"/>
    <w:rsid w:val="00533BA3"/>
    <w:rsid w:val="00534654"/>
    <w:rsid w:val="0053472B"/>
    <w:rsid w:val="00535519"/>
    <w:rsid w:val="005378EA"/>
    <w:rsid w:val="00537A5A"/>
    <w:rsid w:val="00537D6A"/>
    <w:rsid w:val="005401C6"/>
    <w:rsid w:val="0054126E"/>
    <w:rsid w:val="005414F9"/>
    <w:rsid w:val="00541DF3"/>
    <w:rsid w:val="0054213A"/>
    <w:rsid w:val="00542846"/>
    <w:rsid w:val="005456FF"/>
    <w:rsid w:val="00545810"/>
    <w:rsid w:val="005476F1"/>
    <w:rsid w:val="0054777C"/>
    <w:rsid w:val="005509A8"/>
    <w:rsid w:val="005519F1"/>
    <w:rsid w:val="00551CBC"/>
    <w:rsid w:val="0055265D"/>
    <w:rsid w:val="0055295E"/>
    <w:rsid w:val="005534F5"/>
    <w:rsid w:val="0055396F"/>
    <w:rsid w:val="005543A2"/>
    <w:rsid w:val="005545D7"/>
    <w:rsid w:val="00554E58"/>
    <w:rsid w:val="005550CA"/>
    <w:rsid w:val="00555575"/>
    <w:rsid w:val="005557DB"/>
    <w:rsid w:val="00555A34"/>
    <w:rsid w:val="005568F3"/>
    <w:rsid w:val="00557385"/>
    <w:rsid w:val="00560286"/>
    <w:rsid w:val="005605AC"/>
    <w:rsid w:val="0056063E"/>
    <w:rsid w:val="00560C5C"/>
    <w:rsid w:val="00561001"/>
    <w:rsid w:val="005613A9"/>
    <w:rsid w:val="005625A3"/>
    <w:rsid w:val="0056282A"/>
    <w:rsid w:val="0056282D"/>
    <w:rsid w:val="00563379"/>
    <w:rsid w:val="005637DA"/>
    <w:rsid w:val="00563C89"/>
    <w:rsid w:val="00564273"/>
    <w:rsid w:val="00564B1F"/>
    <w:rsid w:val="00564FF4"/>
    <w:rsid w:val="00565532"/>
    <w:rsid w:val="00566180"/>
    <w:rsid w:val="005667C8"/>
    <w:rsid w:val="00566B51"/>
    <w:rsid w:val="00566DD8"/>
    <w:rsid w:val="00566E22"/>
    <w:rsid w:val="00567112"/>
    <w:rsid w:val="005701AB"/>
    <w:rsid w:val="0057050A"/>
    <w:rsid w:val="00570645"/>
    <w:rsid w:val="00570F9A"/>
    <w:rsid w:val="0057126B"/>
    <w:rsid w:val="00571CD9"/>
    <w:rsid w:val="00571F0B"/>
    <w:rsid w:val="00573170"/>
    <w:rsid w:val="00573411"/>
    <w:rsid w:val="00574807"/>
    <w:rsid w:val="00575DD0"/>
    <w:rsid w:val="00576F68"/>
    <w:rsid w:val="00577250"/>
    <w:rsid w:val="005777DC"/>
    <w:rsid w:val="005778AE"/>
    <w:rsid w:val="00580C8A"/>
    <w:rsid w:val="00580F8A"/>
    <w:rsid w:val="005816EE"/>
    <w:rsid w:val="00581CAF"/>
    <w:rsid w:val="00581E65"/>
    <w:rsid w:val="0058269E"/>
    <w:rsid w:val="005827E4"/>
    <w:rsid w:val="00582A66"/>
    <w:rsid w:val="00583170"/>
    <w:rsid w:val="005835E0"/>
    <w:rsid w:val="0058372B"/>
    <w:rsid w:val="00584905"/>
    <w:rsid w:val="00585773"/>
    <w:rsid w:val="005858AE"/>
    <w:rsid w:val="00585E16"/>
    <w:rsid w:val="005867CD"/>
    <w:rsid w:val="005878A2"/>
    <w:rsid w:val="00590044"/>
    <w:rsid w:val="00590818"/>
    <w:rsid w:val="00590850"/>
    <w:rsid w:val="00590862"/>
    <w:rsid w:val="005912E3"/>
    <w:rsid w:val="005920D6"/>
    <w:rsid w:val="00593867"/>
    <w:rsid w:val="0059411B"/>
    <w:rsid w:val="00594779"/>
    <w:rsid w:val="00594D55"/>
    <w:rsid w:val="00594D81"/>
    <w:rsid w:val="00595D6B"/>
    <w:rsid w:val="00596C46"/>
    <w:rsid w:val="00596E1F"/>
    <w:rsid w:val="00597674"/>
    <w:rsid w:val="005A01B9"/>
    <w:rsid w:val="005A03C0"/>
    <w:rsid w:val="005A1D14"/>
    <w:rsid w:val="005A1F53"/>
    <w:rsid w:val="005A24DA"/>
    <w:rsid w:val="005A2C12"/>
    <w:rsid w:val="005A2C98"/>
    <w:rsid w:val="005A34CC"/>
    <w:rsid w:val="005A441F"/>
    <w:rsid w:val="005A4A1A"/>
    <w:rsid w:val="005A4BD6"/>
    <w:rsid w:val="005A519F"/>
    <w:rsid w:val="005A5527"/>
    <w:rsid w:val="005A5607"/>
    <w:rsid w:val="005A5C1E"/>
    <w:rsid w:val="005A69A4"/>
    <w:rsid w:val="005A6F50"/>
    <w:rsid w:val="005A7051"/>
    <w:rsid w:val="005A7420"/>
    <w:rsid w:val="005A7480"/>
    <w:rsid w:val="005A7916"/>
    <w:rsid w:val="005A7A86"/>
    <w:rsid w:val="005A7DC5"/>
    <w:rsid w:val="005B0EA6"/>
    <w:rsid w:val="005B105E"/>
    <w:rsid w:val="005B10F3"/>
    <w:rsid w:val="005B15BB"/>
    <w:rsid w:val="005B212E"/>
    <w:rsid w:val="005B21D3"/>
    <w:rsid w:val="005B26E0"/>
    <w:rsid w:val="005B274D"/>
    <w:rsid w:val="005B2FA8"/>
    <w:rsid w:val="005B4126"/>
    <w:rsid w:val="005B5EC2"/>
    <w:rsid w:val="005B6B7E"/>
    <w:rsid w:val="005B6B8F"/>
    <w:rsid w:val="005B7AD1"/>
    <w:rsid w:val="005C0C71"/>
    <w:rsid w:val="005C0F92"/>
    <w:rsid w:val="005C241D"/>
    <w:rsid w:val="005C270A"/>
    <w:rsid w:val="005C375D"/>
    <w:rsid w:val="005C395A"/>
    <w:rsid w:val="005C3D82"/>
    <w:rsid w:val="005C4B60"/>
    <w:rsid w:val="005C5379"/>
    <w:rsid w:val="005C5C0B"/>
    <w:rsid w:val="005C5F1F"/>
    <w:rsid w:val="005C5F60"/>
    <w:rsid w:val="005C6284"/>
    <w:rsid w:val="005C630F"/>
    <w:rsid w:val="005C6C3D"/>
    <w:rsid w:val="005C79EA"/>
    <w:rsid w:val="005C7EEF"/>
    <w:rsid w:val="005D0E15"/>
    <w:rsid w:val="005D11F2"/>
    <w:rsid w:val="005D12C5"/>
    <w:rsid w:val="005D2E78"/>
    <w:rsid w:val="005D3260"/>
    <w:rsid w:val="005D5D40"/>
    <w:rsid w:val="005D5E92"/>
    <w:rsid w:val="005D60D7"/>
    <w:rsid w:val="005D677A"/>
    <w:rsid w:val="005D6DE9"/>
    <w:rsid w:val="005D7497"/>
    <w:rsid w:val="005D7A63"/>
    <w:rsid w:val="005D7B93"/>
    <w:rsid w:val="005E1138"/>
    <w:rsid w:val="005E1C7F"/>
    <w:rsid w:val="005E1F6B"/>
    <w:rsid w:val="005E2A06"/>
    <w:rsid w:val="005E3122"/>
    <w:rsid w:val="005E475D"/>
    <w:rsid w:val="005E5AA5"/>
    <w:rsid w:val="005E6BE5"/>
    <w:rsid w:val="005E7127"/>
    <w:rsid w:val="005E7770"/>
    <w:rsid w:val="005F02E9"/>
    <w:rsid w:val="005F09EB"/>
    <w:rsid w:val="005F0A1B"/>
    <w:rsid w:val="005F1163"/>
    <w:rsid w:val="005F14DE"/>
    <w:rsid w:val="005F1B86"/>
    <w:rsid w:val="005F26A2"/>
    <w:rsid w:val="005F35A2"/>
    <w:rsid w:val="005F3881"/>
    <w:rsid w:val="005F44D0"/>
    <w:rsid w:val="005F458F"/>
    <w:rsid w:val="005F5083"/>
    <w:rsid w:val="005F57D8"/>
    <w:rsid w:val="005F5F05"/>
    <w:rsid w:val="005F5FAE"/>
    <w:rsid w:val="005F64E8"/>
    <w:rsid w:val="005F68E3"/>
    <w:rsid w:val="005F732B"/>
    <w:rsid w:val="005F7676"/>
    <w:rsid w:val="005F778E"/>
    <w:rsid w:val="0060000C"/>
    <w:rsid w:val="00600400"/>
    <w:rsid w:val="00600862"/>
    <w:rsid w:val="00601F5D"/>
    <w:rsid w:val="006021BC"/>
    <w:rsid w:val="00602B13"/>
    <w:rsid w:val="00603CFD"/>
    <w:rsid w:val="00603DF8"/>
    <w:rsid w:val="00604A66"/>
    <w:rsid w:val="00604FA5"/>
    <w:rsid w:val="00605105"/>
    <w:rsid w:val="006053C0"/>
    <w:rsid w:val="006058AA"/>
    <w:rsid w:val="00605D89"/>
    <w:rsid w:val="00605DEE"/>
    <w:rsid w:val="006069B5"/>
    <w:rsid w:val="00606BDF"/>
    <w:rsid w:val="00606CFE"/>
    <w:rsid w:val="006073F8"/>
    <w:rsid w:val="0060768B"/>
    <w:rsid w:val="00607D4B"/>
    <w:rsid w:val="00610C11"/>
    <w:rsid w:val="0061172C"/>
    <w:rsid w:val="006119F1"/>
    <w:rsid w:val="0061288C"/>
    <w:rsid w:val="00613882"/>
    <w:rsid w:val="00615EA5"/>
    <w:rsid w:val="00616237"/>
    <w:rsid w:val="006167DD"/>
    <w:rsid w:val="006171D5"/>
    <w:rsid w:val="006173CF"/>
    <w:rsid w:val="0061773A"/>
    <w:rsid w:val="00617C1B"/>
    <w:rsid w:val="00617CFC"/>
    <w:rsid w:val="006200F5"/>
    <w:rsid w:val="00620F59"/>
    <w:rsid w:val="0062158E"/>
    <w:rsid w:val="00621DCD"/>
    <w:rsid w:val="00622654"/>
    <w:rsid w:val="00622ED5"/>
    <w:rsid w:val="0062312F"/>
    <w:rsid w:val="00623872"/>
    <w:rsid w:val="006242F6"/>
    <w:rsid w:val="00624E09"/>
    <w:rsid w:val="00624EB5"/>
    <w:rsid w:val="0062600D"/>
    <w:rsid w:val="00626C0B"/>
    <w:rsid w:val="00626E69"/>
    <w:rsid w:val="00627129"/>
    <w:rsid w:val="0062734A"/>
    <w:rsid w:val="006277C5"/>
    <w:rsid w:val="0063023D"/>
    <w:rsid w:val="00631251"/>
    <w:rsid w:val="006318C1"/>
    <w:rsid w:val="006319E5"/>
    <w:rsid w:val="00632E4F"/>
    <w:rsid w:val="00632F6E"/>
    <w:rsid w:val="006330C3"/>
    <w:rsid w:val="006338CF"/>
    <w:rsid w:val="00634870"/>
    <w:rsid w:val="00635102"/>
    <w:rsid w:val="0063526D"/>
    <w:rsid w:val="00635903"/>
    <w:rsid w:val="00635F7D"/>
    <w:rsid w:val="00637012"/>
    <w:rsid w:val="00637603"/>
    <w:rsid w:val="00641159"/>
    <w:rsid w:val="0064134A"/>
    <w:rsid w:val="006419C1"/>
    <w:rsid w:val="006425EB"/>
    <w:rsid w:val="00642B5D"/>
    <w:rsid w:val="00642C23"/>
    <w:rsid w:val="00643054"/>
    <w:rsid w:val="00643116"/>
    <w:rsid w:val="006432FA"/>
    <w:rsid w:val="00643DF4"/>
    <w:rsid w:val="006453F5"/>
    <w:rsid w:val="006463E5"/>
    <w:rsid w:val="0064707B"/>
    <w:rsid w:val="00647A26"/>
    <w:rsid w:val="00647D58"/>
    <w:rsid w:val="00647E0E"/>
    <w:rsid w:val="0065160E"/>
    <w:rsid w:val="006516AF"/>
    <w:rsid w:val="006527B0"/>
    <w:rsid w:val="00653321"/>
    <w:rsid w:val="006535E0"/>
    <w:rsid w:val="00653886"/>
    <w:rsid w:val="0065410F"/>
    <w:rsid w:val="00654E4F"/>
    <w:rsid w:val="00655127"/>
    <w:rsid w:val="0065584F"/>
    <w:rsid w:val="00656035"/>
    <w:rsid w:val="0065629B"/>
    <w:rsid w:val="0066009F"/>
    <w:rsid w:val="006602B0"/>
    <w:rsid w:val="00660B04"/>
    <w:rsid w:val="00660C29"/>
    <w:rsid w:val="006614ED"/>
    <w:rsid w:val="00661654"/>
    <w:rsid w:val="0066175C"/>
    <w:rsid w:val="00662649"/>
    <w:rsid w:val="006630C8"/>
    <w:rsid w:val="00663AA7"/>
    <w:rsid w:val="00663B43"/>
    <w:rsid w:val="0066488E"/>
    <w:rsid w:val="00667FEF"/>
    <w:rsid w:val="00670F7D"/>
    <w:rsid w:val="00670FF8"/>
    <w:rsid w:val="00672A83"/>
    <w:rsid w:val="00673146"/>
    <w:rsid w:val="00674518"/>
    <w:rsid w:val="006745D9"/>
    <w:rsid w:val="00674AEB"/>
    <w:rsid w:val="00674B86"/>
    <w:rsid w:val="00675593"/>
    <w:rsid w:val="00675EBC"/>
    <w:rsid w:val="0067619A"/>
    <w:rsid w:val="00676760"/>
    <w:rsid w:val="006771B9"/>
    <w:rsid w:val="006774C2"/>
    <w:rsid w:val="0067759D"/>
    <w:rsid w:val="006777EA"/>
    <w:rsid w:val="00677899"/>
    <w:rsid w:val="0067FF80"/>
    <w:rsid w:val="00681733"/>
    <w:rsid w:val="0068179C"/>
    <w:rsid w:val="0068190E"/>
    <w:rsid w:val="0068284F"/>
    <w:rsid w:val="00682B5A"/>
    <w:rsid w:val="00683733"/>
    <w:rsid w:val="00683C21"/>
    <w:rsid w:val="00684250"/>
    <w:rsid w:val="00685E30"/>
    <w:rsid w:val="00686950"/>
    <w:rsid w:val="00686F73"/>
    <w:rsid w:val="00687173"/>
    <w:rsid w:val="006874FB"/>
    <w:rsid w:val="00687C0A"/>
    <w:rsid w:val="00687EE1"/>
    <w:rsid w:val="00690616"/>
    <w:rsid w:val="00691354"/>
    <w:rsid w:val="00691E53"/>
    <w:rsid w:val="00691EC2"/>
    <w:rsid w:val="006925CB"/>
    <w:rsid w:val="00693974"/>
    <w:rsid w:val="00694031"/>
    <w:rsid w:val="00694295"/>
    <w:rsid w:val="00694374"/>
    <w:rsid w:val="0069533B"/>
    <w:rsid w:val="006961AA"/>
    <w:rsid w:val="006965BC"/>
    <w:rsid w:val="0069734C"/>
    <w:rsid w:val="006A2BAE"/>
    <w:rsid w:val="006A32AB"/>
    <w:rsid w:val="006A3B38"/>
    <w:rsid w:val="006A3E56"/>
    <w:rsid w:val="006A412F"/>
    <w:rsid w:val="006A53C5"/>
    <w:rsid w:val="006A573C"/>
    <w:rsid w:val="006A5A4D"/>
    <w:rsid w:val="006A5A8A"/>
    <w:rsid w:val="006A5D8C"/>
    <w:rsid w:val="006A6590"/>
    <w:rsid w:val="006A67A4"/>
    <w:rsid w:val="006A69A7"/>
    <w:rsid w:val="006A6D07"/>
    <w:rsid w:val="006A6D4A"/>
    <w:rsid w:val="006A72CE"/>
    <w:rsid w:val="006A7516"/>
    <w:rsid w:val="006A7A2C"/>
    <w:rsid w:val="006B275D"/>
    <w:rsid w:val="006B34E1"/>
    <w:rsid w:val="006B4C3D"/>
    <w:rsid w:val="006B5038"/>
    <w:rsid w:val="006B517C"/>
    <w:rsid w:val="006B5805"/>
    <w:rsid w:val="006B62DB"/>
    <w:rsid w:val="006B65FF"/>
    <w:rsid w:val="006B73EF"/>
    <w:rsid w:val="006B790D"/>
    <w:rsid w:val="006C134B"/>
    <w:rsid w:val="006C1D04"/>
    <w:rsid w:val="006C20CE"/>
    <w:rsid w:val="006C22B2"/>
    <w:rsid w:val="006C2663"/>
    <w:rsid w:val="006C3562"/>
    <w:rsid w:val="006C37C6"/>
    <w:rsid w:val="006C3B9B"/>
    <w:rsid w:val="006C722B"/>
    <w:rsid w:val="006C7D02"/>
    <w:rsid w:val="006C7D1F"/>
    <w:rsid w:val="006D0B55"/>
    <w:rsid w:val="006D0D1D"/>
    <w:rsid w:val="006D1396"/>
    <w:rsid w:val="006D1CE9"/>
    <w:rsid w:val="006D31A8"/>
    <w:rsid w:val="006D42FB"/>
    <w:rsid w:val="006D44BC"/>
    <w:rsid w:val="006D4A89"/>
    <w:rsid w:val="006D50D6"/>
    <w:rsid w:val="006D7058"/>
    <w:rsid w:val="006D74F0"/>
    <w:rsid w:val="006E011B"/>
    <w:rsid w:val="006E10F4"/>
    <w:rsid w:val="006E1D43"/>
    <w:rsid w:val="006E2A4D"/>
    <w:rsid w:val="006E3383"/>
    <w:rsid w:val="006E3894"/>
    <w:rsid w:val="006E40F1"/>
    <w:rsid w:val="006E466C"/>
    <w:rsid w:val="006E47B6"/>
    <w:rsid w:val="006E567F"/>
    <w:rsid w:val="006E58D1"/>
    <w:rsid w:val="006E5987"/>
    <w:rsid w:val="006E63E2"/>
    <w:rsid w:val="006E6587"/>
    <w:rsid w:val="006E7572"/>
    <w:rsid w:val="006E795A"/>
    <w:rsid w:val="006E7A2C"/>
    <w:rsid w:val="006F00DF"/>
    <w:rsid w:val="006F069B"/>
    <w:rsid w:val="006F0A97"/>
    <w:rsid w:val="006F0D9C"/>
    <w:rsid w:val="006F12F5"/>
    <w:rsid w:val="006F1518"/>
    <w:rsid w:val="006F1F8A"/>
    <w:rsid w:val="006F2AEB"/>
    <w:rsid w:val="006F2D59"/>
    <w:rsid w:val="006F3AF4"/>
    <w:rsid w:val="006F3C9F"/>
    <w:rsid w:val="006F3CDB"/>
    <w:rsid w:val="006F3CEC"/>
    <w:rsid w:val="006F48A1"/>
    <w:rsid w:val="006F4CEC"/>
    <w:rsid w:val="006F55C4"/>
    <w:rsid w:val="006F59C9"/>
    <w:rsid w:val="006F5D42"/>
    <w:rsid w:val="006F6189"/>
    <w:rsid w:val="006F6AEA"/>
    <w:rsid w:val="006F7C96"/>
    <w:rsid w:val="0070050C"/>
    <w:rsid w:val="0070089C"/>
    <w:rsid w:val="007014D1"/>
    <w:rsid w:val="00701C4B"/>
    <w:rsid w:val="00701E0D"/>
    <w:rsid w:val="00703582"/>
    <w:rsid w:val="00703A67"/>
    <w:rsid w:val="00704CC7"/>
    <w:rsid w:val="00705872"/>
    <w:rsid w:val="00706662"/>
    <w:rsid w:val="00706D56"/>
    <w:rsid w:val="007074A2"/>
    <w:rsid w:val="00710677"/>
    <w:rsid w:val="00710EF4"/>
    <w:rsid w:val="007119C3"/>
    <w:rsid w:val="007123F2"/>
    <w:rsid w:val="007127D1"/>
    <w:rsid w:val="007136DD"/>
    <w:rsid w:val="007143BD"/>
    <w:rsid w:val="00714940"/>
    <w:rsid w:val="00714FCB"/>
    <w:rsid w:val="007154B2"/>
    <w:rsid w:val="00715CC2"/>
    <w:rsid w:val="00716004"/>
    <w:rsid w:val="00716B9E"/>
    <w:rsid w:val="007176AB"/>
    <w:rsid w:val="00720478"/>
    <w:rsid w:val="007204B2"/>
    <w:rsid w:val="00722925"/>
    <w:rsid w:val="00722BFE"/>
    <w:rsid w:val="00723725"/>
    <w:rsid w:val="0072373B"/>
    <w:rsid w:val="00723A9A"/>
    <w:rsid w:val="0072410C"/>
    <w:rsid w:val="0072486A"/>
    <w:rsid w:val="0072673B"/>
    <w:rsid w:val="00726FA2"/>
    <w:rsid w:val="007270CF"/>
    <w:rsid w:val="00727D25"/>
    <w:rsid w:val="007304E3"/>
    <w:rsid w:val="007308A3"/>
    <w:rsid w:val="007309E4"/>
    <w:rsid w:val="00731126"/>
    <w:rsid w:val="007314A0"/>
    <w:rsid w:val="00731756"/>
    <w:rsid w:val="00732F89"/>
    <w:rsid w:val="00733712"/>
    <w:rsid w:val="00734466"/>
    <w:rsid w:val="007348DD"/>
    <w:rsid w:val="007360CC"/>
    <w:rsid w:val="00736A56"/>
    <w:rsid w:val="00737085"/>
    <w:rsid w:val="00737571"/>
    <w:rsid w:val="007377CC"/>
    <w:rsid w:val="00740EAC"/>
    <w:rsid w:val="00741D74"/>
    <w:rsid w:val="00741FDB"/>
    <w:rsid w:val="00742AEB"/>
    <w:rsid w:val="00743964"/>
    <w:rsid w:val="00744093"/>
    <w:rsid w:val="007446F0"/>
    <w:rsid w:val="00744758"/>
    <w:rsid w:val="00745DB2"/>
    <w:rsid w:val="00746699"/>
    <w:rsid w:val="00746880"/>
    <w:rsid w:val="0074696F"/>
    <w:rsid w:val="00746DD4"/>
    <w:rsid w:val="00746F36"/>
    <w:rsid w:val="00747EBD"/>
    <w:rsid w:val="007530DE"/>
    <w:rsid w:val="007533FD"/>
    <w:rsid w:val="007534BA"/>
    <w:rsid w:val="00753780"/>
    <w:rsid w:val="00754881"/>
    <w:rsid w:val="007553E8"/>
    <w:rsid w:val="00755D2F"/>
    <w:rsid w:val="00756A66"/>
    <w:rsid w:val="00756FE5"/>
    <w:rsid w:val="0075738C"/>
    <w:rsid w:val="00757E71"/>
    <w:rsid w:val="00757FAD"/>
    <w:rsid w:val="00760308"/>
    <w:rsid w:val="00762173"/>
    <w:rsid w:val="00762A13"/>
    <w:rsid w:val="00762A48"/>
    <w:rsid w:val="00762F0D"/>
    <w:rsid w:val="00764061"/>
    <w:rsid w:val="007644FD"/>
    <w:rsid w:val="007648DA"/>
    <w:rsid w:val="00766782"/>
    <w:rsid w:val="00766C33"/>
    <w:rsid w:val="00766F1A"/>
    <w:rsid w:val="00771847"/>
    <w:rsid w:val="00771D9A"/>
    <w:rsid w:val="00772E56"/>
    <w:rsid w:val="00774482"/>
    <w:rsid w:val="0077512E"/>
    <w:rsid w:val="0077524B"/>
    <w:rsid w:val="0077596B"/>
    <w:rsid w:val="00775BD4"/>
    <w:rsid w:val="00775E09"/>
    <w:rsid w:val="0077730C"/>
    <w:rsid w:val="00777F6A"/>
    <w:rsid w:val="00777FCD"/>
    <w:rsid w:val="007803E6"/>
    <w:rsid w:val="0078046C"/>
    <w:rsid w:val="00780614"/>
    <w:rsid w:val="007810B4"/>
    <w:rsid w:val="00782052"/>
    <w:rsid w:val="00782429"/>
    <w:rsid w:val="0078400D"/>
    <w:rsid w:val="0078407B"/>
    <w:rsid w:val="00784FF1"/>
    <w:rsid w:val="007854A9"/>
    <w:rsid w:val="00785E26"/>
    <w:rsid w:val="00786796"/>
    <w:rsid w:val="00786A5D"/>
    <w:rsid w:val="00786E54"/>
    <w:rsid w:val="00786E7D"/>
    <w:rsid w:val="00787B4B"/>
    <w:rsid w:val="00787D23"/>
    <w:rsid w:val="007909A8"/>
    <w:rsid w:val="0079143B"/>
    <w:rsid w:val="00791DEE"/>
    <w:rsid w:val="00791FAC"/>
    <w:rsid w:val="00792421"/>
    <w:rsid w:val="007928DA"/>
    <w:rsid w:val="0079332C"/>
    <w:rsid w:val="00793826"/>
    <w:rsid w:val="007940F3"/>
    <w:rsid w:val="007944A2"/>
    <w:rsid w:val="00794B58"/>
    <w:rsid w:val="00794E70"/>
    <w:rsid w:val="0079538C"/>
    <w:rsid w:val="00795911"/>
    <w:rsid w:val="00795E04"/>
    <w:rsid w:val="00795E4E"/>
    <w:rsid w:val="00796CEC"/>
    <w:rsid w:val="00797A0C"/>
    <w:rsid w:val="00797E28"/>
    <w:rsid w:val="007A1730"/>
    <w:rsid w:val="007A19B6"/>
    <w:rsid w:val="007A1CFA"/>
    <w:rsid w:val="007A1D76"/>
    <w:rsid w:val="007A219F"/>
    <w:rsid w:val="007A2BEC"/>
    <w:rsid w:val="007A2C6C"/>
    <w:rsid w:val="007A2D09"/>
    <w:rsid w:val="007A2EAB"/>
    <w:rsid w:val="007A2FCC"/>
    <w:rsid w:val="007A3957"/>
    <w:rsid w:val="007A3D05"/>
    <w:rsid w:val="007A40CC"/>
    <w:rsid w:val="007A68C8"/>
    <w:rsid w:val="007A6B59"/>
    <w:rsid w:val="007A70AD"/>
    <w:rsid w:val="007B0042"/>
    <w:rsid w:val="007B0107"/>
    <w:rsid w:val="007B1738"/>
    <w:rsid w:val="007B17FA"/>
    <w:rsid w:val="007B268D"/>
    <w:rsid w:val="007B2A43"/>
    <w:rsid w:val="007B3888"/>
    <w:rsid w:val="007B44B7"/>
    <w:rsid w:val="007B53EB"/>
    <w:rsid w:val="007B5B22"/>
    <w:rsid w:val="007B5CC1"/>
    <w:rsid w:val="007B6124"/>
    <w:rsid w:val="007B6906"/>
    <w:rsid w:val="007B6DC3"/>
    <w:rsid w:val="007C0229"/>
    <w:rsid w:val="007C06D1"/>
    <w:rsid w:val="007C0A8C"/>
    <w:rsid w:val="007C12C8"/>
    <w:rsid w:val="007C1B31"/>
    <w:rsid w:val="007C1EC3"/>
    <w:rsid w:val="007C2A4C"/>
    <w:rsid w:val="007C2D35"/>
    <w:rsid w:val="007C2F81"/>
    <w:rsid w:val="007C3F8B"/>
    <w:rsid w:val="007C4921"/>
    <w:rsid w:val="007C4981"/>
    <w:rsid w:val="007C4EF4"/>
    <w:rsid w:val="007C505A"/>
    <w:rsid w:val="007C5C64"/>
    <w:rsid w:val="007C5E92"/>
    <w:rsid w:val="007C623A"/>
    <w:rsid w:val="007C68A7"/>
    <w:rsid w:val="007C69A8"/>
    <w:rsid w:val="007C6FDF"/>
    <w:rsid w:val="007D0009"/>
    <w:rsid w:val="007D0292"/>
    <w:rsid w:val="007D03D0"/>
    <w:rsid w:val="007D178A"/>
    <w:rsid w:val="007D18E0"/>
    <w:rsid w:val="007D1AFB"/>
    <w:rsid w:val="007D1FBE"/>
    <w:rsid w:val="007D2247"/>
    <w:rsid w:val="007D3BE9"/>
    <w:rsid w:val="007D4647"/>
    <w:rsid w:val="007D541C"/>
    <w:rsid w:val="007D63F8"/>
    <w:rsid w:val="007D6B8F"/>
    <w:rsid w:val="007D7AF8"/>
    <w:rsid w:val="007E010D"/>
    <w:rsid w:val="007E0379"/>
    <w:rsid w:val="007E0743"/>
    <w:rsid w:val="007E0AAD"/>
    <w:rsid w:val="007E107D"/>
    <w:rsid w:val="007E2349"/>
    <w:rsid w:val="007E272E"/>
    <w:rsid w:val="007E32F4"/>
    <w:rsid w:val="007E38E5"/>
    <w:rsid w:val="007E46B6"/>
    <w:rsid w:val="007E4B0E"/>
    <w:rsid w:val="007E4CFC"/>
    <w:rsid w:val="007E55C7"/>
    <w:rsid w:val="007E5E44"/>
    <w:rsid w:val="007E5F19"/>
    <w:rsid w:val="007E6945"/>
    <w:rsid w:val="007E72A4"/>
    <w:rsid w:val="007E7BA5"/>
    <w:rsid w:val="007E7D47"/>
    <w:rsid w:val="007E7D9F"/>
    <w:rsid w:val="007F0300"/>
    <w:rsid w:val="007F0FEE"/>
    <w:rsid w:val="007F1379"/>
    <w:rsid w:val="007F1706"/>
    <w:rsid w:val="007F1B83"/>
    <w:rsid w:val="007F2BF8"/>
    <w:rsid w:val="007F3266"/>
    <w:rsid w:val="007F3280"/>
    <w:rsid w:val="007F672C"/>
    <w:rsid w:val="007F68B9"/>
    <w:rsid w:val="007F719D"/>
    <w:rsid w:val="007F7237"/>
    <w:rsid w:val="0080014C"/>
    <w:rsid w:val="008001E9"/>
    <w:rsid w:val="00800E92"/>
    <w:rsid w:val="00801022"/>
    <w:rsid w:val="00801027"/>
    <w:rsid w:val="00801471"/>
    <w:rsid w:val="00801894"/>
    <w:rsid w:val="00801BCE"/>
    <w:rsid w:val="008021BF"/>
    <w:rsid w:val="008032BB"/>
    <w:rsid w:val="00804275"/>
    <w:rsid w:val="00804D4B"/>
    <w:rsid w:val="008060C7"/>
    <w:rsid w:val="008060ED"/>
    <w:rsid w:val="0080694F"/>
    <w:rsid w:val="00806ECD"/>
    <w:rsid w:val="00807382"/>
    <w:rsid w:val="00807475"/>
    <w:rsid w:val="008075BF"/>
    <w:rsid w:val="00807642"/>
    <w:rsid w:val="00810E34"/>
    <w:rsid w:val="00811B9A"/>
    <w:rsid w:val="00812927"/>
    <w:rsid w:val="00813B7E"/>
    <w:rsid w:val="00817ADC"/>
    <w:rsid w:val="00817E32"/>
    <w:rsid w:val="00820145"/>
    <w:rsid w:val="0082051B"/>
    <w:rsid w:val="00820BBA"/>
    <w:rsid w:val="00821003"/>
    <w:rsid w:val="0082121F"/>
    <w:rsid w:val="00821746"/>
    <w:rsid w:val="008218CD"/>
    <w:rsid w:val="00821963"/>
    <w:rsid w:val="00821BC3"/>
    <w:rsid w:val="00821DAF"/>
    <w:rsid w:val="00822043"/>
    <w:rsid w:val="00822258"/>
    <w:rsid w:val="00822405"/>
    <w:rsid w:val="008225CC"/>
    <w:rsid w:val="00822B02"/>
    <w:rsid w:val="00822CCC"/>
    <w:rsid w:val="00823067"/>
    <w:rsid w:val="00823166"/>
    <w:rsid w:val="0082339F"/>
    <w:rsid w:val="00823418"/>
    <w:rsid w:val="00823713"/>
    <w:rsid w:val="00823B5B"/>
    <w:rsid w:val="00824843"/>
    <w:rsid w:val="008258F5"/>
    <w:rsid w:val="00825BCF"/>
    <w:rsid w:val="00825C12"/>
    <w:rsid w:val="00825D68"/>
    <w:rsid w:val="008265CB"/>
    <w:rsid w:val="00826626"/>
    <w:rsid w:val="0082775B"/>
    <w:rsid w:val="0082787B"/>
    <w:rsid w:val="00830367"/>
    <w:rsid w:val="00830AE4"/>
    <w:rsid w:val="00831031"/>
    <w:rsid w:val="008315EC"/>
    <w:rsid w:val="008318FC"/>
    <w:rsid w:val="00831C07"/>
    <w:rsid w:val="00832197"/>
    <w:rsid w:val="008324BB"/>
    <w:rsid w:val="0083252B"/>
    <w:rsid w:val="00832617"/>
    <w:rsid w:val="00832943"/>
    <w:rsid w:val="00832AF0"/>
    <w:rsid w:val="00832F2E"/>
    <w:rsid w:val="00833A70"/>
    <w:rsid w:val="00833EFB"/>
    <w:rsid w:val="0083466F"/>
    <w:rsid w:val="00835E0E"/>
    <w:rsid w:val="00835E4A"/>
    <w:rsid w:val="00836DA5"/>
    <w:rsid w:val="00837F50"/>
    <w:rsid w:val="0084029C"/>
    <w:rsid w:val="00840B0C"/>
    <w:rsid w:val="00840C9B"/>
    <w:rsid w:val="00841406"/>
    <w:rsid w:val="008416F3"/>
    <w:rsid w:val="0084170E"/>
    <w:rsid w:val="00841874"/>
    <w:rsid w:val="008418AB"/>
    <w:rsid w:val="0084254D"/>
    <w:rsid w:val="00842974"/>
    <w:rsid w:val="00842BED"/>
    <w:rsid w:val="008436F5"/>
    <w:rsid w:val="00844727"/>
    <w:rsid w:val="0084479B"/>
    <w:rsid w:val="0084496A"/>
    <w:rsid w:val="00844A5F"/>
    <w:rsid w:val="008454C6"/>
    <w:rsid w:val="00845B7F"/>
    <w:rsid w:val="00845E0F"/>
    <w:rsid w:val="00847666"/>
    <w:rsid w:val="00847883"/>
    <w:rsid w:val="00847BB3"/>
    <w:rsid w:val="00847C94"/>
    <w:rsid w:val="0085047B"/>
    <w:rsid w:val="00850AE1"/>
    <w:rsid w:val="00850E0D"/>
    <w:rsid w:val="00851149"/>
    <w:rsid w:val="00852048"/>
    <w:rsid w:val="00852EC7"/>
    <w:rsid w:val="008530FC"/>
    <w:rsid w:val="00853471"/>
    <w:rsid w:val="00853F74"/>
    <w:rsid w:val="00854198"/>
    <w:rsid w:val="00854C1F"/>
    <w:rsid w:val="00854CEA"/>
    <w:rsid w:val="0085553E"/>
    <w:rsid w:val="00855542"/>
    <w:rsid w:val="00855858"/>
    <w:rsid w:val="0085670F"/>
    <w:rsid w:val="00856A36"/>
    <w:rsid w:val="00857E1F"/>
    <w:rsid w:val="00860267"/>
    <w:rsid w:val="0086083F"/>
    <w:rsid w:val="00860F02"/>
    <w:rsid w:val="00861CAF"/>
    <w:rsid w:val="00861E4E"/>
    <w:rsid w:val="00862349"/>
    <w:rsid w:val="00862AEC"/>
    <w:rsid w:val="008631DF"/>
    <w:rsid w:val="0086409F"/>
    <w:rsid w:val="00864E08"/>
    <w:rsid w:val="008650E1"/>
    <w:rsid w:val="008655E7"/>
    <w:rsid w:val="0086567B"/>
    <w:rsid w:val="00865E50"/>
    <w:rsid w:val="00866630"/>
    <w:rsid w:val="00866B5B"/>
    <w:rsid w:val="00866FC9"/>
    <w:rsid w:val="00867EBB"/>
    <w:rsid w:val="00870883"/>
    <w:rsid w:val="00870D1A"/>
    <w:rsid w:val="00870E0B"/>
    <w:rsid w:val="0087153A"/>
    <w:rsid w:val="00872C9E"/>
    <w:rsid w:val="00873312"/>
    <w:rsid w:val="008738C1"/>
    <w:rsid w:val="00873932"/>
    <w:rsid w:val="00873A3E"/>
    <w:rsid w:val="00873EED"/>
    <w:rsid w:val="00873FA7"/>
    <w:rsid w:val="00874EF2"/>
    <w:rsid w:val="00875234"/>
    <w:rsid w:val="008754F2"/>
    <w:rsid w:val="00875FB3"/>
    <w:rsid w:val="008769E3"/>
    <w:rsid w:val="00877E48"/>
    <w:rsid w:val="00877FC1"/>
    <w:rsid w:val="008812CD"/>
    <w:rsid w:val="00881619"/>
    <w:rsid w:val="00881DCA"/>
    <w:rsid w:val="0088278B"/>
    <w:rsid w:val="00882BE3"/>
    <w:rsid w:val="0088324D"/>
    <w:rsid w:val="00883CEB"/>
    <w:rsid w:val="00883DD9"/>
    <w:rsid w:val="00884C0B"/>
    <w:rsid w:val="00885AE1"/>
    <w:rsid w:val="008866EC"/>
    <w:rsid w:val="008869B0"/>
    <w:rsid w:val="00886D48"/>
    <w:rsid w:val="008902AF"/>
    <w:rsid w:val="00891976"/>
    <w:rsid w:val="00892CEB"/>
    <w:rsid w:val="008934EF"/>
    <w:rsid w:val="008947DB"/>
    <w:rsid w:val="00894D88"/>
    <w:rsid w:val="008953A5"/>
    <w:rsid w:val="0089674D"/>
    <w:rsid w:val="008969D5"/>
    <w:rsid w:val="00896A07"/>
    <w:rsid w:val="00897742"/>
    <w:rsid w:val="00897962"/>
    <w:rsid w:val="00897A5E"/>
    <w:rsid w:val="008A06F7"/>
    <w:rsid w:val="008A0C0A"/>
    <w:rsid w:val="008A0F6E"/>
    <w:rsid w:val="008A16D5"/>
    <w:rsid w:val="008A1D48"/>
    <w:rsid w:val="008A2B5A"/>
    <w:rsid w:val="008A313C"/>
    <w:rsid w:val="008A3BFD"/>
    <w:rsid w:val="008A3F61"/>
    <w:rsid w:val="008A4E34"/>
    <w:rsid w:val="008A518F"/>
    <w:rsid w:val="008A5A8C"/>
    <w:rsid w:val="008A6E46"/>
    <w:rsid w:val="008A70AE"/>
    <w:rsid w:val="008B0570"/>
    <w:rsid w:val="008B10C0"/>
    <w:rsid w:val="008B2513"/>
    <w:rsid w:val="008B2DEC"/>
    <w:rsid w:val="008B3321"/>
    <w:rsid w:val="008B3854"/>
    <w:rsid w:val="008B41E7"/>
    <w:rsid w:val="008B4DD0"/>
    <w:rsid w:val="008B55D0"/>
    <w:rsid w:val="008B5AF7"/>
    <w:rsid w:val="008B5C07"/>
    <w:rsid w:val="008B5C5F"/>
    <w:rsid w:val="008B625A"/>
    <w:rsid w:val="008B6391"/>
    <w:rsid w:val="008B693F"/>
    <w:rsid w:val="008B73A7"/>
    <w:rsid w:val="008B73A9"/>
    <w:rsid w:val="008C0461"/>
    <w:rsid w:val="008C04A5"/>
    <w:rsid w:val="008C0E4C"/>
    <w:rsid w:val="008C118E"/>
    <w:rsid w:val="008C14BB"/>
    <w:rsid w:val="008C14E6"/>
    <w:rsid w:val="008C1896"/>
    <w:rsid w:val="008C22D9"/>
    <w:rsid w:val="008C2483"/>
    <w:rsid w:val="008C2A8C"/>
    <w:rsid w:val="008C33C4"/>
    <w:rsid w:val="008C348B"/>
    <w:rsid w:val="008C3BB6"/>
    <w:rsid w:val="008C40FA"/>
    <w:rsid w:val="008C4733"/>
    <w:rsid w:val="008C4ECE"/>
    <w:rsid w:val="008C52B4"/>
    <w:rsid w:val="008C604F"/>
    <w:rsid w:val="008D06CB"/>
    <w:rsid w:val="008D218D"/>
    <w:rsid w:val="008D296D"/>
    <w:rsid w:val="008D551B"/>
    <w:rsid w:val="008D5A6F"/>
    <w:rsid w:val="008D6A1E"/>
    <w:rsid w:val="008D7C80"/>
    <w:rsid w:val="008D7DD1"/>
    <w:rsid w:val="008E0C6C"/>
    <w:rsid w:val="008E0D06"/>
    <w:rsid w:val="008E12C6"/>
    <w:rsid w:val="008E190E"/>
    <w:rsid w:val="008E356C"/>
    <w:rsid w:val="008E3EF1"/>
    <w:rsid w:val="008E54AD"/>
    <w:rsid w:val="008E5911"/>
    <w:rsid w:val="008E5B56"/>
    <w:rsid w:val="008E5D49"/>
    <w:rsid w:val="008E630E"/>
    <w:rsid w:val="008E63CF"/>
    <w:rsid w:val="008E754C"/>
    <w:rsid w:val="008E766E"/>
    <w:rsid w:val="008F060C"/>
    <w:rsid w:val="008F134D"/>
    <w:rsid w:val="008F1560"/>
    <w:rsid w:val="008F1D57"/>
    <w:rsid w:val="008F4974"/>
    <w:rsid w:val="008F4AB9"/>
    <w:rsid w:val="008F7122"/>
    <w:rsid w:val="008F79DD"/>
    <w:rsid w:val="00900861"/>
    <w:rsid w:val="00900C4D"/>
    <w:rsid w:val="0090179B"/>
    <w:rsid w:val="0090241C"/>
    <w:rsid w:val="00902A84"/>
    <w:rsid w:val="00903D77"/>
    <w:rsid w:val="0090408F"/>
    <w:rsid w:val="00904569"/>
    <w:rsid w:val="0090510B"/>
    <w:rsid w:val="00905A2E"/>
    <w:rsid w:val="00905F31"/>
    <w:rsid w:val="00906337"/>
    <w:rsid w:val="00907ACF"/>
    <w:rsid w:val="00911ECC"/>
    <w:rsid w:val="00912AF5"/>
    <w:rsid w:val="00913647"/>
    <w:rsid w:val="00913CB9"/>
    <w:rsid w:val="00914049"/>
    <w:rsid w:val="009153AF"/>
    <w:rsid w:val="0091549C"/>
    <w:rsid w:val="009167AC"/>
    <w:rsid w:val="00916DD6"/>
    <w:rsid w:val="00917AB1"/>
    <w:rsid w:val="009204F0"/>
    <w:rsid w:val="0092069D"/>
    <w:rsid w:val="009207CD"/>
    <w:rsid w:val="00920C3F"/>
    <w:rsid w:val="0092181C"/>
    <w:rsid w:val="00921841"/>
    <w:rsid w:val="00921C44"/>
    <w:rsid w:val="00922918"/>
    <w:rsid w:val="00923CF6"/>
    <w:rsid w:val="00923E08"/>
    <w:rsid w:val="00924785"/>
    <w:rsid w:val="009255C1"/>
    <w:rsid w:val="009256A1"/>
    <w:rsid w:val="00925CF9"/>
    <w:rsid w:val="00925D5F"/>
    <w:rsid w:val="00925FAB"/>
    <w:rsid w:val="009275F1"/>
    <w:rsid w:val="00927BB9"/>
    <w:rsid w:val="009302F6"/>
    <w:rsid w:val="00930DEA"/>
    <w:rsid w:val="00931994"/>
    <w:rsid w:val="009329E7"/>
    <w:rsid w:val="00933461"/>
    <w:rsid w:val="00933652"/>
    <w:rsid w:val="00933893"/>
    <w:rsid w:val="0093408B"/>
    <w:rsid w:val="00934A89"/>
    <w:rsid w:val="00935098"/>
    <w:rsid w:val="009351BB"/>
    <w:rsid w:val="009357D5"/>
    <w:rsid w:val="00935B5E"/>
    <w:rsid w:val="00935CB8"/>
    <w:rsid w:val="00936431"/>
    <w:rsid w:val="0093726F"/>
    <w:rsid w:val="0094175E"/>
    <w:rsid w:val="00941963"/>
    <w:rsid w:val="00942217"/>
    <w:rsid w:val="00943CAC"/>
    <w:rsid w:val="00943D86"/>
    <w:rsid w:val="00945870"/>
    <w:rsid w:val="009458AE"/>
    <w:rsid w:val="009459B3"/>
    <w:rsid w:val="0094600B"/>
    <w:rsid w:val="0094670A"/>
    <w:rsid w:val="00947851"/>
    <w:rsid w:val="00950BA4"/>
    <w:rsid w:val="009520BF"/>
    <w:rsid w:val="00952561"/>
    <w:rsid w:val="00952AF2"/>
    <w:rsid w:val="009545E0"/>
    <w:rsid w:val="009546D3"/>
    <w:rsid w:val="0095485E"/>
    <w:rsid w:val="00954987"/>
    <w:rsid w:val="00954E4D"/>
    <w:rsid w:val="009558EA"/>
    <w:rsid w:val="00955E7A"/>
    <w:rsid w:val="00956CF1"/>
    <w:rsid w:val="00957B08"/>
    <w:rsid w:val="00960616"/>
    <w:rsid w:val="009634F3"/>
    <w:rsid w:val="009639D2"/>
    <w:rsid w:val="00963A88"/>
    <w:rsid w:val="00965B6C"/>
    <w:rsid w:val="00965F7F"/>
    <w:rsid w:val="0096616C"/>
    <w:rsid w:val="009668AE"/>
    <w:rsid w:val="0097058B"/>
    <w:rsid w:val="00970760"/>
    <w:rsid w:val="009710ED"/>
    <w:rsid w:val="00972E0F"/>
    <w:rsid w:val="00973943"/>
    <w:rsid w:val="009746D5"/>
    <w:rsid w:val="00974D15"/>
    <w:rsid w:val="00974ECE"/>
    <w:rsid w:val="009751FB"/>
    <w:rsid w:val="00975F35"/>
    <w:rsid w:val="00976E30"/>
    <w:rsid w:val="00976E37"/>
    <w:rsid w:val="009773CF"/>
    <w:rsid w:val="00977B56"/>
    <w:rsid w:val="00981863"/>
    <w:rsid w:val="009818CA"/>
    <w:rsid w:val="009826CD"/>
    <w:rsid w:val="00983A70"/>
    <w:rsid w:val="00983D79"/>
    <w:rsid w:val="00984067"/>
    <w:rsid w:val="0098410D"/>
    <w:rsid w:val="00984CE7"/>
    <w:rsid w:val="00985FA0"/>
    <w:rsid w:val="00986BF7"/>
    <w:rsid w:val="00986FF9"/>
    <w:rsid w:val="009908F7"/>
    <w:rsid w:val="009909AC"/>
    <w:rsid w:val="00990DD4"/>
    <w:rsid w:val="0099117C"/>
    <w:rsid w:val="00991777"/>
    <w:rsid w:val="009921CD"/>
    <w:rsid w:val="00992748"/>
    <w:rsid w:val="0099287F"/>
    <w:rsid w:val="00992DA2"/>
    <w:rsid w:val="0099377C"/>
    <w:rsid w:val="00993E1B"/>
    <w:rsid w:val="00994512"/>
    <w:rsid w:val="009947E3"/>
    <w:rsid w:val="009951EA"/>
    <w:rsid w:val="00995497"/>
    <w:rsid w:val="00995997"/>
    <w:rsid w:val="00995B7B"/>
    <w:rsid w:val="00996F1E"/>
    <w:rsid w:val="009A14E2"/>
    <w:rsid w:val="009A22F1"/>
    <w:rsid w:val="009A3B7C"/>
    <w:rsid w:val="009A4323"/>
    <w:rsid w:val="009A4714"/>
    <w:rsid w:val="009A4B46"/>
    <w:rsid w:val="009A4F20"/>
    <w:rsid w:val="009A6443"/>
    <w:rsid w:val="009A68B1"/>
    <w:rsid w:val="009A6C0B"/>
    <w:rsid w:val="009A7020"/>
    <w:rsid w:val="009A76FC"/>
    <w:rsid w:val="009A7D3F"/>
    <w:rsid w:val="009B0201"/>
    <w:rsid w:val="009B3C35"/>
    <w:rsid w:val="009B414F"/>
    <w:rsid w:val="009B42CE"/>
    <w:rsid w:val="009B66D2"/>
    <w:rsid w:val="009B6C0C"/>
    <w:rsid w:val="009B6D03"/>
    <w:rsid w:val="009B6FD9"/>
    <w:rsid w:val="009B7297"/>
    <w:rsid w:val="009B798F"/>
    <w:rsid w:val="009B79CC"/>
    <w:rsid w:val="009B7A1F"/>
    <w:rsid w:val="009C1620"/>
    <w:rsid w:val="009C1EEA"/>
    <w:rsid w:val="009C2B58"/>
    <w:rsid w:val="009C3213"/>
    <w:rsid w:val="009C376C"/>
    <w:rsid w:val="009C43EA"/>
    <w:rsid w:val="009C4791"/>
    <w:rsid w:val="009C4808"/>
    <w:rsid w:val="009C499F"/>
    <w:rsid w:val="009C4AE1"/>
    <w:rsid w:val="009C4D92"/>
    <w:rsid w:val="009C524E"/>
    <w:rsid w:val="009C5724"/>
    <w:rsid w:val="009C5813"/>
    <w:rsid w:val="009C63DD"/>
    <w:rsid w:val="009C66E4"/>
    <w:rsid w:val="009D31FD"/>
    <w:rsid w:val="009D4445"/>
    <w:rsid w:val="009D487C"/>
    <w:rsid w:val="009D4DC0"/>
    <w:rsid w:val="009D69D8"/>
    <w:rsid w:val="009D7DD2"/>
    <w:rsid w:val="009E000B"/>
    <w:rsid w:val="009E01A2"/>
    <w:rsid w:val="009E0579"/>
    <w:rsid w:val="009E0684"/>
    <w:rsid w:val="009E0FD2"/>
    <w:rsid w:val="009E1010"/>
    <w:rsid w:val="009E1FCA"/>
    <w:rsid w:val="009E2E00"/>
    <w:rsid w:val="009E2E22"/>
    <w:rsid w:val="009E31D3"/>
    <w:rsid w:val="009E5F42"/>
    <w:rsid w:val="009E6183"/>
    <w:rsid w:val="009E697C"/>
    <w:rsid w:val="009E7310"/>
    <w:rsid w:val="009E787C"/>
    <w:rsid w:val="009F08D2"/>
    <w:rsid w:val="009F1237"/>
    <w:rsid w:val="009F1613"/>
    <w:rsid w:val="009F1690"/>
    <w:rsid w:val="009F1E8F"/>
    <w:rsid w:val="009F1FA3"/>
    <w:rsid w:val="009F2B3E"/>
    <w:rsid w:val="009F2CE1"/>
    <w:rsid w:val="009F2D00"/>
    <w:rsid w:val="009F31CB"/>
    <w:rsid w:val="009F334A"/>
    <w:rsid w:val="009F43A6"/>
    <w:rsid w:val="009F4B85"/>
    <w:rsid w:val="009F5D25"/>
    <w:rsid w:val="009F63CF"/>
    <w:rsid w:val="009F66E1"/>
    <w:rsid w:val="009F70A3"/>
    <w:rsid w:val="009F70FA"/>
    <w:rsid w:val="00A00264"/>
    <w:rsid w:val="00A01DA2"/>
    <w:rsid w:val="00A032A2"/>
    <w:rsid w:val="00A0367D"/>
    <w:rsid w:val="00A0383D"/>
    <w:rsid w:val="00A04FE8"/>
    <w:rsid w:val="00A054C6"/>
    <w:rsid w:val="00A05C60"/>
    <w:rsid w:val="00A05E9E"/>
    <w:rsid w:val="00A06600"/>
    <w:rsid w:val="00A0792D"/>
    <w:rsid w:val="00A07A3F"/>
    <w:rsid w:val="00A07CF6"/>
    <w:rsid w:val="00A11A06"/>
    <w:rsid w:val="00A1211B"/>
    <w:rsid w:val="00A124D1"/>
    <w:rsid w:val="00A13EC4"/>
    <w:rsid w:val="00A14286"/>
    <w:rsid w:val="00A15500"/>
    <w:rsid w:val="00A15657"/>
    <w:rsid w:val="00A15B58"/>
    <w:rsid w:val="00A16843"/>
    <w:rsid w:val="00A16996"/>
    <w:rsid w:val="00A17BA2"/>
    <w:rsid w:val="00A17CE6"/>
    <w:rsid w:val="00A2017F"/>
    <w:rsid w:val="00A211D9"/>
    <w:rsid w:val="00A21D27"/>
    <w:rsid w:val="00A22EFD"/>
    <w:rsid w:val="00A22F1B"/>
    <w:rsid w:val="00A234E1"/>
    <w:rsid w:val="00A23939"/>
    <w:rsid w:val="00A24582"/>
    <w:rsid w:val="00A256A1"/>
    <w:rsid w:val="00A25C87"/>
    <w:rsid w:val="00A26FBD"/>
    <w:rsid w:val="00A273AC"/>
    <w:rsid w:val="00A274F0"/>
    <w:rsid w:val="00A27B69"/>
    <w:rsid w:val="00A27D0B"/>
    <w:rsid w:val="00A27EFB"/>
    <w:rsid w:val="00A30B89"/>
    <w:rsid w:val="00A30C28"/>
    <w:rsid w:val="00A30D4F"/>
    <w:rsid w:val="00A30DBF"/>
    <w:rsid w:val="00A30F08"/>
    <w:rsid w:val="00A31819"/>
    <w:rsid w:val="00A31DE9"/>
    <w:rsid w:val="00A32404"/>
    <w:rsid w:val="00A32438"/>
    <w:rsid w:val="00A32D2A"/>
    <w:rsid w:val="00A3367C"/>
    <w:rsid w:val="00A33729"/>
    <w:rsid w:val="00A356DA"/>
    <w:rsid w:val="00A3648C"/>
    <w:rsid w:val="00A3684E"/>
    <w:rsid w:val="00A368F7"/>
    <w:rsid w:val="00A36AE9"/>
    <w:rsid w:val="00A3736E"/>
    <w:rsid w:val="00A3737D"/>
    <w:rsid w:val="00A37A6C"/>
    <w:rsid w:val="00A4140B"/>
    <w:rsid w:val="00A42118"/>
    <w:rsid w:val="00A42175"/>
    <w:rsid w:val="00A43E3B"/>
    <w:rsid w:val="00A44920"/>
    <w:rsid w:val="00A44B6C"/>
    <w:rsid w:val="00A44F12"/>
    <w:rsid w:val="00A452F9"/>
    <w:rsid w:val="00A45F15"/>
    <w:rsid w:val="00A46134"/>
    <w:rsid w:val="00A4747E"/>
    <w:rsid w:val="00A526E1"/>
    <w:rsid w:val="00A52709"/>
    <w:rsid w:val="00A53F57"/>
    <w:rsid w:val="00A549C3"/>
    <w:rsid w:val="00A54C89"/>
    <w:rsid w:val="00A55944"/>
    <w:rsid w:val="00A559F8"/>
    <w:rsid w:val="00A55D6E"/>
    <w:rsid w:val="00A56198"/>
    <w:rsid w:val="00A562DD"/>
    <w:rsid w:val="00A56518"/>
    <w:rsid w:val="00A576A4"/>
    <w:rsid w:val="00A5789D"/>
    <w:rsid w:val="00A602D7"/>
    <w:rsid w:val="00A60CB2"/>
    <w:rsid w:val="00A60DA0"/>
    <w:rsid w:val="00A61B1B"/>
    <w:rsid w:val="00A62CB4"/>
    <w:rsid w:val="00A63629"/>
    <w:rsid w:val="00A63C2A"/>
    <w:rsid w:val="00A63F55"/>
    <w:rsid w:val="00A641DE"/>
    <w:rsid w:val="00A652D7"/>
    <w:rsid w:val="00A65836"/>
    <w:rsid w:val="00A65A89"/>
    <w:rsid w:val="00A6665E"/>
    <w:rsid w:val="00A671B2"/>
    <w:rsid w:val="00A67248"/>
    <w:rsid w:val="00A700EB"/>
    <w:rsid w:val="00A7047F"/>
    <w:rsid w:val="00A715BA"/>
    <w:rsid w:val="00A7363F"/>
    <w:rsid w:val="00A7443A"/>
    <w:rsid w:val="00A74F5A"/>
    <w:rsid w:val="00A75904"/>
    <w:rsid w:val="00A75A70"/>
    <w:rsid w:val="00A77013"/>
    <w:rsid w:val="00A7728E"/>
    <w:rsid w:val="00A772BF"/>
    <w:rsid w:val="00A8136D"/>
    <w:rsid w:val="00A817A0"/>
    <w:rsid w:val="00A81D0D"/>
    <w:rsid w:val="00A8219A"/>
    <w:rsid w:val="00A82523"/>
    <w:rsid w:val="00A82703"/>
    <w:rsid w:val="00A8290E"/>
    <w:rsid w:val="00A84E5A"/>
    <w:rsid w:val="00A851ED"/>
    <w:rsid w:val="00A8571C"/>
    <w:rsid w:val="00A85878"/>
    <w:rsid w:val="00A85D7F"/>
    <w:rsid w:val="00A8697D"/>
    <w:rsid w:val="00A87474"/>
    <w:rsid w:val="00A87A5A"/>
    <w:rsid w:val="00A87B05"/>
    <w:rsid w:val="00A909D3"/>
    <w:rsid w:val="00A91154"/>
    <w:rsid w:val="00A91485"/>
    <w:rsid w:val="00A92CD2"/>
    <w:rsid w:val="00A94057"/>
    <w:rsid w:val="00A94CC6"/>
    <w:rsid w:val="00A94F89"/>
    <w:rsid w:val="00A96865"/>
    <w:rsid w:val="00A97354"/>
    <w:rsid w:val="00AA0140"/>
    <w:rsid w:val="00AA1C5A"/>
    <w:rsid w:val="00AA20E5"/>
    <w:rsid w:val="00AA2C9A"/>
    <w:rsid w:val="00AA2F92"/>
    <w:rsid w:val="00AA3438"/>
    <w:rsid w:val="00AA3574"/>
    <w:rsid w:val="00AA4C9B"/>
    <w:rsid w:val="00AA4FB3"/>
    <w:rsid w:val="00AA52A8"/>
    <w:rsid w:val="00AA532D"/>
    <w:rsid w:val="00AA5403"/>
    <w:rsid w:val="00AA554C"/>
    <w:rsid w:val="00AA5AE2"/>
    <w:rsid w:val="00AA61F6"/>
    <w:rsid w:val="00AA6CFE"/>
    <w:rsid w:val="00AA7434"/>
    <w:rsid w:val="00AA74F5"/>
    <w:rsid w:val="00AB00A2"/>
    <w:rsid w:val="00AB09C5"/>
    <w:rsid w:val="00AB0B8F"/>
    <w:rsid w:val="00AB20F8"/>
    <w:rsid w:val="00AB3B60"/>
    <w:rsid w:val="00AB3BD6"/>
    <w:rsid w:val="00AB4022"/>
    <w:rsid w:val="00AB4782"/>
    <w:rsid w:val="00AB4969"/>
    <w:rsid w:val="00AB4A0D"/>
    <w:rsid w:val="00AB4D75"/>
    <w:rsid w:val="00AB4E2F"/>
    <w:rsid w:val="00AB50B3"/>
    <w:rsid w:val="00AB5438"/>
    <w:rsid w:val="00AB54CE"/>
    <w:rsid w:val="00AB5B25"/>
    <w:rsid w:val="00AB5E85"/>
    <w:rsid w:val="00AB6FE4"/>
    <w:rsid w:val="00AB7711"/>
    <w:rsid w:val="00AB7DEF"/>
    <w:rsid w:val="00AC080A"/>
    <w:rsid w:val="00AC0C41"/>
    <w:rsid w:val="00AC0C58"/>
    <w:rsid w:val="00AC0D2D"/>
    <w:rsid w:val="00AC12E2"/>
    <w:rsid w:val="00AC1D78"/>
    <w:rsid w:val="00AC2456"/>
    <w:rsid w:val="00AC2557"/>
    <w:rsid w:val="00AC31AE"/>
    <w:rsid w:val="00AC32E7"/>
    <w:rsid w:val="00AC34EB"/>
    <w:rsid w:val="00AC35C5"/>
    <w:rsid w:val="00AC3693"/>
    <w:rsid w:val="00AC4ED6"/>
    <w:rsid w:val="00AC4F3B"/>
    <w:rsid w:val="00AC57F8"/>
    <w:rsid w:val="00AC621B"/>
    <w:rsid w:val="00AC64A7"/>
    <w:rsid w:val="00AC667C"/>
    <w:rsid w:val="00AC6D07"/>
    <w:rsid w:val="00AC6EF3"/>
    <w:rsid w:val="00AC6F37"/>
    <w:rsid w:val="00AC72B6"/>
    <w:rsid w:val="00AD003A"/>
    <w:rsid w:val="00AD0453"/>
    <w:rsid w:val="00AD156B"/>
    <w:rsid w:val="00AD1AA8"/>
    <w:rsid w:val="00AD1C5A"/>
    <w:rsid w:val="00AD49AE"/>
    <w:rsid w:val="00AD4D82"/>
    <w:rsid w:val="00AD5184"/>
    <w:rsid w:val="00AD5484"/>
    <w:rsid w:val="00AD54B1"/>
    <w:rsid w:val="00AD60DE"/>
    <w:rsid w:val="00AD6166"/>
    <w:rsid w:val="00AD65EF"/>
    <w:rsid w:val="00AD6DC5"/>
    <w:rsid w:val="00AD76D2"/>
    <w:rsid w:val="00AE0A9F"/>
    <w:rsid w:val="00AE15DC"/>
    <w:rsid w:val="00AE1BE5"/>
    <w:rsid w:val="00AE237B"/>
    <w:rsid w:val="00AE267F"/>
    <w:rsid w:val="00AE400E"/>
    <w:rsid w:val="00AE44E1"/>
    <w:rsid w:val="00AE491B"/>
    <w:rsid w:val="00AE51B8"/>
    <w:rsid w:val="00AE5851"/>
    <w:rsid w:val="00AE5D8F"/>
    <w:rsid w:val="00AE652A"/>
    <w:rsid w:val="00AE705B"/>
    <w:rsid w:val="00AE708B"/>
    <w:rsid w:val="00AF0218"/>
    <w:rsid w:val="00AF0564"/>
    <w:rsid w:val="00AF05FF"/>
    <w:rsid w:val="00AF08B2"/>
    <w:rsid w:val="00AF12A9"/>
    <w:rsid w:val="00AF1336"/>
    <w:rsid w:val="00AF20FD"/>
    <w:rsid w:val="00AF3482"/>
    <w:rsid w:val="00AF4A1A"/>
    <w:rsid w:val="00AF4E69"/>
    <w:rsid w:val="00AF4F9D"/>
    <w:rsid w:val="00AF5A58"/>
    <w:rsid w:val="00AF6513"/>
    <w:rsid w:val="00AF67A1"/>
    <w:rsid w:val="00AF6E33"/>
    <w:rsid w:val="00AF6EAE"/>
    <w:rsid w:val="00AF6F53"/>
    <w:rsid w:val="00AF7017"/>
    <w:rsid w:val="00AF72D8"/>
    <w:rsid w:val="00AF7494"/>
    <w:rsid w:val="00AF7B20"/>
    <w:rsid w:val="00B00086"/>
    <w:rsid w:val="00B013A2"/>
    <w:rsid w:val="00B01F9E"/>
    <w:rsid w:val="00B02949"/>
    <w:rsid w:val="00B03AC0"/>
    <w:rsid w:val="00B041CA"/>
    <w:rsid w:val="00B048DE"/>
    <w:rsid w:val="00B04B17"/>
    <w:rsid w:val="00B04BC2"/>
    <w:rsid w:val="00B052A4"/>
    <w:rsid w:val="00B05636"/>
    <w:rsid w:val="00B06D52"/>
    <w:rsid w:val="00B070DB"/>
    <w:rsid w:val="00B07347"/>
    <w:rsid w:val="00B074A6"/>
    <w:rsid w:val="00B07B70"/>
    <w:rsid w:val="00B10595"/>
    <w:rsid w:val="00B114FD"/>
    <w:rsid w:val="00B116A7"/>
    <w:rsid w:val="00B11F79"/>
    <w:rsid w:val="00B129BC"/>
    <w:rsid w:val="00B1350D"/>
    <w:rsid w:val="00B13E69"/>
    <w:rsid w:val="00B13F2F"/>
    <w:rsid w:val="00B1424E"/>
    <w:rsid w:val="00B14675"/>
    <w:rsid w:val="00B162F7"/>
    <w:rsid w:val="00B1655D"/>
    <w:rsid w:val="00B1747D"/>
    <w:rsid w:val="00B20341"/>
    <w:rsid w:val="00B2086A"/>
    <w:rsid w:val="00B2153F"/>
    <w:rsid w:val="00B21B34"/>
    <w:rsid w:val="00B21D63"/>
    <w:rsid w:val="00B22249"/>
    <w:rsid w:val="00B228E3"/>
    <w:rsid w:val="00B230E2"/>
    <w:rsid w:val="00B23D19"/>
    <w:rsid w:val="00B23FBC"/>
    <w:rsid w:val="00B24993"/>
    <w:rsid w:val="00B24AB9"/>
    <w:rsid w:val="00B25FA7"/>
    <w:rsid w:val="00B26F65"/>
    <w:rsid w:val="00B2785F"/>
    <w:rsid w:val="00B27993"/>
    <w:rsid w:val="00B27AC7"/>
    <w:rsid w:val="00B3009D"/>
    <w:rsid w:val="00B30A37"/>
    <w:rsid w:val="00B30BF6"/>
    <w:rsid w:val="00B30EF8"/>
    <w:rsid w:val="00B31B77"/>
    <w:rsid w:val="00B31D33"/>
    <w:rsid w:val="00B32D3A"/>
    <w:rsid w:val="00B3366C"/>
    <w:rsid w:val="00B33B7C"/>
    <w:rsid w:val="00B33FA0"/>
    <w:rsid w:val="00B341FD"/>
    <w:rsid w:val="00B34306"/>
    <w:rsid w:val="00B34935"/>
    <w:rsid w:val="00B34B27"/>
    <w:rsid w:val="00B35283"/>
    <w:rsid w:val="00B35487"/>
    <w:rsid w:val="00B35759"/>
    <w:rsid w:val="00B36116"/>
    <w:rsid w:val="00B366A5"/>
    <w:rsid w:val="00B375D5"/>
    <w:rsid w:val="00B40852"/>
    <w:rsid w:val="00B40900"/>
    <w:rsid w:val="00B40DC6"/>
    <w:rsid w:val="00B41164"/>
    <w:rsid w:val="00B42932"/>
    <w:rsid w:val="00B42D8E"/>
    <w:rsid w:val="00B4396D"/>
    <w:rsid w:val="00B4416A"/>
    <w:rsid w:val="00B45E02"/>
    <w:rsid w:val="00B4676E"/>
    <w:rsid w:val="00B46FF2"/>
    <w:rsid w:val="00B471CE"/>
    <w:rsid w:val="00B47B2C"/>
    <w:rsid w:val="00B47BB3"/>
    <w:rsid w:val="00B50297"/>
    <w:rsid w:val="00B50937"/>
    <w:rsid w:val="00B509B1"/>
    <w:rsid w:val="00B509FB"/>
    <w:rsid w:val="00B51A30"/>
    <w:rsid w:val="00B51E51"/>
    <w:rsid w:val="00B52B04"/>
    <w:rsid w:val="00B53B32"/>
    <w:rsid w:val="00B53D7C"/>
    <w:rsid w:val="00B53DA1"/>
    <w:rsid w:val="00B54AEF"/>
    <w:rsid w:val="00B55311"/>
    <w:rsid w:val="00B557BD"/>
    <w:rsid w:val="00B56076"/>
    <w:rsid w:val="00B574AA"/>
    <w:rsid w:val="00B57F5A"/>
    <w:rsid w:val="00B60406"/>
    <w:rsid w:val="00B606D2"/>
    <w:rsid w:val="00B607CC"/>
    <w:rsid w:val="00B61845"/>
    <w:rsid w:val="00B6265A"/>
    <w:rsid w:val="00B62B23"/>
    <w:rsid w:val="00B62CB1"/>
    <w:rsid w:val="00B65A97"/>
    <w:rsid w:val="00B66447"/>
    <w:rsid w:val="00B66C74"/>
    <w:rsid w:val="00B66EDE"/>
    <w:rsid w:val="00B67E99"/>
    <w:rsid w:val="00B70194"/>
    <w:rsid w:val="00B70639"/>
    <w:rsid w:val="00B7098D"/>
    <w:rsid w:val="00B7191E"/>
    <w:rsid w:val="00B72C94"/>
    <w:rsid w:val="00B7417B"/>
    <w:rsid w:val="00B74785"/>
    <w:rsid w:val="00B74B3D"/>
    <w:rsid w:val="00B763FC"/>
    <w:rsid w:val="00B7663D"/>
    <w:rsid w:val="00B767A5"/>
    <w:rsid w:val="00B76CC5"/>
    <w:rsid w:val="00B76EEB"/>
    <w:rsid w:val="00B779D1"/>
    <w:rsid w:val="00B8013A"/>
    <w:rsid w:val="00B80237"/>
    <w:rsid w:val="00B805E7"/>
    <w:rsid w:val="00B807BF"/>
    <w:rsid w:val="00B819D8"/>
    <w:rsid w:val="00B81C32"/>
    <w:rsid w:val="00B81CDF"/>
    <w:rsid w:val="00B81E12"/>
    <w:rsid w:val="00B82037"/>
    <w:rsid w:val="00B82505"/>
    <w:rsid w:val="00B82C5F"/>
    <w:rsid w:val="00B83B3E"/>
    <w:rsid w:val="00B84631"/>
    <w:rsid w:val="00B86879"/>
    <w:rsid w:val="00B86BD6"/>
    <w:rsid w:val="00B872FB"/>
    <w:rsid w:val="00B874CC"/>
    <w:rsid w:val="00B876E7"/>
    <w:rsid w:val="00B87D4A"/>
    <w:rsid w:val="00B9027D"/>
    <w:rsid w:val="00B912B2"/>
    <w:rsid w:val="00B9198B"/>
    <w:rsid w:val="00B91A18"/>
    <w:rsid w:val="00B93070"/>
    <w:rsid w:val="00B9378C"/>
    <w:rsid w:val="00B93F67"/>
    <w:rsid w:val="00B9440E"/>
    <w:rsid w:val="00B944BA"/>
    <w:rsid w:val="00B94818"/>
    <w:rsid w:val="00B94BBE"/>
    <w:rsid w:val="00B9563A"/>
    <w:rsid w:val="00B96160"/>
    <w:rsid w:val="00B97043"/>
    <w:rsid w:val="00B97D9A"/>
    <w:rsid w:val="00BA029B"/>
    <w:rsid w:val="00BA124C"/>
    <w:rsid w:val="00BA1FF4"/>
    <w:rsid w:val="00BA23C7"/>
    <w:rsid w:val="00BA2A1B"/>
    <w:rsid w:val="00BA373F"/>
    <w:rsid w:val="00BA40F8"/>
    <w:rsid w:val="00BA5281"/>
    <w:rsid w:val="00BA53C8"/>
    <w:rsid w:val="00BA5657"/>
    <w:rsid w:val="00BA5882"/>
    <w:rsid w:val="00BA6485"/>
    <w:rsid w:val="00BA722B"/>
    <w:rsid w:val="00BA759A"/>
    <w:rsid w:val="00BA7816"/>
    <w:rsid w:val="00BB0131"/>
    <w:rsid w:val="00BB020F"/>
    <w:rsid w:val="00BB0211"/>
    <w:rsid w:val="00BB17B2"/>
    <w:rsid w:val="00BB2518"/>
    <w:rsid w:val="00BB273A"/>
    <w:rsid w:val="00BB2BDF"/>
    <w:rsid w:val="00BB2CEF"/>
    <w:rsid w:val="00BB3B12"/>
    <w:rsid w:val="00BB3BAD"/>
    <w:rsid w:val="00BB3F9A"/>
    <w:rsid w:val="00BB4038"/>
    <w:rsid w:val="00BB4EFB"/>
    <w:rsid w:val="00BB53EF"/>
    <w:rsid w:val="00BB5BD6"/>
    <w:rsid w:val="00BB6886"/>
    <w:rsid w:val="00BB6CDB"/>
    <w:rsid w:val="00BB794A"/>
    <w:rsid w:val="00BB7F5E"/>
    <w:rsid w:val="00BBFEBB"/>
    <w:rsid w:val="00BC0411"/>
    <w:rsid w:val="00BC045E"/>
    <w:rsid w:val="00BC11DB"/>
    <w:rsid w:val="00BC125C"/>
    <w:rsid w:val="00BC1764"/>
    <w:rsid w:val="00BC17A8"/>
    <w:rsid w:val="00BC1C1D"/>
    <w:rsid w:val="00BC2B47"/>
    <w:rsid w:val="00BC4808"/>
    <w:rsid w:val="00BC4A2C"/>
    <w:rsid w:val="00BC5CDE"/>
    <w:rsid w:val="00BC5FD1"/>
    <w:rsid w:val="00BD027B"/>
    <w:rsid w:val="00BD0971"/>
    <w:rsid w:val="00BD0C21"/>
    <w:rsid w:val="00BD1C08"/>
    <w:rsid w:val="00BD255D"/>
    <w:rsid w:val="00BD3552"/>
    <w:rsid w:val="00BD3790"/>
    <w:rsid w:val="00BD391D"/>
    <w:rsid w:val="00BD476B"/>
    <w:rsid w:val="00BD5200"/>
    <w:rsid w:val="00BD5539"/>
    <w:rsid w:val="00BD57CB"/>
    <w:rsid w:val="00BD5E94"/>
    <w:rsid w:val="00BD6B09"/>
    <w:rsid w:val="00BD6F7F"/>
    <w:rsid w:val="00BD6FB7"/>
    <w:rsid w:val="00BD7798"/>
    <w:rsid w:val="00BD77B0"/>
    <w:rsid w:val="00BD7CCD"/>
    <w:rsid w:val="00BD7D2E"/>
    <w:rsid w:val="00BE0607"/>
    <w:rsid w:val="00BE0AEC"/>
    <w:rsid w:val="00BE100B"/>
    <w:rsid w:val="00BE28D6"/>
    <w:rsid w:val="00BE2969"/>
    <w:rsid w:val="00BE2B1F"/>
    <w:rsid w:val="00BE2E7C"/>
    <w:rsid w:val="00BE2F02"/>
    <w:rsid w:val="00BE3071"/>
    <w:rsid w:val="00BE4699"/>
    <w:rsid w:val="00BE47B7"/>
    <w:rsid w:val="00BE5014"/>
    <w:rsid w:val="00BE6D9F"/>
    <w:rsid w:val="00BE7569"/>
    <w:rsid w:val="00BE7BE6"/>
    <w:rsid w:val="00BF02C4"/>
    <w:rsid w:val="00BF09D1"/>
    <w:rsid w:val="00BF0BFE"/>
    <w:rsid w:val="00BF194E"/>
    <w:rsid w:val="00BF1B27"/>
    <w:rsid w:val="00BF1C44"/>
    <w:rsid w:val="00BF1FF0"/>
    <w:rsid w:val="00BF29D1"/>
    <w:rsid w:val="00BF2DEF"/>
    <w:rsid w:val="00BF2E2E"/>
    <w:rsid w:val="00BF396C"/>
    <w:rsid w:val="00BF39C1"/>
    <w:rsid w:val="00BF39F0"/>
    <w:rsid w:val="00BF3BCC"/>
    <w:rsid w:val="00BF3C56"/>
    <w:rsid w:val="00BF4F94"/>
    <w:rsid w:val="00BF5463"/>
    <w:rsid w:val="00BF5798"/>
    <w:rsid w:val="00BF5816"/>
    <w:rsid w:val="00BF5D5E"/>
    <w:rsid w:val="00BF5FEA"/>
    <w:rsid w:val="00BF6650"/>
    <w:rsid w:val="00BF6BE5"/>
    <w:rsid w:val="00BF6FBD"/>
    <w:rsid w:val="00BF7193"/>
    <w:rsid w:val="00BF7AEA"/>
    <w:rsid w:val="00BF7E85"/>
    <w:rsid w:val="00C0023E"/>
    <w:rsid w:val="00C00627"/>
    <w:rsid w:val="00C01212"/>
    <w:rsid w:val="00C01EC1"/>
    <w:rsid w:val="00C025A7"/>
    <w:rsid w:val="00C02DD3"/>
    <w:rsid w:val="00C046DC"/>
    <w:rsid w:val="00C05929"/>
    <w:rsid w:val="00C062FE"/>
    <w:rsid w:val="00C0667E"/>
    <w:rsid w:val="00C068E9"/>
    <w:rsid w:val="00C06FC3"/>
    <w:rsid w:val="00C07D86"/>
    <w:rsid w:val="00C119E4"/>
    <w:rsid w:val="00C1235D"/>
    <w:rsid w:val="00C12EAA"/>
    <w:rsid w:val="00C12F66"/>
    <w:rsid w:val="00C13632"/>
    <w:rsid w:val="00C137C0"/>
    <w:rsid w:val="00C1383F"/>
    <w:rsid w:val="00C13E8A"/>
    <w:rsid w:val="00C158DF"/>
    <w:rsid w:val="00C15A7A"/>
    <w:rsid w:val="00C168B6"/>
    <w:rsid w:val="00C1698E"/>
    <w:rsid w:val="00C16ACF"/>
    <w:rsid w:val="00C174C4"/>
    <w:rsid w:val="00C17519"/>
    <w:rsid w:val="00C1763B"/>
    <w:rsid w:val="00C21B70"/>
    <w:rsid w:val="00C21D00"/>
    <w:rsid w:val="00C21E16"/>
    <w:rsid w:val="00C22D87"/>
    <w:rsid w:val="00C22FD9"/>
    <w:rsid w:val="00C24935"/>
    <w:rsid w:val="00C24DBE"/>
    <w:rsid w:val="00C25F95"/>
    <w:rsid w:val="00C26386"/>
    <w:rsid w:val="00C2671A"/>
    <w:rsid w:val="00C26CA5"/>
    <w:rsid w:val="00C30A04"/>
    <w:rsid w:val="00C3211E"/>
    <w:rsid w:val="00C3216C"/>
    <w:rsid w:val="00C322D1"/>
    <w:rsid w:val="00C3284E"/>
    <w:rsid w:val="00C32C48"/>
    <w:rsid w:val="00C32C8C"/>
    <w:rsid w:val="00C33659"/>
    <w:rsid w:val="00C342DE"/>
    <w:rsid w:val="00C34839"/>
    <w:rsid w:val="00C35024"/>
    <w:rsid w:val="00C35044"/>
    <w:rsid w:val="00C353C7"/>
    <w:rsid w:val="00C36873"/>
    <w:rsid w:val="00C36990"/>
    <w:rsid w:val="00C3755E"/>
    <w:rsid w:val="00C37FF0"/>
    <w:rsid w:val="00C40004"/>
    <w:rsid w:val="00C40389"/>
    <w:rsid w:val="00C40A38"/>
    <w:rsid w:val="00C40CF2"/>
    <w:rsid w:val="00C40E2C"/>
    <w:rsid w:val="00C41B93"/>
    <w:rsid w:val="00C4205A"/>
    <w:rsid w:val="00C4248B"/>
    <w:rsid w:val="00C425F2"/>
    <w:rsid w:val="00C42F8C"/>
    <w:rsid w:val="00C437FE"/>
    <w:rsid w:val="00C440FD"/>
    <w:rsid w:val="00C461F6"/>
    <w:rsid w:val="00C464FD"/>
    <w:rsid w:val="00C46D6C"/>
    <w:rsid w:val="00C4777F"/>
    <w:rsid w:val="00C51666"/>
    <w:rsid w:val="00C517C5"/>
    <w:rsid w:val="00C51832"/>
    <w:rsid w:val="00C52096"/>
    <w:rsid w:val="00C523D2"/>
    <w:rsid w:val="00C52D26"/>
    <w:rsid w:val="00C5359E"/>
    <w:rsid w:val="00C536C6"/>
    <w:rsid w:val="00C539C6"/>
    <w:rsid w:val="00C53AB3"/>
    <w:rsid w:val="00C53B20"/>
    <w:rsid w:val="00C53FA9"/>
    <w:rsid w:val="00C54062"/>
    <w:rsid w:val="00C55244"/>
    <w:rsid w:val="00C55A4F"/>
    <w:rsid w:val="00C5658B"/>
    <w:rsid w:val="00C56E29"/>
    <w:rsid w:val="00C56E9D"/>
    <w:rsid w:val="00C57360"/>
    <w:rsid w:val="00C57D8C"/>
    <w:rsid w:val="00C57F4D"/>
    <w:rsid w:val="00C6084B"/>
    <w:rsid w:val="00C60C18"/>
    <w:rsid w:val="00C6162D"/>
    <w:rsid w:val="00C623A1"/>
    <w:rsid w:val="00C62D81"/>
    <w:rsid w:val="00C64485"/>
    <w:rsid w:val="00C64532"/>
    <w:rsid w:val="00C6453C"/>
    <w:rsid w:val="00C6483E"/>
    <w:rsid w:val="00C64BAF"/>
    <w:rsid w:val="00C64EE1"/>
    <w:rsid w:val="00C66198"/>
    <w:rsid w:val="00C662EC"/>
    <w:rsid w:val="00C6654A"/>
    <w:rsid w:val="00C676B5"/>
    <w:rsid w:val="00C677A6"/>
    <w:rsid w:val="00C67AC9"/>
    <w:rsid w:val="00C67B08"/>
    <w:rsid w:val="00C70023"/>
    <w:rsid w:val="00C70621"/>
    <w:rsid w:val="00C71EA6"/>
    <w:rsid w:val="00C723C3"/>
    <w:rsid w:val="00C726BA"/>
    <w:rsid w:val="00C74B20"/>
    <w:rsid w:val="00C7558B"/>
    <w:rsid w:val="00C75BE1"/>
    <w:rsid w:val="00C75E27"/>
    <w:rsid w:val="00C75F58"/>
    <w:rsid w:val="00C764D4"/>
    <w:rsid w:val="00C8004F"/>
    <w:rsid w:val="00C817D3"/>
    <w:rsid w:val="00C82CD8"/>
    <w:rsid w:val="00C82E0F"/>
    <w:rsid w:val="00C83853"/>
    <w:rsid w:val="00C83A16"/>
    <w:rsid w:val="00C83B9B"/>
    <w:rsid w:val="00C84078"/>
    <w:rsid w:val="00C854AE"/>
    <w:rsid w:val="00C85894"/>
    <w:rsid w:val="00C8589E"/>
    <w:rsid w:val="00C87AC7"/>
    <w:rsid w:val="00C905F5"/>
    <w:rsid w:val="00C90EC8"/>
    <w:rsid w:val="00C91841"/>
    <w:rsid w:val="00C922F2"/>
    <w:rsid w:val="00C92B7B"/>
    <w:rsid w:val="00C92CBD"/>
    <w:rsid w:val="00C92F85"/>
    <w:rsid w:val="00C93D84"/>
    <w:rsid w:val="00C94A2B"/>
    <w:rsid w:val="00C95835"/>
    <w:rsid w:val="00C96359"/>
    <w:rsid w:val="00C966E7"/>
    <w:rsid w:val="00C968B1"/>
    <w:rsid w:val="00C96A4F"/>
    <w:rsid w:val="00C9736E"/>
    <w:rsid w:val="00C974ED"/>
    <w:rsid w:val="00C97570"/>
    <w:rsid w:val="00C97766"/>
    <w:rsid w:val="00C9784B"/>
    <w:rsid w:val="00C97A08"/>
    <w:rsid w:val="00C97B99"/>
    <w:rsid w:val="00C97C94"/>
    <w:rsid w:val="00CA04DF"/>
    <w:rsid w:val="00CA1F2A"/>
    <w:rsid w:val="00CA1F2D"/>
    <w:rsid w:val="00CA2D10"/>
    <w:rsid w:val="00CA36C3"/>
    <w:rsid w:val="00CA38E3"/>
    <w:rsid w:val="00CA39FF"/>
    <w:rsid w:val="00CA3AE6"/>
    <w:rsid w:val="00CA4C30"/>
    <w:rsid w:val="00CA5751"/>
    <w:rsid w:val="00CA5D2B"/>
    <w:rsid w:val="00CA7654"/>
    <w:rsid w:val="00CA7928"/>
    <w:rsid w:val="00CA7DD9"/>
    <w:rsid w:val="00CB075B"/>
    <w:rsid w:val="00CB0BAA"/>
    <w:rsid w:val="00CB0CA1"/>
    <w:rsid w:val="00CB1213"/>
    <w:rsid w:val="00CB12E9"/>
    <w:rsid w:val="00CB1A8E"/>
    <w:rsid w:val="00CB1DAE"/>
    <w:rsid w:val="00CB1FE8"/>
    <w:rsid w:val="00CB2084"/>
    <w:rsid w:val="00CB2376"/>
    <w:rsid w:val="00CB278F"/>
    <w:rsid w:val="00CB2900"/>
    <w:rsid w:val="00CB3168"/>
    <w:rsid w:val="00CB36D9"/>
    <w:rsid w:val="00CB3C02"/>
    <w:rsid w:val="00CB3D0A"/>
    <w:rsid w:val="00CB4403"/>
    <w:rsid w:val="00CB4B8C"/>
    <w:rsid w:val="00CB4BDF"/>
    <w:rsid w:val="00CB51DA"/>
    <w:rsid w:val="00CB5E8A"/>
    <w:rsid w:val="00CB6D3B"/>
    <w:rsid w:val="00CB7083"/>
    <w:rsid w:val="00CB7ADD"/>
    <w:rsid w:val="00CC030C"/>
    <w:rsid w:val="00CC0ACD"/>
    <w:rsid w:val="00CC0B66"/>
    <w:rsid w:val="00CC0CD1"/>
    <w:rsid w:val="00CC0FC4"/>
    <w:rsid w:val="00CC12BB"/>
    <w:rsid w:val="00CC15C3"/>
    <w:rsid w:val="00CC2063"/>
    <w:rsid w:val="00CC20F8"/>
    <w:rsid w:val="00CC2F79"/>
    <w:rsid w:val="00CC36F5"/>
    <w:rsid w:val="00CC380C"/>
    <w:rsid w:val="00CC3939"/>
    <w:rsid w:val="00CC39A6"/>
    <w:rsid w:val="00CC3D37"/>
    <w:rsid w:val="00CC4447"/>
    <w:rsid w:val="00CC4598"/>
    <w:rsid w:val="00CC4DE7"/>
    <w:rsid w:val="00CC5C9B"/>
    <w:rsid w:val="00CC616F"/>
    <w:rsid w:val="00CC623E"/>
    <w:rsid w:val="00CC64CB"/>
    <w:rsid w:val="00CC7124"/>
    <w:rsid w:val="00CC7E75"/>
    <w:rsid w:val="00CC9AF3"/>
    <w:rsid w:val="00CD14AF"/>
    <w:rsid w:val="00CD183A"/>
    <w:rsid w:val="00CD19C2"/>
    <w:rsid w:val="00CD2F50"/>
    <w:rsid w:val="00CD3C6D"/>
    <w:rsid w:val="00CD467F"/>
    <w:rsid w:val="00CD4E07"/>
    <w:rsid w:val="00CD5A0D"/>
    <w:rsid w:val="00CD5FEB"/>
    <w:rsid w:val="00CD72B6"/>
    <w:rsid w:val="00CD7FC2"/>
    <w:rsid w:val="00CE01F4"/>
    <w:rsid w:val="00CE03CA"/>
    <w:rsid w:val="00CE1E7A"/>
    <w:rsid w:val="00CE2279"/>
    <w:rsid w:val="00CE2A67"/>
    <w:rsid w:val="00CE2ECA"/>
    <w:rsid w:val="00CE31B2"/>
    <w:rsid w:val="00CE4E9E"/>
    <w:rsid w:val="00CE532C"/>
    <w:rsid w:val="00CE5957"/>
    <w:rsid w:val="00CE59E0"/>
    <w:rsid w:val="00CE61DE"/>
    <w:rsid w:val="00CE6DE8"/>
    <w:rsid w:val="00CE6E74"/>
    <w:rsid w:val="00CE6FF4"/>
    <w:rsid w:val="00CE7207"/>
    <w:rsid w:val="00CE75EB"/>
    <w:rsid w:val="00CE75F9"/>
    <w:rsid w:val="00CE79BB"/>
    <w:rsid w:val="00CF0339"/>
    <w:rsid w:val="00CF0EAA"/>
    <w:rsid w:val="00CF104A"/>
    <w:rsid w:val="00CF1252"/>
    <w:rsid w:val="00CF2E3B"/>
    <w:rsid w:val="00CF379A"/>
    <w:rsid w:val="00CF398C"/>
    <w:rsid w:val="00CF439D"/>
    <w:rsid w:val="00CF5407"/>
    <w:rsid w:val="00CF6505"/>
    <w:rsid w:val="00CF6A5C"/>
    <w:rsid w:val="00CF6BC7"/>
    <w:rsid w:val="00CF75E9"/>
    <w:rsid w:val="00CF7A52"/>
    <w:rsid w:val="00D001CD"/>
    <w:rsid w:val="00D00590"/>
    <w:rsid w:val="00D00761"/>
    <w:rsid w:val="00D00CA6"/>
    <w:rsid w:val="00D01C53"/>
    <w:rsid w:val="00D027B8"/>
    <w:rsid w:val="00D02A42"/>
    <w:rsid w:val="00D0399C"/>
    <w:rsid w:val="00D0457D"/>
    <w:rsid w:val="00D05020"/>
    <w:rsid w:val="00D05197"/>
    <w:rsid w:val="00D0539E"/>
    <w:rsid w:val="00D06351"/>
    <w:rsid w:val="00D0707B"/>
    <w:rsid w:val="00D07A05"/>
    <w:rsid w:val="00D1023A"/>
    <w:rsid w:val="00D1047B"/>
    <w:rsid w:val="00D124A5"/>
    <w:rsid w:val="00D12820"/>
    <w:rsid w:val="00D12C22"/>
    <w:rsid w:val="00D134C4"/>
    <w:rsid w:val="00D13731"/>
    <w:rsid w:val="00D13B14"/>
    <w:rsid w:val="00D1440A"/>
    <w:rsid w:val="00D145C4"/>
    <w:rsid w:val="00D146EE"/>
    <w:rsid w:val="00D14B2A"/>
    <w:rsid w:val="00D15127"/>
    <w:rsid w:val="00D16283"/>
    <w:rsid w:val="00D164F0"/>
    <w:rsid w:val="00D17198"/>
    <w:rsid w:val="00D17CDF"/>
    <w:rsid w:val="00D20133"/>
    <w:rsid w:val="00D20200"/>
    <w:rsid w:val="00D21600"/>
    <w:rsid w:val="00D21F24"/>
    <w:rsid w:val="00D22573"/>
    <w:rsid w:val="00D22A1B"/>
    <w:rsid w:val="00D249D4"/>
    <w:rsid w:val="00D24E5F"/>
    <w:rsid w:val="00D25264"/>
    <w:rsid w:val="00D2663B"/>
    <w:rsid w:val="00D26901"/>
    <w:rsid w:val="00D279D6"/>
    <w:rsid w:val="00D30915"/>
    <w:rsid w:val="00D3107F"/>
    <w:rsid w:val="00D311CD"/>
    <w:rsid w:val="00D316FA"/>
    <w:rsid w:val="00D31C05"/>
    <w:rsid w:val="00D31CDA"/>
    <w:rsid w:val="00D32772"/>
    <w:rsid w:val="00D32817"/>
    <w:rsid w:val="00D3403F"/>
    <w:rsid w:val="00D354EB"/>
    <w:rsid w:val="00D35FD9"/>
    <w:rsid w:val="00D3679A"/>
    <w:rsid w:val="00D36B83"/>
    <w:rsid w:val="00D36E07"/>
    <w:rsid w:val="00D40E47"/>
    <w:rsid w:val="00D4142D"/>
    <w:rsid w:val="00D41B9F"/>
    <w:rsid w:val="00D41BF9"/>
    <w:rsid w:val="00D423EE"/>
    <w:rsid w:val="00D42546"/>
    <w:rsid w:val="00D43263"/>
    <w:rsid w:val="00D4373C"/>
    <w:rsid w:val="00D43965"/>
    <w:rsid w:val="00D43A3D"/>
    <w:rsid w:val="00D43F2E"/>
    <w:rsid w:val="00D45BF3"/>
    <w:rsid w:val="00D4607D"/>
    <w:rsid w:val="00D46DCE"/>
    <w:rsid w:val="00D51028"/>
    <w:rsid w:val="00D52BFD"/>
    <w:rsid w:val="00D532F0"/>
    <w:rsid w:val="00D5334E"/>
    <w:rsid w:val="00D534BC"/>
    <w:rsid w:val="00D53E23"/>
    <w:rsid w:val="00D54CFB"/>
    <w:rsid w:val="00D5510D"/>
    <w:rsid w:val="00D552EA"/>
    <w:rsid w:val="00D57000"/>
    <w:rsid w:val="00D6016E"/>
    <w:rsid w:val="00D60665"/>
    <w:rsid w:val="00D609CC"/>
    <w:rsid w:val="00D60D6E"/>
    <w:rsid w:val="00D60FED"/>
    <w:rsid w:val="00D618F2"/>
    <w:rsid w:val="00D61F3E"/>
    <w:rsid w:val="00D62469"/>
    <w:rsid w:val="00D635D3"/>
    <w:rsid w:val="00D6392A"/>
    <w:rsid w:val="00D64324"/>
    <w:rsid w:val="00D64A76"/>
    <w:rsid w:val="00D64A7F"/>
    <w:rsid w:val="00D64DBB"/>
    <w:rsid w:val="00D65ACE"/>
    <w:rsid w:val="00D673E1"/>
    <w:rsid w:val="00D677F6"/>
    <w:rsid w:val="00D700D8"/>
    <w:rsid w:val="00D70470"/>
    <w:rsid w:val="00D70BFB"/>
    <w:rsid w:val="00D71AD3"/>
    <w:rsid w:val="00D72BB6"/>
    <w:rsid w:val="00D73EE0"/>
    <w:rsid w:val="00D74BCE"/>
    <w:rsid w:val="00D74F1B"/>
    <w:rsid w:val="00D762F2"/>
    <w:rsid w:val="00D77F6E"/>
    <w:rsid w:val="00D8011D"/>
    <w:rsid w:val="00D807D7"/>
    <w:rsid w:val="00D80B90"/>
    <w:rsid w:val="00D80BF0"/>
    <w:rsid w:val="00D81299"/>
    <w:rsid w:val="00D818CC"/>
    <w:rsid w:val="00D81AFF"/>
    <w:rsid w:val="00D82CA1"/>
    <w:rsid w:val="00D835AE"/>
    <w:rsid w:val="00D8382E"/>
    <w:rsid w:val="00D83BE2"/>
    <w:rsid w:val="00D83DA4"/>
    <w:rsid w:val="00D8527D"/>
    <w:rsid w:val="00D865BD"/>
    <w:rsid w:val="00D87058"/>
    <w:rsid w:val="00D87493"/>
    <w:rsid w:val="00D876CC"/>
    <w:rsid w:val="00D877EB"/>
    <w:rsid w:val="00D8791A"/>
    <w:rsid w:val="00D903BA"/>
    <w:rsid w:val="00D90CC1"/>
    <w:rsid w:val="00D91A51"/>
    <w:rsid w:val="00D91CAA"/>
    <w:rsid w:val="00D91F29"/>
    <w:rsid w:val="00D92F19"/>
    <w:rsid w:val="00D92FD4"/>
    <w:rsid w:val="00D93313"/>
    <w:rsid w:val="00D93AD2"/>
    <w:rsid w:val="00D948A6"/>
    <w:rsid w:val="00D94DEB"/>
    <w:rsid w:val="00D961E0"/>
    <w:rsid w:val="00D962D3"/>
    <w:rsid w:val="00D97325"/>
    <w:rsid w:val="00D97C38"/>
    <w:rsid w:val="00DA022D"/>
    <w:rsid w:val="00DA0C7D"/>
    <w:rsid w:val="00DA0E51"/>
    <w:rsid w:val="00DA0EA4"/>
    <w:rsid w:val="00DA0FFA"/>
    <w:rsid w:val="00DA1524"/>
    <w:rsid w:val="00DA16D7"/>
    <w:rsid w:val="00DA1E16"/>
    <w:rsid w:val="00DA32CD"/>
    <w:rsid w:val="00DA3B2A"/>
    <w:rsid w:val="00DA3B83"/>
    <w:rsid w:val="00DA3E1E"/>
    <w:rsid w:val="00DA3FE0"/>
    <w:rsid w:val="00DA437A"/>
    <w:rsid w:val="00DA4679"/>
    <w:rsid w:val="00DA48A5"/>
    <w:rsid w:val="00DA50B4"/>
    <w:rsid w:val="00DA5354"/>
    <w:rsid w:val="00DA667D"/>
    <w:rsid w:val="00DA7E87"/>
    <w:rsid w:val="00DB0ED9"/>
    <w:rsid w:val="00DB12EB"/>
    <w:rsid w:val="00DB22D0"/>
    <w:rsid w:val="00DB236F"/>
    <w:rsid w:val="00DB32B1"/>
    <w:rsid w:val="00DB3EF4"/>
    <w:rsid w:val="00DB50FE"/>
    <w:rsid w:val="00DB59A0"/>
    <w:rsid w:val="00DB5F8E"/>
    <w:rsid w:val="00DB60BD"/>
    <w:rsid w:val="00DB6336"/>
    <w:rsid w:val="00DB650D"/>
    <w:rsid w:val="00DB6D56"/>
    <w:rsid w:val="00DB6F97"/>
    <w:rsid w:val="00DC0314"/>
    <w:rsid w:val="00DC0DA7"/>
    <w:rsid w:val="00DC0F60"/>
    <w:rsid w:val="00DC1364"/>
    <w:rsid w:val="00DC149F"/>
    <w:rsid w:val="00DC167E"/>
    <w:rsid w:val="00DC1AAD"/>
    <w:rsid w:val="00DC1B13"/>
    <w:rsid w:val="00DC36E4"/>
    <w:rsid w:val="00DC404A"/>
    <w:rsid w:val="00DC5534"/>
    <w:rsid w:val="00DC5AE8"/>
    <w:rsid w:val="00DC654E"/>
    <w:rsid w:val="00DC71A8"/>
    <w:rsid w:val="00DC7643"/>
    <w:rsid w:val="00DC78DC"/>
    <w:rsid w:val="00DC7A40"/>
    <w:rsid w:val="00DC7F44"/>
    <w:rsid w:val="00DD0355"/>
    <w:rsid w:val="00DD10FF"/>
    <w:rsid w:val="00DD1722"/>
    <w:rsid w:val="00DD1887"/>
    <w:rsid w:val="00DD2303"/>
    <w:rsid w:val="00DD2353"/>
    <w:rsid w:val="00DD25AC"/>
    <w:rsid w:val="00DD2A44"/>
    <w:rsid w:val="00DD2DC4"/>
    <w:rsid w:val="00DD3287"/>
    <w:rsid w:val="00DD37F3"/>
    <w:rsid w:val="00DD3902"/>
    <w:rsid w:val="00DD509F"/>
    <w:rsid w:val="00DD5B5A"/>
    <w:rsid w:val="00DD6E77"/>
    <w:rsid w:val="00DD6FBE"/>
    <w:rsid w:val="00DD793D"/>
    <w:rsid w:val="00DE09E7"/>
    <w:rsid w:val="00DE0E80"/>
    <w:rsid w:val="00DE1558"/>
    <w:rsid w:val="00DE15E6"/>
    <w:rsid w:val="00DE1CB8"/>
    <w:rsid w:val="00DE3813"/>
    <w:rsid w:val="00DE3C3C"/>
    <w:rsid w:val="00DE3FAB"/>
    <w:rsid w:val="00DE3FBD"/>
    <w:rsid w:val="00DE4474"/>
    <w:rsid w:val="00DE4540"/>
    <w:rsid w:val="00DE45C7"/>
    <w:rsid w:val="00DE59C1"/>
    <w:rsid w:val="00DE5AA4"/>
    <w:rsid w:val="00DE5C04"/>
    <w:rsid w:val="00DE5C07"/>
    <w:rsid w:val="00DE6D22"/>
    <w:rsid w:val="00DE706B"/>
    <w:rsid w:val="00DE7619"/>
    <w:rsid w:val="00DF0E1D"/>
    <w:rsid w:val="00DF0E59"/>
    <w:rsid w:val="00DF111B"/>
    <w:rsid w:val="00DF266C"/>
    <w:rsid w:val="00DF2F64"/>
    <w:rsid w:val="00DF36DD"/>
    <w:rsid w:val="00DF4D11"/>
    <w:rsid w:val="00DF5DBF"/>
    <w:rsid w:val="00DF7B36"/>
    <w:rsid w:val="00DF7B75"/>
    <w:rsid w:val="00DF7D0C"/>
    <w:rsid w:val="00E005A7"/>
    <w:rsid w:val="00E012EE"/>
    <w:rsid w:val="00E01630"/>
    <w:rsid w:val="00E01A20"/>
    <w:rsid w:val="00E02070"/>
    <w:rsid w:val="00E02435"/>
    <w:rsid w:val="00E02D4E"/>
    <w:rsid w:val="00E0357E"/>
    <w:rsid w:val="00E037A4"/>
    <w:rsid w:val="00E03E62"/>
    <w:rsid w:val="00E04673"/>
    <w:rsid w:val="00E047B4"/>
    <w:rsid w:val="00E04DF1"/>
    <w:rsid w:val="00E050A8"/>
    <w:rsid w:val="00E05118"/>
    <w:rsid w:val="00E0547E"/>
    <w:rsid w:val="00E05937"/>
    <w:rsid w:val="00E06074"/>
    <w:rsid w:val="00E06402"/>
    <w:rsid w:val="00E065B1"/>
    <w:rsid w:val="00E06931"/>
    <w:rsid w:val="00E0712A"/>
    <w:rsid w:val="00E07550"/>
    <w:rsid w:val="00E1033E"/>
    <w:rsid w:val="00E10342"/>
    <w:rsid w:val="00E10AB5"/>
    <w:rsid w:val="00E11952"/>
    <w:rsid w:val="00E11C38"/>
    <w:rsid w:val="00E12373"/>
    <w:rsid w:val="00E1241B"/>
    <w:rsid w:val="00E125CB"/>
    <w:rsid w:val="00E127FC"/>
    <w:rsid w:val="00E14208"/>
    <w:rsid w:val="00E1474C"/>
    <w:rsid w:val="00E152A1"/>
    <w:rsid w:val="00E16433"/>
    <w:rsid w:val="00E164F8"/>
    <w:rsid w:val="00E1684A"/>
    <w:rsid w:val="00E17687"/>
    <w:rsid w:val="00E2056F"/>
    <w:rsid w:val="00E20A31"/>
    <w:rsid w:val="00E21EB8"/>
    <w:rsid w:val="00E22400"/>
    <w:rsid w:val="00E225E1"/>
    <w:rsid w:val="00E236B8"/>
    <w:rsid w:val="00E23C8B"/>
    <w:rsid w:val="00E23F95"/>
    <w:rsid w:val="00E24C85"/>
    <w:rsid w:val="00E25049"/>
    <w:rsid w:val="00E254F9"/>
    <w:rsid w:val="00E2582E"/>
    <w:rsid w:val="00E26840"/>
    <w:rsid w:val="00E3035B"/>
    <w:rsid w:val="00E31018"/>
    <w:rsid w:val="00E32204"/>
    <w:rsid w:val="00E3261C"/>
    <w:rsid w:val="00E331FF"/>
    <w:rsid w:val="00E336CD"/>
    <w:rsid w:val="00E33A1E"/>
    <w:rsid w:val="00E35C39"/>
    <w:rsid w:val="00E36A89"/>
    <w:rsid w:val="00E37D4E"/>
    <w:rsid w:val="00E40114"/>
    <w:rsid w:val="00E401F0"/>
    <w:rsid w:val="00E40EAE"/>
    <w:rsid w:val="00E4119E"/>
    <w:rsid w:val="00E415CD"/>
    <w:rsid w:val="00E42122"/>
    <w:rsid w:val="00E42B9F"/>
    <w:rsid w:val="00E43307"/>
    <w:rsid w:val="00E438BE"/>
    <w:rsid w:val="00E4407D"/>
    <w:rsid w:val="00E44504"/>
    <w:rsid w:val="00E44976"/>
    <w:rsid w:val="00E451E9"/>
    <w:rsid w:val="00E4575F"/>
    <w:rsid w:val="00E4576C"/>
    <w:rsid w:val="00E45BB8"/>
    <w:rsid w:val="00E46FF7"/>
    <w:rsid w:val="00E474CF"/>
    <w:rsid w:val="00E476FF"/>
    <w:rsid w:val="00E47D8C"/>
    <w:rsid w:val="00E47E53"/>
    <w:rsid w:val="00E503FC"/>
    <w:rsid w:val="00E50FE1"/>
    <w:rsid w:val="00E5112F"/>
    <w:rsid w:val="00E51691"/>
    <w:rsid w:val="00E51A53"/>
    <w:rsid w:val="00E53666"/>
    <w:rsid w:val="00E53E79"/>
    <w:rsid w:val="00E543B1"/>
    <w:rsid w:val="00E5473E"/>
    <w:rsid w:val="00E54D08"/>
    <w:rsid w:val="00E55A8E"/>
    <w:rsid w:val="00E55E7A"/>
    <w:rsid w:val="00E560BA"/>
    <w:rsid w:val="00E56B10"/>
    <w:rsid w:val="00E57A9E"/>
    <w:rsid w:val="00E618EA"/>
    <w:rsid w:val="00E630E9"/>
    <w:rsid w:val="00E6394F"/>
    <w:rsid w:val="00E63BAE"/>
    <w:rsid w:val="00E65241"/>
    <w:rsid w:val="00E657EB"/>
    <w:rsid w:val="00E65DCD"/>
    <w:rsid w:val="00E65E09"/>
    <w:rsid w:val="00E66678"/>
    <w:rsid w:val="00E66C33"/>
    <w:rsid w:val="00E66D5E"/>
    <w:rsid w:val="00E674C5"/>
    <w:rsid w:val="00E679BE"/>
    <w:rsid w:val="00E701E9"/>
    <w:rsid w:val="00E707D7"/>
    <w:rsid w:val="00E708A1"/>
    <w:rsid w:val="00E718CC"/>
    <w:rsid w:val="00E721F2"/>
    <w:rsid w:val="00E727BC"/>
    <w:rsid w:val="00E72FA1"/>
    <w:rsid w:val="00E745D8"/>
    <w:rsid w:val="00E746D3"/>
    <w:rsid w:val="00E749DC"/>
    <w:rsid w:val="00E74D74"/>
    <w:rsid w:val="00E7570B"/>
    <w:rsid w:val="00E7737C"/>
    <w:rsid w:val="00E77A24"/>
    <w:rsid w:val="00E77F34"/>
    <w:rsid w:val="00E80AC1"/>
    <w:rsid w:val="00E810FA"/>
    <w:rsid w:val="00E81AD4"/>
    <w:rsid w:val="00E826C4"/>
    <w:rsid w:val="00E82AD9"/>
    <w:rsid w:val="00E83056"/>
    <w:rsid w:val="00E835B0"/>
    <w:rsid w:val="00E8365F"/>
    <w:rsid w:val="00E8481B"/>
    <w:rsid w:val="00E8484C"/>
    <w:rsid w:val="00E8514B"/>
    <w:rsid w:val="00E858CC"/>
    <w:rsid w:val="00E85C75"/>
    <w:rsid w:val="00E86562"/>
    <w:rsid w:val="00E86611"/>
    <w:rsid w:val="00E86CB4"/>
    <w:rsid w:val="00E8766A"/>
    <w:rsid w:val="00E87B25"/>
    <w:rsid w:val="00E90016"/>
    <w:rsid w:val="00E9088F"/>
    <w:rsid w:val="00E911ED"/>
    <w:rsid w:val="00E91BAD"/>
    <w:rsid w:val="00E921F1"/>
    <w:rsid w:val="00E92AAB"/>
    <w:rsid w:val="00E93990"/>
    <w:rsid w:val="00E93A5B"/>
    <w:rsid w:val="00E93F08"/>
    <w:rsid w:val="00E943C1"/>
    <w:rsid w:val="00E95C7B"/>
    <w:rsid w:val="00E9667C"/>
    <w:rsid w:val="00E97D5E"/>
    <w:rsid w:val="00EA0872"/>
    <w:rsid w:val="00EA0F1E"/>
    <w:rsid w:val="00EA0F9F"/>
    <w:rsid w:val="00EA1715"/>
    <w:rsid w:val="00EA27CA"/>
    <w:rsid w:val="00EA27EB"/>
    <w:rsid w:val="00EA28FF"/>
    <w:rsid w:val="00EA2EDB"/>
    <w:rsid w:val="00EA4B8E"/>
    <w:rsid w:val="00EA4C3C"/>
    <w:rsid w:val="00EA4CD3"/>
    <w:rsid w:val="00EA5146"/>
    <w:rsid w:val="00EA55FF"/>
    <w:rsid w:val="00EA6075"/>
    <w:rsid w:val="00EA73E4"/>
    <w:rsid w:val="00EA776D"/>
    <w:rsid w:val="00EA7930"/>
    <w:rsid w:val="00EA7AC3"/>
    <w:rsid w:val="00EB1C3B"/>
    <w:rsid w:val="00EB1C43"/>
    <w:rsid w:val="00EB268A"/>
    <w:rsid w:val="00EB3A74"/>
    <w:rsid w:val="00EB4910"/>
    <w:rsid w:val="00EB4B47"/>
    <w:rsid w:val="00EB5840"/>
    <w:rsid w:val="00EB61F2"/>
    <w:rsid w:val="00EB7121"/>
    <w:rsid w:val="00EC009F"/>
    <w:rsid w:val="00EC033F"/>
    <w:rsid w:val="00EC0389"/>
    <w:rsid w:val="00EC0F57"/>
    <w:rsid w:val="00EC0F92"/>
    <w:rsid w:val="00EC1910"/>
    <w:rsid w:val="00EC22EB"/>
    <w:rsid w:val="00EC2A62"/>
    <w:rsid w:val="00EC2CB6"/>
    <w:rsid w:val="00EC3211"/>
    <w:rsid w:val="00EC383D"/>
    <w:rsid w:val="00EC4079"/>
    <w:rsid w:val="00EC4B1A"/>
    <w:rsid w:val="00EC5163"/>
    <w:rsid w:val="00EC6EA1"/>
    <w:rsid w:val="00EC740F"/>
    <w:rsid w:val="00ED0734"/>
    <w:rsid w:val="00ED1871"/>
    <w:rsid w:val="00ED1D2C"/>
    <w:rsid w:val="00ED2955"/>
    <w:rsid w:val="00ED35EF"/>
    <w:rsid w:val="00ED3863"/>
    <w:rsid w:val="00ED39A8"/>
    <w:rsid w:val="00ED3E96"/>
    <w:rsid w:val="00ED42B3"/>
    <w:rsid w:val="00ED4490"/>
    <w:rsid w:val="00ED4ABD"/>
    <w:rsid w:val="00ED6624"/>
    <w:rsid w:val="00ED7381"/>
    <w:rsid w:val="00EE02A5"/>
    <w:rsid w:val="00EE0737"/>
    <w:rsid w:val="00EE07D0"/>
    <w:rsid w:val="00EE08C1"/>
    <w:rsid w:val="00EE0B6B"/>
    <w:rsid w:val="00EE1D62"/>
    <w:rsid w:val="00EE21C9"/>
    <w:rsid w:val="00EE2E9B"/>
    <w:rsid w:val="00EE38B3"/>
    <w:rsid w:val="00EE3AEA"/>
    <w:rsid w:val="00EE432A"/>
    <w:rsid w:val="00EE4A59"/>
    <w:rsid w:val="00EE66B5"/>
    <w:rsid w:val="00EE6F8F"/>
    <w:rsid w:val="00EE7ACC"/>
    <w:rsid w:val="00EED570"/>
    <w:rsid w:val="00EF0C89"/>
    <w:rsid w:val="00EF0FC6"/>
    <w:rsid w:val="00EF28AB"/>
    <w:rsid w:val="00EF2B01"/>
    <w:rsid w:val="00EF2D38"/>
    <w:rsid w:val="00EF3444"/>
    <w:rsid w:val="00EF3AF0"/>
    <w:rsid w:val="00EF46C5"/>
    <w:rsid w:val="00EF4716"/>
    <w:rsid w:val="00EF4792"/>
    <w:rsid w:val="00EF6341"/>
    <w:rsid w:val="00EF667B"/>
    <w:rsid w:val="00EF7001"/>
    <w:rsid w:val="00EF7549"/>
    <w:rsid w:val="00EF78CD"/>
    <w:rsid w:val="00F00919"/>
    <w:rsid w:val="00F00A58"/>
    <w:rsid w:val="00F00B51"/>
    <w:rsid w:val="00F01104"/>
    <w:rsid w:val="00F015BC"/>
    <w:rsid w:val="00F01CBD"/>
    <w:rsid w:val="00F01CE3"/>
    <w:rsid w:val="00F02A0A"/>
    <w:rsid w:val="00F02D35"/>
    <w:rsid w:val="00F03071"/>
    <w:rsid w:val="00F0499A"/>
    <w:rsid w:val="00F05F6B"/>
    <w:rsid w:val="00F0691E"/>
    <w:rsid w:val="00F069E8"/>
    <w:rsid w:val="00F10026"/>
    <w:rsid w:val="00F10750"/>
    <w:rsid w:val="00F11100"/>
    <w:rsid w:val="00F12C32"/>
    <w:rsid w:val="00F133EF"/>
    <w:rsid w:val="00F1392E"/>
    <w:rsid w:val="00F14872"/>
    <w:rsid w:val="00F15189"/>
    <w:rsid w:val="00F1576E"/>
    <w:rsid w:val="00F16B46"/>
    <w:rsid w:val="00F20CDA"/>
    <w:rsid w:val="00F20D80"/>
    <w:rsid w:val="00F211A3"/>
    <w:rsid w:val="00F2234F"/>
    <w:rsid w:val="00F249E8"/>
    <w:rsid w:val="00F25281"/>
    <w:rsid w:val="00F254A6"/>
    <w:rsid w:val="00F26042"/>
    <w:rsid w:val="00F26D23"/>
    <w:rsid w:val="00F26F60"/>
    <w:rsid w:val="00F272BA"/>
    <w:rsid w:val="00F278CA"/>
    <w:rsid w:val="00F31E54"/>
    <w:rsid w:val="00F32E35"/>
    <w:rsid w:val="00F32E94"/>
    <w:rsid w:val="00F3367D"/>
    <w:rsid w:val="00F33928"/>
    <w:rsid w:val="00F339A5"/>
    <w:rsid w:val="00F33F29"/>
    <w:rsid w:val="00F33F65"/>
    <w:rsid w:val="00F3418F"/>
    <w:rsid w:val="00F3532E"/>
    <w:rsid w:val="00F368F9"/>
    <w:rsid w:val="00F36E8C"/>
    <w:rsid w:val="00F378D7"/>
    <w:rsid w:val="00F4051F"/>
    <w:rsid w:val="00F40569"/>
    <w:rsid w:val="00F40636"/>
    <w:rsid w:val="00F407DA"/>
    <w:rsid w:val="00F408A1"/>
    <w:rsid w:val="00F411DD"/>
    <w:rsid w:val="00F42049"/>
    <w:rsid w:val="00F42211"/>
    <w:rsid w:val="00F42E08"/>
    <w:rsid w:val="00F44570"/>
    <w:rsid w:val="00F44AE3"/>
    <w:rsid w:val="00F450D0"/>
    <w:rsid w:val="00F45940"/>
    <w:rsid w:val="00F45E75"/>
    <w:rsid w:val="00F465E9"/>
    <w:rsid w:val="00F468BC"/>
    <w:rsid w:val="00F50214"/>
    <w:rsid w:val="00F50B47"/>
    <w:rsid w:val="00F50F61"/>
    <w:rsid w:val="00F51835"/>
    <w:rsid w:val="00F5322B"/>
    <w:rsid w:val="00F5421F"/>
    <w:rsid w:val="00F5426E"/>
    <w:rsid w:val="00F54906"/>
    <w:rsid w:val="00F54A54"/>
    <w:rsid w:val="00F54A66"/>
    <w:rsid w:val="00F54BD2"/>
    <w:rsid w:val="00F54F61"/>
    <w:rsid w:val="00F55D60"/>
    <w:rsid w:val="00F5642B"/>
    <w:rsid w:val="00F568E8"/>
    <w:rsid w:val="00F56AC3"/>
    <w:rsid w:val="00F56DE5"/>
    <w:rsid w:val="00F56F84"/>
    <w:rsid w:val="00F57263"/>
    <w:rsid w:val="00F57326"/>
    <w:rsid w:val="00F608D7"/>
    <w:rsid w:val="00F60A9E"/>
    <w:rsid w:val="00F61134"/>
    <w:rsid w:val="00F61E2E"/>
    <w:rsid w:val="00F61F52"/>
    <w:rsid w:val="00F62028"/>
    <w:rsid w:val="00F6247A"/>
    <w:rsid w:val="00F628CB"/>
    <w:rsid w:val="00F62BDC"/>
    <w:rsid w:val="00F62D0C"/>
    <w:rsid w:val="00F63922"/>
    <w:rsid w:val="00F648C4"/>
    <w:rsid w:val="00F6490E"/>
    <w:rsid w:val="00F64B69"/>
    <w:rsid w:val="00F64D91"/>
    <w:rsid w:val="00F64DB9"/>
    <w:rsid w:val="00F657EA"/>
    <w:rsid w:val="00F65811"/>
    <w:rsid w:val="00F658FC"/>
    <w:rsid w:val="00F65F6A"/>
    <w:rsid w:val="00F66F17"/>
    <w:rsid w:val="00F67194"/>
    <w:rsid w:val="00F70672"/>
    <w:rsid w:val="00F70B5C"/>
    <w:rsid w:val="00F70DA8"/>
    <w:rsid w:val="00F71936"/>
    <w:rsid w:val="00F71F07"/>
    <w:rsid w:val="00F71FF4"/>
    <w:rsid w:val="00F72CFA"/>
    <w:rsid w:val="00F72E80"/>
    <w:rsid w:val="00F72ED9"/>
    <w:rsid w:val="00F7497B"/>
    <w:rsid w:val="00F74E4E"/>
    <w:rsid w:val="00F751AE"/>
    <w:rsid w:val="00F75741"/>
    <w:rsid w:val="00F7579F"/>
    <w:rsid w:val="00F75CE7"/>
    <w:rsid w:val="00F76306"/>
    <w:rsid w:val="00F7631D"/>
    <w:rsid w:val="00F7698A"/>
    <w:rsid w:val="00F76D70"/>
    <w:rsid w:val="00F77472"/>
    <w:rsid w:val="00F779B7"/>
    <w:rsid w:val="00F81F23"/>
    <w:rsid w:val="00F831A1"/>
    <w:rsid w:val="00F83662"/>
    <w:rsid w:val="00F83F60"/>
    <w:rsid w:val="00F844B9"/>
    <w:rsid w:val="00F852D7"/>
    <w:rsid w:val="00F8594C"/>
    <w:rsid w:val="00F85B29"/>
    <w:rsid w:val="00F86288"/>
    <w:rsid w:val="00F86BE5"/>
    <w:rsid w:val="00F902E0"/>
    <w:rsid w:val="00F9088B"/>
    <w:rsid w:val="00F908E1"/>
    <w:rsid w:val="00F9271B"/>
    <w:rsid w:val="00F934FB"/>
    <w:rsid w:val="00F9380C"/>
    <w:rsid w:val="00F9380F"/>
    <w:rsid w:val="00F94053"/>
    <w:rsid w:val="00F9438E"/>
    <w:rsid w:val="00F943AF"/>
    <w:rsid w:val="00F9468C"/>
    <w:rsid w:val="00F946BC"/>
    <w:rsid w:val="00F95920"/>
    <w:rsid w:val="00F959C2"/>
    <w:rsid w:val="00F95B7F"/>
    <w:rsid w:val="00F973EA"/>
    <w:rsid w:val="00FA06D2"/>
    <w:rsid w:val="00FA1401"/>
    <w:rsid w:val="00FA1DFD"/>
    <w:rsid w:val="00FA1FEA"/>
    <w:rsid w:val="00FA2544"/>
    <w:rsid w:val="00FA2B0D"/>
    <w:rsid w:val="00FA2BC7"/>
    <w:rsid w:val="00FA33BE"/>
    <w:rsid w:val="00FA33FE"/>
    <w:rsid w:val="00FA4C8D"/>
    <w:rsid w:val="00FA4EBC"/>
    <w:rsid w:val="00FA6F0D"/>
    <w:rsid w:val="00FA72CF"/>
    <w:rsid w:val="00FA745C"/>
    <w:rsid w:val="00FA74F1"/>
    <w:rsid w:val="00FA7548"/>
    <w:rsid w:val="00FA76B4"/>
    <w:rsid w:val="00FB09E9"/>
    <w:rsid w:val="00FB0B45"/>
    <w:rsid w:val="00FB271E"/>
    <w:rsid w:val="00FB3C40"/>
    <w:rsid w:val="00FB47E7"/>
    <w:rsid w:val="00FB502E"/>
    <w:rsid w:val="00FB6AB2"/>
    <w:rsid w:val="00FB6C3B"/>
    <w:rsid w:val="00FB6D3C"/>
    <w:rsid w:val="00FB73AD"/>
    <w:rsid w:val="00FB7672"/>
    <w:rsid w:val="00FC15FF"/>
    <w:rsid w:val="00FC17F8"/>
    <w:rsid w:val="00FC2202"/>
    <w:rsid w:val="00FC2B47"/>
    <w:rsid w:val="00FC2E16"/>
    <w:rsid w:val="00FC39C3"/>
    <w:rsid w:val="00FC4808"/>
    <w:rsid w:val="00FC4ADB"/>
    <w:rsid w:val="00FC4FCC"/>
    <w:rsid w:val="00FC567D"/>
    <w:rsid w:val="00FC649E"/>
    <w:rsid w:val="00FC73A1"/>
    <w:rsid w:val="00FC77A2"/>
    <w:rsid w:val="00FC7D4F"/>
    <w:rsid w:val="00FD011F"/>
    <w:rsid w:val="00FD1447"/>
    <w:rsid w:val="00FD1F69"/>
    <w:rsid w:val="00FD2887"/>
    <w:rsid w:val="00FD2B3D"/>
    <w:rsid w:val="00FD2DEA"/>
    <w:rsid w:val="00FD333E"/>
    <w:rsid w:val="00FD3B37"/>
    <w:rsid w:val="00FD3F65"/>
    <w:rsid w:val="00FD49F6"/>
    <w:rsid w:val="00FD55EA"/>
    <w:rsid w:val="00FD5C85"/>
    <w:rsid w:val="00FD5E23"/>
    <w:rsid w:val="00FD5FE8"/>
    <w:rsid w:val="00FD60C8"/>
    <w:rsid w:val="00FD6B71"/>
    <w:rsid w:val="00FD7888"/>
    <w:rsid w:val="00FD78E2"/>
    <w:rsid w:val="00FD7F36"/>
    <w:rsid w:val="00FE041F"/>
    <w:rsid w:val="00FE093A"/>
    <w:rsid w:val="00FE0C16"/>
    <w:rsid w:val="00FE0C5E"/>
    <w:rsid w:val="00FE0E26"/>
    <w:rsid w:val="00FE1779"/>
    <w:rsid w:val="00FE2965"/>
    <w:rsid w:val="00FE326D"/>
    <w:rsid w:val="00FE3499"/>
    <w:rsid w:val="00FE3729"/>
    <w:rsid w:val="00FE3C03"/>
    <w:rsid w:val="00FE3E40"/>
    <w:rsid w:val="00FE5EF4"/>
    <w:rsid w:val="00FE638B"/>
    <w:rsid w:val="00FE662E"/>
    <w:rsid w:val="00FE73C1"/>
    <w:rsid w:val="00FE74B1"/>
    <w:rsid w:val="00FF00E8"/>
    <w:rsid w:val="00FF15D6"/>
    <w:rsid w:val="00FF175E"/>
    <w:rsid w:val="00FF1DBC"/>
    <w:rsid w:val="00FF1ECE"/>
    <w:rsid w:val="00FF2F28"/>
    <w:rsid w:val="00FF324C"/>
    <w:rsid w:val="00FF45A9"/>
    <w:rsid w:val="00FF4A2B"/>
    <w:rsid w:val="00FF508C"/>
    <w:rsid w:val="00FF5539"/>
    <w:rsid w:val="00FF559E"/>
    <w:rsid w:val="00FF56D9"/>
    <w:rsid w:val="00FF589C"/>
    <w:rsid w:val="00FF6200"/>
    <w:rsid w:val="00FF6B63"/>
    <w:rsid w:val="00FF6BBF"/>
    <w:rsid w:val="00FF7249"/>
    <w:rsid w:val="00FF7EE4"/>
    <w:rsid w:val="01138DE7"/>
    <w:rsid w:val="01191A70"/>
    <w:rsid w:val="01225595"/>
    <w:rsid w:val="0136B356"/>
    <w:rsid w:val="013C78DA"/>
    <w:rsid w:val="0158B7BA"/>
    <w:rsid w:val="0161EE78"/>
    <w:rsid w:val="01738157"/>
    <w:rsid w:val="018059EC"/>
    <w:rsid w:val="01B050AF"/>
    <w:rsid w:val="01C41022"/>
    <w:rsid w:val="01D28B69"/>
    <w:rsid w:val="01E9A6F7"/>
    <w:rsid w:val="020983EA"/>
    <w:rsid w:val="0212E58B"/>
    <w:rsid w:val="022B0CA1"/>
    <w:rsid w:val="022DED05"/>
    <w:rsid w:val="023B58BD"/>
    <w:rsid w:val="0274C16F"/>
    <w:rsid w:val="028A07E8"/>
    <w:rsid w:val="028CAF5E"/>
    <w:rsid w:val="028E9C16"/>
    <w:rsid w:val="02B30C1E"/>
    <w:rsid w:val="02D10A9F"/>
    <w:rsid w:val="02D20C32"/>
    <w:rsid w:val="02E1142B"/>
    <w:rsid w:val="02E62F51"/>
    <w:rsid w:val="032B68AC"/>
    <w:rsid w:val="032C1F95"/>
    <w:rsid w:val="03373431"/>
    <w:rsid w:val="03747A6B"/>
    <w:rsid w:val="03861920"/>
    <w:rsid w:val="038BFECC"/>
    <w:rsid w:val="039EBF35"/>
    <w:rsid w:val="03CA903F"/>
    <w:rsid w:val="03CC5EE8"/>
    <w:rsid w:val="03F68492"/>
    <w:rsid w:val="03FF01C6"/>
    <w:rsid w:val="040C8CB3"/>
    <w:rsid w:val="041DC9BF"/>
    <w:rsid w:val="042FF961"/>
    <w:rsid w:val="04313C56"/>
    <w:rsid w:val="043F1065"/>
    <w:rsid w:val="044684A2"/>
    <w:rsid w:val="048A7326"/>
    <w:rsid w:val="048B7B91"/>
    <w:rsid w:val="049AA18B"/>
    <w:rsid w:val="04A8E315"/>
    <w:rsid w:val="04AAD8CC"/>
    <w:rsid w:val="04C333B8"/>
    <w:rsid w:val="04C49DC4"/>
    <w:rsid w:val="050A878C"/>
    <w:rsid w:val="052857AC"/>
    <w:rsid w:val="052EED38"/>
    <w:rsid w:val="0538BE96"/>
    <w:rsid w:val="053DD8FC"/>
    <w:rsid w:val="05A64612"/>
    <w:rsid w:val="05A6FE47"/>
    <w:rsid w:val="05E2263B"/>
    <w:rsid w:val="05E8B98A"/>
    <w:rsid w:val="0609E4C5"/>
    <w:rsid w:val="0610D826"/>
    <w:rsid w:val="064F3265"/>
    <w:rsid w:val="06742F6C"/>
    <w:rsid w:val="069D3644"/>
    <w:rsid w:val="06AD534B"/>
    <w:rsid w:val="06AEDA76"/>
    <w:rsid w:val="06B76B86"/>
    <w:rsid w:val="06C50EF5"/>
    <w:rsid w:val="06F29689"/>
    <w:rsid w:val="06FFE970"/>
    <w:rsid w:val="0704F8D4"/>
    <w:rsid w:val="071E5791"/>
    <w:rsid w:val="0727CDF0"/>
    <w:rsid w:val="072AA682"/>
    <w:rsid w:val="072F593D"/>
    <w:rsid w:val="0735D571"/>
    <w:rsid w:val="0743D7DB"/>
    <w:rsid w:val="07783CCD"/>
    <w:rsid w:val="077A60B5"/>
    <w:rsid w:val="07A4710F"/>
    <w:rsid w:val="07BD21A0"/>
    <w:rsid w:val="07D543ED"/>
    <w:rsid w:val="07E38086"/>
    <w:rsid w:val="07FDB322"/>
    <w:rsid w:val="08702BF0"/>
    <w:rsid w:val="0873CF73"/>
    <w:rsid w:val="08B58163"/>
    <w:rsid w:val="08B6DF46"/>
    <w:rsid w:val="08BA201C"/>
    <w:rsid w:val="08D20A79"/>
    <w:rsid w:val="09039802"/>
    <w:rsid w:val="0914B3BD"/>
    <w:rsid w:val="0922F44F"/>
    <w:rsid w:val="093981AE"/>
    <w:rsid w:val="09596FBC"/>
    <w:rsid w:val="0960F4D4"/>
    <w:rsid w:val="09849C7B"/>
    <w:rsid w:val="09B2B274"/>
    <w:rsid w:val="09B552CE"/>
    <w:rsid w:val="09CFE506"/>
    <w:rsid w:val="09F618D3"/>
    <w:rsid w:val="0A05176E"/>
    <w:rsid w:val="0A2F3CDF"/>
    <w:rsid w:val="0A2F7E83"/>
    <w:rsid w:val="0A4E0F20"/>
    <w:rsid w:val="0A59B719"/>
    <w:rsid w:val="0A6ACADD"/>
    <w:rsid w:val="0A7927F8"/>
    <w:rsid w:val="0A81E2D0"/>
    <w:rsid w:val="0A83FA5E"/>
    <w:rsid w:val="0AD709D4"/>
    <w:rsid w:val="0B044D58"/>
    <w:rsid w:val="0B2B51FF"/>
    <w:rsid w:val="0B2BF27D"/>
    <w:rsid w:val="0B318A57"/>
    <w:rsid w:val="0B7F2B32"/>
    <w:rsid w:val="0B8A4A5D"/>
    <w:rsid w:val="0BB4A845"/>
    <w:rsid w:val="0BD1532B"/>
    <w:rsid w:val="0BE6B1B1"/>
    <w:rsid w:val="0C162097"/>
    <w:rsid w:val="0C363BDA"/>
    <w:rsid w:val="0C41F132"/>
    <w:rsid w:val="0C4BA3B3"/>
    <w:rsid w:val="0C55CEAD"/>
    <w:rsid w:val="0C5E7B40"/>
    <w:rsid w:val="0C6DC81A"/>
    <w:rsid w:val="0CA1EB72"/>
    <w:rsid w:val="0CA379E9"/>
    <w:rsid w:val="0CA432F8"/>
    <w:rsid w:val="0CA770F7"/>
    <w:rsid w:val="0CB6EB10"/>
    <w:rsid w:val="0CC23F12"/>
    <w:rsid w:val="0CC6032E"/>
    <w:rsid w:val="0D08E431"/>
    <w:rsid w:val="0D813F86"/>
    <w:rsid w:val="0DA93796"/>
    <w:rsid w:val="0DAED3B8"/>
    <w:rsid w:val="0DBF827C"/>
    <w:rsid w:val="0DC4EDB0"/>
    <w:rsid w:val="0DC63675"/>
    <w:rsid w:val="0DCBFF5A"/>
    <w:rsid w:val="0DD4B471"/>
    <w:rsid w:val="0DDC9933"/>
    <w:rsid w:val="0DF4B0A2"/>
    <w:rsid w:val="0E0925C9"/>
    <w:rsid w:val="0E11DD0C"/>
    <w:rsid w:val="0E15129E"/>
    <w:rsid w:val="0E30E41F"/>
    <w:rsid w:val="0E4AB47E"/>
    <w:rsid w:val="0E65984A"/>
    <w:rsid w:val="0E77B209"/>
    <w:rsid w:val="0E802266"/>
    <w:rsid w:val="0EA98078"/>
    <w:rsid w:val="0EAD5526"/>
    <w:rsid w:val="0EE3AAC6"/>
    <w:rsid w:val="0F1DFA31"/>
    <w:rsid w:val="0F239BAC"/>
    <w:rsid w:val="0F695F3B"/>
    <w:rsid w:val="0F8919EE"/>
    <w:rsid w:val="0FCA0AEB"/>
    <w:rsid w:val="0FCB13FE"/>
    <w:rsid w:val="0FE3D4A2"/>
    <w:rsid w:val="0FED4012"/>
    <w:rsid w:val="100D8ACE"/>
    <w:rsid w:val="10193916"/>
    <w:rsid w:val="1024F89C"/>
    <w:rsid w:val="103ECC7B"/>
    <w:rsid w:val="10488AFA"/>
    <w:rsid w:val="1060C886"/>
    <w:rsid w:val="10704959"/>
    <w:rsid w:val="1082C4A8"/>
    <w:rsid w:val="108A0587"/>
    <w:rsid w:val="10AAFE75"/>
    <w:rsid w:val="10AD9E4E"/>
    <w:rsid w:val="10C48317"/>
    <w:rsid w:val="10FAFA76"/>
    <w:rsid w:val="111099B1"/>
    <w:rsid w:val="111B54B7"/>
    <w:rsid w:val="111E41E7"/>
    <w:rsid w:val="1136BC01"/>
    <w:rsid w:val="113CEA79"/>
    <w:rsid w:val="11754FBB"/>
    <w:rsid w:val="11795701"/>
    <w:rsid w:val="1181AFA2"/>
    <w:rsid w:val="11B5B323"/>
    <w:rsid w:val="11BAAF0E"/>
    <w:rsid w:val="11BDE648"/>
    <w:rsid w:val="11C056D6"/>
    <w:rsid w:val="11C71FC5"/>
    <w:rsid w:val="1200B48A"/>
    <w:rsid w:val="120739E6"/>
    <w:rsid w:val="1213B8C5"/>
    <w:rsid w:val="12193556"/>
    <w:rsid w:val="1231510A"/>
    <w:rsid w:val="123B190D"/>
    <w:rsid w:val="125A66C4"/>
    <w:rsid w:val="1284CAC1"/>
    <w:rsid w:val="12B91D56"/>
    <w:rsid w:val="12BC6E2E"/>
    <w:rsid w:val="12BC9772"/>
    <w:rsid w:val="12D685E3"/>
    <w:rsid w:val="12D980AC"/>
    <w:rsid w:val="12EB99FC"/>
    <w:rsid w:val="1301172C"/>
    <w:rsid w:val="13046988"/>
    <w:rsid w:val="13047ABB"/>
    <w:rsid w:val="133F0EC4"/>
    <w:rsid w:val="1343BCE5"/>
    <w:rsid w:val="134B53D1"/>
    <w:rsid w:val="134E9435"/>
    <w:rsid w:val="1369BB08"/>
    <w:rsid w:val="13AB49BA"/>
    <w:rsid w:val="13C2AEA7"/>
    <w:rsid w:val="13ED87E5"/>
    <w:rsid w:val="13EFAC29"/>
    <w:rsid w:val="13F18E61"/>
    <w:rsid w:val="13FDC473"/>
    <w:rsid w:val="1407F5A5"/>
    <w:rsid w:val="1419F4B1"/>
    <w:rsid w:val="143B9DC5"/>
    <w:rsid w:val="143F0EE7"/>
    <w:rsid w:val="14673206"/>
    <w:rsid w:val="14808261"/>
    <w:rsid w:val="148EE80E"/>
    <w:rsid w:val="14A440F1"/>
    <w:rsid w:val="14B36338"/>
    <w:rsid w:val="14BCD13D"/>
    <w:rsid w:val="14C78FCB"/>
    <w:rsid w:val="14DD44B8"/>
    <w:rsid w:val="14EA36F8"/>
    <w:rsid w:val="152BF234"/>
    <w:rsid w:val="15331BED"/>
    <w:rsid w:val="1551677E"/>
    <w:rsid w:val="1558693A"/>
    <w:rsid w:val="1559058D"/>
    <w:rsid w:val="1568FADE"/>
    <w:rsid w:val="157F922E"/>
    <w:rsid w:val="158F5E20"/>
    <w:rsid w:val="159709E3"/>
    <w:rsid w:val="15B03C85"/>
    <w:rsid w:val="15CEC220"/>
    <w:rsid w:val="15D5A7BE"/>
    <w:rsid w:val="15E38B72"/>
    <w:rsid w:val="15E3B7B1"/>
    <w:rsid w:val="16332818"/>
    <w:rsid w:val="169A6F7D"/>
    <w:rsid w:val="16A50F50"/>
    <w:rsid w:val="16A92701"/>
    <w:rsid w:val="16B26D5F"/>
    <w:rsid w:val="16C75680"/>
    <w:rsid w:val="16C87645"/>
    <w:rsid w:val="16C943F7"/>
    <w:rsid w:val="16CA21CF"/>
    <w:rsid w:val="16E02AED"/>
    <w:rsid w:val="16E6EB46"/>
    <w:rsid w:val="16F10B5E"/>
    <w:rsid w:val="16F6A066"/>
    <w:rsid w:val="16FA1447"/>
    <w:rsid w:val="17035805"/>
    <w:rsid w:val="170F98B9"/>
    <w:rsid w:val="1714DA05"/>
    <w:rsid w:val="1733B470"/>
    <w:rsid w:val="173B46F8"/>
    <w:rsid w:val="173BD5A0"/>
    <w:rsid w:val="174003F6"/>
    <w:rsid w:val="1740ABA6"/>
    <w:rsid w:val="17425D27"/>
    <w:rsid w:val="174636C4"/>
    <w:rsid w:val="175EDE97"/>
    <w:rsid w:val="1770C3BD"/>
    <w:rsid w:val="177794FC"/>
    <w:rsid w:val="17899A1C"/>
    <w:rsid w:val="17A4C32D"/>
    <w:rsid w:val="17C91B28"/>
    <w:rsid w:val="17E0AB5B"/>
    <w:rsid w:val="17EA5585"/>
    <w:rsid w:val="17EC9C66"/>
    <w:rsid w:val="17FEC2E9"/>
    <w:rsid w:val="180319B8"/>
    <w:rsid w:val="1829ECD5"/>
    <w:rsid w:val="1849AA15"/>
    <w:rsid w:val="1862545D"/>
    <w:rsid w:val="19115C83"/>
    <w:rsid w:val="191C11AF"/>
    <w:rsid w:val="193D3964"/>
    <w:rsid w:val="19518363"/>
    <w:rsid w:val="19650497"/>
    <w:rsid w:val="198BE593"/>
    <w:rsid w:val="19B4A7A7"/>
    <w:rsid w:val="19BCFCBA"/>
    <w:rsid w:val="19CCDAFC"/>
    <w:rsid w:val="19DF292A"/>
    <w:rsid w:val="1A2402D5"/>
    <w:rsid w:val="1A28E960"/>
    <w:rsid w:val="1A2AD9C0"/>
    <w:rsid w:val="1A41B64B"/>
    <w:rsid w:val="1A51411F"/>
    <w:rsid w:val="1A5804ED"/>
    <w:rsid w:val="1A608E30"/>
    <w:rsid w:val="1A70AF4C"/>
    <w:rsid w:val="1A7CA128"/>
    <w:rsid w:val="1A896E25"/>
    <w:rsid w:val="1A99CD02"/>
    <w:rsid w:val="1AAA0531"/>
    <w:rsid w:val="1AE3FEE0"/>
    <w:rsid w:val="1AE72A12"/>
    <w:rsid w:val="1B0B934D"/>
    <w:rsid w:val="1B1B0DBE"/>
    <w:rsid w:val="1B358C34"/>
    <w:rsid w:val="1B36972A"/>
    <w:rsid w:val="1B4E447D"/>
    <w:rsid w:val="1B51F1EA"/>
    <w:rsid w:val="1B8A5FA8"/>
    <w:rsid w:val="1B8E7DFC"/>
    <w:rsid w:val="1B8E8824"/>
    <w:rsid w:val="1BA4FB30"/>
    <w:rsid w:val="1BAFA219"/>
    <w:rsid w:val="1BC2ACD3"/>
    <w:rsid w:val="1BC961CD"/>
    <w:rsid w:val="1BD2CBAC"/>
    <w:rsid w:val="1BEB26F9"/>
    <w:rsid w:val="1C1A8C17"/>
    <w:rsid w:val="1C3688A7"/>
    <w:rsid w:val="1C446DF8"/>
    <w:rsid w:val="1C6F3745"/>
    <w:rsid w:val="1C70B738"/>
    <w:rsid w:val="1C805EB7"/>
    <w:rsid w:val="1C99789A"/>
    <w:rsid w:val="1CA83292"/>
    <w:rsid w:val="1CAA7084"/>
    <w:rsid w:val="1CC744FB"/>
    <w:rsid w:val="1CCEAC63"/>
    <w:rsid w:val="1CCECCDF"/>
    <w:rsid w:val="1CD625F5"/>
    <w:rsid w:val="1CEB9DC5"/>
    <w:rsid w:val="1CED0751"/>
    <w:rsid w:val="1CFD220F"/>
    <w:rsid w:val="1D296AEE"/>
    <w:rsid w:val="1D3833C1"/>
    <w:rsid w:val="1D6DB591"/>
    <w:rsid w:val="1DA4B048"/>
    <w:rsid w:val="1DABCF96"/>
    <w:rsid w:val="1DC7477F"/>
    <w:rsid w:val="1DE46D14"/>
    <w:rsid w:val="1DEAC970"/>
    <w:rsid w:val="1E41E423"/>
    <w:rsid w:val="1E46BDAD"/>
    <w:rsid w:val="1E4DEFFE"/>
    <w:rsid w:val="1E52169C"/>
    <w:rsid w:val="1E630A28"/>
    <w:rsid w:val="1E6FFB10"/>
    <w:rsid w:val="1E8C918A"/>
    <w:rsid w:val="1ECE6D27"/>
    <w:rsid w:val="1ED60C36"/>
    <w:rsid w:val="1ED7C8F4"/>
    <w:rsid w:val="1EE578A7"/>
    <w:rsid w:val="1F0FA2D3"/>
    <w:rsid w:val="1F1193BB"/>
    <w:rsid w:val="1F2E6E54"/>
    <w:rsid w:val="1F6F92E8"/>
    <w:rsid w:val="1F8CBF76"/>
    <w:rsid w:val="1FC3AB3D"/>
    <w:rsid w:val="1FD8E43A"/>
    <w:rsid w:val="1FDA9F0F"/>
    <w:rsid w:val="1FEF4915"/>
    <w:rsid w:val="20218F8B"/>
    <w:rsid w:val="2046CD85"/>
    <w:rsid w:val="2058B831"/>
    <w:rsid w:val="2058EB02"/>
    <w:rsid w:val="2063BE59"/>
    <w:rsid w:val="206B9460"/>
    <w:rsid w:val="206DEA51"/>
    <w:rsid w:val="20870404"/>
    <w:rsid w:val="208934FD"/>
    <w:rsid w:val="208E131D"/>
    <w:rsid w:val="209ADE60"/>
    <w:rsid w:val="20AF2222"/>
    <w:rsid w:val="20B0D8EF"/>
    <w:rsid w:val="20D14BCF"/>
    <w:rsid w:val="20DB516C"/>
    <w:rsid w:val="20DC0C9D"/>
    <w:rsid w:val="20E55E55"/>
    <w:rsid w:val="211208DF"/>
    <w:rsid w:val="212999AC"/>
    <w:rsid w:val="213AB781"/>
    <w:rsid w:val="214AB47C"/>
    <w:rsid w:val="214ECFFC"/>
    <w:rsid w:val="214FD463"/>
    <w:rsid w:val="2178198F"/>
    <w:rsid w:val="2182BCB1"/>
    <w:rsid w:val="21876730"/>
    <w:rsid w:val="2193763B"/>
    <w:rsid w:val="219CB4D9"/>
    <w:rsid w:val="21C85FAE"/>
    <w:rsid w:val="21E3855A"/>
    <w:rsid w:val="2219D9C9"/>
    <w:rsid w:val="2220077E"/>
    <w:rsid w:val="2236F11D"/>
    <w:rsid w:val="2240CC61"/>
    <w:rsid w:val="22469276"/>
    <w:rsid w:val="22490D01"/>
    <w:rsid w:val="225F0FB5"/>
    <w:rsid w:val="225F8C97"/>
    <w:rsid w:val="2262A49A"/>
    <w:rsid w:val="229638D3"/>
    <w:rsid w:val="22A0E2D8"/>
    <w:rsid w:val="22B22BC1"/>
    <w:rsid w:val="22BF3FD1"/>
    <w:rsid w:val="22D48047"/>
    <w:rsid w:val="22DF3208"/>
    <w:rsid w:val="22E684DD"/>
    <w:rsid w:val="22EE3B86"/>
    <w:rsid w:val="22FF3252"/>
    <w:rsid w:val="230B9766"/>
    <w:rsid w:val="231ADD09"/>
    <w:rsid w:val="2323EAE2"/>
    <w:rsid w:val="2328E310"/>
    <w:rsid w:val="232916FE"/>
    <w:rsid w:val="234AFD5D"/>
    <w:rsid w:val="234B4F9F"/>
    <w:rsid w:val="234F336C"/>
    <w:rsid w:val="2368E1D1"/>
    <w:rsid w:val="236EB5AF"/>
    <w:rsid w:val="2384CBBA"/>
    <w:rsid w:val="239021BB"/>
    <w:rsid w:val="2392079F"/>
    <w:rsid w:val="23B14DE2"/>
    <w:rsid w:val="23B3D7E1"/>
    <w:rsid w:val="23B3F8EE"/>
    <w:rsid w:val="23B82230"/>
    <w:rsid w:val="23C57374"/>
    <w:rsid w:val="23CDC7BE"/>
    <w:rsid w:val="23FF8D74"/>
    <w:rsid w:val="2409D281"/>
    <w:rsid w:val="242A1BD6"/>
    <w:rsid w:val="2430B5CC"/>
    <w:rsid w:val="243169EE"/>
    <w:rsid w:val="24365F75"/>
    <w:rsid w:val="2473533F"/>
    <w:rsid w:val="24BFED19"/>
    <w:rsid w:val="24C83298"/>
    <w:rsid w:val="24CC4053"/>
    <w:rsid w:val="24EB5704"/>
    <w:rsid w:val="250ACF36"/>
    <w:rsid w:val="25239067"/>
    <w:rsid w:val="2526AF4E"/>
    <w:rsid w:val="25359EFB"/>
    <w:rsid w:val="25455298"/>
    <w:rsid w:val="2549665D"/>
    <w:rsid w:val="25502FA9"/>
    <w:rsid w:val="255961CA"/>
    <w:rsid w:val="2565C492"/>
    <w:rsid w:val="2593893E"/>
    <w:rsid w:val="2594A03F"/>
    <w:rsid w:val="259C2A42"/>
    <w:rsid w:val="25C7E46F"/>
    <w:rsid w:val="25CB1B47"/>
    <w:rsid w:val="25CC4B89"/>
    <w:rsid w:val="25DAC3D9"/>
    <w:rsid w:val="2600F928"/>
    <w:rsid w:val="26126B14"/>
    <w:rsid w:val="262A60C7"/>
    <w:rsid w:val="265AAF6B"/>
    <w:rsid w:val="266015AE"/>
    <w:rsid w:val="26614452"/>
    <w:rsid w:val="2672C560"/>
    <w:rsid w:val="26831D01"/>
    <w:rsid w:val="269B3154"/>
    <w:rsid w:val="26A1B9E9"/>
    <w:rsid w:val="26B276C4"/>
    <w:rsid w:val="26BEB968"/>
    <w:rsid w:val="26E4FE7F"/>
    <w:rsid w:val="26ED21F8"/>
    <w:rsid w:val="26FC0968"/>
    <w:rsid w:val="2706F224"/>
    <w:rsid w:val="270FFE6F"/>
    <w:rsid w:val="27134052"/>
    <w:rsid w:val="27137C69"/>
    <w:rsid w:val="272C977E"/>
    <w:rsid w:val="2733B687"/>
    <w:rsid w:val="274AB348"/>
    <w:rsid w:val="276281AC"/>
    <w:rsid w:val="27826AD8"/>
    <w:rsid w:val="2795F2BB"/>
    <w:rsid w:val="27989AA9"/>
    <w:rsid w:val="27B2B8AB"/>
    <w:rsid w:val="27B43397"/>
    <w:rsid w:val="27C3ADC5"/>
    <w:rsid w:val="27C89D7F"/>
    <w:rsid w:val="27E9E91A"/>
    <w:rsid w:val="27F4E8BA"/>
    <w:rsid w:val="2816B3CB"/>
    <w:rsid w:val="281CBAE1"/>
    <w:rsid w:val="2838B4A7"/>
    <w:rsid w:val="28399231"/>
    <w:rsid w:val="2857F57C"/>
    <w:rsid w:val="2864A248"/>
    <w:rsid w:val="28654358"/>
    <w:rsid w:val="28671B9E"/>
    <w:rsid w:val="2867573D"/>
    <w:rsid w:val="2870B11C"/>
    <w:rsid w:val="288EC614"/>
    <w:rsid w:val="28961B27"/>
    <w:rsid w:val="28A359EF"/>
    <w:rsid w:val="28A68232"/>
    <w:rsid w:val="28B5C2B0"/>
    <w:rsid w:val="28CD0905"/>
    <w:rsid w:val="28D1EC01"/>
    <w:rsid w:val="28DD225F"/>
    <w:rsid w:val="28E56225"/>
    <w:rsid w:val="28E6C8DA"/>
    <w:rsid w:val="28EA0D4E"/>
    <w:rsid w:val="28EE5B4B"/>
    <w:rsid w:val="28F6604C"/>
    <w:rsid w:val="29174A61"/>
    <w:rsid w:val="291A7A79"/>
    <w:rsid w:val="292A01D1"/>
    <w:rsid w:val="29478BF5"/>
    <w:rsid w:val="29555A43"/>
    <w:rsid w:val="2971A744"/>
    <w:rsid w:val="29721C9F"/>
    <w:rsid w:val="2A06A209"/>
    <w:rsid w:val="2A295CED"/>
    <w:rsid w:val="2A30E4D1"/>
    <w:rsid w:val="2A436A81"/>
    <w:rsid w:val="2A441265"/>
    <w:rsid w:val="2A5BD72B"/>
    <w:rsid w:val="2A8B8527"/>
    <w:rsid w:val="2A965930"/>
    <w:rsid w:val="2AAC7470"/>
    <w:rsid w:val="2ABFF57D"/>
    <w:rsid w:val="2AEEE33C"/>
    <w:rsid w:val="2B463E6C"/>
    <w:rsid w:val="2B637A5A"/>
    <w:rsid w:val="2B6AFF3B"/>
    <w:rsid w:val="2B8822EA"/>
    <w:rsid w:val="2B8A98DD"/>
    <w:rsid w:val="2B9E7C7D"/>
    <w:rsid w:val="2BA729D7"/>
    <w:rsid w:val="2BC64B4E"/>
    <w:rsid w:val="2BCBA3B7"/>
    <w:rsid w:val="2BFDCD68"/>
    <w:rsid w:val="2C0AFCEA"/>
    <w:rsid w:val="2C4B0C0D"/>
    <w:rsid w:val="2C52017B"/>
    <w:rsid w:val="2C77FACE"/>
    <w:rsid w:val="2CA4F1E8"/>
    <w:rsid w:val="2CB5619F"/>
    <w:rsid w:val="2CEFA051"/>
    <w:rsid w:val="2D439FFD"/>
    <w:rsid w:val="2D50B19D"/>
    <w:rsid w:val="2D70A3BA"/>
    <w:rsid w:val="2D8DC2B7"/>
    <w:rsid w:val="2D8F01E8"/>
    <w:rsid w:val="2DA7EDD0"/>
    <w:rsid w:val="2DCE0DD0"/>
    <w:rsid w:val="2DF3118B"/>
    <w:rsid w:val="2E181036"/>
    <w:rsid w:val="2E22766D"/>
    <w:rsid w:val="2E30088A"/>
    <w:rsid w:val="2E30E540"/>
    <w:rsid w:val="2E3312FF"/>
    <w:rsid w:val="2E523574"/>
    <w:rsid w:val="2E595C41"/>
    <w:rsid w:val="2E694F94"/>
    <w:rsid w:val="2E7963E3"/>
    <w:rsid w:val="2E8C44FD"/>
    <w:rsid w:val="2E92394A"/>
    <w:rsid w:val="2EB487BA"/>
    <w:rsid w:val="2ED725A1"/>
    <w:rsid w:val="2F062A97"/>
    <w:rsid w:val="2F0BA56C"/>
    <w:rsid w:val="2F2CDFF1"/>
    <w:rsid w:val="2F2D0A78"/>
    <w:rsid w:val="2F5E48FC"/>
    <w:rsid w:val="2FAEDC6B"/>
    <w:rsid w:val="2FFD101A"/>
    <w:rsid w:val="30078D56"/>
    <w:rsid w:val="3026832F"/>
    <w:rsid w:val="30407372"/>
    <w:rsid w:val="304B0C1B"/>
    <w:rsid w:val="307AB0B7"/>
    <w:rsid w:val="307DBA81"/>
    <w:rsid w:val="30831345"/>
    <w:rsid w:val="30888F56"/>
    <w:rsid w:val="30981093"/>
    <w:rsid w:val="30AB4EE7"/>
    <w:rsid w:val="30D808A1"/>
    <w:rsid w:val="30DE2448"/>
    <w:rsid w:val="310D9141"/>
    <w:rsid w:val="312A78DA"/>
    <w:rsid w:val="312EAE1F"/>
    <w:rsid w:val="3150B282"/>
    <w:rsid w:val="3190EFD0"/>
    <w:rsid w:val="319F5360"/>
    <w:rsid w:val="31AA40A2"/>
    <w:rsid w:val="31AE7D03"/>
    <w:rsid w:val="31D63514"/>
    <w:rsid w:val="31D6E6FE"/>
    <w:rsid w:val="31E3531B"/>
    <w:rsid w:val="31EEA192"/>
    <w:rsid w:val="320852E7"/>
    <w:rsid w:val="3212EDB0"/>
    <w:rsid w:val="32131DFA"/>
    <w:rsid w:val="321A579C"/>
    <w:rsid w:val="321D54DE"/>
    <w:rsid w:val="32303E3B"/>
    <w:rsid w:val="32422424"/>
    <w:rsid w:val="325F9020"/>
    <w:rsid w:val="328525CB"/>
    <w:rsid w:val="3285F096"/>
    <w:rsid w:val="32B91407"/>
    <w:rsid w:val="32BC0FDE"/>
    <w:rsid w:val="32C1AF6E"/>
    <w:rsid w:val="32ED84A5"/>
    <w:rsid w:val="32F81413"/>
    <w:rsid w:val="32FFC6CF"/>
    <w:rsid w:val="33106626"/>
    <w:rsid w:val="332ACEDD"/>
    <w:rsid w:val="33362AA7"/>
    <w:rsid w:val="3383405F"/>
    <w:rsid w:val="33A8552D"/>
    <w:rsid w:val="33B1621D"/>
    <w:rsid w:val="33C0D461"/>
    <w:rsid w:val="33F42B32"/>
    <w:rsid w:val="3442D910"/>
    <w:rsid w:val="346470D3"/>
    <w:rsid w:val="34730FDA"/>
    <w:rsid w:val="34879564"/>
    <w:rsid w:val="349EEB2B"/>
    <w:rsid w:val="34A97808"/>
    <w:rsid w:val="34AC16CF"/>
    <w:rsid w:val="34C51B29"/>
    <w:rsid w:val="34CBF949"/>
    <w:rsid w:val="34D6064B"/>
    <w:rsid w:val="35246ECC"/>
    <w:rsid w:val="352E1E44"/>
    <w:rsid w:val="354F2E97"/>
    <w:rsid w:val="355242EB"/>
    <w:rsid w:val="355F0BE8"/>
    <w:rsid w:val="3580E0D8"/>
    <w:rsid w:val="35A870FB"/>
    <w:rsid w:val="35B2CBF0"/>
    <w:rsid w:val="35C8261C"/>
    <w:rsid w:val="35D2A3BE"/>
    <w:rsid w:val="360008D6"/>
    <w:rsid w:val="360CB1BD"/>
    <w:rsid w:val="3614AE94"/>
    <w:rsid w:val="361D7F2C"/>
    <w:rsid w:val="361ED238"/>
    <w:rsid w:val="3630D926"/>
    <w:rsid w:val="36356F53"/>
    <w:rsid w:val="36408FC7"/>
    <w:rsid w:val="3646E793"/>
    <w:rsid w:val="364A6C41"/>
    <w:rsid w:val="36609361"/>
    <w:rsid w:val="36778925"/>
    <w:rsid w:val="36E99698"/>
    <w:rsid w:val="37031757"/>
    <w:rsid w:val="37058272"/>
    <w:rsid w:val="37279F80"/>
    <w:rsid w:val="372CE73F"/>
    <w:rsid w:val="3738EDB7"/>
    <w:rsid w:val="374DAACA"/>
    <w:rsid w:val="3771BBAE"/>
    <w:rsid w:val="3785BC89"/>
    <w:rsid w:val="379F499F"/>
    <w:rsid w:val="37A85824"/>
    <w:rsid w:val="37C692CD"/>
    <w:rsid w:val="37C769D0"/>
    <w:rsid w:val="37D4F509"/>
    <w:rsid w:val="37E5D90B"/>
    <w:rsid w:val="37E6C0DE"/>
    <w:rsid w:val="37F84488"/>
    <w:rsid w:val="37F88652"/>
    <w:rsid w:val="380EAA84"/>
    <w:rsid w:val="3824177B"/>
    <w:rsid w:val="3834AF88"/>
    <w:rsid w:val="3839EC15"/>
    <w:rsid w:val="3849E73D"/>
    <w:rsid w:val="384C5A38"/>
    <w:rsid w:val="385B6153"/>
    <w:rsid w:val="385DEBF1"/>
    <w:rsid w:val="38706437"/>
    <w:rsid w:val="3885E093"/>
    <w:rsid w:val="3896DF8E"/>
    <w:rsid w:val="38ABC2F6"/>
    <w:rsid w:val="38AE1AE6"/>
    <w:rsid w:val="38D53708"/>
    <w:rsid w:val="38F5E0C7"/>
    <w:rsid w:val="39189357"/>
    <w:rsid w:val="3919141D"/>
    <w:rsid w:val="393FB732"/>
    <w:rsid w:val="394F5FC4"/>
    <w:rsid w:val="39567C83"/>
    <w:rsid w:val="39584EFE"/>
    <w:rsid w:val="395B5317"/>
    <w:rsid w:val="396813C4"/>
    <w:rsid w:val="399ACAB1"/>
    <w:rsid w:val="39D64529"/>
    <w:rsid w:val="39DF5DCF"/>
    <w:rsid w:val="39F1E4CA"/>
    <w:rsid w:val="3A1623E3"/>
    <w:rsid w:val="3A2E51C3"/>
    <w:rsid w:val="3A505A7B"/>
    <w:rsid w:val="3A5DD318"/>
    <w:rsid w:val="3A6DF3DE"/>
    <w:rsid w:val="3A73E977"/>
    <w:rsid w:val="3A74FEDD"/>
    <w:rsid w:val="3A84B414"/>
    <w:rsid w:val="3A850C3B"/>
    <w:rsid w:val="3AB51596"/>
    <w:rsid w:val="3ACF1E2B"/>
    <w:rsid w:val="3AE9CAC7"/>
    <w:rsid w:val="3AEFAE03"/>
    <w:rsid w:val="3B03851A"/>
    <w:rsid w:val="3B24F632"/>
    <w:rsid w:val="3B259F4B"/>
    <w:rsid w:val="3B2E5F5A"/>
    <w:rsid w:val="3B9D94F0"/>
    <w:rsid w:val="3BB81B84"/>
    <w:rsid w:val="3BE6155A"/>
    <w:rsid w:val="3C020238"/>
    <w:rsid w:val="3C1438E4"/>
    <w:rsid w:val="3C3A81B3"/>
    <w:rsid w:val="3C3F6F95"/>
    <w:rsid w:val="3C50A323"/>
    <w:rsid w:val="3C79D0A4"/>
    <w:rsid w:val="3C84F18E"/>
    <w:rsid w:val="3CA8B254"/>
    <w:rsid w:val="3CB71A9E"/>
    <w:rsid w:val="3CC0EE6A"/>
    <w:rsid w:val="3CCA6F86"/>
    <w:rsid w:val="3CE97B74"/>
    <w:rsid w:val="3CF13123"/>
    <w:rsid w:val="3D385A60"/>
    <w:rsid w:val="3D517497"/>
    <w:rsid w:val="3D7AF54F"/>
    <w:rsid w:val="3D9C6446"/>
    <w:rsid w:val="3E07684B"/>
    <w:rsid w:val="3E08B5D4"/>
    <w:rsid w:val="3E395F74"/>
    <w:rsid w:val="3E4DB5FF"/>
    <w:rsid w:val="3E549234"/>
    <w:rsid w:val="3E567C09"/>
    <w:rsid w:val="3E955737"/>
    <w:rsid w:val="3EA13D82"/>
    <w:rsid w:val="3EBCEFFA"/>
    <w:rsid w:val="3EBDB9F0"/>
    <w:rsid w:val="3ECB585C"/>
    <w:rsid w:val="3EE0153B"/>
    <w:rsid w:val="3EFE02F5"/>
    <w:rsid w:val="3F02BA5D"/>
    <w:rsid w:val="3F109803"/>
    <w:rsid w:val="3F520112"/>
    <w:rsid w:val="3F6FB0DE"/>
    <w:rsid w:val="3F7EC0A6"/>
    <w:rsid w:val="3F87859A"/>
    <w:rsid w:val="3F93E146"/>
    <w:rsid w:val="3F9B5262"/>
    <w:rsid w:val="3F9B888F"/>
    <w:rsid w:val="3FA34344"/>
    <w:rsid w:val="3FA4FE30"/>
    <w:rsid w:val="3FC2F7D1"/>
    <w:rsid w:val="3FC9682A"/>
    <w:rsid w:val="3FD62A7B"/>
    <w:rsid w:val="3FEB66FA"/>
    <w:rsid w:val="3FED6553"/>
    <w:rsid w:val="3FFA4899"/>
    <w:rsid w:val="401E9EDC"/>
    <w:rsid w:val="402C17F6"/>
    <w:rsid w:val="403A91E7"/>
    <w:rsid w:val="40403261"/>
    <w:rsid w:val="404F73FF"/>
    <w:rsid w:val="405A9F85"/>
    <w:rsid w:val="4060A2E1"/>
    <w:rsid w:val="4061791F"/>
    <w:rsid w:val="40792E71"/>
    <w:rsid w:val="408ED38D"/>
    <w:rsid w:val="40C29F05"/>
    <w:rsid w:val="40D293FA"/>
    <w:rsid w:val="40E29CA4"/>
    <w:rsid w:val="411FB16E"/>
    <w:rsid w:val="41252C43"/>
    <w:rsid w:val="4145BC7D"/>
    <w:rsid w:val="414A7336"/>
    <w:rsid w:val="41679566"/>
    <w:rsid w:val="416F38CE"/>
    <w:rsid w:val="417DE04A"/>
    <w:rsid w:val="41BE7B28"/>
    <w:rsid w:val="423AC56F"/>
    <w:rsid w:val="42448FD3"/>
    <w:rsid w:val="424F0917"/>
    <w:rsid w:val="42654E51"/>
    <w:rsid w:val="426CF63C"/>
    <w:rsid w:val="42A22EA6"/>
    <w:rsid w:val="42D562E3"/>
    <w:rsid w:val="42E58DF1"/>
    <w:rsid w:val="42E75643"/>
    <w:rsid w:val="42F1D835"/>
    <w:rsid w:val="42FA6FEF"/>
    <w:rsid w:val="4305B2A5"/>
    <w:rsid w:val="4357EC30"/>
    <w:rsid w:val="435F7FA7"/>
    <w:rsid w:val="43AACE38"/>
    <w:rsid w:val="43E4DA4C"/>
    <w:rsid w:val="43F66714"/>
    <w:rsid w:val="43F8B01E"/>
    <w:rsid w:val="441825DC"/>
    <w:rsid w:val="442896D1"/>
    <w:rsid w:val="4441688A"/>
    <w:rsid w:val="445C0BDB"/>
    <w:rsid w:val="447CA8B4"/>
    <w:rsid w:val="449602E7"/>
    <w:rsid w:val="44A213BA"/>
    <w:rsid w:val="45033C93"/>
    <w:rsid w:val="4532CFD5"/>
    <w:rsid w:val="457EDD85"/>
    <w:rsid w:val="45955674"/>
    <w:rsid w:val="45B1A29E"/>
    <w:rsid w:val="45C150BA"/>
    <w:rsid w:val="45CC91BA"/>
    <w:rsid w:val="45CCE778"/>
    <w:rsid w:val="45D8D158"/>
    <w:rsid w:val="4600423F"/>
    <w:rsid w:val="46083326"/>
    <w:rsid w:val="463173CD"/>
    <w:rsid w:val="4655AD4A"/>
    <w:rsid w:val="46880F4F"/>
    <w:rsid w:val="46975566"/>
    <w:rsid w:val="469D1364"/>
    <w:rsid w:val="46A2F5B6"/>
    <w:rsid w:val="472987B2"/>
    <w:rsid w:val="473C95BE"/>
    <w:rsid w:val="4760BA00"/>
    <w:rsid w:val="476F523B"/>
    <w:rsid w:val="477343FE"/>
    <w:rsid w:val="47E0E366"/>
    <w:rsid w:val="47E18ED4"/>
    <w:rsid w:val="47E9B641"/>
    <w:rsid w:val="47F2AA08"/>
    <w:rsid w:val="47F89E55"/>
    <w:rsid w:val="4817BB95"/>
    <w:rsid w:val="481D4DA4"/>
    <w:rsid w:val="488D9C55"/>
    <w:rsid w:val="489FC4AA"/>
    <w:rsid w:val="48A3B4F9"/>
    <w:rsid w:val="48FEA4D8"/>
    <w:rsid w:val="49018E73"/>
    <w:rsid w:val="4909066F"/>
    <w:rsid w:val="4912838E"/>
    <w:rsid w:val="4913726C"/>
    <w:rsid w:val="491C828B"/>
    <w:rsid w:val="4925DEDC"/>
    <w:rsid w:val="494017A9"/>
    <w:rsid w:val="495A6442"/>
    <w:rsid w:val="496E9C4E"/>
    <w:rsid w:val="49794E93"/>
    <w:rsid w:val="499677EA"/>
    <w:rsid w:val="499F4BF2"/>
    <w:rsid w:val="49C66466"/>
    <w:rsid w:val="49EDA9FF"/>
    <w:rsid w:val="49F94B9D"/>
    <w:rsid w:val="4A0DE9BF"/>
    <w:rsid w:val="4A2CF178"/>
    <w:rsid w:val="4A3E7FF5"/>
    <w:rsid w:val="4A482974"/>
    <w:rsid w:val="4A4A09E4"/>
    <w:rsid w:val="4A96E912"/>
    <w:rsid w:val="4AA39EB1"/>
    <w:rsid w:val="4AC2860F"/>
    <w:rsid w:val="4AD44D4E"/>
    <w:rsid w:val="4B246183"/>
    <w:rsid w:val="4B26FB0C"/>
    <w:rsid w:val="4B3516F2"/>
    <w:rsid w:val="4B4F1CE5"/>
    <w:rsid w:val="4B7D2D29"/>
    <w:rsid w:val="4B80AF31"/>
    <w:rsid w:val="4B84A0C9"/>
    <w:rsid w:val="4B891388"/>
    <w:rsid w:val="4BAC9782"/>
    <w:rsid w:val="4BC9DC51"/>
    <w:rsid w:val="4BCF32DE"/>
    <w:rsid w:val="4BD1B383"/>
    <w:rsid w:val="4BE311F2"/>
    <w:rsid w:val="4BEE4DB4"/>
    <w:rsid w:val="4BF92FAD"/>
    <w:rsid w:val="4C063CB8"/>
    <w:rsid w:val="4C358554"/>
    <w:rsid w:val="4C5E43A0"/>
    <w:rsid w:val="4C7FF7C0"/>
    <w:rsid w:val="4C8986A3"/>
    <w:rsid w:val="4C95A1F5"/>
    <w:rsid w:val="4C9C4718"/>
    <w:rsid w:val="4CA6690E"/>
    <w:rsid w:val="4CCEE96A"/>
    <w:rsid w:val="4CD9A0D9"/>
    <w:rsid w:val="4CF5B99C"/>
    <w:rsid w:val="4D03122F"/>
    <w:rsid w:val="4D03D58D"/>
    <w:rsid w:val="4D15D605"/>
    <w:rsid w:val="4D251ED4"/>
    <w:rsid w:val="4D3189C1"/>
    <w:rsid w:val="4D434023"/>
    <w:rsid w:val="4D651611"/>
    <w:rsid w:val="4D748732"/>
    <w:rsid w:val="4D8201D7"/>
    <w:rsid w:val="4DA4D441"/>
    <w:rsid w:val="4DD3E7B2"/>
    <w:rsid w:val="4DE31ED0"/>
    <w:rsid w:val="4DEC37EE"/>
    <w:rsid w:val="4E0D98FD"/>
    <w:rsid w:val="4E0E8299"/>
    <w:rsid w:val="4E0ED3DE"/>
    <w:rsid w:val="4E23663A"/>
    <w:rsid w:val="4E42F338"/>
    <w:rsid w:val="4E4D23E5"/>
    <w:rsid w:val="4E5DDDAF"/>
    <w:rsid w:val="4E8EC4BE"/>
    <w:rsid w:val="4EC10695"/>
    <w:rsid w:val="4EE8D15D"/>
    <w:rsid w:val="4F3F2D79"/>
    <w:rsid w:val="4F6D156C"/>
    <w:rsid w:val="4F717303"/>
    <w:rsid w:val="4FCCB8CF"/>
    <w:rsid w:val="4FCE143A"/>
    <w:rsid w:val="4FD88AEB"/>
    <w:rsid w:val="4FE3C09D"/>
    <w:rsid w:val="4FEA35D5"/>
    <w:rsid w:val="4FF96748"/>
    <w:rsid w:val="501D3414"/>
    <w:rsid w:val="5036D5DB"/>
    <w:rsid w:val="5037CF75"/>
    <w:rsid w:val="503E73DA"/>
    <w:rsid w:val="5059354E"/>
    <w:rsid w:val="505E9CFC"/>
    <w:rsid w:val="507E2055"/>
    <w:rsid w:val="508BB430"/>
    <w:rsid w:val="50910D47"/>
    <w:rsid w:val="50B12A76"/>
    <w:rsid w:val="50CED100"/>
    <w:rsid w:val="50E36A9F"/>
    <w:rsid w:val="50F34CCD"/>
    <w:rsid w:val="50FDACD9"/>
    <w:rsid w:val="50FE2BCE"/>
    <w:rsid w:val="50FF67F5"/>
    <w:rsid w:val="51335939"/>
    <w:rsid w:val="513DD416"/>
    <w:rsid w:val="51787766"/>
    <w:rsid w:val="51940C99"/>
    <w:rsid w:val="519C226A"/>
    <w:rsid w:val="519D3317"/>
    <w:rsid w:val="51A2808B"/>
    <w:rsid w:val="51A8FA40"/>
    <w:rsid w:val="51B7007F"/>
    <w:rsid w:val="51CF7E0D"/>
    <w:rsid w:val="51D58827"/>
    <w:rsid w:val="51DB93EF"/>
    <w:rsid w:val="51E2A6E6"/>
    <w:rsid w:val="51F2BD09"/>
    <w:rsid w:val="51F71D09"/>
    <w:rsid w:val="5204DD16"/>
    <w:rsid w:val="5207BF3B"/>
    <w:rsid w:val="520EBCC6"/>
    <w:rsid w:val="52203096"/>
    <w:rsid w:val="52297911"/>
    <w:rsid w:val="5232985A"/>
    <w:rsid w:val="5245DDCC"/>
    <w:rsid w:val="524DA7D8"/>
    <w:rsid w:val="525427FA"/>
    <w:rsid w:val="5269A9A8"/>
    <w:rsid w:val="52C378AC"/>
    <w:rsid w:val="52CE1B4B"/>
    <w:rsid w:val="52EB4F5A"/>
    <w:rsid w:val="52EBC71D"/>
    <w:rsid w:val="5354D99E"/>
    <w:rsid w:val="53610CD2"/>
    <w:rsid w:val="5369C88C"/>
    <w:rsid w:val="53895885"/>
    <w:rsid w:val="53941D10"/>
    <w:rsid w:val="539BD7C5"/>
    <w:rsid w:val="53BA0DA6"/>
    <w:rsid w:val="53CB64FD"/>
    <w:rsid w:val="53CCCE24"/>
    <w:rsid w:val="53D1129F"/>
    <w:rsid w:val="53D15DCF"/>
    <w:rsid w:val="53E35E6A"/>
    <w:rsid w:val="53E9AA78"/>
    <w:rsid w:val="53F19CBD"/>
    <w:rsid w:val="53FBE5FA"/>
    <w:rsid w:val="542EE7B8"/>
    <w:rsid w:val="5436045B"/>
    <w:rsid w:val="544C728D"/>
    <w:rsid w:val="54529054"/>
    <w:rsid w:val="546AD16B"/>
    <w:rsid w:val="54816686"/>
    <w:rsid w:val="54D15707"/>
    <w:rsid w:val="54D9F7C2"/>
    <w:rsid w:val="54E37A31"/>
    <w:rsid w:val="54E95507"/>
    <w:rsid w:val="54F1CDA2"/>
    <w:rsid w:val="550FBE63"/>
    <w:rsid w:val="55158A9E"/>
    <w:rsid w:val="5530870E"/>
    <w:rsid w:val="553371FF"/>
    <w:rsid w:val="559F27A8"/>
    <w:rsid w:val="55A9CBB3"/>
    <w:rsid w:val="55BDF04A"/>
    <w:rsid w:val="55CA1A07"/>
    <w:rsid w:val="55E45063"/>
    <w:rsid w:val="56061AD7"/>
    <w:rsid w:val="560C137A"/>
    <w:rsid w:val="561A8DE7"/>
    <w:rsid w:val="5622E365"/>
    <w:rsid w:val="563C8E59"/>
    <w:rsid w:val="566F0561"/>
    <w:rsid w:val="568B7553"/>
    <w:rsid w:val="568ED142"/>
    <w:rsid w:val="56918684"/>
    <w:rsid w:val="569FEF3F"/>
    <w:rsid w:val="56AA4443"/>
    <w:rsid w:val="56AB413B"/>
    <w:rsid w:val="56C279C7"/>
    <w:rsid w:val="56CAFF1C"/>
    <w:rsid w:val="56DD6156"/>
    <w:rsid w:val="56E35298"/>
    <w:rsid w:val="56F9E9B6"/>
    <w:rsid w:val="57358A09"/>
    <w:rsid w:val="574D06D5"/>
    <w:rsid w:val="5766D70E"/>
    <w:rsid w:val="576723F0"/>
    <w:rsid w:val="577A1614"/>
    <w:rsid w:val="578323BD"/>
    <w:rsid w:val="5789999E"/>
    <w:rsid w:val="57BC3337"/>
    <w:rsid w:val="57F2FB50"/>
    <w:rsid w:val="57F8F139"/>
    <w:rsid w:val="5814E805"/>
    <w:rsid w:val="5820DC6F"/>
    <w:rsid w:val="5821A62D"/>
    <w:rsid w:val="58331122"/>
    <w:rsid w:val="584DA3D9"/>
    <w:rsid w:val="5851193D"/>
    <w:rsid w:val="58625399"/>
    <w:rsid w:val="58857BED"/>
    <w:rsid w:val="5893B7B6"/>
    <w:rsid w:val="589A58C4"/>
    <w:rsid w:val="58B121EF"/>
    <w:rsid w:val="58C94E2D"/>
    <w:rsid w:val="58CC3E87"/>
    <w:rsid w:val="58EE2F20"/>
    <w:rsid w:val="59129FA0"/>
    <w:rsid w:val="591C0E6E"/>
    <w:rsid w:val="591FA883"/>
    <w:rsid w:val="59437D78"/>
    <w:rsid w:val="59582248"/>
    <w:rsid w:val="59730590"/>
    <w:rsid w:val="59B56EEB"/>
    <w:rsid w:val="59DDF489"/>
    <w:rsid w:val="59E57CBA"/>
    <w:rsid w:val="59F16507"/>
    <w:rsid w:val="59F57D39"/>
    <w:rsid w:val="59FAC42A"/>
    <w:rsid w:val="5A09904A"/>
    <w:rsid w:val="5A16079B"/>
    <w:rsid w:val="5A78EA6D"/>
    <w:rsid w:val="5A7CBA0B"/>
    <w:rsid w:val="5A907D9B"/>
    <w:rsid w:val="5ADE1961"/>
    <w:rsid w:val="5AE32429"/>
    <w:rsid w:val="5AE52897"/>
    <w:rsid w:val="5AF75AA3"/>
    <w:rsid w:val="5AF87A76"/>
    <w:rsid w:val="5AFD4941"/>
    <w:rsid w:val="5B02D84B"/>
    <w:rsid w:val="5B248B3C"/>
    <w:rsid w:val="5B28B7AA"/>
    <w:rsid w:val="5B2AECB6"/>
    <w:rsid w:val="5B2FA2FC"/>
    <w:rsid w:val="5B3CFFB7"/>
    <w:rsid w:val="5B6C918E"/>
    <w:rsid w:val="5B833495"/>
    <w:rsid w:val="5B8F5758"/>
    <w:rsid w:val="5B9C7F80"/>
    <w:rsid w:val="5BA05709"/>
    <w:rsid w:val="5C02C73C"/>
    <w:rsid w:val="5C090F9D"/>
    <w:rsid w:val="5C48B71A"/>
    <w:rsid w:val="5C4902CB"/>
    <w:rsid w:val="5C6EFDFD"/>
    <w:rsid w:val="5CC38FD8"/>
    <w:rsid w:val="5CC7A633"/>
    <w:rsid w:val="5CC7D31F"/>
    <w:rsid w:val="5D129BFC"/>
    <w:rsid w:val="5D165F6A"/>
    <w:rsid w:val="5D4664D4"/>
    <w:rsid w:val="5D62B30D"/>
    <w:rsid w:val="5D6839EA"/>
    <w:rsid w:val="5D9A7E93"/>
    <w:rsid w:val="5DADED20"/>
    <w:rsid w:val="5DB2A451"/>
    <w:rsid w:val="5DE4BE0E"/>
    <w:rsid w:val="5E1572AE"/>
    <w:rsid w:val="5E186EDB"/>
    <w:rsid w:val="5E19DC1C"/>
    <w:rsid w:val="5E3FCB4A"/>
    <w:rsid w:val="5E5DB2DE"/>
    <w:rsid w:val="5E7CFF3D"/>
    <w:rsid w:val="5E80A832"/>
    <w:rsid w:val="5EB28D41"/>
    <w:rsid w:val="5ECA6E42"/>
    <w:rsid w:val="5EDBFF84"/>
    <w:rsid w:val="5EE3A924"/>
    <w:rsid w:val="5F01259A"/>
    <w:rsid w:val="5F022D1D"/>
    <w:rsid w:val="5F3EE8A5"/>
    <w:rsid w:val="5F5B4DCC"/>
    <w:rsid w:val="5F70BF39"/>
    <w:rsid w:val="5F79B07D"/>
    <w:rsid w:val="5F9D9D50"/>
    <w:rsid w:val="5F9EE7A0"/>
    <w:rsid w:val="5FE9AF54"/>
    <w:rsid w:val="5FF210EC"/>
    <w:rsid w:val="5FFA7DBB"/>
    <w:rsid w:val="6016E843"/>
    <w:rsid w:val="603011A1"/>
    <w:rsid w:val="60340318"/>
    <w:rsid w:val="60609D6E"/>
    <w:rsid w:val="6072A839"/>
    <w:rsid w:val="60826A47"/>
    <w:rsid w:val="609548D6"/>
    <w:rsid w:val="609C4DDC"/>
    <w:rsid w:val="60B7E097"/>
    <w:rsid w:val="60C7113E"/>
    <w:rsid w:val="60C976F3"/>
    <w:rsid w:val="60D8513A"/>
    <w:rsid w:val="60D8C660"/>
    <w:rsid w:val="60D9B3A1"/>
    <w:rsid w:val="60DEDA0B"/>
    <w:rsid w:val="6123641E"/>
    <w:rsid w:val="612A1D67"/>
    <w:rsid w:val="613933BC"/>
    <w:rsid w:val="615D157B"/>
    <w:rsid w:val="615F5DD2"/>
    <w:rsid w:val="6183BF14"/>
    <w:rsid w:val="619A8B94"/>
    <w:rsid w:val="61C40C37"/>
    <w:rsid w:val="61CB4E36"/>
    <w:rsid w:val="61D41F59"/>
    <w:rsid w:val="61E9A33F"/>
    <w:rsid w:val="61F3BEC6"/>
    <w:rsid w:val="620C03F9"/>
    <w:rsid w:val="62182DBD"/>
    <w:rsid w:val="627AF065"/>
    <w:rsid w:val="6292E211"/>
    <w:rsid w:val="629823C6"/>
    <w:rsid w:val="629B3B73"/>
    <w:rsid w:val="62A28184"/>
    <w:rsid w:val="62B13B36"/>
    <w:rsid w:val="62BCDF9C"/>
    <w:rsid w:val="62DBC1AF"/>
    <w:rsid w:val="62DF7D8C"/>
    <w:rsid w:val="62ED9E96"/>
    <w:rsid w:val="6331A61D"/>
    <w:rsid w:val="634596C4"/>
    <w:rsid w:val="635DCD9A"/>
    <w:rsid w:val="6374B958"/>
    <w:rsid w:val="637D7C84"/>
    <w:rsid w:val="638904B4"/>
    <w:rsid w:val="63A489F6"/>
    <w:rsid w:val="63B13CD9"/>
    <w:rsid w:val="63DF4E04"/>
    <w:rsid w:val="63F292B6"/>
    <w:rsid w:val="64334153"/>
    <w:rsid w:val="6436B7CF"/>
    <w:rsid w:val="645A70F5"/>
    <w:rsid w:val="646582C3"/>
    <w:rsid w:val="646BFC0C"/>
    <w:rsid w:val="648C0054"/>
    <w:rsid w:val="648CF945"/>
    <w:rsid w:val="64929480"/>
    <w:rsid w:val="64983DA8"/>
    <w:rsid w:val="64CA756A"/>
    <w:rsid w:val="64CD7BCF"/>
    <w:rsid w:val="64CF302F"/>
    <w:rsid w:val="650A7F81"/>
    <w:rsid w:val="651CB2FE"/>
    <w:rsid w:val="654247FD"/>
    <w:rsid w:val="65C2565D"/>
    <w:rsid w:val="65C4EB60"/>
    <w:rsid w:val="65D26791"/>
    <w:rsid w:val="65DDABA3"/>
    <w:rsid w:val="65EF98EE"/>
    <w:rsid w:val="66187C1D"/>
    <w:rsid w:val="6639D42E"/>
    <w:rsid w:val="665FCB6A"/>
    <w:rsid w:val="6676141F"/>
    <w:rsid w:val="667D9AB2"/>
    <w:rsid w:val="668C9E92"/>
    <w:rsid w:val="668F5002"/>
    <w:rsid w:val="66BDD857"/>
    <w:rsid w:val="66C58BE5"/>
    <w:rsid w:val="6701624D"/>
    <w:rsid w:val="67027D3C"/>
    <w:rsid w:val="67249405"/>
    <w:rsid w:val="6761626A"/>
    <w:rsid w:val="67735E71"/>
    <w:rsid w:val="67820E12"/>
    <w:rsid w:val="67977B9B"/>
    <w:rsid w:val="67981F8E"/>
    <w:rsid w:val="679945AF"/>
    <w:rsid w:val="67AF32D2"/>
    <w:rsid w:val="67C4810C"/>
    <w:rsid w:val="67D93BF7"/>
    <w:rsid w:val="67EEE2B5"/>
    <w:rsid w:val="67FA1E0E"/>
    <w:rsid w:val="67FE841C"/>
    <w:rsid w:val="68004E72"/>
    <w:rsid w:val="68313EBD"/>
    <w:rsid w:val="6832AB7E"/>
    <w:rsid w:val="686E272D"/>
    <w:rsid w:val="689E0B17"/>
    <w:rsid w:val="68A42B22"/>
    <w:rsid w:val="690F1EB5"/>
    <w:rsid w:val="6911B70A"/>
    <w:rsid w:val="6919ECFC"/>
    <w:rsid w:val="691F5FB5"/>
    <w:rsid w:val="692C6C2B"/>
    <w:rsid w:val="692E5E9B"/>
    <w:rsid w:val="694A0FC2"/>
    <w:rsid w:val="6953906A"/>
    <w:rsid w:val="6982ED30"/>
    <w:rsid w:val="69A1FE47"/>
    <w:rsid w:val="69C79A14"/>
    <w:rsid w:val="69DA2556"/>
    <w:rsid w:val="6A03BB37"/>
    <w:rsid w:val="6A18B3C3"/>
    <w:rsid w:val="6A80C4B8"/>
    <w:rsid w:val="6A83394F"/>
    <w:rsid w:val="6A85E703"/>
    <w:rsid w:val="6A9AFB83"/>
    <w:rsid w:val="6A9EA18B"/>
    <w:rsid w:val="6AA6CDE1"/>
    <w:rsid w:val="6AB52484"/>
    <w:rsid w:val="6ABBD8E8"/>
    <w:rsid w:val="6AD10536"/>
    <w:rsid w:val="6AD610B0"/>
    <w:rsid w:val="6ADA6C7B"/>
    <w:rsid w:val="6AEF939B"/>
    <w:rsid w:val="6AFB54C6"/>
    <w:rsid w:val="6B32BAEF"/>
    <w:rsid w:val="6B45FBF2"/>
    <w:rsid w:val="6B52E16C"/>
    <w:rsid w:val="6B56432E"/>
    <w:rsid w:val="6B634420"/>
    <w:rsid w:val="6B7E1DCC"/>
    <w:rsid w:val="6B7E5B39"/>
    <w:rsid w:val="6B7ED696"/>
    <w:rsid w:val="6B8D6000"/>
    <w:rsid w:val="6B8FB5E3"/>
    <w:rsid w:val="6B9CCD6D"/>
    <w:rsid w:val="6BA3539B"/>
    <w:rsid w:val="6BA51E08"/>
    <w:rsid w:val="6BBD3EB4"/>
    <w:rsid w:val="6BEE86DB"/>
    <w:rsid w:val="6C08F4CF"/>
    <w:rsid w:val="6C3850FD"/>
    <w:rsid w:val="6C4834DA"/>
    <w:rsid w:val="6C524355"/>
    <w:rsid w:val="6C69FB11"/>
    <w:rsid w:val="6CC23CD7"/>
    <w:rsid w:val="6CC5CB5D"/>
    <w:rsid w:val="6CCD3181"/>
    <w:rsid w:val="6CD11D7A"/>
    <w:rsid w:val="6CE8391A"/>
    <w:rsid w:val="6CEB13E9"/>
    <w:rsid w:val="6CF52D6D"/>
    <w:rsid w:val="6D81C1FC"/>
    <w:rsid w:val="6DDE7715"/>
    <w:rsid w:val="6DF843F9"/>
    <w:rsid w:val="6E158951"/>
    <w:rsid w:val="6E1F547E"/>
    <w:rsid w:val="6E214C0D"/>
    <w:rsid w:val="6E4C71A2"/>
    <w:rsid w:val="6E61A013"/>
    <w:rsid w:val="6E66BB2A"/>
    <w:rsid w:val="6E72C30F"/>
    <w:rsid w:val="6E9FC8EA"/>
    <w:rsid w:val="6EC5DF10"/>
    <w:rsid w:val="6EE94930"/>
    <w:rsid w:val="6F10E409"/>
    <w:rsid w:val="6F441F56"/>
    <w:rsid w:val="6F5C6715"/>
    <w:rsid w:val="6F64B801"/>
    <w:rsid w:val="6F79531D"/>
    <w:rsid w:val="6F85009B"/>
    <w:rsid w:val="6F88FC68"/>
    <w:rsid w:val="6F9B87D6"/>
    <w:rsid w:val="6FA205A1"/>
    <w:rsid w:val="6FAD9E8A"/>
    <w:rsid w:val="6FC0D07C"/>
    <w:rsid w:val="6FD5E5E8"/>
    <w:rsid w:val="700D501F"/>
    <w:rsid w:val="703399D8"/>
    <w:rsid w:val="704C343E"/>
    <w:rsid w:val="70990E81"/>
    <w:rsid w:val="7099ACEB"/>
    <w:rsid w:val="709D9621"/>
    <w:rsid w:val="70A315C0"/>
    <w:rsid w:val="70B91311"/>
    <w:rsid w:val="70BFE6E4"/>
    <w:rsid w:val="70D510DF"/>
    <w:rsid w:val="71007ACA"/>
    <w:rsid w:val="71022C42"/>
    <w:rsid w:val="710A6207"/>
    <w:rsid w:val="713DD8BF"/>
    <w:rsid w:val="715BA1C2"/>
    <w:rsid w:val="716104E7"/>
    <w:rsid w:val="716AC655"/>
    <w:rsid w:val="71987F93"/>
    <w:rsid w:val="71A55921"/>
    <w:rsid w:val="71A75948"/>
    <w:rsid w:val="71BFD4D8"/>
    <w:rsid w:val="71C64ADA"/>
    <w:rsid w:val="71DE3C8E"/>
    <w:rsid w:val="71EABBE7"/>
    <w:rsid w:val="722C4EF8"/>
    <w:rsid w:val="722FA302"/>
    <w:rsid w:val="7239CEF1"/>
    <w:rsid w:val="723BE18F"/>
    <w:rsid w:val="723E5EB0"/>
    <w:rsid w:val="72578886"/>
    <w:rsid w:val="7296E7FA"/>
    <w:rsid w:val="72C87AFD"/>
    <w:rsid w:val="7301B478"/>
    <w:rsid w:val="7304C23E"/>
    <w:rsid w:val="73084DAC"/>
    <w:rsid w:val="7348D8B2"/>
    <w:rsid w:val="7354FBFF"/>
    <w:rsid w:val="7365873E"/>
    <w:rsid w:val="73678AD8"/>
    <w:rsid w:val="738A1DB0"/>
    <w:rsid w:val="73B0E5FF"/>
    <w:rsid w:val="73BC4157"/>
    <w:rsid w:val="73C695A7"/>
    <w:rsid w:val="740FE4F1"/>
    <w:rsid w:val="7410ADB0"/>
    <w:rsid w:val="74499E6F"/>
    <w:rsid w:val="744AC2D7"/>
    <w:rsid w:val="74850103"/>
    <w:rsid w:val="74889FB2"/>
    <w:rsid w:val="74AE5D50"/>
    <w:rsid w:val="74D05481"/>
    <w:rsid w:val="74D40E00"/>
    <w:rsid w:val="74DDAB40"/>
    <w:rsid w:val="74F300B8"/>
    <w:rsid w:val="74F7320D"/>
    <w:rsid w:val="74FA621E"/>
    <w:rsid w:val="74FD57FE"/>
    <w:rsid w:val="751623E6"/>
    <w:rsid w:val="75197B11"/>
    <w:rsid w:val="751DDD83"/>
    <w:rsid w:val="752F54AA"/>
    <w:rsid w:val="75315D73"/>
    <w:rsid w:val="7537406B"/>
    <w:rsid w:val="75571599"/>
    <w:rsid w:val="7559BAF4"/>
    <w:rsid w:val="757DCB2B"/>
    <w:rsid w:val="75852685"/>
    <w:rsid w:val="759385F1"/>
    <w:rsid w:val="75F3FE52"/>
    <w:rsid w:val="75F6C94B"/>
    <w:rsid w:val="75FBE822"/>
    <w:rsid w:val="76048A71"/>
    <w:rsid w:val="761E4F3E"/>
    <w:rsid w:val="761FBFA4"/>
    <w:rsid w:val="764087A2"/>
    <w:rsid w:val="766ECD7B"/>
    <w:rsid w:val="768D8448"/>
    <w:rsid w:val="7695ABCF"/>
    <w:rsid w:val="7697DA31"/>
    <w:rsid w:val="76B1E082"/>
    <w:rsid w:val="76C97FE0"/>
    <w:rsid w:val="76E3718B"/>
    <w:rsid w:val="771D7B04"/>
    <w:rsid w:val="77582788"/>
    <w:rsid w:val="77625818"/>
    <w:rsid w:val="77713B0E"/>
    <w:rsid w:val="77738596"/>
    <w:rsid w:val="777BBA88"/>
    <w:rsid w:val="777D9D26"/>
    <w:rsid w:val="7785250A"/>
    <w:rsid w:val="77C29B5A"/>
    <w:rsid w:val="77E18A2C"/>
    <w:rsid w:val="77E42712"/>
    <w:rsid w:val="77FB139B"/>
    <w:rsid w:val="781433E8"/>
    <w:rsid w:val="7841C715"/>
    <w:rsid w:val="7849272F"/>
    <w:rsid w:val="7852C1C6"/>
    <w:rsid w:val="7858B08C"/>
    <w:rsid w:val="7874A5BE"/>
    <w:rsid w:val="789D6C14"/>
    <w:rsid w:val="78AF4BF3"/>
    <w:rsid w:val="78CA3D08"/>
    <w:rsid w:val="78DDC4B4"/>
    <w:rsid w:val="791584AE"/>
    <w:rsid w:val="7924F5DD"/>
    <w:rsid w:val="794488CB"/>
    <w:rsid w:val="79561C8A"/>
    <w:rsid w:val="7987A46E"/>
    <w:rsid w:val="79889BAF"/>
    <w:rsid w:val="79B5CEFF"/>
    <w:rsid w:val="79BAFD43"/>
    <w:rsid w:val="79C74605"/>
    <w:rsid w:val="79C8DB9B"/>
    <w:rsid w:val="79D5E56C"/>
    <w:rsid w:val="79DFB8D1"/>
    <w:rsid w:val="79E107E9"/>
    <w:rsid w:val="79FF011A"/>
    <w:rsid w:val="7A18F1D6"/>
    <w:rsid w:val="7A249E7F"/>
    <w:rsid w:val="7A320DFC"/>
    <w:rsid w:val="7A3F38F7"/>
    <w:rsid w:val="7A8E0C41"/>
    <w:rsid w:val="7AB22DB2"/>
    <w:rsid w:val="7AB441C9"/>
    <w:rsid w:val="7ABB09A5"/>
    <w:rsid w:val="7AC12F66"/>
    <w:rsid w:val="7B23B4DC"/>
    <w:rsid w:val="7B260258"/>
    <w:rsid w:val="7B31529A"/>
    <w:rsid w:val="7B38D2D2"/>
    <w:rsid w:val="7B3B91F1"/>
    <w:rsid w:val="7B3F66A4"/>
    <w:rsid w:val="7B56C08C"/>
    <w:rsid w:val="7B573F6D"/>
    <w:rsid w:val="7B62A930"/>
    <w:rsid w:val="7B72F276"/>
    <w:rsid w:val="7B89898B"/>
    <w:rsid w:val="7B9723F4"/>
    <w:rsid w:val="7BA01533"/>
    <w:rsid w:val="7BA195D9"/>
    <w:rsid w:val="7BA266F8"/>
    <w:rsid w:val="7BA774C8"/>
    <w:rsid w:val="7BD9E829"/>
    <w:rsid w:val="7BDAEF36"/>
    <w:rsid w:val="7BDC584C"/>
    <w:rsid w:val="7BEB1038"/>
    <w:rsid w:val="7BF389B3"/>
    <w:rsid w:val="7BFD1325"/>
    <w:rsid w:val="7C036AC7"/>
    <w:rsid w:val="7C1C2AC5"/>
    <w:rsid w:val="7C21EB33"/>
    <w:rsid w:val="7C22998D"/>
    <w:rsid w:val="7C27C737"/>
    <w:rsid w:val="7C283688"/>
    <w:rsid w:val="7C29ABAA"/>
    <w:rsid w:val="7C3B4EFE"/>
    <w:rsid w:val="7C4876F1"/>
    <w:rsid w:val="7C494696"/>
    <w:rsid w:val="7C6B0E71"/>
    <w:rsid w:val="7C79793F"/>
    <w:rsid w:val="7C7B54EE"/>
    <w:rsid w:val="7C9861A3"/>
    <w:rsid w:val="7C9F5A1B"/>
    <w:rsid w:val="7CA0313B"/>
    <w:rsid w:val="7CD99B61"/>
    <w:rsid w:val="7CED2D8C"/>
    <w:rsid w:val="7D183C1A"/>
    <w:rsid w:val="7D34CFED"/>
    <w:rsid w:val="7D3C6FA9"/>
    <w:rsid w:val="7D441619"/>
    <w:rsid w:val="7D49FC3B"/>
    <w:rsid w:val="7D4A7FC5"/>
    <w:rsid w:val="7D52ACC2"/>
    <w:rsid w:val="7D54299D"/>
    <w:rsid w:val="7D55EF6D"/>
    <w:rsid w:val="7D623F86"/>
    <w:rsid w:val="7D630B92"/>
    <w:rsid w:val="7D787622"/>
    <w:rsid w:val="7D7B9138"/>
    <w:rsid w:val="7D8ADAAA"/>
    <w:rsid w:val="7DA893BA"/>
    <w:rsid w:val="7DC38629"/>
    <w:rsid w:val="7DCF6BC2"/>
    <w:rsid w:val="7DE8C96E"/>
    <w:rsid w:val="7DF692BC"/>
    <w:rsid w:val="7DFDE7AB"/>
    <w:rsid w:val="7E0D2A44"/>
    <w:rsid w:val="7E4A0CA6"/>
    <w:rsid w:val="7E642EC4"/>
    <w:rsid w:val="7E67EAC6"/>
    <w:rsid w:val="7E69E918"/>
    <w:rsid w:val="7E9C2D40"/>
    <w:rsid w:val="7EC2AC02"/>
    <w:rsid w:val="7ED98563"/>
    <w:rsid w:val="7EE66414"/>
    <w:rsid w:val="7EEBA548"/>
    <w:rsid w:val="7EF317B9"/>
    <w:rsid w:val="7F3760DE"/>
    <w:rsid w:val="7F8CA082"/>
    <w:rsid w:val="7F8E949D"/>
    <w:rsid w:val="7FA7F567"/>
    <w:rsid w:val="7FAA5B6B"/>
    <w:rsid w:val="7FB4EDD7"/>
    <w:rsid w:val="7FCC2B63"/>
    <w:rsid w:val="7FCF2FAF"/>
    <w:rsid w:val="7FD1D4DA"/>
    <w:rsid w:val="7FE990E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90FD3"/>
  <w15:docId w15:val="{4CF57844-7BED-45F7-B395-D5FAEBFF8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semiHidden/>
    <w:qFormat/>
    <w:rsid w:val="00203343"/>
  </w:style>
  <w:style w:type="paragraph" w:styleId="Heading1">
    <w:name w:val="heading 1"/>
    <w:basedOn w:val="Normal"/>
    <w:next w:val="Normal"/>
    <w:link w:val="Heading1Char"/>
    <w:uiPriority w:val="9"/>
    <w:semiHidden/>
    <w:qFormat/>
    <w:rsid w:val="00D13731"/>
    <w:pPr>
      <w:keepNext/>
      <w:keepLines/>
      <w:spacing w:before="480"/>
      <w:outlineLvl w:val="0"/>
    </w:pPr>
    <w:rPr>
      <w:rFonts w:asciiTheme="majorHAnsi" w:eastAsiaTheme="majorEastAsia" w:hAnsiTheme="majorHAnsi" w:cstheme="majorBidi"/>
      <w:b/>
      <w:bCs/>
      <w:color w:val="008F52" w:themeColor="accent1" w:themeShade="BF"/>
      <w:sz w:val="28"/>
      <w:szCs w:val="28"/>
    </w:rPr>
  </w:style>
  <w:style w:type="paragraph" w:styleId="Heading2">
    <w:name w:val="heading 2"/>
    <w:basedOn w:val="Normal"/>
    <w:next w:val="Normal"/>
    <w:link w:val="Heading2Char"/>
    <w:uiPriority w:val="13"/>
    <w:semiHidden/>
    <w:qFormat/>
    <w:rsid w:val="00D13731"/>
    <w:pPr>
      <w:keepNext/>
      <w:keepLines/>
      <w:spacing w:before="200"/>
      <w:outlineLvl w:val="1"/>
    </w:pPr>
    <w:rPr>
      <w:rFonts w:asciiTheme="majorHAnsi" w:eastAsiaTheme="majorEastAsia" w:hAnsiTheme="majorHAnsi" w:cstheme="majorBidi"/>
      <w:b/>
      <w:bCs/>
      <w:color w:val="00BF6F" w:themeColor="accent1"/>
      <w:sz w:val="26"/>
      <w:szCs w:val="26"/>
    </w:rPr>
  </w:style>
  <w:style w:type="paragraph" w:styleId="Heading3">
    <w:name w:val="heading 3"/>
    <w:basedOn w:val="Normal"/>
    <w:next w:val="Normal"/>
    <w:link w:val="Heading3Char"/>
    <w:uiPriority w:val="9"/>
    <w:semiHidden/>
    <w:unhideWhenUsed/>
    <w:qFormat/>
    <w:rsid w:val="00D13731"/>
    <w:pPr>
      <w:keepNext/>
      <w:keepLines/>
      <w:spacing w:before="200"/>
      <w:outlineLvl w:val="2"/>
    </w:pPr>
    <w:rPr>
      <w:rFonts w:asciiTheme="majorHAnsi" w:eastAsiaTheme="majorEastAsia" w:hAnsiTheme="majorHAnsi" w:cstheme="majorBidi"/>
      <w:b/>
      <w:bCs/>
      <w:color w:val="00BF6F" w:themeColor="accent1"/>
    </w:rPr>
  </w:style>
  <w:style w:type="paragraph" w:styleId="Heading4">
    <w:name w:val="heading 4"/>
    <w:basedOn w:val="Normal"/>
    <w:next w:val="Normal"/>
    <w:link w:val="Heading4Char"/>
    <w:uiPriority w:val="9"/>
    <w:semiHidden/>
    <w:unhideWhenUsed/>
    <w:qFormat/>
    <w:rsid w:val="00D13731"/>
    <w:pPr>
      <w:keepNext/>
      <w:keepLines/>
      <w:spacing w:before="200"/>
      <w:outlineLvl w:val="3"/>
    </w:pPr>
    <w:rPr>
      <w:rFonts w:asciiTheme="majorHAnsi" w:eastAsiaTheme="majorEastAsia" w:hAnsiTheme="majorHAnsi" w:cstheme="majorBidi"/>
      <w:b/>
      <w:bCs/>
      <w:i/>
      <w:iCs/>
      <w:color w:val="00BF6F" w:themeColor="accent1"/>
    </w:rPr>
  </w:style>
  <w:style w:type="paragraph" w:styleId="Heading5">
    <w:name w:val="heading 5"/>
    <w:basedOn w:val="Normal"/>
    <w:next w:val="Normal"/>
    <w:link w:val="Heading5Char"/>
    <w:uiPriority w:val="9"/>
    <w:semiHidden/>
    <w:unhideWhenUsed/>
    <w:qFormat/>
    <w:rsid w:val="005068CB"/>
    <w:pPr>
      <w:keepNext/>
      <w:keepLines/>
      <w:spacing w:before="40"/>
      <w:outlineLvl w:val="4"/>
    </w:pPr>
    <w:rPr>
      <w:rFonts w:asciiTheme="majorHAnsi" w:eastAsiaTheme="majorEastAsia" w:hAnsiTheme="majorHAnsi" w:cstheme="majorBidi"/>
      <w:color w:val="008F52" w:themeColor="accent1" w:themeShade="BF"/>
    </w:rPr>
  </w:style>
  <w:style w:type="paragraph" w:styleId="Heading6">
    <w:name w:val="heading 6"/>
    <w:basedOn w:val="Normal"/>
    <w:next w:val="Normal"/>
    <w:link w:val="Heading6Char"/>
    <w:uiPriority w:val="9"/>
    <w:semiHidden/>
    <w:unhideWhenUsed/>
    <w:qFormat/>
    <w:rsid w:val="005068CB"/>
    <w:pPr>
      <w:keepNext/>
      <w:keepLines/>
      <w:spacing w:before="40"/>
      <w:outlineLvl w:val="5"/>
    </w:pPr>
    <w:rPr>
      <w:rFonts w:asciiTheme="majorHAnsi" w:eastAsiaTheme="majorEastAsia" w:hAnsiTheme="majorHAnsi" w:cstheme="majorBidi"/>
      <w:color w:val="005F37" w:themeColor="accent1" w:themeShade="7F"/>
    </w:rPr>
  </w:style>
  <w:style w:type="paragraph" w:styleId="Heading7">
    <w:name w:val="heading 7"/>
    <w:basedOn w:val="Normal"/>
    <w:next w:val="Normal"/>
    <w:link w:val="Heading7Char"/>
    <w:uiPriority w:val="9"/>
    <w:semiHidden/>
    <w:unhideWhenUsed/>
    <w:qFormat/>
    <w:rsid w:val="005068CB"/>
    <w:pPr>
      <w:keepNext/>
      <w:keepLines/>
      <w:spacing w:before="40"/>
      <w:outlineLvl w:val="6"/>
    </w:pPr>
    <w:rPr>
      <w:rFonts w:asciiTheme="majorHAnsi" w:eastAsiaTheme="majorEastAsia" w:hAnsiTheme="majorHAnsi" w:cstheme="majorBidi"/>
      <w:i/>
      <w:iCs/>
      <w:color w:val="005F37" w:themeColor="accent1" w:themeShade="7F"/>
    </w:rPr>
  </w:style>
  <w:style w:type="paragraph" w:styleId="Heading8">
    <w:name w:val="heading 8"/>
    <w:basedOn w:val="Normal"/>
    <w:next w:val="Normal"/>
    <w:link w:val="Heading8Char"/>
    <w:uiPriority w:val="9"/>
    <w:semiHidden/>
    <w:unhideWhenUsed/>
    <w:qFormat/>
    <w:rsid w:val="00506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6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o,header odd"/>
    <w:basedOn w:val="Normal"/>
    <w:link w:val="HeaderChar"/>
    <w:uiPriority w:val="99"/>
    <w:unhideWhenUsed/>
    <w:rsid w:val="00D1047B"/>
    <w:pPr>
      <w:tabs>
        <w:tab w:val="center" w:pos="4513"/>
        <w:tab w:val="right" w:pos="9026"/>
      </w:tabs>
    </w:pPr>
  </w:style>
  <w:style w:type="character" w:customStyle="1" w:styleId="HeaderChar">
    <w:name w:val="Header Char"/>
    <w:aliases w:val="ho Char,header odd Char"/>
    <w:basedOn w:val="DefaultParagraphFont"/>
    <w:link w:val="Header"/>
    <w:uiPriority w:val="99"/>
    <w:rsid w:val="00D1047B"/>
  </w:style>
  <w:style w:type="paragraph" w:styleId="Footer">
    <w:name w:val="footer"/>
    <w:basedOn w:val="Normal"/>
    <w:link w:val="FooterChar"/>
    <w:uiPriority w:val="99"/>
    <w:semiHidden/>
    <w:rsid w:val="00D1047B"/>
    <w:pPr>
      <w:tabs>
        <w:tab w:val="center" w:pos="4513"/>
        <w:tab w:val="right" w:pos="9026"/>
      </w:tabs>
    </w:pPr>
  </w:style>
  <w:style w:type="character" w:customStyle="1" w:styleId="FooterChar">
    <w:name w:val="Footer Char"/>
    <w:basedOn w:val="DefaultParagraphFont"/>
    <w:link w:val="Footer"/>
    <w:uiPriority w:val="99"/>
    <w:semiHidden/>
    <w:rsid w:val="00365679"/>
  </w:style>
  <w:style w:type="paragraph" w:styleId="BalloonText">
    <w:name w:val="Balloon Text"/>
    <w:basedOn w:val="Normal"/>
    <w:link w:val="BalloonTextChar"/>
    <w:uiPriority w:val="99"/>
    <w:semiHidden/>
    <w:unhideWhenUsed/>
    <w:rsid w:val="00A85878"/>
    <w:rPr>
      <w:rFonts w:ascii="Tahoma" w:hAnsi="Tahoma" w:cs="Tahoma"/>
      <w:sz w:val="16"/>
      <w:szCs w:val="16"/>
    </w:rPr>
  </w:style>
  <w:style w:type="character" w:customStyle="1" w:styleId="BalloonTextChar">
    <w:name w:val="Balloon Text Char"/>
    <w:basedOn w:val="DefaultParagraphFont"/>
    <w:link w:val="BalloonText"/>
    <w:uiPriority w:val="99"/>
    <w:semiHidden/>
    <w:rsid w:val="00A85878"/>
    <w:rPr>
      <w:rFonts w:ascii="Tahoma" w:hAnsi="Tahoma" w:cs="Tahoma"/>
      <w:sz w:val="16"/>
      <w:szCs w:val="16"/>
    </w:rPr>
  </w:style>
  <w:style w:type="paragraph" w:styleId="ListParagraph">
    <w:name w:val="List Paragraph"/>
    <w:aliases w:val="Subtitle Cover Page,Bullet List,FooterText,List Paragraph1,lp1,lp11"/>
    <w:basedOn w:val="Normal"/>
    <w:link w:val="ListParagraphChar"/>
    <w:uiPriority w:val="34"/>
    <w:qFormat/>
    <w:rsid w:val="003C60B7"/>
    <w:pPr>
      <w:ind w:left="720"/>
      <w:contextualSpacing/>
    </w:pPr>
  </w:style>
  <w:style w:type="numbering" w:customStyle="1" w:styleId="HPRANumberedList">
    <w:name w:val="HPRA_Numbered List"/>
    <w:uiPriority w:val="99"/>
    <w:rsid w:val="004A3E13"/>
    <w:pPr>
      <w:numPr>
        <w:numId w:val="1"/>
      </w:numPr>
    </w:pPr>
  </w:style>
  <w:style w:type="character" w:styleId="Hyperlink">
    <w:name w:val="Hyperlink"/>
    <w:aliases w:val="HPRA_Hyperlink_Blue"/>
    <w:basedOn w:val="DefaultParagraphFont"/>
    <w:uiPriority w:val="99"/>
    <w:rsid w:val="005A7A86"/>
    <w:rPr>
      <w:color w:val="005390" w:themeColor="hyperlink"/>
      <w:u w:val="single"/>
    </w:rPr>
  </w:style>
  <w:style w:type="table" w:styleId="LightList-Accent5">
    <w:name w:val="Light List Accent 5"/>
    <w:basedOn w:val="TableNormal"/>
    <w:uiPriority w:val="61"/>
    <w:rsid w:val="000E4472"/>
    <w:tblPr>
      <w:tblStyleRowBandSize w:val="1"/>
      <w:tblStyleColBandSize w:val="1"/>
      <w:tblBorders>
        <w:top w:val="single" w:sz="8" w:space="0" w:color="FF69B4" w:themeColor="accent5"/>
        <w:left w:val="single" w:sz="8" w:space="0" w:color="FF69B4" w:themeColor="accent5"/>
        <w:bottom w:val="single" w:sz="8" w:space="0" w:color="FF69B4" w:themeColor="accent5"/>
        <w:right w:val="single" w:sz="8" w:space="0" w:color="FF69B4" w:themeColor="accent5"/>
      </w:tblBorders>
    </w:tblPr>
    <w:tblStylePr w:type="firstRow">
      <w:pPr>
        <w:spacing w:before="0" w:after="0" w:line="240" w:lineRule="auto"/>
      </w:pPr>
      <w:rPr>
        <w:b/>
        <w:bCs/>
        <w:color w:val="FFFFFF" w:themeColor="background1"/>
      </w:rPr>
      <w:tblPr/>
      <w:tcPr>
        <w:shd w:val="clear" w:color="auto" w:fill="FF69B4" w:themeFill="accent5"/>
      </w:tcPr>
    </w:tblStylePr>
    <w:tblStylePr w:type="lastRow">
      <w:pPr>
        <w:spacing w:before="0" w:after="0" w:line="240" w:lineRule="auto"/>
      </w:pPr>
      <w:rPr>
        <w:b/>
        <w:bCs/>
      </w:rPr>
      <w:tblPr/>
      <w:tcPr>
        <w:tcBorders>
          <w:top w:val="double" w:sz="6" w:space="0" w:color="FF69B4" w:themeColor="accent5"/>
          <w:left w:val="single" w:sz="8" w:space="0" w:color="FF69B4" w:themeColor="accent5"/>
          <w:bottom w:val="single" w:sz="8" w:space="0" w:color="FF69B4" w:themeColor="accent5"/>
          <w:right w:val="single" w:sz="8" w:space="0" w:color="FF69B4" w:themeColor="accent5"/>
        </w:tcBorders>
      </w:tcPr>
    </w:tblStylePr>
    <w:tblStylePr w:type="firstCol">
      <w:rPr>
        <w:b/>
        <w:bCs/>
      </w:rPr>
    </w:tblStylePr>
    <w:tblStylePr w:type="lastCol">
      <w:rPr>
        <w:b/>
        <w:bCs/>
      </w:rPr>
    </w:tblStylePr>
    <w:tblStylePr w:type="band1Vert">
      <w:tblPr/>
      <w:tcPr>
        <w:tcBorders>
          <w:top w:val="single" w:sz="8" w:space="0" w:color="FF69B4" w:themeColor="accent5"/>
          <w:left w:val="single" w:sz="8" w:space="0" w:color="FF69B4" w:themeColor="accent5"/>
          <w:bottom w:val="single" w:sz="8" w:space="0" w:color="FF69B4" w:themeColor="accent5"/>
          <w:right w:val="single" w:sz="8" w:space="0" w:color="FF69B4" w:themeColor="accent5"/>
        </w:tcBorders>
      </w:tcPr>
    </w:tblStylePr>
    <w:tblStylePr w:type="band1Horz">
      <w:tblPr/>
      <w:tcPr>
        <w:tcBorders>
          <w:top w:val="single" w:sz="8" w:space="0" w:color="FF69B4" w:themeColor="accent5"/>
          <w:left w:val="single" w:sz="8" w:space="0" w:color="FF69B4" w:themeColor="accent5"/>
          <w:bottom w:val="single" w:sz="8" w:space="0" w:color="FF69B4" w:themeColor="accent5"/>
          <w:right w:val="single" w:sz="8" w:space="0" w:color="FF69B4" w:themeColor="accent5"/>
        </w:tcBorders>
      </w:tcPr>
    </w:tblStylePr>
  </w:style>
  <w:style w:type="numbering" w:customStyle="1" w:styleId="Style1">
    <w:name w:val="Style1"/>
    <w:uiPriority w:val="99"/>
    <w:rsid w:val="00A13EC4"/>
    <w:pPr>
      <w:numPr>
        <w:numId w:val="12"/>
      </w:numPr>
    </w:pPr>
  </w:style>
  <w:style w:type="paragraph" w:customStyle="1" w:styleId="HPRACoverPagefooter">
    <w:name w:val="HPRA_Cover Page footer"/>
    <w:basedOn w:val="Normal"/>
    <w:qFormat/>
    <w:rsid w:val="00B70639"/>
    <w:pPr>
      <w:autoSpaceDE w:val="0"/>
      <w:autoSpaceDN w:val="0"/>
      <w:adjustRightInd w:val="0"/>
    </w:pPr>
    <w:rPr>
      <w:rFonts w:ascii="Segoe UI" w:hAnsi="Segoe UI" w:cs="Segoe UI"/>
      <w:b/>
      <w:bCs/>
      <w:color w:val="007041" w:themeColor="accent4"/>
      <w:sz w:val="18"/>
      <w:szCs w:val="18"/>
    </w:rPr>
  </w:style>
  <w:style w:type="paragraph" w:customStyle="1" w:styleId="HPRAFPFooter">
    <w:name w:val="HPRA_FP_Footer"/>
    <w:basedOn w:val="Footer"/>
    <w:qFormat/>
    <w:rsid w:val="00B20341"/>
    <w:rPr>
      <w:rFonts w:ascii="Segoe UI" w:hAnsi="Segoe UI" w:cs="Segoe UI"/>
      <w:color w:val="707173" w:themeColor="text2"/>
      <w:sz w:val="17"/>
      <w:szCs w:val="17"/>
    </w:rPr>
  </w:style>
  <w:style w:type="paragraph" w:customStyle="1" w:styleId="HPRAS2Header">
    <w:name w:val="HPRA_S2_Header"/>
    <w:basedOn w:val="Normal"/>
    <w:qFormat/>
    <w:rsid w:val="007C4921"/>
    <w:pPr>
      <w:pBdr>
        <w:bottom w:val="single" w:sz="4" w:space="4" w:color="707173" w:themeColor="text2"/>
      </w:pBdr>
      <w:autoSpaceDE w:val="0"/>
      <w:autoSpaceDN w:val="0"/>
      <w:adjustRightInd w:val="0"/>
    </w:pPr>
    <w:rPr>
      <w:rFonts w:ascii="Segoe UI" w:hAnsi="Segoe UI" w:cs="Segoe UI"/>
      <w:color w:val="707173" w:themeColor="text2"/>
      <w:sz w:val="16"/>
      <w:szCs w:val="16"/>
    </w:rPr>
  </w:style>
  <w:style w:type="paragraph" w:customStyle="1" w:styleId="HPRAS2Footer">
    <w:name w:val="HPRA_S2_Footer"/>
    <w:basedOn w:val="Footer"/>
    <w:qFormat/>
    <w:rsid w:val="00C53B20"/>
    <w:pPr>
      <w:tabs>
        <w:tab w:val="clear" w:pos="4513"/>
        <w:tab w:val="clear" w:pos="9026"/>
        <w:tab w:val="right" w:pos="8278"/>
      </w:tabs>
    </w:pPr>
    <w:rPr>
      <w:rFonts w:ascii="Segoe UI" w:hAnsi="Segoe UI" w:cs="Segoe UI"/>
      <w:color w:val="707173" w:themeColor="text2"/>
      <w:sz w:val="18"/>
      <w:szCs w:val="18"/>
    </w:rPr>
  </w:style>
  <w:style w:type="character" w:customStyle="1" w:styleId="Heading1Char">
    <w:name w:val="Heading 1 Char"/>
    <w:basedOn w:val="DefaultParagraphFont"/>
    <w:link w:val="Heading1"/>
    <w:uiPriority w:val="9"/>
    <w:semiHidden/>
    <w:rsid w:val="00365679"/>
    <w:rPr>
      <w:rFonts w:asciiTheme="majorHAnsi" w:eastAsiaTheme="majorEastAsia" w:hAnsiTheme="majorHAnsi" w:cstheme="majorBidi"/>
      <w:b/>
      <w:bCs/>
      <w:color w:val="008F52" w:themeColor="accent1" w:themeShade="BF"/>
      <w:sz w:val="28"/>
      <w:szCs w:val="28"/>
    </w:rPr>
  </w:style>
  <w:style w:type="character" w:customStyle="1" w:styleId="Heading2Char">
    <w:name w:val="Heading 2 Char"/>
    <w:basedOn w:val="DefaultParagraphFont"/>
    <w:link w:val="Heading2"/>
    <w:uiPriority w:val="13"/>
    <w:semiHidden/>
    <w:rsid w:val="007C1EC3"/>
    <w:rPr>
      <w:rFonts w:asciiTheme="majorHAnsi" w:eastAsiaTheme="majorEastAsia" w:hAnsiTheme="majorHAnsi" w:cstheme="majorBidi"/>
      <w:b/>
      <w:bCs/>
      <w:color w:val="00BF6F" w:themeColor="accent1"/>
      <w:sz w:val="26"/>
      <w:szCs w:val="26"/>
    </w:rPr>
  </w:style>
  <w:style w:type="character" w:customStyle="1" w:styleId="Heading3Char">
    <w:name w:val="Heading 3 Char"/>
    <w:basedOn w:val="DefaultParagraphFont"/>
    <w:link w:val="Heading3"/>
    <w:uiPriority w:val="9"/>
    <w:semiHidden/>
    <w:rsid w:val="00D13731"/>
    <w:rPr>
      <w:rFonts w:asciiTheme="majorHAnsi" w:eastAsiaTheme="majorEastAsia" w:hAnsiTheme="majorHAnsi" w:cstheme="majorBidi"/>
      <w:b/>
      <w:bCs/>
      <w:color w:val="00BF6F" w:themeColor="accent1"/>
    </w:rPr>
  </w:style>
  <w:style w:type="character" w:customStyle="1" w:styleId="Heading4Char">
    <w:name w:val="Heading 4 Char"/>
    <w:basedOn w:val="DefaultParagraphFont"/>
    <w:link w:val="Heading4"/>
    <w:uiPriority w:val="9"/>
    <w:semiHidden/>
    <w:rsid w:val="00D13731"/>
    <w:rPr>
      <w:rFonts w:asciiTheme="majorHAnsi" w:eastAsiaTheme="majorEastAsia" w:hAnsiTheme="majorHAnsi" w:cstheme="majorBidi"/>
      <w:b/>
      <w:bCs/>
      <w:i/>
      <w:iCs/>
      <w:color w:val="00BF6F" w:themeColor="accent1"/>
    </w:rPr>
  </w:style>
  <w:style w:type="paragraph" w:customStyle="1" w:styleId="HPRACoverGuidefor">
    <w:name w:val="HPRA_Cover_Guide for"/>
    <w:basedOn w:val="Normal"/>
    <w:qFormat/>
    <w:rsid w:val="00B70639"/>
    <w:rPr>
      <w:rFonts w:ascii="Segoe UI" w:hAnsi="Segoe UI" w:cs="Segoe UI"/>
      <w:b/>
      <w:color w:val="707173" w:themeColor="text2"/>
      <w:sz w:val="40"/>
      <w:szCs w:val="56"/>
    </w:rPr>
  </w:style>
  <w:style w:type="paragraph" w:customStyle="1" w:styleId="HPRACoverTitle">
    <w:name w:val="HPRA_Cover_Title"/>
    <w:basedOn w:val="Normal"/>
    <w:qFormat/>
    <w:rsid w:val="00B70639"/>
    <w:pPr>
      <w:pBdr>
        <w:bottom w:val="single" w:sz="36" w:space="6" w:color="707173" w:themeColor="text2"/>
      </w:pBdr>
    </w:pPr>
    <w:rPr>
      <w:rFonts w:ascii="Segoe UI" w:hAnsi="Segoe UI" w:cs="Segoe UI"/>
      <w:b/>
      <w:bCs/>
      <w:color w:val="007041" w:themeColor="accent4"/>
      <w:sz w:val="40"/>
      <w:szCs w:val="56"/>
    </w:rPr>
  </w:style>
  <w:style w:type="paragraph" w:customStyle="1" w:styleId="HPRATOCTitle">
    <w:name w:val="HPRA_TOC_Title"/>
    <w:basedOn w:val="Normal"/>
    <w:qFormat/>
    <w:rsid w:val="009C499F"/>
    <w:rPr>
      <w:rFonts w:ascii="Segoe UI" w:hAnsi="Segoe UI" w:cs="Segoe UI"/>
      <w:b/>
      <w:bCs/>
      <w:color w:val="007041" w:themeColor="accent4"/>
      <w:sz w:val="24"/>
      <w:szCs w:val="24"/>
    </w:rPr>
  </w:style>
  <w:style w:type="paragraph" w:customStyle="1" w:styleId="HPRAHeadingL1">
    <w:name w:val="HPRA_Heading_L1"/>
    <w:basedOn w:val="Heading1"/>
    <w:qFormat/>
    <w:rsid w:val="001E433D"/>
    <w:pPr>
      <w:numPr>
        <w:numId w:val="3"/>
      </w:numPr>
    </w:pPr>
    <w:rPr>
      <w:rFonts w:ascii="Segoe UI" w:hAnsi="Segoe UI" w:cs="Segoe UI"/>
      <w:b w:val="0"/>
      <w:bCs w:val="0"/>
      <w:caps/>
      <w:color w:val="007041" w:themeColor="accent4"/>
      <w:sz w:val="20"/>
      <w:szCs w:val="24"/>
    </w:rPr>
  </w:style>
  <w:style w:type="paragraph" w:customStyle="1" w:styleId="HPRAHeadingL2">
    <w:name w:val="HPRA_Heading_L2"/>
    <w:basedOn w:val="Heading2"/>
    <w:autoRedefine/>
    <w:qFormat/>
    <w:rsid w:val="00C13E8A"/>
    <w:pPr>
      <w:numPr>
        <w:ilvl w:val="1"/>
        <w:numId w:val="3"/>
      </w:numPr>
    </w:pPr>
    <w:rPr>
      <w:rFonts w:ascii="Segoe UI" w:hAnsi="Segoe UI" w:cs="Segoe UI"/>
      <w:b w:val="0"/>
      <w:bCs w:val="0"/>
      <w:color w:val="007041" w:themeColor="accent4"/>
      <w:sz w:val="28"/>
      <w:szCs w:val="20"/>
    </w:rPr>
  </w:style>
  <w:style w:type="paragraph" w:customStyle="1" w:styleId="HPRAHeadingL3">
    <w:name w:val="HPRA_Heading_L3"/>
    <w:basedOn w:val="ListParagraph"/>
    <w:autoRedefine/>
    <w:qFormat/>
    <w:rsid w:val="00EE21C9"/>
    <w:pPr>
      <w:numPr>
        <w:ilvl w:val="2"/>
        <w:numId w:val="3"/>
      </w:numPr>
      <w:spacing w:after="120"/>
    </w:pPr>
    <w:rPr>
      <w:rFonts w:ascii="Segoe UI" w:hAnsi="Segoe UI" w:cs="Segoe UI"/>
      <w:color w:val="007041" w:themeColor="accent4"/>
      <w:sz w:val="24"/>
      <w:szCs w:val="20"/>
    </w:rPr>
  </w:style>
  <w:style w:type="paragraph" w:customStyle="1" w:styleId="HPRABodyTextL4">
    <w:name w:val="HPRA_BodyText_L4"/>
    <w:basedOn w:val="ListParagraph"/>
    <w:qFormat/>
    <w:rsid w:val="00DA3FE0"/>
    <w:pPr>
      <w:numPr>
        <w:ilvl w:val="3"/>
        <w:numId w:val="3"/>
      </w:numPr>
    </w:pPr>
    <w:rPr>
      <w:rFonts w:ascii="Segoe UI" w:hAnsi="Segoe UI" w:cs="Segoe UI"/>
      <w:sz w:val="20"/>
      <w:szCs w:val="20"/>
    </w:rPr>
  </w:style>
  <w:style w:type="paragraph" w:customStyle="1" w:styleId="HPRAMainBodyText">
    <w:name w:val="HPRA_MainBodyText"/>
    <w:basedOn w:val="Normal"/>
    <w:qFormat/>
    <w:rsid w:val="00DA3FE0"/>
    <w:rPr>
      <w:rFonts w:ascii="Segoe UI" w:hAnsi="Segoe UI" w:cs="Segoe UI"/>
      <w:sz w:val="20"/>
      <w:szCs w:val="20"/>
    </w:rPr>
  </w:style>
  <w:style w:type="character" w:customStyle="1" w:styleId="HPRABodyTextBold">
    <w:name w:val="HPRA_BodyText_Bold"/>
    <w:basedOn w:val="DefaultParagraphFont"/>
    <w:uiPriority w:val="1"/>
    <w:qFormat/>
    <w:rsid w:val="00DA3FE0"/>
    <w:rPr>
      <w:rFonts w:ascii="Segoe UI" w:hAnsi="Segoe UI" w:cs="Segoe UI"/>
      <w:b/>
      <w:sz w:val="20"/>
      <w:szCs w:val="20"/>
    </w:rPr>
  </w:style>
  <w:style w:type="character" w:customStyle="1" w:styleId="HPRABodyTextItalic">
    <w:name w:val="HPRA_BodyText_Italic"/>
    <w:basedOn w:val="DefaultParagraphFont"/>
    <w:uiPriority w:val="1"/>
    <w:qFormat/>
    <w:rsid w:val="001243A1"/>
    <w:rPr>
      <w:rFonts w:ascii="Segoe UI" w:hAnsi="Segoe UI" w:cs="Segoe UI"/>
      <w:i/>
      <w:sz w:val="20"/>
      <w:szCs w:val="20"/>
    </w:rPr>
  </w:style>
  <w:style w:type="paragraph" w:customStyle="1" w:styleId="HPRANumberedList0">
    <w:name w:val="HPRA_Numbered_List"/>
    <w:basedOn w:val="ListParagraph"/>
    <w:qFormat/>
    <w:rsid w:val="001243A1"/>
    <w:pPr>
      <w:numPr>
        <w:numId w:val="2"/>
      </w:numPr>
    </w:pPr>
    <w:rPr>
      <w:rFonts w:ascii="Segoe UI" w:hAnsi="Segoe UI" w:cs="Segoe UI"/>
      <w:sz w:val="20"/>
      <w:szCs w:val="20"/>
    </w:rPr>
  </w:style>
  <w:style w:type="paragraph" w:customStyle="1" w:styleId="HPRABulletedList">
    <w:name w:val="HPRA_Bulleted_List"/>
    <w:basedOn w:val="ListParagraph"/>
    <w:link w:val="HPRABulletedListChar"/>
    <w:qFormat/>
    <w:rsid w:val="007F0300"/>
    <w:pPr>
      <w:numPr>
        <w:numId w:val="13"/>
      </w:numPr>
    </w:pPr>
    <w:rPr>
      <w:rFonts w:ascii="Segoe UI" w:hAnsi="Segoe UI" w:cs="Segoe UI"/>
      <w:sz w:val="20"/>
      <w:szCs w:val="20"/>
    </w:rPr>
  </w:style>
  <w:style w:type="table" w:customStyle="1" w:styleId="HPRATableGreenHeader">
    <w:name w:val="HPRA_Table_GreenHeader"/>
    <w:basedOn w:val="TableNormal"/>
    <w:uiPriority w:val="99"/>
    <w:rsid w:val="00DE3813"/>
    <w:tblPr>
      <w:tblBorders>
        <w:bottom w:val="single" w:sz="8" w:space="0" w:color="007041" w:themeColor="accent4"/>
        <w:insideH w:val="single" w:sz="8" w:space="0" w:color="007041" w:themeColor="accent4"/>
      </w:tblBorders>
    </w:tblPr>
    <w:tblStylePr w:type="firstRow">
      <w:rPr>
        <w:rFonts w:ascii="NSimSun" w:hAnsi="NSimSun"/>
        <w:b/>
        <w:color w:val="FFFFFF" w:themeColor="background1"/>
        <w:sz w:val="20"/>
      </w:rPr>
      <w:tblPr/>
      <w:trPr>
        <w:tblHeader/>
      </w:trPr>
      <w:tcPr>
        <w:tcBorders>
          <w:insideV w:val="single" w:sz="8" w:space="0" w:color="FFFFFF" w:themeColor="background1"/>
        </w:tcBorders>
        <w:shd w:val="clear" w:color="auto" w:fill="007041" w:themeFill="accent4"/>
      </w:tcPr>
    </w:tblStylePr>
    <w:tblStylePr w:type="lastRow">
      <w:rPr>
        <w:rFonts w:ascii="NSimSun" w:hAnsi="NSimSun"/>
        <w:sz w:val="20"/>
      </w:rPr>
    </w:tblStylePr>
  </w:style>
  <w:style w:type="table" w:styleId="TableGrid">
    <w:name w:val="Table Grid"/>
    <w:basedOn w:val="TableNormal"/>
    <w:uiPriority w:val="39"/>
    <w:rsid w:val="00203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liases w:val="HPRA_TOC 1"/>
    <w:basedOn w:val="Normal"/>
    <w:next w:val="Normal"/>
    <w:autoRedefine/>
    <w:uiPriority w:val="39"/>
    <w:unhideWhenUsed/>
    <w:rsid w:val="00304687"/>
    <w:pPr>
      <w:tabs>
        <w:tab w:val="right" w:pos="8278"/>
      </w:tabs>
      <w:spacing w:after="100"/>
      <w:ind w:left="567" w:right="567" w:hanging="567"/>
      <w:textboxTightWrap w:val="allLines"/>
    </w:pPr>
    <w:rPr>
      <w:rFonts w:asciiTheme="majorHAnsi" w:hAnsiTheme="majorHAnsi"/>
      <w:b/>
      <w:bCs/>
      <w:caps/>
      <w:noProof/>
      <w:color w:val="007041" w:themeColor="accent4"/>
      <w:sz w:val="20"/>
    </w:rPr>
  </w:style>
  <w:style w:type="paragraph" w:styleId="TOC2">
    <w:name w:val="toc 2"/>
    <w:aliases w:val="HPRA_TOC 2"/>
    <w:basedOn w:val="Normal"/>
    <w:next w:val="Normal"/>
    <w:autoRedefine/>
    <w:uiPriority w:val="39"/>
    <w:unhideWhenUsed/>
    <w:rsid w:val="00304687"/>
    <w:pPr>
      <w:tabs>
        <w:tab w:val="right" w:pos="8278"/>
      </w:tabs>
      <w:spacing w:after="100"/>
      <w:ind w:left="567" w:right="567" w:hanging="567"/>
      <w:jc w:val="center"/>
    </w:pPr>
    <w:rPr>
      <w:rFonts w:ascii="Segoe UI" w:hAnsi="Segoe UI"/>
      <w:color w:val="000000" w:themeColor="text1"/>
      <w:sz w:val="20"/>
    </w:rPr>
  </w:style>
  <w:style w:type="paragraph" w:styleId="TOC3">
    <w:name w:val="toc 3"/>
    <w:aliases w:val="HPRA_TOC 3"/>
    <w:basedOn w:val="Normal"/>
    <w:next w:val="Normal"/>
    <w:autoRedefine/>
    <w:uiPriority w:val="39"/>
    <w:unhideWhenUsed/>
    <w:rsid w:val="0080014C"/>
    <w:pPr>
      <w:tabs>
        <w:tab w:val="right" w:pos="8278"/>
      </w:tabs>
      <w:spacing w:after="100"/>
      <w:ind w:left="442" w:right="567"/>
    </w:pPr>
    <w:rPr>
      <w:rFonts w:ascii="Segoe UI" w:hAnsi="Segoe UI"/>
      <w:sz w:val="20"/>
    </w:rPr>
  </w:style>
  <w:style w:type="paragraph" w:customStyle="1" w:styleId="HPRAIndentedBulletList">
    <w:name w:val="HPRA_Indented Bullet_List"/>
    <w:basedOn w:val="HPRABulletedList"/>
    <w:link w:val="HPRAIndentedBulletListChar"/>
    <w:uiPriority w:val="4"/>
    <w:qFormat/>
    <w:rsid w:val="007F0300"/>
    <w:pPr>
      <w:numPr>
        <w:numId w:val="14"/>
      </w:numPr>
    </w:pPr>
  </w:style>
  <w:style w:type="paragraph" w:customStyle="1" w:styleId="HPRAAlphabetBulletedList0">
    <w:name w:val="HPRA_Alphabet_Bulleted_List"/>
    <w:basedOn w:val="HPRABulletedList"/>
    <w:link w:val="HPRAAlphabetBulletedListChar"/>
    <w:qFormat/>
    <w:rsid w:val="00EA4CD3"/>
    <w:pPr>
      <w:numPr>
        <w:numId w:val="9"/>
      </w:numPr>
    </w:pPr>
  </w:style>
  <w:style w:type="paragraph" w:customStyle="1" w:styleId="HPRALowercaseAlphabetBulletList">
    <w:name w:val="HPRA_Lowercase_Alphabet Bullet List"/>
    <w:basedOn w:val="HPRAAlphabetBulletedList0"/>
    <w:link w:val="HPRALowercaseAlphabetBulletListChar"/>
    <w:uiPriority w:val="4"/>
    <w:qFormat/>
    <w:rsid w:val="00EA4CD3"/>
    <w:pPr>
      <w:numPr>
        <w:numId w:val="4"/>
      </w:numPr>
    </w:pPr>
  </w:style>
  <w:style w:type="numbering" w:customStyle="1" w:styleId="HPRALowecaseAlphabetBullet">
    <w:name w:val="HPRA_Lowecase_Alphabet_Bullet"/>
    <w:uiPriority w:val="99"/>
    <w:rsid w:val="00EA4CD3"/>
    <w:pPr>
      <w:numPr>
        <w:numId w:val="4"/>
      </w:numPr>
    </w:pPr>
  </w:style>
  <w:style w:type="numbering" w:customStyle="1" w:styleId="HPRARomanNumeralsBulletedlist">
    <w:name w:val="HPRA_RomanNumerals_Bulleted list"/>
    <w:uiPriority w:val="99"/>
    <w:rsid w:val="000A5F7E"/>
    <w:pPr>
      <w:numPr>
        <w:numId w:val="5"/>
      </w:numPr>
    </w:pPr>
  </w:style>
  <w:style w:type="paragraph" w:customStyle="1" w:styleId="HPRARomanNumeralsBulletedList0">
    <w:name w:val="HPRA_RomanNumerals_Bulleted_List"/>
    <w:basedOn w:val="HPRALowercaseAlphabetBulletList"/>
    <w:link w:val="HPRARomanNumeralsBulletedListChar"/>
    <w:uiPriority w:val="4"/>
    <w:qFormat/>
    <w:rsid w:val="000A5F7E"/>
    <w:pPr>
      <w:numPr>
        <w:numId w:val="16"/>
      </w:numPr>
    </w:pPr>
  </w:style>
  <w:style w:type="paragraph" w:customStyle="1" w:styleId="HPRAMainBodyTextUnderline">
    <w:name w:val="HPRA_MainBodyText_Underline"/>
    <w:basedOn w:val="HPRAMainBodyText"/>
    <w:qFormat/>
    <w:rsid w:val="00F9380C"/>
    <w:rPr>
      <w:u w:val="single"/>
    </w:rPr>
  </w:style>
  <w:style w:type="numbering" w:customStyle="1" w:styleId="HPRAAlphabetBulletedList">
    <w:name w:val="HPRA_Alphabet_Bulleted List"/>
    <w:uiPriority w:val="99"/>
    <w:rsid w:val="00EA4CD3"/>
    <w:pPr>
      <w:numPr>
        <w:numId w:val="6"/>
      </w:numPr>
    </w:pPr>
  </w:style>
  <w:style w:type="numbering" w:customStyle="1" w:styleId="HPRAArabicNumerals">
    <w:name w:val="HPRA_Arabic Numerals"/>
    <w:uiPriority w:val="99"/>
    <w:rsid w:val="000A5F7E"/>
    <w:pPr>
      <w:numPr>
        <w:numId w:val="7"/>
      </w:numPr>
    </w:pPr>
  </w:style>
  <w:style w:type="paragraph" w:customStyle="1" w:styleId="HPRAArabicNumeralBulletedList">
    <w:name w:val="HPRA_Arabic Numeral_Bulleted List"/>
    <w:basedOn w:val="HPRARomanNumeralsBulletedList0"/>
    <w:link w:val="HPRAArabicNumeralBulletedListChar"/>
    <w:uiPriority w:val="4"/>
    <w:rsid w:val="000A5F7E"/>
    <w:pPr>
      <w:numPr>
        <w:numId w:val="10"/>
      </w:numPr>
    </w:pPr>
  </w:style>
  <w:style w:type="numbering" w:customStyle="1" w:styleId="IndentedBulletedList">
    <w:name w:val="Indented Bulleted List"/>
    <w:uiPriority w:val="99"/>
    <w:rsid w:val="00390487"/>
    <w:pPr>
      <w:numPr>
        <w:numId w:val="8"/>
      </w:numPr>
    </w:pPr>
  </w:style>
  <w:style w:type="paragraph" w:customStyle="1" w:styleId="HPRAArabicnumberalbulletedlist">
    <w:name w:val="HPRA Arabic numberal bulleted list"/>
    <w:basedOn w:val="HPRAArabicNumeralBulletedList"/>
    <w:link w:val="HPRAArabicnumberalbulletedlistChar"/>
    <w:uiPriority w:val="4"/>
    <w:rsid w:val="000A5F7E"/>
    <w:pPr>
      <w:numPr>
        <w:ilvl w:val="2"/>
      </w:numPr>
    </w:pPr>
  </w:style>
  <w:style w:type="character" w:customStyle="1" w:styleId="ListParagraphChar">
    <w:name w:val="List Paragraph Char"/>
    <w:aliases w:val="Subtitle Cover Page Char,Bullet List Char,FooterText Char,List Paragraph1 Char,lp1 Char,lp11 Char"/>
    <w:basedOn w:val="DefaultParagraphFont"/>
    <w:link w:val="ListParagraph"/>
    <w:uiPriority w:val="34"/>
    <w:rsid w:val="000A5F7E"/>
  </w:style>
  <w:style w:type="character" w:customStyle="1" w:styleId="HPRABulletedListChar">
    <w:name w:val="HPRA_Bulleted_List Char"/>
    <w:basedOn w:val="ListParagraphChar"/>
    <w:link w:val="HPRABulletedList"/>
    <w:rsid w:val="007F0300"/>
    <w:rPr>
      <w:rFonts w:ascii="Segoe UI" w:hAnsi="Segoe UI" w:cs="Segoe UI"/>
      <w:sz w:val="20"/>
      <w:szCs w:val="20"/>
    </w:rPr>
  </w:style>
  <w:style w:type="character" w:customStyle="1" w:styleId="HPRAAlphabetBulletedListChar">
    <w:name w:val="HPRA_Alphabet_Bulleted_List Char"/>
    <w:basedOn w:val="HPRABulletedListChar"/>
    <w:link w:val="HPRAAlphabetBulletedList0"/>
    <w:rsid w:val="000A5F7E"/>
    <w:rPr>
      <w:rFonts w:ascii="Segoe UI" w:hAnsi="Segoe UI" w:cs="Segoe UI"/>
      <w:sz w:val="20"/>
      <w:szCs w:val="20"/>
    </w:rPr>
  </w:style>
  <w:style w:type="character" w:customStyle="1" w:styleId="HPRALowercaseAlphabetBulletListChar">
    <w:name w:val="HPRA_Lowercase_Alphabet Bullet List Char"/>
    <w:basedOn w:val="HPRAAlphabetBulletedListChar"/>
    <w:link w:val="HPRALowercaseAlphabetBulletList"/>
    <w:uiPriority w:val="4"/>
    <w:rsid w:val="000A5F7E"/>
    <w:rPr>
      <w:rFonts w:ascii="Segoe UI" w:hAnsi="Segoe UI" w:cs="Segoe UI"/>
      <w:sz w:val="20"/>
      <w:szCs w:val="20"/>
    </w:rPr>
  </w:style>
  <w:style w:type="character" w:customStyle="1" w:styleId="HPRARomanNumeralsBulletedListChar">
    <w:name w:val="HPRA_RomanNumerals_Bulleted_List Char"/>
    <w:basedOn w:val="HPRALowercaseAlphabetBulletListChar"/>
    <w:link w:val="HPRARomanNumeralsBulletedList0"/>
    <w:uiPriority w:val="4"/>
    <w:rsid w:val="000A5F7E"/>
    <w:rPr>
      <w:rFonts w:ascii="Segoe UI" w:hAnsi="Segoe UI" w:cs="Segoe UI"/>
      <w:sz w:val="20"/>
      <w:szCs w:val="20"/>
    </w:rPr>
  </w:style>
  <w:style w:type="character" w:customStyle="1" w:styleId="HPRAArabicNumeralBulletedListChar">
    <w:name w:val="HPRA_Arabic Numeral_Bulleted List Char"/>
    <w:basedOn w:val="HPRARomanNumeralsBulletedListChar"/>
    <w:link w:val="HPRAArabicNumeralBulletedList"/>
    <w:uiPriority w:val="4"/>
    <w:rsid w:val="000A5F7E"/>
    <w:rPr>
      <w:rFonts w:ascii="Segoe UI" w:hAnsi="Segoe UI" w:cs="Segoe UI"/>
      <w:sz w:val="20"/>
      <w:szCs w:val="20"/>
    </w:rPr>
  </w:style>
  <w:style w:type="character" w:customStyle="1" w:styleId="HPRAArabicnumberalbulletedlistChar">
    <w:name w:val="HPRA Arabic numberal bulleted list Char"/>
    <w:basedOn w:val="HPRAArabicNumeralBulletedListChar"/>
    <w:link w:val="HPRAArabicnumberalbulletedlist"/>
    <w:uiPriority w:val="4"/>
    <w:rsid w:val="000A5F7E"/>
    <w:rPr>
      <w:rFonts w:ascii="Segoe UI" w:hAnsi="Segoe UI" w:cs="Segoe UI"/>
      <w:sz w:val="20"/>
      <w:szCs w:val="20"/>
    </w:rPr>
  </w:style>
  <w:style w:type="paragraph" w:customStyle="1" w:styleId="HPRAGreaterindentbulletedlist">
    <w:name w:val="HPRA_Greater indent bulleted list"/>
    <w:basedOn w:val="HPRAIndentedBulletList"/>
    <w:link w:val="HPRAGreaterindentbulletedlistChar"/>
    <w:uiPriority w:val="4"/>
    <w:qFormat/>
    <w:rsid w:val="007F0300"/>
    <w:pPr>
      <w:numPr>
        <w:numId w:val="15"/>
      </w:numPr>
    </w:pPr>
  </w:style>
  <w:style w:type="numbering" w:customStyle="1" w:styleId="HPRAIndentedBulletedList">
    <w:name w:val="HPRA_Indented Bulleted_List"/>
    <w:uiPriority w:val="99"/>
    <w:rsid w:val="00AC35C5"/>
    <w:pPr>
      <w:numPr>
        <w:numId w:val="11"/>
      </w:numPr>
    </w:pPr>
  </w:style>
  <w:style w:type="character" w:customStyle="1" w:styleId="HPRAIndentedBulletListChar">
    <w:name w:val="HPRA_Indented Bullet_List Char"/>
    <w:basedOn w:val="HPRABulletedListChar"/>
    <w:link w:val="HPRAIndentedBulletList"/>
    <w:uiPriority w:val="4"/>
    <w:rsid w:val="007F0300"/>
    <w:rPr>
      <w:rFonts w:ascii="Segoe UI" w:hAnsi="Segoe UI" w:cs="Segoe UI"/>
      <w:sz w:val="20"/>
      <w:szCs w:val="20"/>
    </w:rPr>
  </w:style>
  <w:style w:type="character" w:customStyle="1" w:styleId="HPRAGreaterindentbulletedlistChar">
    <w:name w:val="HPRA_Greater indent bulleted list Char"/>
    <w:basedOn w:val="HPRAIndentedBulletListChar"/>
    <w:link w:val="HPRAGreaterindentbulletedlist"/>
    <w:uiPriority w:val="4"/>
    <w:rsid w:val="007F0300"/>
    <w:rPr>
      <w:rFonts w:ascii="Segoe UI" w:hAnsi="Segoe UI" w:cs="Segoe UI"/>
      <w:sz w:val="20"/>
      <w:szCs w:val="20"/>
    </w:rPr>
  </w:style>
  <w:style w:type="paragraph" w:styleId="TOCHeading">
    <w:name w:val="TOC Heading"/>
    <w:basedOn w:val="Heading1"/>
    <w:next w:val="Normal"/>
    <w:uiPriority w:val="39"/>
    <w:unhideWhenUsed/>
    <w:qFormat/>
    <w:rsid w:val="00A0367D"/>
    <w:pPr>
      <w:spacing w:before="240" w:line="259" w:lineRule="auto"/>
      <w:outlineLvl w:val="9"/>
    </w:pPr>
    <w:rPr>
      <w:b w:val="0"/>
      <w:bCs w:val="0"/>
      <w:sz w:val="32"/>
      <w:szCs w:val="32"/>
      <w:lang w:val="en-US"/>
    </w:rPr>
  </w:style>
  <w:style w:type="table" w:styleId="GridTable4-Accent5">
    <w:name w:val="Grid Table 4 Accent 5"/>
    <w:basedOn w:val="TableNormal"/>
    <w:uiPriority w:val="49"/>
    <w:rsid w:val="00032B89"/>
    <w:tblPr>
      <w:tblStyleRowBandSize w:val="1"/>
      <w:tblStyleColBandSize w:val="1"/>
      <w:tblBorders>
        <w:top w:val="single" w:sz="4" w:space="0" w:color="FFA5D1" w:themeColor="accent5" w:themeTint="99"/>
        <w:left w:val="single" w:sz="4" w:space="0" w:color="FFA5D1" w:themeColor="accent5" w:themeTint="99"/>
        <w:bottom w:val="single" w:sz="4" w:space="0" w:color="FFA5D1" w:themeColor="accent5" w:themeTint="99"/>
        <w:right w:val="single" w:sz="4" w:space="0" w:color="FFA5D1" w:themeColor="accent5" w:themeTint="99"/>
        <w:insideH w:val="single" w:sz="4" w:space="0" w:color="FFA5D1" w:themeColor="accent5" w:themeTint="99"/>
        <w:insideV w:val="single" w:sz="4" w:space="0" w:color="FFA5D1" w:themeColor="accent5" w:themeTint="99"/>
      </w:tblBorders>
    </w:tblPr>
    <w:tblStylePr w:type="firstRow">
      <w:rPr>
        <w:b/>
        <w:bCs/>
        <w:color w:val="FFFFFF" w:themeColor="background1"/>
      </w:rPr>
      <w:tblPr/>
      <w:tcPr>
        <w:tcBorders>
          <w:top w:val="single" w:sz="4" w:space="0" w:color="FF69B4" w:themeColor="accent5"/>
          <w:left w:val="single" w:sz="4" w:space="0" w:color="FF69B4" w:themeColor="accent5"/>
          <w:bottom w:val="single" w:sz="4" w:space="0" w:color="FF69B4" w:themeColor="accent5"/>
          <w:right w:val="single" w:sz="4" w:space="0" w:color="FF69B4" w:themeColor="accent5"/>
          <w:insideH w:val="nil"/>
          <w:insideV w:val="nil"/>
        </w:tcBorders>
        <w:shd w:val="clear" w:color="auto" w:fill="FF69B4" w:themeFill="accent5"/>
      </w:tcPr>
    </w:tblStylePr>
    <w:tblStylePr w:type="lastRow">
      <w:rPr>
        <w:b/>
        <w:bCs/>
      </w:rPr>
      <w:tblPr/>
      <w:tcPr>
        <w:tcBorders>
          <w:top w:val="double" w:sz="4" w:space="0" w:color="FF69B4" w:themeColor="accent5"/>
        </w:tcBorders>
      </w:tcPr>
    </w:tblStylePr>
    <w:tblStylePr w:type="firstCol">
      <w:rPr>
        <w:b/>
        <w:bCs/>
      </w:rPr>
    </w:tblStylePr>
    <w:tblStylePr w:type="lastCol">
      <w:rPr>
        <w:b/>
        <w:bCs/>
      </w:rPr>
    </w:tblStylePr>
    <w:tblStylePr w:type="band1Vert">
      <w:tblPr/>
      <w:tcPr>
        <w:shd w:val="clear" w:color="auto" w:fill="FFE1EF" w:themeFill="accent5" w:themeFillTint="33"/>
      </w:tcPr>
    </w:tblStylePr>
    <w:tblStylePr w:type="band1Horz">
      <w:tblPr/>
      <w:tcPr>
        <w:shd w:val="clear" w:color="auto" w:fill="FFE1EF" w:themeFill="accent5" w:themeFillTint="33"/>
      </w:tcPr>
    </w:tblStylePr>
  </w:style>
  <w:style w:type="character" w:styleId="CommentReference">
    <w:name w:val="annotation reference"/>
    <w:basedOn w:val="DefaultParagraphFont"/>
    <w:uiPriority w:val="99"/>
    <w:semiHidden/>
    <w:unhideWhenUsed/>
    <w:rsid w:val="00FB47E7"/>
    <w:rPr>
      <w:sz w:val="16"/>
      <w:szCs w:val="16"/>
    </w:rPr>
  </w:style>
  <w:style w:type="paragraph" w:styleId="CommentText">
    <w:name w:val="annotation text"/>
    <w:basedOn w:val="Normal"/>
    <w:link w:val="CommentTextChar"/>
    <w:uiPriority w:val="99"/>
    <w:unhideWhenUsed/>
    <w:rsid w:val="00FB47E7"/>
    <w:rPr>
      <w:sz w:val="20"/>
      <w:szCs w:val="20"/>
    </w:rPr>
  </w:style>
  <w:style w:type="character" w:customStyle="1" w:styleId="CommentTextChar">
    <w:name w:val="Comment Text Char"/>
    <w:basedOn w:val="DefaultParagraphFont"/>
    <w:link w:val="CommentText"/>
    <w:uiPriority w:val="99"/>
    <w:rsid w:val="00FB47E7"/>
    <w:rPr>
      <w:sz w:val="20"/>
      <w:szCs w:val="20"/>
    </w:rPr>
  </w:style>
  <w:style w:type="paragraph" w:styleId="CommentSubject">
    <w:name w:val="annotation subject"/>
    <w:basedOn w:val="CommentText"/>
    <w:next w:val="CommentText"/>
    <w:link w:val="CommentSubjectChar"/>
    <w:uiPriority w:val="99"/>
    <w:semiHidden/>
    <w:unhideWhenUsed/>
    <w:rsid w:val="00B606D2"/>
    <w:rPr>
      <w:b/>
      <w:bCs/>
    </w:rPr>
  </w:style>
  <w:style w:type="character" w:customStyle="1" w:styleId="CommentSubjectChar">
    <w:name w:val="Comment Subject Char"/>
    <w:basedOn w:val="CommentTextChar"/>
    <w:link w:val="CommentSubject"/>
    <w:uiPriority w:val="99"/>
    <w:semiHidden/>
    <w:rsid w:val="00B606D2"/>
    <w:rPr>
      <w:b/>
      <w:bCs/>
      <w:sz w:val="20"/>
      <w:szCs w:val="20"/>
    </w:rPr>
  </w:style>
  <w:style w:type="character" w:customStyle="1" w:styleId="Body1Char">
    <w:name w:val="* Body 1 Char"/>
    <w:link w:val="Body1"/>
    <w:locked/>
    <w:rsid w:val="003B149B"/>
    <w:rPr>
      <w:rFonts w:ascii="Calibri" w:eastAsia="Calibri" w:hAnsi="Calibri" w:cs="Times New Roman"/>
      <w:lang w:eastAsia="en-IE"/>
    </w:rPr>
  </w:style>
  <w:style w:type="paragraph" w:customStyle="1" w:styleId="Body1">
    <w:name w:val="* Body 1"/>
    <w:basedOn w:val="Normal"/>
    <w:link w:val="Body1Char"/>
    <w:qFormat/>
    <w:rsid w:val="003B149B"/>
    <w:pPr>
      <w:spacing w:after="120" w:line="260" w:lineRule="atLeast"/>
      <w:jc w:val="both"/>
    </w:pPr>
    <w:rPr>
      <w:rFonts w:ascii="Calibri" w:eastAsia="Calibri" w:hAnsi="Calibri" w:cs="Times New Roman"/>
      <w:lang w:eastAsia="en-IE"/>
    </w:rPr>
  </w:style>
  <w:style w:type="paragraph" w:customStyle="1" w:styleId="Default">
    <w:name w:val="Default"/>
    <w:rsid w:val="004A3016"/>
    <w:pPr>
      <w:autoSpaceDE w:val="0"/>
      <w:autoSpaceDN w:val="0"/>
      <w:adjustRightInd w:val="0"/>
    </w:pPr>
    <w:rPr>
      <w:rFonts w:ascii="Times New Roman" w:eastAsia="Times New Roman" w:hAnsi="Times New Roman" w:cs="Times New Roman"/>
      <w:color w:val="000000"/>
      <w:sz w:val="24"/>
      <w:szCs w:val="24"/>
      <w:lang w:eastAsia="en-IE"/>
    </w:rPr>
  </w:style>
  <w:style w:type="paragraph" w:styleId="TOC7">
    <w:name w:val="toc 7"/>
    <w:basedOn w:val="Normal"/>
    <w:next w:val="Normal"/>
    <w:autoRedefine/>
    <w:uiPriority w:val="39"/>
    <w:semiHidden/>
    <w:unhideWhenUsed/>
    <w:rsid w:val="00647A26"/>
    <w:pPr>
      <w:spacing w:after="100"/>
      <w:ind w:left="1320"/>
    </w:pPr>
  </w:style>
  <w:style w:type="paragraph" w:styleId="Revision">
    <w:name w:val="Revision"/>
    <w:hidden/>
    <w:uiPriority w:val="99"/>
    <w:semiHidden/>
    <w:rsid w:val="000203DA"/>
  </w:style>
  <w:style w:type="paragraph" w:styleId="NormalWeb">
    <w:name w:val="Normal (Web)"/>
    <w:basedOn w:val="Normal"/>
    <w:uiPriority w:val="99"/>
    <w:semiHidden/>
    <w:unhideWhenUsed/>
    <w:rsid w:val="00CB4403"/>
    <w:pPr>
      <w:spacing w:before="100" w:beforeAutospacing="1" w:after="100" w:afterAutospacing="1"/>
    </w:pPr>
    <w:rPr>
      <w:rFonts w:ascii="Times New Roman" w:eastAsia="Times New Roman" w:hAnsi="Times New Roman" w:cs="Times New Roman"/>
      <w:sz w:val="24"/>
      <w:szCs w:val="24"/>
      <w:lang w:eastAsia="en-IE"/>
    </w:rPr>
  </w:style>
  <w:style w:type="paragraph" w:customStyle="1" w:styleId="pf0">
    <w:name w:val="pf0"/>
    <w:basedOn w:val="Normal"/>
    <w:rsid w:val="00574807"/>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cf01">
    <w:name w:val="cf01"/>
    <w:basedOn w:val="DefaultParagraphFont"/>
    <w:rsid w:val="00574807"/>
    <w:rPr>
      <w:rFonts w:ascii="Segoe UI" w:hAnsi="Segoe UI" w:cs="Segoe UI" w:hint="default"/>
      <w:sz w:val="18"/>
      <w:szCs w:val="18"/>
    </w:rPr>
  </w:style>
  <w:style w:type="character" w:styleId="UnresolvedMention">
    <w:name w:val="Unresolved Mention"/>
    <w:basedOn w:val="DefaultParagraphFont"/>
    <w:uiPriority w:val="99"/>
    <w:semiHidden/>
    <w:unhideWhenUsed/>
    <w:rsid w:val="00563C89"/>
    <w:rPr>
      <w:color w:val="605E5C"/>
      <w:shd w:val="clear" w:color="auto" w:fill="E1DFDD"/>
    </w:rPr>
  </w:style>
  <w:style w:type="character" w:styleId="BookTitle">
    <w:name w:val="Book Title"/>
    <w:basedOn w:val="DefaultParagraphFont"/>
    <w:uiPriority w:val="33"/>
    <w:qFormat/>
    <w:rsid w:val="005068CB"/>
    <w:rPr>
      <w:b/>
      <w:bCs/>
      <w:i/>
      <w:iCs/>
      <w:spacing w:val="5"/>
    </w:rPr>
  </w:style>
  <w:style w:type="paragraph" w:styleId="Caption">
    <w:name w:val="caption"/>
    <w:basedOn w:val="Normal"/>
    <w:next w:val="Normal"/>
    <w:uiPriority w:val="35"/>
    <w:semiHidden/>
    <w:unhideWhenUsed/>
    <w:qFormat/>
    <w:rsid w:val="005068CB"/>
    <w:pPr>
      <w:spacing w:after="200"/>
    </w:pPr>
    <w:rPr>
      <w:i/>
      <w:iCs/>
      <w:color w:val="707173" w:themeColor="text2"/>
      <w:sz w:val="18"/>
      <w:szCs w:val="18"/>
    </w:rPr>
  </w:style>
  <w:style w:type="character" w:styleId="Emphasis">
    <w:name w:val="Emphasis"/>
    <w:basedOn w:val="DefaultParagraphFont"/>
    <w:uiPriority w:val="20"/>
    <w:qFormat/>
    <w:rsid w:val="005068CB"/>
    <w:rPr>
      <w:i/>
      <w:iCs/>
    </w:rPr>
  </w:style>
  <w:style w:type="character" w:customStyle="1" w:styleId="Heading5Char">
    <w:name w:val="Heading 5 Char"/>
    <w:basedOn w:val="DefaultParagraphFont"/>
    <w:link w:val="Heading5"/>
    <w:uiPriority w:val="9"/>
    <w:semiHidden/>
    <w:rsid w:val="005068CB"/>
    <w:rPr>
      <w:rFonts w:asciiTheme="majorHAnsi" w:eastAsiaTheme="majorEastAsia" w:hAnsiTheme="majorHAnsi" w:cstheme="majorBidi"/>
      <w:color w:val="008F52" w:themeColor="accent1" w:themeShade="BF"/>
    </w:rPr>
  </w:style>
  <w:style w:type="character" w:customStyle="1" w:styleId="Heading6Char">
    <w:name w:val="Heading 6 Char"/>
    <w:basedOn w:val="DefaultParagraphFont"/>
    <w:link w:val="Heading6"/>
    <w:uiPriority w:val="9"/>
    <w:semiHidden/>
    <w:rsid w:val="005068CB"/>
    <w:rPr>
      <w:rFonts w:asciiTheme="majorHAnsi" w:eastAsiaTheme="majorEastAsia" w:hAnsiTheme="majorHAnsi" w:cstheme="majorBidi"/>
      <w:color w:val="005F37" w:themeColor="accent1" w:themeShade="7F"/>
    </w:rPr>
  </w:style>
  <w:style w:type="character" w:customStyle="1" w:styleId="Heading7Char">
    <w:name w:val="Heading 7 Char"/>
    <w:basedOn w:val="DefaultParagraphFont"/>
    <w:link w:val="Heading7"/>
    <w:uiPriority w:val="9"/>
    <w:semiHidden/>
    <w:rsid w:val="005068CB"/>
    <w:rPr>
      <w:rFonts w:asciiTheme="majorHAnsi" w:eastAsiaTheme="majorEastAsia" w:hAnsiTheme="majorHAnsi" w:cstheme="majorBidi"/>
      <w:i/>
      <w:iCs/>
      <w:color w:val="005F37" w:themeColor="accent1" w:themeShade="7F"/>
    </w:rPr>
  </w:style>
  <w:style w:type="character" w:customStyle="1" w:styleId="Heading8Char">
    <w:name w:val="Heading 8 Char"/>
    <w:basedOn w:val="DefaultParagraphFont"/>
    <w:link w:val="Heading8"/>
    <w:uiPriority w:val="9"/>
    <w:semiHidden/>
    <w:rsid w:val="005068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68C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068CB"/>
    <w:rPr>
      <w:i/>
      <w:iCs/>
      <w:color w:val="00BF6F" w:themeColor="accent1"/>
    </w:rPr>
  </w:style>
  <w:style w:type="paragraph" w:styleId="IntenseQuote">
    <w:name w:val="Intense Quote"/>
    <w:basedOn w:val="Normal"/>
    <w:next w:val="Normal"/>
    <w:link w:val="IntenseQuoteChar"/>
    <w:uiPriority w:val="30"/>
    <w:qFormat/>
    <w:rsid w:val="005068CB"/>
    <w:pPr>
      <w:pBdr>
        <w:top w:val="single" w:sz="4" w:space="10" w:color="00BF6F" w:themeColor="accent1"/>
        <w:bottom w:val="single" w:sz="4" w:space="10" w:color="00BF6F" w:themeColor="accent1"/>
      </w:pBdr>
      <w:spacing w:before="360" w:after="360"/>
      <w:ind w:left="864" w:right="864"/>
      <w:jc w:val="center"/>
    </w:pPr>
    <w:rPr>
      <w:i/>
      <w:iCs/>
      <w:color w:val="00BF6F" w:themeColor="accent1"/>
    </w:rPr>
  </w:style>
  <w:style w:type="character" w:customStyle="1" w:styleId="IntenseQuoteChar">
    <w:name w:val="Intense Quote Char"/>
    <w:basedOn w:val="DefaultParagraphFont"/>
    <w:link w:val="IntenseQuote"/>
    <w:uiPriority w:val="30"/>
    <w:rsid w:val="005068CB"/>
    <w:rPr>
      <w:i/>
      <w:iCs/>
      <w:color w:val="00BF6F" w:themeColor="accent1"/>
    </w:rPr>
  </w:style>
  <w:style w:type="character" w:styleId="IntenseReference">
    <w:name w:val="Intense Reference"/>
    <w:basedOn w:val="DefaultParagraphFont"/>
    <w:uiPriority w:val="32"/>
    <w:qFormat/>
    <w:rsid w:val="005068CB"/>
    <w:rPr>
      <w:b/>
      <w:bCs/>
      <w:smallCaps/>
      <w:color w:val="00BF6F" w:themeColor="accent1"/>
      <w:spacing w:val="5"/>
    </w:rPr>
  </w:style>
  <w:style w:type="paragraph" w:styleId="NoSpacing">
    <w:name w:val="No Spacing"/>
    <w:uiPriority w:val="1"/>
    <w:semiHidden/>
    <w:qFormat/>
    <w:rsid w:val="005068CB"/>
  </w:style>
  <w:style w:type="paragraph" w:styleId="Quote">
    <w:name w:val="Quote"/>
    <w:basedOn w:val="Normal"/>
    <w:next w:val="Normal"/>
    <w:link w:val="QuoteChar"/>
    <w:uiPriority w:val="29"/>
    <w:qFormat/>
    <w:rsid w:val="005068C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068CB"/>
    <w:rPr>
      <w:i/>
      <w:iCs/>
      <w:color w:val="404040" w:themeColor="text1" w:themeTint="BF"/>
    </w:rPr>
  </w:style>
  <w:style w:type="character" w:styleId="Strong">
    <w:name w:val="Strong"/>
    <w:basedOn w:val="DefaultParagraphFont"/>
    <w:uiPriority w:val="22"/>
    <w:qFormat/>
    <w:rsid w:val="005068CB"/>
    <w:rPr>
      <w:b/>
      <w:bCs/>
    </w:rPr>
  </w:style>
  <w:style w:type="paragraph" w:styleId="Subtitle">
    <w:name w:val="Subtitle"/>
    <w:basedOn w:val="Normal"/>
    <w:next w:val="Normal"/>
    <w:link w:val="SubtitleChar"/>
    <w:uiPriority w:val="11"/>
    <w:semiHidden/>
    <w:qFormat/>
    <w:rsid w:val="005068C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068CB"/>
    <w:rPr>
      <w:rFonts w:eastAsiaTheme="minorEastAsia"/>
      <w:color w:val="5A5A5A" w:themeColor="text1" w:themeTint="A5"/>
      <w:spacing w:val="15"/>
    </w:rPr>
  </w:style>
  <w:style w:type="character" w:styleId="SubtleEmphasis">
    <w:name w:val="Subtle Emphasis"/>
    <w:basedOn w:val="DefaultParagraphFont"/>
    <w:uiPriority w:val="19"/>
    <w:qFormat/>
    <w:rsid w:val="005068CB"/>
    <w:rPr>
      <w:i/>
      <w:iCs/>
      <w:color w:val="404040" w:themeColor="text1" w:themeTint="BF"/>
    </w:rPr>
  </w:style>
  <w:style w:type="character" w:styleId="SubtleReference">
    <w:name w:val="Subtle Reference"/>
    <w:basedOn w:val="DefaultParagraphFont"/>
    <w:uiPriority w:val="31"/>
    <w:qFormat/>
    <w:rsid w:val="005068CB"/>
    <w:rPr>
      <w:smallCaps/>
      <w:color w:val="5A5A5A" w:themeColor="text1" w:themeTint="A5"/>
    </w:rPr>
  </w:style>
  <w:style w:type="paragraph" w:styleId="Title">
    <w:name w:val="Title"/>
    <w:basedOn w:val="Normal"/>
    <w:next w:val="Normal"/>
    <w:link w:val="TitleChar"/>
    <w:uiPriority w:val="10"/>
    <w:qFormat/>
    <w:rsid w:val="005068C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8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8183">
      <w:bodyDiv w:val="1"/>
      <w:marLeft w:val="0"/>
      <w:marRight w:val="0"/>
      <w:marTop w:val="0"/>
      <w:marBottom w:val="0"/>
      <w:divBdr>
        <w:top w:val="none" w:sz="0" w:space="0" w:color="auto"/>
        <w:left w:val="none" w:sz="0" w:space="0" w:color="auto"/>
        <w:bottom w:val="none" w:sz="0" w:space="0" w:color="auto"/>
        <w:right w:val="none" w:sz="0" w:space="0" w:color="auto"/>
      </w:divBdr>
    </w:div>
    <w:div w:id="78062093">
      <w:bodyDiv w:val="1"/>
      <w:marLeft w:val="0"/>
      <w:marRight w:val="0"/>
      <w:marTop w:val="0"/>
      <w:marBottom w:val="0"/>
      <w:divBdr>
        <w:top w:val="none" w:sz="0" w:space="0" w:color="auto"/>
        <w:left w:val="none" w:sz="0" w:space="0" w:color="auto"/>
        <w:bottom w:val="none" w:sz="0" w:space="0" w:color="auto"/>
        <w:right w:val="none" w:sz="0" w:space="0" w:color="auto"/>
      </w:divBdr>
    </w:div>
    <w:div w:id="91706923">
      <w:bodyDiv w:val="1"/>
      <w:marLeft w:val="0"/>
      <w:marRight w:val="0"/>
      <w:marTop w:val="0"/>
      <w:marBottom w:val="0"/>
      <w:divBdr>
        <w:top w:val="none" w:sz="0" w:space="0" w:color="auto"/>
        <w:left w:val="none" w:sz="0" w:space="0" w:color="auto"/>
        <w:bottom w:val="none" w:sz="0" w:space="0" w:color="auto"/>
        <w:right w:val="none" w:sz="0" w:space="0" w:color="auto"/>
      </w:divBdr>
    </w:div>
    <w:div w:id="94712858">
      <w:bodyDiv w:val="1"/>
      <w:marLeft w:val="0"/>
      <w:marRight w:val="0"/>
      <w:marTop w:val="0"/>
      <w:marBottom w:val="0"/>
      <w:divBdr>
        <w:top w:val="none" w:sz="0" w:space="0" w:color="auto"/>
        <w:left w:val="none" w:sz="0" w:space="0" w:color="auto"/>
        <w:bottom w:val="none" w:sz="0" w:space="0" w:color="auto"/>
        <w:right w:val="none" w:sz="0" w:space="0" w:color="auto"/>
      </w:divBdr>
    </w:div>
    <w:div w:id="95369600">
      <w:bodyDiv w:val="1"/>
      <w:marLeft w:val="0"/>
      <w:marRight w:val="0"/>
      <w:marTop w:val="0"/>
      <w:marBottom w:val="0"/>
      <w:divBdr>
        <w:top w:val="none" w:sz="0" w:space="0" w:color="auto"/>
        <w:left w:val="none" w:sz="0" w:space="0" w:color="auto"/>
        <w:bottom w:val="none" w:sz="0" w:space="0" w:color="auto"/>
        <w:right w:val="none" w:sz="0" w:space="0" w:color="auto"/>
      </w:divBdr>
    </w:div>
    <w:div w:id="101850927">
      <w:bodyDiv w:val="1"/>
      <w:marLeft w:val="0"/>
      <w:marRight w:val="0"/>
      <w:marTop w:val="0"/>
      <w:marBottom w:val="0"/>
      <w:divBdr>
        <w:top w:val="none" w:sz="0" w:space="0" w:color="auto"/>
        <w:left w:val="none" w:sz="0" w:space="0" w:color="auto"/>
        <w:bottom w:val="none" w:sz="0" w:space="0" w:color="auto"/>
        <w:right w:val="none" w:sz="0" w:space="0" w:color="auto"/>
      </w:divBdr>
    </w:div>
    <w:div w:id="121463829">
      <w:bodyDiv w:val="1"/>
      <w:marLeft w:val="0"/>
      <w:marRight w:val="0"/>
      <w:marTop w:val="0"/>
      <w:marBottom w:val="0"/>
      <w:divBdr>
        <w:top w:val="none" w:sz="0" w:space="0" w:color="auto"/>
        <w:left w:val="none" w:sz="0" w:space="0" w:color="auto"/>
        <w:bottom w:val="none" w:sz="0" w:space="0" w:color="auto"/>
        <w:right w:val="none" w:sz="0" w:space="0" w:color="auto"/>
      </w:divBdr>
    </w:div>
    <w:div w:id="130366803">
      <w:bodyDiv w:val="1"/>
      <w:marLeft w:val="0"/>
      <w:marRight w:val="0"/>
      <w:marTop w:val="0"/>
      <w:marBottom w:val="0"/>
      <w:divBdr>
        <w:top w:val="none" w:sz="0" w:space="0" w:color="auto"/>
        <w:left w:val="none" w:sz="0" w:space="0" w:color="auto"/>
        <w:bottom w:val="none" w:sz="0" w:space="0" w:color="auto"/>
        <w:right w:val="none" w:sz="0" w:space="0" w:color="auto"/>
      </w:divBdr>
    </w:div>
    <w:div w:id="139270310">
      <w:bodyDiv w:val="1"/>
      <w:marLeft w:val="0"/>
      <w:marRight w:val="0"/>
      <w:marTop w:val="0"/>
      <w:marBottom w:val="0"/>
      <w:divBdr>
        <w:top w:val="none" w:sz="0" w:space="0" w:color="auto"/>
        <w:left w:val="none" w:sz="0" w:space="0" w:color="auto"/>
        <w:bottom w:val="none" w:sz="0" w:space="0" w:color="auto"/>
        <w:right w:val="none" w:sz="0" w:space="0" w:color="auto"/>
      </w:divBdr>
    </w:div>
    <w:div w:id="155532134">
      <w:bodyDiv w:val="1"/>
      <w:marLeft w:val="0"/>
      <w:marRight w:val="0"/>
      <w:marTop w:val="0"/>
      <w:marBottom w:val="0"/>
      <w:divBdr>
        <w:top w:val="none" w:sz="0" w:space="0" w:color="auto"/>
        <w:left w:val="none" w:sz="0" w:space="0" w:color="auto"/>
        <w:bottom w:val="none" w:sz="0" w:space="0" w:color="auto"/>
        <w:right w:val="none" w:sz="0" w:space="0" w:color="auto"/>
      </w:divBdr>
    </w:div>
    <w:div w:id="169179043">
      <w:bodyDiv w:val="1"/>
      <w:marLeft w:val="0"/>
      <w:marRight w:val="0"/>
      <w:marTop w:val="0"/>
      <w:marBottom w:val="0"/>
      <w:divBdr>
        <w:top w:val="none" w:sz="0" w:space="0" w:color="auto"/>
        <w:left w:val="none" w:sz="0" w:space="0" w:color="auto"/>
        <w:bottom w:val="none" w:sz="0" w:space="0" w:color="auto"/>
        <w:right w:val="none" w:sz="0" w:space="0" w:color="auto"/>
      </w:divBdr>
    </w:div>
    <w:div w:id="175734416">
      <w:bodyDiv w:val="1"/>
      <w:marLeft w:val="0"/>
      <w:marRight w:val="0"/>
      <w:marTop w:val="0"/>
      <w:marBottom w:val="0"/>
      <w:divBdr>
        <w:top w:val="none" w:sz="0" w:space="0" w:color="auto"/>
        <w:left w:val="none" w:sz="0" w:space="0" w:color="auto"/>
        <w:bottom w:val="none" w:sz="0" w:space="0" w:color="auto"/>
        <w:right w:val="none" w:sz="0" w:space="0" w:color="auto"/>
      </w:divBdr>
    </w:div>
    <w:div w:id="205989794">
      <w:bodyDiv w:val="1"/>
      <w:marLeft w:val="0"/>
      <w:marRight w:val="0"/>
      <w:marTop w:val="0"/>
      <w:marBottom w:val="0"/>
      <w:divBdr>
        <w:top w:val="none" w:sz="0" w:space="0" w:color="auto"/>
        <w:left w:val="none" w:sz="0" w:space="0" w:color="auto"/>
        <w:bottom w:val="none" w:sz="0" w:space="0" w:color="auto"/>
        <w:right w:val="none" w:sz="0" w:space="0" w:color="auto"/>
      </w:divBdr>
    </w:div>
    <w:div w:id="214657808">
      <w:bodyDiv w:val="1"/>
      <w:marLeft w:val="0"/>
      <w:marRight w:val="0"/>
      <w:marTop w:val="0"/>
      <w:marBottom w:val="0"/>
      <w:divBdr>
        <w:top w:val="none" w:sz="0" w:space="0" w:color="auto"/>
        <w:left w:val="none" w:sz="0" w:space="0" w:color="auto"/>
        <w:bottom w:val="none" w:sz="0" w:space="0" w:color="auto"/>
        <w:right w:val="none" w:sz="0" w:space="0" w:color="auto"/>
      </w:divBdr>
    </w:div>
    <w:div w:id="271396930">
      <w:bodyDiv w:val="1"/>
      <w:marLeft w:val="0"/>
      <w:marRight w:val="0"/>
      <w:marTop w:val="0"/>
      <w:marBottom w:val="0"/>
      <w:divBdr>
        <w:top w:val="none" w:sz="0" w:space="0" w:color="auto"/>
        <w:left w:val="none" w:sz="0" w:space="0" w:color="auto"/>
        <w:bottom w:val="none" w:sz="0" w:space="0" w:color="auto"/>
        <w:right w:val="none" w:sz="0" w:space="0" w:color="auto"/>
      </w:divBdr>
    </w:div>
    <w:div w:id="271981393">
      <w:bodyDiv w:val="1"/>
      <w:marLeft w:val="0"/>
      <w:marRight w:val="0"/>
      <w:marTop w:val="0"/>
      <w:marBottom w:val="0"/>
      <w:divBdr>
        <w:top w:val="none" w:sz="0" w:space="0" w:color="auto"/>
        <w:left w:val="none" w:sz="0" w:space="0" w:color="auto"/>
        <w:bottom w:val="none" w:sz="0" w:space="0" w:color="auto"/>
        <w:right w:val="none" w:sz="0" w:space="0" w:color="auto"/>
      </w:divBdr>
    </w:div>
    <w:div w:id="284628737">
      <w:bodyDiv w:val="1"/>
      <w:marLeft w:val="0"/>
      <w:marRight w:val="0"/>
      <w:marTop w:val="0"/>
      <w:marBottom w:val="0"/>
      <w:divBdr>
        <w:top w:val="none" w:sz="0" w:space="0" w:color="auto"/>
        <w:left w:val="none" w:sz="0" w:space="0" w:color="auto"/>
        <w:bottom w:val="none" w:sz="0" w:space="0" w:color="auto"/>
        <w:right w:val="none" w:sz="0" w:space="0" w:color="auto"/>
      </w:divBdr>
    </w:div>
    <w:div w:id="294333588">
      <w:bodyDiv w:val="1"/>
      <w:marLeft w:val="0"/>
      <w:marRight w:val="0"/>
      <w:marTop w:val="0"/>
      <w:marBottom w:val="0"/>
      <w:divBdr>
        <w:top w:val="none" w:sz="0" w:space="0" w:color="auto"/>
        <w:left w:val="none" w:sz="0" w:space="0" w:color="auto"/>
        <w:bottom w:val="none" w:sz="0" w:space="0" w:color="auto"/>
        <w:right w:val="none" w:sz="0" w:space="0" w:color="auto"/>
      </w:divBdr>
    </w:div>
    <w:div w:id="308246987">
      <w:bodyDiv w:val="1"/>
      <w:marLeft w:val="0"/>
      <w:marRight w:val="0"/>
      <w:marTop w:val="0"/>
      <w:marBottom w:val="0"/>
      <w:divBdr>
        <w:top w:val="none" w:sz="0" w:space="0" w:color="auto"/>
        <w:left w:val="none" w:sz="0" w:space="0" w:color="auto"/>
        <w:bottom w:val="none" w:sz="0" w:space="0" w:color="auto"/>
        <w:right w:val="none" w:sz="0" w:space="0" w:color="auto"/>
      </w:divBdr>
    </w:div>
    <w:div w:id="314801322">
      <w:bodyDiv w:val="1"/>
      <w:marLeft w:val="0"/>
      <w:marRight w:val="0"/>
      <w:marTop w:val="0"/>
      <w:marBottom w:val="0"/>
      <w:divBdr>
        <w:top w:val="none" w:sz="0" w:space="0" w:color="auto"/>
        <w:left w:val="none" w:sz="0" w:space="0" w:color="auto"/>
        <w:bottom w:val="none" w:sz="0" w:space="0" w:color="auto"/>
        <w:right w:val="none" w:sz="0" w:space="0" w:color="auto"/>
      </w:divBdr>
    </w:div>
    <w:div w:id="320474516">
      <w:bodyDiv w:val="1"/>
      <w:marLeft w:val="0"/>
      <w:marRight w:val="0"/>
      <w:marTop w:val="0"/>
      <w:marBottom w:val="0"/>
      <w:divBdr>
        <w:top w:val="none" w:sz="0" w:space="0" w:color="auto"/>
        <w:left w:val="none" w:sz="0" w:space="0" w:color="auto"/>
        <w:bottom w:val="none" w:sz="0" w:space="0" w:color="auto"/>
        <w:right w:val="none" w:sz="0" w:space="0" w:color="auto"/>
      </w:divBdr>
    </w:div>
    <w:div w:id="357777638">
      <w:bodyDiv w:val="1"/>
      <w:marLeft w:val="0"/>
      <w:marRight w:val="0"/>
      <w:marTop w:val="0"/>
      <w:marBottom w:val="0"/>
      <w:divBdr>
        <w:top w:val="none" w:sz="0" w:space="0" w:color="auto"/>
        <w:left w:val="none" w:sz="0" w:space="0" w:color="auto"/>
        <w:bottom w:val="none" w:sz="0" w:space="0" w:color="auto"/>
        <w:right w:val="none" w:sz="0" w:space="0" w:color="auto"/>
      </w:divBdr>
    </w:div>
    <w:div w:id="377971756">
      <w:bodyDiv w:val="1"/>
      <w:marLeft w:val="0"/>
      <w:marRight w:val="0"/>
      <w:marTop w:val="0"/>
      <w:marBottom w:val="0"/>
      <w:divBdr>
        <w:top w:val="none" w:sz="0" w:space="0" w:color="auto"/>
        <w:left w:val="none" w:sz="0" w:space="0" w:color="auto"/>
        <w:bottom w:val="none" w:sz="0" w:space="0" w:color="auto"/>
        <w:right w:val="none" w:sz="0" w:space="0" w:color="auto"/>
      </w:divBdr>
    </w:div>
    <w:div w:id="396632348">
      <w:bodyDiv w:val="1"/>
      <w:marLeft w:val="0"/>
      <w:marRight w:val="0"/>
      <w:marTop w:val="0"/>
      <w:marBottom w:val="0"/>
      <w:divBdr>
        <w:top w:val="none" w:sz="0" w:space="0" w:color="auto"/>
        <w:left w:val="none" w:sz="0" w:space="0" w:color="auto"/>
        <w:bottom w:val="none" w:sz="0" w:space="0" w:color="auto"/>
        <w:right w:val="none" w:sz="0" w:space="0" w:color="auto"/>
      </w:divBdr>
    </w:div>
    <w:div w:id="397284395">
      <w:bodyDiv w:val="1"/>
      <w:marLeft w:val="0"/>
      <w:marRight w:val="0"/>
      <w:marTop w:val="0"/>
      <w:marBottom w:val="0"/>
      <w:divBdr>
        <w:top w:val="none" w:sz="0" w:space="0" w:color="auto"/>
        <w:left w:val="none" w:sz="0" w:space="0" w:color="auto"/>
        <w:bottom w:val="none" w:sz="0" w:space="0" w:color="auto"/>
        <w:right w:val="none" w:sz="0" w:space="0" w:color="auto"/>
      </w:divBdr>
    </w:div>
    <w:div w:id="442387449">
      <w:bodyDiv w:val="1"/>
      <w:marLeft w:val="0"/>
      <w:marRight w:val="0"/>
      <w:marTop w:val="0"/>
      <w:marBottom w:val="0"/>
      <w:divBdr>
        <w:top w:val="none" w:sz="0" w:space="0" w:color="auto"/>
        <w:left w:val="none" w:sz="0" w:space="0" w:color="auto"/>
        <w:bottom w:val="none" w:sz="0" w:space="0" w:color="auto"/>
        <w:right w:val="none" w:sz="0" w:space="0" w:color="auto"/>
      </w:divBdr>
    </w:div>
    <w:div w:id="448745823">
      <w:bodyDiv w:val="1"/>
      <w:marLeft w:val="0"/>
      <w:marRight w:val="0"/>
      <w:marTop w:val="0"/>
      <w:marBottom w:val="0"/>
      <w:divBdr>
        <w:top w:val="none" w:sz="0" w:space="0" w:color="auto"/>
        <w:left w:val="none" w:sz="0" w:space="0" w:color="auto"/>
        <w:bottom w:val="none" w:sz="0" w:space="0" w:color="auto"/>
        <w:right w:val="none" w:sz="0" w:space="0" w:color="auto"/>
      </w:divBdr>
    </w:div>
    <w:div w:id="463930190">
      <w:bodyDiv w:val="1"/>
      <w:marLeft w:val="0"/>
      <w:marRight w:val="0"/>
      <w:marTop w:val="0"/>
      <w:marBottom w:val="0"/>
      <w:divBdr>
        <w:top w:val="none" w:sz="0" w:space="0" w:color="auto"/>
        <w:left w:val="none" w:sz="0" w:space="0" w:color="auto"/>
        <w:bottom w:val="none" w:sz="0" w:space="0" w:color="auto"/>
        <w:right w:val="none" w:sz="0" w:space="0" w:color="auto"/>
      </w:divBdr>
    </w:div>
    <w:div w:id="549848734">
      <w:bodyDiv w:val="1"/>
      <w:marLeft w:val="0"/>
      <w:marRight w:val="0"/>
      <w:marTop w:val="0"/>
      <w:marBottom w:val="0"/>
      <w:divBdr>
        <w:top w:val="none" w:sz="0" w:space="0" w:color="auto"/>
        <w:left w:val="none" w:sz="0" w:space="0" w:color="auto"/>
        <w:bottom w:val="none" w:sz="0" w:space="0" w:color="auto"/>
        <w:right w:val="none" w:sz="0" w:space="0" w:color="auto"/>
      </w:divBdr>
    </w:div>
    <w:div w:id="597910598">
      <w:bodyDiv w:val="1"/>
      <w:marLeft w:val="0"/>
      <w:marRight w:val="0"/>
      <w:marTop w:val="0"/>
      <w:marBottom w:val="0"/>
      <w:divBdr>
        <w:top w:val="none" w:sz="0" w:space="0" w:color="auto"/>
        <w:left w:val="none" w:sz="0" w:space="0" w:color="auto"/>
        <w:bottom w:val="none" w:sz="0" w:space="0" w:color="auto"/>
        <w:right w:val="none" w:sz="0" w:space="0" w:color="auto"/>
      </w:divBdr>
    </w:div>
    <w:div w:id="630481079">
      <w:bodyDiv w:val="1"/>
      <w:marLeft w:val="0"/>
      <w:marRight w:val="0"/>
      <w:marTop w:val="0"/>
      <w:marBottom w:val="0"/>
      <w:divBdr>
        <w:top w:val="none" w:sz="0" w:space="0" w:color="auto"/>
        <w:left w:val="none" w:sz="0" w:space="0" w:color="auto"/>
        <w:bottom w:val="none" w:sz="0" w:space="0" w:color="auto"/>
        <w:right w:val="none" w:sz="0" w:space="0" w:color="auto"/>
      </w:divBdr>
    </w:div>
    <w:div w:id="660354316">
      <w:bodyDiv w:val="1"/>
      <w:marLeft w:val="0"/>
      <w:marRight w:val="0"/>
      <w:marTop w:val="0"/>
      <w:marBottom w:val="0"/>
      <w:divBdr>
        <w:top w:val="none" w:sz="0" w:space="0" w:color="auto"/>
        <w:left w:val="none" w:sz="0" w:space="0" w:color="auto"/>
        <w:bottom w:val="none" w:sz="0" w:space="0" w:color="auto"/>
        <w:right w:val="none" w:sz="0" w:space="0" w:color="auto"/>
      </w:divBdr>
    </w:div>
    <w:div w:id="723715945">
      <w:bodyDiv w:val="1"/>
      <w:marLeft w:val="0"/>
      <w:marRight w:val="0"/>
      <w:marTop w:val="0"/>
      <w:marBottom w:val="0"/>
      <w:divBdr>
        <w:top w:val="none" w:sz="0" w:space="0" w:color="auto"/>
        <w:left w:val="none" w:sz="0" w:space="0" w:color="auto"/>
        <w:bottom w:val="none" w:sz="0" w:space="0" w:color="auto"/>
        <w:right w:val="none" w:sz="0" w:space="0" w:color="auto"/>
      </w:divBdr>
    </w:div>
    <w:div w:id="727648957">
      <w:bodyDiv w:val="1"/>
      <w:marLeft w:val="0"/>
      <w:marRight w:val="0"/>
      <w:marTop w:val="0"/>
      <w:marBottom w:val="0"/>
      <w:divBdr>
        <w:top w:val="none" w:sz="0" w:space="0" w:color="auto"/>
        <w:left w:val="none" w:sz="0" w:space="0" w:color="auto"/>
        <w:bottom w:val="none" w:sz="0" w:space="0" w:color="auto"/>
        <w:right w:val="none" w:sz="0" w:space="0" w:color="auto"/>
      </w:divBdr>
    </w:div>
    <w:div w:id="738017872">
      <w:bodyDiv w:val="1"/>
      <w:marLeft w:val="0"/>
      <w:marRight w:val="0"/>
      <w:marTop w:val="0"/>
      <w:marBottom w:val="0"/>
      <w:divBdr>
        <w:top w:val="none" w:sz="0" w:space="0" w:color="auto"/>
        <w:left w:val="none" w:sz="0" w:space="0" w:color="auto"/>
        <w:bottom w:val="none" w:sz="0" w:space="0" w:color="auto"/>
        <w:right w:val="none" w:sz="0" w:space="0" w:color="auto"/>
      </w:divBdr>
    </w:div>
    <w:div w:id="740059496">
      <w:bodyDiv w:val="1"/>
      <w:marLeft w:val="0"/>
      <w:marRight w:val="0"/>
      <w:marTop w:val="0"/>
      <w:marBottom w:val="0"/>
      <w:divBdr>
        <w:top w:val="none" w:sz="0" w:space="0" w:color="auto"/>
        <w:left w:val="none" w:sz="0" w:space="0" w:color="auto"/>
        <w:bottom w:val="none" w:sz="0" w:space="0" w:color="auto"/>
        <w:right w:val="none" w:sz="0" w:space="0" w:color="auto"/>
      </w:divBdr>
    </w:div>
    <w:div w:id="792528220">
      <w:bodyDiv w:val="1"/>
      <w:marLeft w:val="0"/>
      <w:marRight w:val="0"/>
      <w:marTop w:val="0"/>
      <w:marBottom w:val="0"/>
      <w:divBdr>
        <w:top w:val="none" w:sz="0" w:space="0" w:color="auto"/>
        <w:left w:val="none" w:sz="0" w:space="0" w:color="auto"/>
        <w:bottom w:val="none" w:sz="0" w:space="0" w:color="auto"/>
        <w:right w:val="none" w:sz="0" w:space="0" w:color="auto"/>
      </w:divBdr>
    </w:div>
    <w:div w:id="818376336">
      <w:bodyDiv w:val="1"/>
      <w:marLeft w:val="0"/>
      <w:marRight w:val="0"/>
      <w:marTop w:val="0"/>
      <w:marBottom w:val="0"/>
      <w:divBdr>
        <w:top w:val="none" w:sz="0" w:space="0" w:color="auto"/>
        <w:left w:val="none" w:sz="0" w:space="0" w:color="auto"/>
        <w:bottom w:val="none" w:sz="0" w:space="0" w:color="auto"/>
        <w:right w:val="none" w:sz="0" w:space="0" w:color="auto"/>
      </w:divBdr>
    </w:div>
    <w:div w:id="868953198">
      <w:bodyDiv w:val="1"/>
      <w:marLeft w:val="0"/>
      <w:marRight w:val="0"/>
      <w:marTop w:val="0"/>
      <w:marBottom w:val="0"/>
      <w:divBdr>
        <w:top w:val="none" w:sz="0" w:space="0" w:color="auto"/>
        <w:left w:val="none" w:sz="0" w:space="0" w:color="auto"/>
        <w:bottom w:val="none" w:sz="0" w:space="0" w:color="auto"/>
        <w:right w:val="none" w:sz="0" w:space="0" w:color="auto"/>
      </w:divBdr>
    </w:div>
    <w:div w:id="915363330">
      <w:bodyDiv w:val="1"/>
      <w:marLeft w:val="0"/>
      <w:marRight w:val="0"/>
      <w:marTop w:val="0"/>
      <w:marBottom w:val="0"/>
      <w:divBdr>
        <w:top w:val="none" w:sz="0" w:space="0" w:color="auto"/>
        <w:left w:val="none" w:sz="0" w:space="0" w:color="auto"/>
        <w:bottom w:val="none" w:sz="0" w:space="0" w:color="auto"/>
        <w:right w:val="none" w:sz="0" w:space="0" w:color="auto"/>
      </w:divBdr>
    </w:div>
    <w:div w:id="929318646">
      <w:bodyDiv w:val="1"/>
      <w:marLeft w:val="0"/>
      <w:marRight w:val="0"/>
      <w:marTop w:val="0"/>
      <w:marBottom w:val="0"/>
      <w:divBdr>
        <w:top w:val="none" w:sz="0" w:space="0" w:color="auto"/>
        <w:left w:val="none" w:sz="0" w:space="0" w:color="auto"/>
        <w:bottom w:val="none" w:sz="0" w:space="0" w:color="auto"/>
        <w:right w:val="none" w:sz="0" w:space="0" w:color="auto"/>
      </w:divBdr>
    </w:div>
    <w:div w:id="934903214">
      <w:bodyDiv w:val="1"/>
      <w:marLeft w:val="0"/>
      <w:marRight w:val="0"/>
      <w:marTop w:val="0"/>
      <w:marBottom w:val="0"/>
      <w:divBdr>
        <w:top w:val="none" w:sz="0" w:space="0" w:color="auto"/>
        <w:left w:val="none" w:sz="0" w:space="0" w:color="auto"/>
        <w:bottom w:val="none" w:sz="0" w:space="0" w:color="auto"/>
        <w:right w:val="none" w:sz="0" w:space="0" w:color="auto"/>
      </w:divBdr>
    </w:div>
    <w:div w:id="935331747">
      <w:bodyDiv w:val="1"/>
      <w:marLeft w:val="0"/>
      <w:marRight w:val="0"/>
      <w:marTop w:val="0"/>
      <w:marBottom w:val="0"/>
      <w:divBdr>
        <w:top w:val="none" w:sz="0" w:space="0" w:color="auto"/>
        <w:left w:val="none" w:sz="0" w:space="0" w:color="auto"/>
        <w:bottom w:val="none" w:sz="0" w:space="0" w:color="auto"/>
        <w:right w:val="none" w:sz="0" w:space="0" w:color="auto"/>
      </w:divBdr>
    </w:div>
    <w:div w:id="945768794">
      <w:bodyDiv w:val="1"/>
      <w:marLeft w:val="0"/>
      <w:marRight w:val="0"/>
      <w:marTop w:val="0"/>
      <w:marBottom w:val="0"/>
      <w:divBdr>
        <w:top w:val="none" w:sz="0" w:space="0" w:color="auto"/>
        <w:left w:val="none" w:sz="0" w:space="0" w:color="auto"/>
        <w:bottom w:val="none" w:sz="0" w:space="0" w:color="auto"/>
        <w:right w:val="none" w:sz="0" w:space="0" w:color="auto"/>
      </w:divBdr>
    </w:div>
    <w:div w:id="948272423">
      <w:bodyDiv w:val="1"/>
      <w:marLeft w:val="0"/>
      <w:marRight w:val="0"/>
      <w:marTop w:val="0"/>
      <w:marBottom w:val="0"/>
      <w:divBdr>
        <w:top w:val="none" w:sz="0" w:space="0" w:color="auto"/>
        <w:left w:val="none" w:sz="0" w:space="0" w:color="auto"/>
        <w:bottom w:val="none" w:sz="0" w:space="0" w:color="auto"/>
        <w:right w:val="none" w:sz="0" w:space="0" w:color="auto"/>
      </w:divBdr>
    </w:div>
    <w:div w:id="967927941">
      <w:bodyDiv w:val="1"/>
      <w:marLeft w:val="0"/>
      <w:marRight w:val="0"/>
      <w:marTop w:val="0"/>
      <w:marBottom w:val="0"/>
      <w:divBdr>
        <w:top w:val="none" w:sz="0" w:space="0" w:color="auto"/>
        <w:left w:val="none" w:sz="0" w:space="0" w:color="auto"/>
        <w:bottom w:val="none" w:sz="0" w:space="0" w:color="auto"/>
        <w:right w:val="none" w:sz="0" w:space="0" w:color="auto"/>
      </w:divBdr>
    </w:div>
    <w:div w:id="987323101">
      <w:bodyDiv w:val="1"/>
      <w:marLeft w:val="0"/>
      <w:marRight w:val="0"/>
      <w:marTop w:val="0"/>
      <w:marBottom w:val="0"/>
      <w:divBdr>
        <w:top w:val="none" w:sz="0" w:space="0" w:color="auto"/>
        <w:left w:val="none" w:sz="0" w:space="0" w:color="auto"/>
        <w:bottom w:val="none" w:sz="0" w:space="0" w:color="auto"/>
        <w:right w:val="none" w:sz="0" w:space="0" w:color="auto"/>
      </w:divBdr>
    </w:div>
    <w:div w:id="1010986987">
      <w:bodyDiv w:val="1"/>
      <w:marLeft w:val="0"/>
      <w:marRight w:val="0"/>
      <w:marTop w:val="0"/>
      <w:marBottom w:val="0"/>
      <w:divBdr>
        <w:top w:val="none" w:sz="0" w:space="0" w:color="auto"/>
        <w:left w:val="none" w:sz="0" w:space="0" w:color="auto"/>
        <w:bottom w:val="none" w:sz="0" w:space="0" w:color="auto"/>
        <w:right w:val="none" w:sz="0" w:space="0" w:color="auto"/>
      </w:divBdr>
    </w:div>
    <w:div w:id="1081021643">
      <w:bodyDiv w:val="1"/>
      <w:marLeft w:val="0"/>
      <w:marRight w:val="0"/>
      <w:marTop w:val="0"/>
      <w:marBottom w:val="0"/>
      <w:divBdr>
        <w:top w:val="none" w:sz="0" w:space="0" w:color="auto"/>
        <w:left w:val="none" w:sz="0" w:space="0" w:color="auto"/>
        <w:bottom w:val="none" w:sz="0" w:space="0" w:color="auto"/>
        <w:right w:val="none" w:sz="0" w:space="0" w:color="auto"/>
      </w:divBdr>
    </w:div>
    <w:div w:id="1082411149">
      <w:bodyDiv w:val="1"/>
      <w:marLeft w:val="0"/>
      <w:marRight w:val="0"/>
      <w:marTop w:val="0"/>
      <w:marBottom w:val="0"/>
      <w:divBdr>
        <w:top w:val="none" w:sz="0" w:space="0" w:color="auto"/>
        <w:left w:val="none" w:sz="0" w:space="0" w:color="auto"/>
        <w:bottom w:val="none" w:sz="0" w:space="0" w:color="auto"/>
        <w:right w:val="none" w:sz="0" w:space="0" w:color="auto"/>
      </w:divBdr>
    </w:div>
    <w:div w:id="1095858732">
      <w:bodyDiv w:val="1"/>
      <w:marLeft w:val="0"/>
      <w:marRight w:val="0"/>
      <w:marTop w:val="0"/>
      <w:marBottom w:val="0"/>
      <w:divBdr>
        <w:top w:val="none" w:sz="0" w:space="0" w:color="auto"/>
        <w:left w:val="none" w:sz="0" w:space="0" w:color="auto"/>
        <w:bottom w:val="none" w:sz="0" w:space="0" w:color="auto"/>
        <w:right w:val="none" w:sz="0" w:space="0" w:color="auto"/>
      </w:divBdr>
    </w:div>
    <w:div w:id="1105270049">
      <w:bodyDiv w:val="1"/>
      <w:marLeft w:val="0"/>
      <w:marRight w:val="0"/>
      <w:marTop w:val="0"/>
      <w:marBottom w:val="0"/>
      <w:divBdr>
        <w:top w:val="none" w:sz="0" w:space="0" w:color="auto"/>
        <w:left w:val="none" w:sz="0" w:space="0" w:color="auto"/>
        <w:bottom w:val="none" w:sz="0" w:space="0" w:color="auto"/>
        <w:right w:val="none" w:sz="0" w:space="0" w:color="auto"/>
      </w:divBdr>
    </w:div>
    <w:div w:id="1122460238">
      <w:bodyDiv w:val="1"/>
      <w:marLeft w:val="0"/>
      <w:marRight w:val="0"/>
      <w:marTop w:val="0"/>
      <w:marBottom w:val="0"/>
      <w:divBdr>
        <w:top w:val="none" w:sz="0" w:space="0" w:color="auto"/>
        <w:left w:val="none" w:sz="0" w:space="0" w:color="auto"/>
        <w:bottom w:val="none" w:sz="0" w:space="0" w:color="auto"/>
        <w:right w:val="none" w:sz="0" w:space="0" w:color="auto"/>
      </w:divBdr>
    </w:div>
    <w:div w:id="1144083388">
      <w:bodyDiv w:val="1"/>
      <w:marLeft w:val="0"/>
      <w:marRight w:val="0"/>
      <w:marTop w:val="0"/>
      <w:marBottom w:val="0"/>
      <w:divBdr>
        <w:top w:val="none" w:sz="0" w:space="0" w:color="auto"/>
        <w:left w:val="none" w:sz="0" w:space="0" w:color="auto"/>
        <w:bottom w:val="none" w:sz="0" w:space="0" w:color="auto"/>
        <w:right w:val="none" w:sz="0" w:space="0" w:color="auto"/>
      </w:divBdr>
    </w:div>
    <w:div w:id="1159537342">
      <w:bodyDiv w:val="1"/>
      <w:marLeft w:val="0"/>
      <w:marRight w:val="0"/>
      <w:marTop w:val="0"/>
      <w:marBottom w:val="0"/>
      <w:divBdr>
        <w:top w:val="none" w:sz="0" w:space="0" w:color="auto"/>
        <w:left w:val="none" w:sz="0" w:space="0" w:color="auto"/>
        <w:bottom w:val="none" w:sz="0" w:space="0" w:color="auto"/>
        <w:right w:val="none" w:sz="0" w:space="0" w:color="auto"/>
      </w:divBdr>
    </w:div>
    <w:div w:id="1217937968">
      <w:bodyDiv w:val="1"/>
      <w:marLeft w:val="0"/>
      <w:marRight w:val="0"/>
      <w:marTop w:val="0"/>
      <w:marBottom w:val="0"/>
      <w:divBdr>
        <w:top w:val="none" w:sz="0" w:space="0" w:color="auto"/>
        <w:left w:val="none" w:sz="0" w:space="0" w:color="auto"/>
        <w:bottom w:val="none" w:sz="0" w:space="0" w:color="auto"/>
        <w:right w:val="none" w:sz="0" w:space="0" w:color="auto"/>
      </w:divBdr>
    </w:div>
    <w:div w:id="1233084954">
      <w:bodyDiv w:val="1"/>
      <w:marLeft w:val="0"/>
      <w:marRight w:val="0"/>
      <w:marTop w:val="0"/>
      <w:marBottom w:val="0"/>
      <w:divBdr>
        <w:top w:val="none" w:sz="0" w:space="0" w:color="auto"/>
        <w:left w:val="none" w:sz="0" w:space="0" w:color="auto"/>
        <w:bottom w:val="none" w:sz="0" w:space="0" w:color="auto"/>
        <w:right w:val="none" w:sz="0" w:space="0" w:color="auto"/>
      </w:divBdr>
    </w:div>
    <w:div w:id="1251934866">
      <w:bodyDiv w:val="1"/>
      <w:marLeft w:val="0"/>
      <w:marRight w:val="0"/>
      <w:marTop w:val="0"/>
      <w:marBottom w:val="0"/>
      <w:divBdr>
        <w:top w:val="none" w:sz="0" w:space="0" w:color="auto"/>
        <w:left w:val="none" w:sz="0" w:space="0" w:color="auto"/>
        <w:bottom w:val="none" w:sz="0" w:space="0" w:color="auto"/>
        <w:right w:val="none" w:sz="0" w:space="0" w:color="auto"/>
      </w:divBdr>
    </w:div>
    <w:div w:id="1262688704">
      <w:bodyDiv w:val="1"/>
      <w:marLeft w:val="0"/>
      <w:marRight w:val="0"/>
      <w:marTop w:val="0"/>
      <w:marBottom w:val="0"/>
      <w:divBdr>
        <w:top w:val="none" w:sz="0" w:space="0" w:color="auto"/>
        <w:left w:val="none" w:sz="0" w:space="0" w:color="auto"/>
        <w:bottom w:val="none" w:sz="0" w:space="0" w:color="auto"/>
        <w:right w:val="none" w:sz="0" w:space="0" w:color="auto"/>
      </w:divBdr>
    </w:div>
    <w:div w:id="1298141568">
      <w:bodyDiv w:val="1"/>
      <w:marLeft w:val="0"/>
      <w:marRight w:val="0"/>
      <w:marTop w:val="0"/>
      <w:marBottom w:val="0"/>
      <w:divBdr>
        <w:top w:val="none" w:sz="0" w:space="0" w:color="auto"/>
        <w:left w:val="none" w:sz="0" w:space="0" w:color="auto"/>
        <w:bottom w:val="none" w:sz="0" w:space="0" w:color="auto"/>
        <w:right w:val="none" w:sz="0" w:space="0" w:color="auto"/>
      </w:divBdr>
    </w:div>
    <w:div w:id="1299339341">
      <w:bodyDiv w:val="1"/>
      <w:marLeft w:val="0"/>
      <w:marRight w:val="0"/>
      <w:marTop w:val="0"/>
      <w:marBottom w:val="0"/>
      <w:divBdr>
        <w:top w:val="none" w:sz="0" w:space="0" w:color="auto"/>
        <w:left w:val="none" w:sz="0" w:space="0" w:color="auto"/>
        <w:bottom w:val="none" w:sz="0" w:space="0" w:color="auto"/>
        <w:right w:val="none" w:sz="0" w:space="0" w:color="auto"/>
      </w:divBdr>
    </w:div>
    <w:div w:id="1421366646">
      <w:bodyDiv w:val="1"/>
      <w:marLeft w:val="0"/>
      <w:marRight w:val="0"/>
      <w:marTop w:val="0"/>
      <w:marBottom w:val="0"/>
      <w:divBdr>
        <w:top w:val="none" w:sz="0" w:space="0" w:color="auto"/>
        <w:left w:val="none" w:sz="0" w:space="0" w:color="auto"/>
        <w:bottom w:val="none" w:sz="0" w:space="0" w:color="auto"/>
        <w:right w:val="none" w:sz="0" w:space="0" w:color="auto"/>
      </w:divBdr>
    </w:div>
    <w:div w:id="1425759059">
      <w:bodyDiv w:val="1"/>
      <w:marLeft w:val="0"/>
      <w:marRight w:val="0"/>
      <w:marTop w:val="0"/>
      <w:marBottom w:val="0"/>
      <w:divBdr>
        <w:top w:val="none" w:sz="0" w:space="0" w:color="auto"/>
        <w:left w:val="none" w:sz="0" w:space="0" w:color="auto"/>
        <w:bottom w:val="none" w:sz="0" w:space="0" w:color="auto"/>
        <w:right w:val="none" w:sz="0" w:space="0" w:color="auto"/>
      </w:divBdr>
    </w:div>
    <w:div w:id="1426150824">
      <w:bodyDiv w:val="1"/>
      <w:marLeft w:val="0"/>
      <w:marRight w:val="0"/>
      <w:marTop w:val="0"/>
      <w:marBottom w:val="0"/>
      <w:divBdr>
        <w:top w:val="none" w:sz="0" w:space="0" w:color="auto"/>
        <w:left w:val="none" w:sz="0" w:space="0" w:color="auto"/>
        <w:bottom w:val="none" w:sz="0" w:space="0" w:color="auto"/>
        <w:right w:val="none" w:sz="0" w:space="0" w:color="auto"/>
      </w:divBdr>
    </w:div>
    <w:div w:id="1446390025">
      <w:bodyDiv w:val="1"/>
      <w:marLeft w:val="0"/>
      <w:marRight w:val="0"/>
      <w:marTop w:val="0"/>
      <w:marBottom w:val="0"/>
      <w:divBdr>
        <w:top w:val="none" w:sz="0" w:space="0" w:color="auto"/>
        <w:left w:val="none" w:sz="0" w:space="0" w:color="auto"/>
        <w:bottom w:val="none" w:sz="0" w:space="0" w:color="auto"/>
        <w:right w:val="none" w:sz="0" w:space="0" w:color="auto"/>
      </w:divBdr>
    </w:div>
    <w:div w:id="1470627912">
      <w:bodyDiv w:val="1"/>
      <w:marLeft w:val="0"/>
      <w:marRight w:val="0"/>
      <w:marTop w:val="0"/>
      <w:marBottom w:val="0"/>
      <w:divBdr>
        <w:top w:val="none" w:sz="0" w:space="0" w:color="auto"/>
        <w:left w:val="none" w:sz="0" w:space="0" w:color="auto"/>
        <w:bottom w:val="none" w:sz="0" w:space="0" w:color="auto"/>
        <w:right w:val="none" w:sz="0" w:space="0" w:color="auto"/>
      </w:divBdr>
    </w:div>
    <w:div w:id="1496334216">
      <w:bodyDiv w:val="1"/>
      <w:marLeft w:val="0"/>
      <w:marRight w:val="0"/>
      <w:marTop w:val="0"/>
      <w:marBottom w:val="0"/>
      <w:divBdr>
        <w:top w:val="none" w:sz="0" w:space="0" w:color="auto"/>
        <w:left w:val="none" w:sz="0" w:space="0" w:color="auto"/>
        <w:bottom w:val="none" w:sz="0" w:space="0" w:color="auto"/>
        <w:right w:val="none" w:sz="0" w:space="0" w:color="auto"/>
      </w:divBdr>
    </w:div>
    <w:div w:id="1518763839">
      <w:bodyDiv w:val="1"/>
      <w:marLeft w:val="0"/>
      <w:marRight w:val="0"/>
      <w:marTop w:val="0"/>
      <w:marBottom w:val="0"/>
      <w:divBdr>
        <w:top w:val="none" w:sz="0" w:space="0" w:color="auto"/>
        <w:left w:val="none" w:sz="0" w:space="0" w:color="auto"/>
        <w:bottom w:val="none" w:sz="0" w:space="0" w:color="auto"/>
        <w:right w:val="none" w:sz="0" w:space="0" w:color="auto"/>
      </w:divBdr>
    </w:div>
    <w:div w:id="1536308535">
      <w:bodyDiv w:val="1"/>
      <w:marLeft w:val="0"/>
      <w:marRight w:val="0"/>
      <w:marTop w:val="0"/>
      <w:marBottom w:val="0"/>
      <w:divBdr>
        <w:top w:val="none" w:sz="0" w:space="0" w:color="auto"/>
        <w:left w:val="none" w:sz="0" w:space="0" w:color="auto"/>
        <w:bottom w:val="none" w:sz="0" w:space="0" w:color="auto"/>
        <w:right w:val="none" w:sz="0" w:space="0" w:color="auto"/>
      </w:divBdr>
    </w:div>
    <w:div w:id="1548445392">
      <w:bodyDiv w:val="1"/>
      <w:marLeft w:val="0"/>
      <w:marRight w:val="0"/>
      <w:marTop w:val="0"/>
      <w:marBottom w:val="0"/>
      <w:divBdr>
        <w:top w:val="none" w:sz="0" w:space="0" w:color="auto"/>
        <w:left w:val="none" w:sz="0" w:space="0" w:color="auto"/>
        <w:bottom w:val="none" w:sz="0" w:space="0" w:color="auto"/>
        <w:right w:val="none" w:sz="0" w:space="0" w:color="auto"/>
      </w:divBdr>
    </w:div>
    <w:div w:id="1583486854">
      <w:bodyDiv w:val="1"/>
      <w:marLeft w:val="0"/>
      <w:marRight w:val="0"/>
      <w:marTop w:val="0"/>
      <w:marBottom w:val="0"/>
      <w:divBdr>
        <w:top w:val="none" w:sz="0" w:space="0" w:color="auto"/>
        <w:left w:val="none" w:sz="0" w:space="0" w:color="auto"/>
        <w:bottom w:val="none" w:sz="0" w:space="0" w:color="auto"/>
        <w:right w:val="none" w:sz="0" w:space="0" w:color="auto"/>
      </w:divBdr>
    </w:div>
    <w:div w:id="1584682539">
      <w:bodyDiv w:val="1"/>
      <w:marLeft w:val="0"/>
      <w:marRight w:val="0"/>
      <w:marTop w:val="0"/>
      <w:marBottom w:val="0"/>
      <w:divBdr>
        <w:top w:val="none" w:sz="0" w:space="0" w:color="auto"/>
        <w:left w:val="none" w:sz="0" w:space="0" w:color="auto"/>
        <w:bottom w:val="none" w:sz="0" w:space="0" w:color="auto"/>
        <w:right w:val="none" w:sz="0" w:space="0" w:color="auto"/>
      </w:divBdr>
    </w:div>
    <w:div w:id="1673215937">
      <w:bodyDiv w:val="1"/>
      <w:marLeft w:val="0"/>
      <w:marRight w:val="0"/>
      <w:marTop w:val="0"/>
      <w:marBottom w:val="0"/>
      <w:divBdr>
        <w:top w:val="none" w:sz="0" w:space="0" w:color="auto"/>
        <w:left w:val="none" w:sz="0" w:space="0" w:color="auto"/>
        <w:bottom w:val="none" w:sz="0" w:space="0" w:color="auto"/>
        <w:right w:val="none" w:sz="0" w:space="0" w:color="auto"/>
      </w:divBdr>
    </w:div>
    <w:div w:id="1715276858">
      <w:bodyDiv w:val="1"/>
      <w:marLeft w:val="0"/>
      <w:marRight w:val="0"/>
      <w:marTop w:val="0"/>
      <w:marBottom w:val="0"/>
      <w:divBdr>
        <w:top w:val="none" w:sz="0" w:space="0" w:color="auto"/>
        <w:left w:val="none" w:sz="0" w:space="0" w:color="auto"/>
        <w:bottom w:val="none" w:sz="0" w:space="0" w:color="auto"/>
        <w:right w:val="none" w:sz="0" w:space="0" w:color="auto"/>
      </w:divBdr>
    </w:div>
    <w:div w:id="1736006828">
      <w:bodyDiv w:val="1"/>
      <w:marLeft w:val="0"/>
      <w:marRight w:val="0"/>
      <w:marTop w:val="0"/>
      <w:marBottom w:val="0"/>
      <w:divBdr>
        <w:top w:val="none" w:sz="0" w:space="0" w:color="auto"/>
        <w:left w:val="none" w:sz="0" w:space="0" w:color="auto"/>
        <w:bottom w:val="none" w:sz="0" w:space="0" w:color="auto"/>
        <w:right w:val="none" w:sz="0" w:space="0" w:color="auto"/>
      </w:divBdr>
    </w:div>
    <w:div w:id="1743604260">
      <w:bodyDiv w:val="1"/>
      <w:marLeft w:val="0"/>
      <w:marRight w:val="0"/>
      <w:marTop w:val="0"/>
      <w:marBottom w:val="0"/>
      <w:divBdr>
        <w:top w:val="none" w:sz="0" w:space="0" w:color="auto"/>
        <w:left w:val="none" w:sz="0" w:space="0" w:color="auto"/>
        <w:bottom w:val="none" w:sz="0" w:space="0" w:color="auto"/>
        <w:right w:val="none" w:sz="0" w:space="0" w:color="auto"/>
      </w:divBdr>
    </w:div>
    <w:div w:id="1748577840">
      <w:bodyDiv w:val="1"/>
      <w:marLeft w:val="0"/>
      <w:marRight w:val="0"/>
      <w:marTop w:val="0"/>
      <w:marBottom w:val="0"/>
      <w:divBdr>
        <w:top w:val="none" w:sz="0" w:space="0" w:color="auto"/>
        <w:left w:val="none" w:sz="0" w:space="0" w:color="auto"/>
        <w:bottom w:val="none" w:sz="0" w:space="0" w:color="auto"/>
        <w:right w:val="none" w:sz="0" w:space="0" w:color="auto"/>
      </w:divBdr>
    </w:div>
    <w:div w:id="1786266632">
      <w:bodyDiv w:val="1"/>
      <w:marLeft w:val="0"/>
      <w:marRight w:val="0"/>
      <w:marTop w:val="0"/>
      <w:marBottom w:val="0"/>
      <w:divBdr>
        <w:top w:val="none" w:sz="0" w:space="0" w:color="auto"/>
        <w:left w:val="none" w:sz="0" w:space="0" w:color="auto"/>
        <w:bottom w:val="none" w:sz="0" w:space="0" w:color="auto"/>
        <w:right w:val="none" w:sz="0" w:space="0" w:color="auto"/>
      </w:divBdr>
    </w:div>
    <w:div w:id="1800219567">
      <w:bodyDiv w:val="1"/>
      <w:marLeft w:val="0"/>
      <w:marRight w:val="0"/>
      <w:marTop w:val="0"/>
      <w:marBottom w:val="0"/>
      <w:divBdr>
        <w:top w:val="none" w:sz="0" w:space="0" w:color="auto"/>
        <w:left w:val="none" w:sz="0" w:space="0" w:color="auto"/>
        <w:bottom w:val="none" w:sz="0" w:space="0" w:color="auto"/>
        <w:right w:val="none" w:sz="0" w:space="0" w:color="auto"/>
      </w:divBdr>
    </w:div>
    <w:div w:id="1833447180">
      <w:bodyDiv w:val="1"/>
      <w:marLeft w:val="0"/>
      <w:marRight w:val="0"/>
      <w:marTop w:val="0"/>
      <w:marBottom w:val="0"/>
      <w:divBdr>
        <w:top w:val="none" w:sz="0" w:space="0" w:color="auto"/>
        <w:left w:val="none" w:sz="0" w:space="0" w:color="auto"/>
        <w:bottom w:val="none" w:sz="0" w:space="0" w:color="auto"/>
        <w:right w:val="none" w:sz="0" w:space="0" w:color="auto"/>
      </w:divBdr>
    </w:div>
    <w:div w:id="1835023890">
      <w:bodyDiv w:val="1"/>
      <w:marLeft w:val="0"/>
      <w:marRight w:val="0"/>
      <w:marTop w:val="0"/>
      <w:marBottom w:val="0"/>
      <w:divBdr>
        <w:top w:val="none" w:sz="0" w:space="0" w:color="auto"/>
        <w:left w:val="none" w:sz="0" w:space="0" w:color="auto"/>
        <w:bottom w:val="none" w:sz="0" w:space="0" w:color="auto"/>
        <w:right w:val="none" w:sz="0" w:space="0" w:color="auto"/>
      </w:divBdr>
    </w:div>
    <w:div w:id="1888905114">
      <w:bodyDiv w:val="1"/>
      <w:marLeft w:val="0"/>
      <w:marRight w:val="0"/>
      <w:marTop w:val="0"/>
      <w:marBottom w:val="0"/>
      <w:divBdr>
        <w:top w:val="none" w:sz="0" w:space="0" w:color="auto"/>
        <w:left w:val="none" w:sz="0" w:space="0" w:color="auto"/>
        <w:bottom w:val="none" w:sz="0" w:space="0" w:color="auto"/>
        <w:right w:val="none" w:sz="0" w:space="0" w:color="auto"/>
      </w:divBdr>
    </w:div>
    <w:div w:id="1898006093">
      <w:bodyDiv w:val="1"/>
      <w:marLeft w:val="0"/>
      <w:marRight w:val="0"/>
      <w:marTop w:val="0"/>
      <w:marBottom w:val="0"/>
      <w:divBdr>
        <w:top w:val="none" w:sz="0" w:space="0" w:color="auto"/>
        <w:left w:val="none" w:sz="0" w:space="0" w:color="auto"/>
        <w:bottom w:val="none" w:sz="0" w:space="0" w:color="auto"/>
        <w:right w:val="none" w:sz="0" w:space="0" w:color="auto"/>
      </w:divBdr>
    </w:div>
    <w:div w:id="1920023436">
      <w:bodyDiv w:val="1"/>
      <w:marLeft w:val="0"/>
      <w:marRight w:val="0"/>
      <w:marTop w:val="0"/>
      <w:marBottom w:val="0"/>
      <w:divBdr>
        <w:top w:val="none" w:sz="0" w:space="0" w:color="auto"/>
        <w:left w:val="none" w:sz="0" w:space="0" w:color="auto"/>
        <w:bottom w:val="none" w:sz="0" w:space="0" w:color="auto"/>
        <w:right w:val="none" w:sz="0" w:space="0" w:color="auto"/>
      </w:divBdr>
    </w:div>
    <w:div w:id="1950625126">
      <w:bodyDiv w:val="1"/>
      <w:marLeft w:val="0"/>
      <w:marRight w:val="0"/>
      <w:marTop w:val="0"/>
      <w:marBottom w:val="0"/>
      <w:divBdr>
        <w:top w:val="none" w:sz="0" w:space="0" w:color="auto"/>
        <w:left w:val="none" w:sz="0" w:space="0" w:color="auto"/>
        <w:bottom w:val="none" w:sz="0" w:space="0" w:color="auto"/>
        <w:right w:val="none" w:sz="0" w:space="0" w:color="auto"/>
      </w:divBdr>
    </w:div>
    <w:div w:id="1956868896">
      <w:bodyDiv w:val="1"/>
      <w:marLeft w:val="0"/>
      <w:marRight w:val="0"/>
      <w:marTop w:val="0"/>
      <w:marBottom w:val="0"/>
      <w:divBdr>
        <w:top w:val="none" w:sz="0" w:space="0" w:color="auto"/>
        <w:left w:val="none" w:sz="0" w:space="0" w:color="auto"/>
        <w:bottom w:val="none" w:sz="0" w:space="0" w:color="auto"/>
        <w:right w:val="none" w:sz="0" w:space="0" w:color="auto"/>
      </w:divBdr>
    </w:div>
    <w:div w:id="1994991045">
      <w:bodyDiv w:val="1"/>
      <w:marLeft w:val="0"/>
      <w:marRight w:val="0"/>
      <w:marTop w:val="0"/>
      <w:marBottom w:val="0"/>
      <w:divBdr>
        <w:top w:val="none" w:sz="0" w:space="0" w:color="auto"/>
        <w:left w:val="none" w:sz="0" w:space="0" w:color="auto"/>
        <w:bottom w:val="none" w:sz="0" w:space="0" w:color="auto"/>
        <w:right w:val="none" w:sz="0" w:space="0" w:color="auto"/>
      </w:divBdr>
    </w:div>
    <w:div w:id="2038045563">
      <w:bodyDiv w:val="1"/>
      <w:marLeft w:val="0"/>
      <w:marRight w:val="0"/>
      <w:marTop w:val="0"/>
      <w:marBottom w:val="0"/>
      <w:divBdr>
        <w:top w:val="none" w:sz="0" w:space="0" w:color="auto"/>
        <w:left w:val="none" w:sz="0" w:space="0" w:color="auto"/>
        <w:bottom w:val="none" w:sz="0" w:space="0" w:color="auto"/>
        <w:right w:val="none" w:sz="0" w:space="0" w:color="auto"/>
      </w:divBdr>
    </w:div>
    <w:div w:id="2054503637">
      <w:bodyDiv w:val="1"/>
      <w:marLeft w:val="0"/>
      <w:marRight w:val="0"/>
      <w:marTop w:val="0"/>
      <w:marBottom w:val="0"/>
      <w:divBdr>
        <w:top w:val="none" w:sz="0" w:space="0" w:color="auto"/>
        <w:left w:val="none" w:sz="0" w:space="0" w:color="auto"/>
        <w:bottom w:val="none" w:sz="0" w:space="0" w:color="auto"/>
        <w:right w:val="none" w:sz="0" w:space="0" w:color="auto"/>
      </w:divBdr>
    </w:div>
    <w:div w:id="2054768417">
      <w:bodyDiv w:val="1"/>
      <w:marLeft w:val="0"/>
      <w:marRight w:val="0"/>
      <w:marTop w:val="0"/>
      <w:marBottom w:val="0"/>
      <w:divBdr>
        <w:top w:val="none" w:sz="0" w:space="0" w:color="auto"/>
        <w:left w:val="none" w:sz="0" w:space="0" w:color="auto"/>
        <w:bottom w:val="none" w:sz="0" w:space="0" w:color="auto"/>
        <w:right w:val="none" w:sz="0" w:space="0" w:color="auto"/>
      </w:divBdr>
    </w:div>
    <w:div w:id="2064407255">
      <w:bodyDiv w:val="1"/>
      <w:marLeft w:val="0"/>
      <w:marRight w:val="0"/>
      <w:marTop w:val="0"/>
      <w:marBottom w:val="0"/>
      <w:divBdr>
        <w:top w:val="none" w:sz="0" w:space="0" w:color="auto"/>
        <w:left w:val="none" w:sz="0" w:space="0" w:color="auto"/>
        <w:bottom w:val="none" w:sz="0" w:space="0" w:color="auto"/>
        <w:right w:val="none" w:sz="0" w:space="0" w:color="auto"/>
      </w:divBdr>
    </w:div>
    <w:div w:id="2075203368">
      <w:bodyDiv w:val="1"/>
      <w:marLeft w:val="0"/>
      <w:marRight w:val="0"/>
      <w:marTop w:val="0"/>
      <w:marBottom w:val="0"/>
      <w:divBdr>
        <w:top w:val="none" w:sz="0" w:space="0" w:color="auto"/>
        <w:left w:val="none" w:sz="0" w:space="0" w:color="auto"/>
        <w:bottom w:val="none" w:sz="0" w:space="0" w:color="auto"/>
        <w:right w:val="none" w:sz="0" w:space="0" w:color="auto"/>
      </w:divBdr>
    </w:div>
    <w:div w:id="2077313287">
      <w:bodyDiv w:val="1"/>
      <w:marLeft w:val="0"/>
      <w:marRight w:val="0"/>
      <w:marTop w:val="0"/>
      <w:marBottom w:val="0"/>
      <w:divBdr>
        <w:top w:val="none" w:sz="0" w:space="0" w:color="auto"/>
        <w:left w:val="none" w:sz="0" w:space="0" w:color="auto"/>
        <w:bottom w:val="none" w:sz="0" w:space="0" w:color="auto"/>
        <w:right w:val="none" w:sz="0" w:space="0" w:color="auto"/>
      </w:divBdr>
    </w:div>
    <w:div w:id="210109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PRA_MasterColours_2">
      <a:dk1>
        <a:sysClr val="windowText" lastClr="000000"/>
      </a:dk1>
      <a:lt1>
        <a:sysClr val="window" lastClr="FFFFFF"/>
      </a:lt1>
      <a:dk2>
        <a:srgbClr val="707173"/>
      </a:dk2>
      <a:lt2>
        <a:srgbClr val="51BFE2"/>
      </a:lt2>
      <a:accent1>
        <a:srgbClr val="00BF6F"/>
      </a:accent1>
      <a:accent2>
        <a:srgbClr val="00B2AA"/>
      </a:accent2>
      <a:accent3>
        <a:srgbClr val="0057B8"/>
      </a:accent3>
      <a:accent4>
        <a:srgbClr val="007041"/>
      </a:accent4>
      <a:accent5>
        <a:srgbClr val="FF69B4"/>
      </a:accent5>
      <a:accent6>
        <a:srgbClr val="D4318C"/>
      </a:accent6>
      <a:hlink>
        <a:srgbClr val="005390"/>
      </a:hlink>
      <a:folHlink>
        <a:srgbClr val="005390"/>
      </a:folHlink>
    </a:clrScheme>
    <a:fontScheme name="HPRA_MasterFonts">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440F4B8E4C4C4A97D668133D17E253" ma:contentTypeVersion="4" ma:contentTypeDescription="Create a new document." ma:contentTypeScope="" ma:versionID="e272843b5eedbcc87ece461c99913335">
  <xsd:schema xmlns:xsd="http://www.w3.org/2001/XMLSchema" xmlns:xs="http://www.w3.org/2001/XMLSchema" xmlns:p="http://schemas.microsoft.com/office/2006/metadata/properties" xmlns:ns2="3470adbc-0f2b-49e9-a637-08d89f1ee5b9" xmlns:ns3="1544d9e9-0654-4118-959b-f70a80d0cff0" targetNamespace="http://schemas.microsoft.com/office/2006/metadata/properties" ma:root="true" ma:fieldsID="c0d89626793cd400a524bdfcc2847821" ns2:_="" ns3:_="">
    <xsd:import namespace="3470adbc-0f2b-49e9-a637-08d89f1ee5b9"/>
    <xsd:import namespace="1544d9e9-0654-4118-959b-f70a80d0cf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0adbc-0f2b-49e9-a637-08d89f1ee5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44d9e9-0654-4118-959b-f70a80d0cf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haredWithUsers xmlns="3470adbc-0f2b-49e9-a637-08d89f1ee5b9">
      <UserInfo>
        <DisplayName>Elaine Hynes</DisplayName>
        <AccountId>91</AccountId>
        <AccountType/>
      </UserInfo>
      <UserInfo>
        <DisplayName>Sean d’Art</DisplayName>
        <AccountId>95</AccountId>
        <AccountType/>
      </UserInfo>
      <UserInfo>
        <DisplayName>Nigel Fox</DisplayName>
        <AccountId>68</AccountId>
        <AccountType/>
      </UserInfo>
      <UserInfo>
        <DisplayName>Emmet Hayes</DisplayName>
        <AccountId>146</AccountId>
        <AccountType/>
      </UserInfo>
      <UserInfo>
        <DisplayName>Mayanthi Serasinghe</DisplayName>
        <AccountId>141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0DEB31-14B7-4D71-A5EA-9B73D5D1B7FA}">
  <ds:schemaRefs>
    <ds:schemaRef ds:uri="http://schemas.microsoft.com/sharepoint/v3/contenttype/forms"/>
  </ds:schemaRefs>
</ds:datastoreItem>
</file>

<file path=customXml/itemProps2.xml><?xml version="1.0" encoding="utf-8"?>
<ds:datastoreItem xmlns:ds="http://schemas.openxmlformats.org/officeDocument/2006/customXml" ds:itemID="{4836DDF5-C518-4E94-BFDD-EEBC78E82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0adbc-0f2b-49e9-a637-08d89f1ee5b9"/>
    <ds:schemaRef ds:uri="1544d9e9-0654-4118-959b-f70a80d0c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3B6EC-93BB-4A8D-9695-56BCA68819BB}">
  <ds:schemaRefs>
    <ds:schemaRef ds:uri="http://schemas.microsoft.com/office/2006/metadata/properties"/>
    <ds:schemaRef ds:uri="3470adbc-0f2b-49e9-a637-08d89f1ee5b9"/>
  </ds:schemaRefs>
</ds:datastoreItem>
</file>

<file path=customXml/itemProps4.xml><?xml version="1.0" encoding="utf-8"?>
<ds:datastoreItem xmlns:ds="http://schemas.openxmlformats.org/officeDocument/2006/customXml" ds:itemID="{D847AF88-2ED5-479B-8DC0-C66D728A7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27</Pages>
  <Words>10543</Words>
  <Characters>60100</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FIN-F0023 Request for tender - long</vt:lpstr>
    </vt:vector>
  </TitlesOfParts>
  <Company>Microsoft</Company>
  <LinksUpToDate>false</LinksUpToDate>
  <CharactersWithSpaces>70502</CharactersWithSpaces>
  <SharedDoc>false</SharedDoc>
  <HLinks>
    <vt:vector size="270" baseType="variant">
      <vt:variant>
        <vt:i4>3604516</vt:i4>
      </vt:variant>
      <vt:variant>
        <vt:i4>267</vt:i4>
      </vt:variant>
      <vt:variant>
        <vt:i4>0</vt:i4>
      </vt:variant>
      <vt:variant>
        <vt:i4>5</vt:i4>
      </vt:variant>
      <vt:variant>
        <vt:lpwstr>http://www.etenders.gov.ie/</vt:lpwstr>
      </vt:variant>
      <vt:variant>
        <vt:lpwstr/>
      </vt:variant>
      <vt:variant>
        <vt:i4>1114161</vt:i4>
      </vt:variant>
      <vt:variant>
        <vt:i4>260</vt:i4>
      </vt:variant>
      <vt:variant>
        <vt:i4>0</vt:i4>
      </vt:variant>
      <vt:variant>
        <vt:i4>5</vt:i4>
      </vt:variant>
      <vt:variant>
        <vt:lpwstr/>
      </vt:variant>
      <vt:variant>
        <vt:lpwstr>_Toc118818972</vt:lpwstr>
      </vt:variant>
      <vt:variant>
        <vt:i4>1114161</vt:i4>
      </vt:variant>
      <vt:variant>
        <vt:i4>254</vt:i4>
      </vt:variant>
      <vt:variant>
        <vt:i4>0</vt:i4>
      </vt:variant>
      <vt:variant>
        <vt:i4>5</vt:i4>
      </vt:variant>
      <vt:variant>
        <vt:lpwstr/>
      </vt:variant>
      <vt:variant>
        <vt:lpwstr>_Toc118818971</vt:lpwstr>
      </vt:variant>
      <vt:variant>
        <vt:i4>1114161</vt:i4>
      </vt:variant>
      <vt:variant>
        <vt:i4>248</vt:i4>
      </vt:variant>
      <vt:variant>
        <vt:i4>0</vt:i4>
      </vt:variant>
      <vt:variant>
        <vt:i4>5</vt:i4>
      </vt:variant>
      <vt:variant>
        <vt:lpwstr/>
      </vt:variant>
      <vt:variant>
        <vt:lpwstr>_Toc118818970</vt:lpwstr>
      </vt:variant>
      <vt:variant>
        <vt:i4>1048625</vt:i4>
      </vt:variant>
      <vt:variant>
        <vt:i4>242</vt:i4>
      </vt:variant>
      <vt:variant>
        <vt:i4>0</vt:i4>
      </vt:variant>
      <vt:variant>
        <vt:i4>5</vt:i4>
      </vt:variant>
      <vt:variant>
        <vt:lpwstr/>
      </vt:variant>
      <vt:variant>
        <vt:lpwstr>_Toc118818969</vt:lpwstr>
      </vt:variant>
      <vt:variant>
        <vt:i4>1048625</vt:i4>
      </vt:variant>
      <vt:variant>
        <vt:i4>236</vt:i4>
      </vt:variant>
      <vt:variant>
        <vt:i4>0</vt:i4>
      </vt:variant>
      <vt:variant>
        <vt:i4>5</vt:i4>
      </vt:variant>
      <vt:variant>
        <vt:lpwstr/>
      </vt:variant>
      <vt:variant>
        <vt:lpwstr>_Toc118818968</vt:lpwstr>
      </vt:variant>
      <vt:variant>
        <vt:i4>1048625</vt:i4>
      </vt:variant>
      <vt:variant>
        <vt:i4>230</vt:i4>
      </vt:variant>
      <vt:variant>
        <vt:i4>0</vt:i4>
      </vt:variant>
      <vt:variant>
        <vt:i4>5</vt:i4>
      </vt:variant>
      <vt:variant>
        <vt:lpwstr/>
      </vt:variant>
      <vt:variant>
        <vt:lpwstr>_Toc118818967</vt:lpwstr>
      </vt:variant>
      <vt:variant>
        <vt:i4>1048625</vt:i4>
      </vt:variant>
      <vt:variant>
        <vt:i4>224</vt:i4>
      </vt:variant>
      <vt:variant>
        <vt:i4>0</vt:i4>
      </vt:variant>
      <vt:variant>
        <vt:i4>5</vt:i4>
      </vt:variant>
      <vt:variant>
        <vt:lpwstr/>
      </vt:variant>
      <vt:variant>
        <vt:lpwstr>_Toc118818966</vt:lpwstr>
      </vt:variant>
      <vt:variant>
        <vt:i4>1048625</vt:i4>
      </vt:variant>
      <vt:variant>
        <vt:i4>218</vt:i4>
      </vt:variant>
      <vt:variant>
        <vt:i4>0</vt:i4>
      </vt:variant>
      <vt:variant>
        <vt:i4>5</vt:i4>
      </vt:variant>
      <vt:variant>
        <vt:lpwstr/>
      </vt:variant>
      <vt:variant>
        <vt:lpwstr>_Toc118818965</vt:lpwstr>
      </vt:variant>
      <vt:variant>
        <vt:i4>1048625</vt:i4>
      </vt:variant>
      <vt:variant>
        <vt:i4>212</vt:i4>
      </vt:variant>
      <vt:variant>
        <vt:i4>0</vt:i4>
      </vt:variant>
      <vt:variant>
        <vt:i4>5</vt:i4>
      </vt:variant>
      <vt:variant>
        <vt:lpwstr/>
      </vt:variant>
      <vt:variant>
        <vt:lpwstr>_Toc118818964</vt:lpwstr>
      </vt:variant>
      <vt:variant>
        <vt:i4>1048625</vt:i4>
      </vt:variant>
      <vt:variant>
        <vt:i4>206</vt:i4>
      </vt:variant>
      <vt:variant>
        <vt:i4>0</vt:i4>
      </vt:variant>
      <vt:variant>
        <vt:i4>5</vt:i4>
      </vt:variant>
      <vt:variant>
        <vt:lpwstr/>
      </vt:variant>
      <vt:variant>
        <vt:lpwstr>_Toc118818963</vt:lpwstr>
      </vt:variant>
      <vt:variant>
        <vt:i4>1048625</vt:i4>
      </vt:variant>
      <vt:variant>
        <vt:i4>200</vt:i4>
      </vt:variant>
      <vt:variant>
        <vt:i4>0</vt:i4>
      </vt:variant>
      <vt:variant>
        <vt:i4>5</vt:i4>
      </vt:variant>
      <vt:variant>
        <vt:lpwstr/>
      </vt:variant>
      <vt:variant>
        <vt:lpwstr>_Toc118818962</vt:lpwstr>
      </vt:variant>
      <vt:variant>
        <vt:i4>1048625</vt:i4>
      </vt:variant>
      <vt:variant>
        <vt:i4>194</vt:i4>
      </vt:variant>
      <vt:variant>
        <vt:i4>0</vt:i4>
      </vt:variant>
      <vt:variant>
        <vt:i4>5</vt:i4>
      </vt:variant>
      <vt:variant>
        <vt:lpwstr/>
      </vt:variant>
      <vt:variant>
        <vt:lpwstr>_Toc118818961</vt:lpwstr>
      </vt:variant>
      <vt:variant>
        <vt:i4>1048625</vt:i4>
      </vt:variant>
      <vt:variant>
        <vt:i4>188</vt:i4>
      </vt:variant>
      <vt:variant>
        <vt:i4>0</vt:i4>
      </vt:variant>
      <vt:variant>
        <vt:i4>5</vt:i4>
      </vt:variant>
      <vt:variant>
        <vt:lpwstr/>
      </vt:variant>
      <vt:variant>
        <vt:lpwstr>_Toc118818960</vt:lpwstr>
      </vt:variant>
      <vt:variant>
        <vt:i4>1245233</vt:i4>
      </vt:variant>
      <vt:variant>
        <vt:i4>182</vt:i4>
      </vt:variant>
      <vt:variant>
        <vt:i4>0</vt:i4>
      </vt:variant>
      <vt:variant>
        <vt:i4>5</vt:i4>
      </vt:variant>
      <vt:variant>
        <vt:lpwstr/>
      </vt:variant>
      <vt:variant>
        <vt:lpwstr>_Toc118818959</vt:lpwstr>
      </vt:variant>
      <vt:variant>
        <vt:i4>1245233</vt:i4>
      </vt:variant>
      <vt:variant>
        <vt:i4>176</vt:i4>
      </vt:variant>
      <vt:variant>
        <vt:i4>0</vt:i4>
      </vt:variant>
      <vt:variant>
        <vt:i4>5</vt:i4>
      </vt:variant>
      <vt:variant>
        <vt:lpwstr/>
      </vt:variant>
      <vt:variant>
        <vt:lpwstr>_Toc118818958</vt:lpwstr>
      </vt:variant>
      <vt:variant>
        <vt:i4>1245233</vt:i4>
      </vt:variant>
      <vt:variant>
        <vt:i4>170</vt:i4>
      </vt:variant>
      <vt:variant>
        <vt:i4>0</vt:i4>
      </vt:variant>
      <vt:variant>
        <vt:i4>5</vt:i4>
      </vt:variant>
      <vt:variant>
        <vt:lpwstr/>
      </vt:variant>
      <vt:variant>
        <vt:lpwstr>_Toc118818957</vt:lpwstr>
      </vt:variant>
      <vt:variant>
        <vt:i4>1245233</vt:i4>
      </vt:variant>
      <vt:variant>
        <vt:i4>164</vt:i4>
      </vt:variant>
      <vt:variant>
        <vt:i4>0</vt:i4>
      </vt:variant>
      <vt:variant>
        <vt:i4>5</vt:i4>
      </vt:variant>
      <vt:variant>
        <vt:lpwstr/>
      </vt:variant>
      <vt:variant>
        <vt:lpwstr>_Toc118818956</vt:lpwstr>
      </vt:variant>
      <vt:variant>
        <vt:i4>1245233</vt:i4>
      </vt:variant>
      <vt:variant>
        <vt:i4>158</vt:i4>
      </vt:variant>
      <vt:variant>
        <vt:i4>0</vt:i4>
      </vt:variant>
      <vt:variant>
        <vt:i4>5</vt:i4>
      </vt:variant>
      <vt:variant>
        <vt:lpwstr/>
      </vt:variant>
      <vt:variant>
        <vt:lpwstr>_Toc118818955</vt:lpwstr>
      </vt:variant>
      <vt:variant>
        <vt:i4>1245233</vt:i4>
      </vt:variant>
      <vt:variant>
        <vt:i4>152</vt:i4>
      </vt:variant>
      <vt:variant>
        <vt:i4>0</vt:i4>
      </vt:variant>
      <vt:variant>
        <vt:i4>5</vt:i4>
      </vt:variant>
      <vt:variant>
        <vt:lpwstr/>
      </vt:variant>
      <vt:variant>
        <vt:lpwstr>_Toc118818954</vt:lpwstr>
      </vt:variant>
      <vt:variant>
        <vt:i4>1245233</vt:i4>
      </vt:variant>
      <vt:variant>
        <vt:i4>146</vt:i4>
      </vt:variant>
      <vt:variant>
        <vt:i4>0</vt:i4>
      </vt:variant>
      <vt:variant>
        <vt:i4>5</vt:i4>
      </vt:variant>
      <vt:variant>
        <vt:lpwstr/>
      </vt:variant>
      <vt:variant>
        <vt:lpwstr>_Toc118818953</vt:lpwstr>
      </vt:variant>
      <vt:variant>
        <vt:i4>1245233</vt:i4>
      </vt:variant>
      <vt:variant>
        <vt:i4>140</vt:i4>
      </vt:variant>
      <vt:variant>
        <vt:i4>0</vt:i4>
      </vt:variant>
      <vt:variant>
        <vt:i4>5</vt:i4>
      </vt:variant>
      <vt:variant>
        <vt:lpwstr/>
      </vt:variant>
      <vt:variant>
        <vt:lpwstr>_Toc118818952</vt:lpwstr>
      </vt:variant>
      <vt:variant>
        <vt:i4>1245233</vt:i4>
      </vt:variant>
      <vt:variant>
        <vt:i4>134</vt:i4>
      </vt:variant>
      <vt:variant>
        <vt:i4>0</vt:i4>
      </vt:variant>
      <vt:variant>
        <vt:i4>5</vt:i4>
      </vt:variant>
      <vt:variant>
        <vt:lpwstr/>
      </vt:variant>
      <vt:variant>
        <vt:lpwstr>_Toc118818951</vt:lpwstr>
      </vt:variant>
      <vt:variant>
        <vt:i4>1245233</vt:i4>
      </vt:variant>
      <vt:variant>
        <vt:i4>128</vt:i4>
      </vt:variant>
      <vt:variant>
        <vt:i4>0</vt:i4>
      </vt:variant>
      <vt:variant>
        <vt:i4>5</vt:i4>
      </vt:variant>
      <vt:variant>
        <vt:lpwstr/>
      </vt:variant>
      <vt:variant>
        <vt:lpwstr>_Toc118818950</vt:lpwstr>
      </vt:variant>
      <vt:variant>
        <vt:i4>1179697</vt:i4>
      </vt:variant>
      <vt:variant>
        <vt:i4>122</vt:i4>
      </vt:variant>
      <vt:variant>
        <vt:i4>0</vt:i4>
      </vt:variant>
      <vt:variant>
        <vt:i4>5</vt:i4>
      </vt:variant>
      <vt:variant>
        <vt:lpwstr/>
      </vt:variant>
      <vt:variant>
        <vt:lpwstr>_Toc118818949</vt:lpwstr>
      </vt:variant>
      <vt:variant>
        <vt:i4>1179697</vt:i4>
      </vt:variant>
      <vt:variant>
        <vt:i4>116</vt:i4>
      </vt:variant>
      <vt:variant>
        <vt:i4>0</vt:i4>
      </vt:variant>
      <vt:variant>
        <vt:i4>5</vt:i4>
      </vt:variant>
      <vt:variant>
        <vt:lpwstr/>
      </vt:variant>
      <vt:variant>
        <vt:lpwstr>_Toc118818948</vt:lpwstr>
      </vt:variant>
      <vt:variant>
        <vt:i4>1179697</vt:i4>
      </vt:variant>
      <vt:variant>
        <vt:i4>110</vt:i4>
      </vt:variant>
      <vt:variant>
        <vt:i4>0</vt:i4>
      </vt:variant>
      <vt:variant>
        <vt:i4>5</vt:i4>
      </vt:variant>
      <vt:variant>
        <vt:lpwstr/>
      </vt:variant>
      <vt:variant>
        <vt:lpwstr>_Toc118818947</vt:lpwstr>
      </vt:variant>
      <vt:variant>
        <vt:i4>1179697</vt:i4>
      </vt:variant>
      <vt:variant>
        <vt:i4>104</vt:i4>
      </vt:variant>
      <vt:variant>
        <vt:i4>0</vt:i4>
      </vt:variant>
      <vt:variant>
        <vt:i4>5</vt:i4>
      </vt:variant>
      <vt:variant>
        <vt:lpwstr/>
      </vt:variant>
      <vt:variant>
        <vt:lpwstr>_Toc118818946</vt:lpwstr>
      </vt:variant>
      <vt:variant>
        <vt:i4>1179697</vt:i4>
      </vt:variant>
      <vt:variant>
        <vt:i4>98</vt:i4>
      </vt:variant>
      <vt:variant>
        <vt:i4>0</vt:i4>
      </vt:variant>
      <vt:variant>
        <vt:i4>5</vt:i4>
      </vt:variant>
      <vt:variant>
        <vt:lpwstr/>
      </vt:variant>
      <vt:variant>
        <vt:lpwstr>_Toc118818945</vt:lpwstr>
      </vt:variant>
      <vt:variant>
        <vt:i4>1179697</vt:i4>
      </vt:variant>
      <vt:variant>
        <vt:i4>92</vt:i4>
      </vt:variant>
      <vt:variant>
        <vt:i4>0</vt:i4>
      </vt:variant>
      <vt:variant>
        <vt:i4>5</vt:i4>
      </vt:variant>
      <vt:variant>
        <vt:lpwstr/>
      </vt:variant>
      <vt:variant>
        <vt:lpwstr>_Toc118818944</vt:lpwstr>
      </vt:variant>
      <vt:variant>
        <vt:i4>1179697</vt:i4>
      </vt:variant>
      <vt:variant>
        <vt:i4>86</vt:i4>
      </vt:variant>
      <vt:variant>
        <vt:i4>0</vt:i4>
      </vt:variant>
      <vt:variant>
        <vt:i4>5</vt:i4>
      </vt:variant>
      <vt:variant>
        <vt:lpwstr/>
      </vt:variant>
      <vt:variant>
        <vt:lpwstr>_Toc118818943</vt:lpwstr>
      </vt:variant>
      <vt:variant>
        <vt:i4>1179697</vt:i4>
      </vt:variant>
      <vt:variant>
        <vt:i4>80</vt:i4>
      </vt:variant>
      <vt:variant>
        <vt:i4>0</vt:i4>
      </vt:variant>
      <vt:variant>
        <vt:i4>5</vt:i4>
      </vt:variant>
      <vt:variant>
        <vt:lpwstr/>
      </vt:variant>
      <vt:variant>
        <vt:lpwstr>_Toc118818942</vt:lpwstr>
      </vt:variant>
      <vt:variant>
        <vt:i4>1179697</vt:i4>
      </vt:variant>
      <vt:variant>
        <vt:i4>74</vt:i4>
      </vt:variant>
      <vt:variant>
        <vt:i4>0</vt:i4>
      </vt:variant>
      <vt:variant>
        <vt:i4>5</vt:i4>
      </vt:variant>
      <vt:variant>
        <vt:lpwstr/>
      </vt:variant>
      <vt:variant>
        <vt:lpwstr>_Toc118818941</vt:lpwstr>
      </vt:variant>
      <vt:variant>
        <vt:i4>1179697</vt:i4>
      </vt:variant>
      <vt:variant>
        <vt:i4>68</vt:i4>
      </vt:variant>
      <vt:variant>
        <vt:i4>0</vt:i4>
      </vt:variant>
      <vt:variant>
        <vt:i4>5</vt:i4>
      </vt:variant>
      <vt:variant>
        <vt:lpwstr/>
      </vt:variant>
      <vt:variant>
        <vt:lpwstr>_Toc118818940</vt:lpwstr>
      </vt:variant>
      <vt:variant>
        <vt:i4>1376305</vt:i4>
      </vt:variant>
      <vt:variant>
        <vt:i4>62</vt:i4>
      </vt:variant>
      <vt:variant>
        <vt:i4>0</vt:i4>
      </vt:variant>
      <vt:variant>
        <vt:i4>5</vt:i4>
      </vt:variant>
      <vt:variant>
        <vt:lpwstr/>
      </vt:variant>
      <vt:variant>
        <vt:lpwstr>_Toc118818939</vt:lpwstr>
      </vt:variant>
      <vt:variant>
        <vt:i4>1376305</vt:i4>
      </vt:variant>
      <vt:variant>
        <vt:i4>56</vt:i4>
      </vt:variant>
      <vt:variant>
        <vt:i4>0</vt:i4>
      </vt:variant>
      <vt:variant>
        <vt:i4>5</vt:i4>
      </vt:variant>
      <vt:variant>
        <vt:lpwstr/>
      </vt:variant>
      <vt:variant>
        <vt:lpwstr>_Toc118818938</vt:lpwstr>
      </vt:variant>
      <vt:variant>
        <vt:i4>1376305</vt:i4>
      </vt:variant>
      <vt:variant>
        <vt:i4>50</vt:i4>
      </vt:variant>
      <vt:variant>
        <vt:i4>0</vt:i4>
      </vt:variant>
      <vt:variant>
        <vt:i4>5</vt:i4>
      </vt:variant>
      <vt:variant>
        <vt:lpwstr/>
      </vt:variant>
      <vt:variant>
        <vt:lpwstr>_Toc118818937</vt:lpwstr>
      </vt:variant>
      <vt:variant>
        <vt:i4>1376305</vt:i4>
      </vt:variant>
      <vt:variant>
        <vt:i4>44</vt:i4>
      </vt:variant>
      <vt:variant>
        <vt:i4>0</vt:i4>
      </vt:variant>
      <vt:variant>
        <vt:i4>5</vt:i4>
      </vt:variant>
      <vt:variant>
        <vt:lpwstr/>
      </vt:variant>
      <vt:variant>
        <vt:lpwstr>_Toc118818936</vt:lpwstr>
      </vt:variant>
      <vt:variant>
        <vt:i4>1376305</vt:i4>
      </vt:variant>
      <vt:variant>
        <vt:i4>38</vt:i4>
      </vt:variant>
      <vt:variant>
        <vt:i4>0</vt:i4>
      </vt:variant>
      <vt:variant>
        <vt:i4>5</vt:i4>
      </vt:variant>
      <vt:variant>
        <vt:lpwstr/>
      </vt:variant>
      <vt:variant>
        <vt:lpwstr>_Toc118818935</vt:lpwstr>
      </vt:variant>
      <vt:variant>
        <vt:i4>1376305</vt:i4>
      </vt:variant>
      <vt:variant>
        <vt:i4>32</vt:i4>
      </vt:variant>
      <vt:variant>
        <vt:i4>0</vt:i4>
      </vt:variant>
      <vt:variant>
        <vt:i4>5</vt:i4>
      </vt:variant>
      <vt:variant>
        <vt:lpwstr/>
      </vt:variant>
      <vt:variant>
        <vt:lpwstr>_Toc118818934</vt:lpwstr>
      </vt:variant>
      <vt:variant>
        <vt:i4>1376305</vt:i4>
      </vt:variant>
      <vt:variant>
        <vt:i4>26</vt:i4>
      </vt:variant>
      <vt:variant>
        <vt:i4>0</vt:i4>
      </vt:variant>
      <vt:variant>
        <vt:i4>5</vt:i4>
      </vt:variant>
      <vt:variant>
        <vt:lpwstr/>
      </vt:variant>
      <vt:variant>
        <vt:lpwstr>_Toc118818933</vt:lpwstr>
      </vt:variant>
      <vt:variant>
        <vt:i4>1376305</vt:i4>
      </vt:variant>
      <vt:variant>
        <vt:i4>20</vt:i4>
      </vt:variant>
      <vt:variant>
        <vt:i4>0</vt:i4>
      </vt:variant>
      <vt:variant>
        <vt:i4>5</vt:i4>
      </vt:variant>
      <vt:variant>
        <vt:lpwstr/>
      </vt:variant>
      <vt:variant>
        <vt:lpwstr>_Toc118818932</vt:lpwstr>
      </vt:variant>
      <vt:variant>
        <vt:i4>1376305</vt:i4>
      </vt:variant>
      <vt:variant>
        <vt:i4>14</vt:i4>
      </vt:variant>
      <vt:variant>
        <vt:i4>0</vt:i4>
      </vt:variant>
      <vt:variant>
        <vt:i4>5</vt:i4>
      </vt:variant>
      <vt:variant>
        <vt:lpwstr/>
      </vt:variant>
      <vt:variant>
        <vt:lpwstr>_Toc118818931</vt:lpwstr>
      </vt:variant>
      <vt:variant>
        <vt:i4>1376305</vt:i4>
      </vt:variant>
      <vt:variant>
        <vt:i4>8</vt:i4>
      </vt:variant>
      <vt:variant>
        <vt:i4>0</vt:i4>
      </vt:variant>
      <vt:variant>
        <vt:i4>5</vt:i4>
      </vt:variant>
      <vt:variant>
        <vt:lpwstr/>
      </vt:variant>
      <vt:variant>
        <vt:lpwstr>_Toc118818930</vt:lpwstr>
      </vt:variant>
      <vt:variant>
        <vt:i4>1310769</vt:i4>
      </vt:variant>
      <vt:variant>
        <vt:i4>2</vt:i4>
      </vt:variant>
      <vt:variant>
        <vt:i4>0</vt:i4>
      </vt:variant>
      <vt:variant>
        <vt:i4>5</vt:i4>
      </vt:variant>
      <vt:variant>
        <vt:lpwstr/>
      </vt:variant>
      <vt:variant>
        <vt:lpwstr>_Toc118818929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FIN-F0023 Request for tender - long</dc:title>
  <dc:subject>FIN-F0023 Request for tender - long</dc:subject>
  <dc:creator>Health Products Regulatory Authority</dc:creator>
  <cp:keywords>FIN-F0023 Request for tender - long</cp:keywords>
  <dc:description/>
  <cp:lastModifiedBy>Cathy Tobin</cp:lastModifiedBy>
  <cp:revision>7</cp:revision>
  <cp:lastPrinted>2026-07-22T10:31:00Z</cp:lastPrinted>
  <dcterms:created xsi:type="dcterms:W3CDTF">2026-07-24T10:28:00Z</dcterms:created>
  <dcterms:modified xsi:type="dcterms:W3CDTF">2026-07-24T13:56:00Z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0x01010052440F4B8E4C4C4A97D668133D17E253</vt:lpwstr>
  </property>
</Properties>
</file>