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29D1" w14:textId="340D1B4E" w:rsidR="0071122D" w:rsidRDefault="00D51840" w:rsidP="00D42A4A">
      <w:pPr>
        <w:pStyle w:val="Default"/>
        <w:rPr>
          <w:rFonts w:ascii="Calibri" w:hAnsi="Calibri" w:cs="Calibri"/>
          <w:b/>
          <w:bCs/>
          <w:color w:val="235D64"/>
          <w:sz w:val="28"/>
          <w:szCs w:val="28"/>
        </w:rPr>
      </w:pPr>
      <w:r>
        <w:rPr>
          <w:rFonts w:ascii="Calibri" w:hAnsi="Calibri" w:cs="Calibri"/>
          <w:b/>
          <w:bCs/>
          <w:color w:val="235D64"/>
          <w:sz w:val="28"/>
          <w:szCs w:val="28"/>
        </w:rPr>
        <w:t>CFT</w:t>
      </w:r>
      <w:r w:rsidR="0055458B">
        <w:rPr>
          <w:rFonts w:ascii="Calibri" w:hAnsi="Calibri" w:cs="Calibri"/>
          <w:b/>
          <w:bCs/>
          <w:color w:val="235D64"/>
          <w:sz w:val="28"/>
          <w:szCs w:val="28"/>
        </w:rPr>
        <w:t xml:space="preserve"> - UGF018F </w:t>
      </w:r>
      <w:r w:rsidR="0055458B" w:rsidRPr="0055458B">
        <w:rPr>
          <w:rFonts w:ascii="Calibri" w:hAnsi="Calibri" w:cs="Calibri"/>
          <w:b/>
          <w:bCs/>
          <w:color w:val="235D64"/>
          <w:sz w:val="28"/>
          <w:szCs w:val="28"/>
        </w:rPr>
        <w:t>Single Supplier Framework Contract for the provision of Fuel Charge Card Services (3 Lots) </w:t>
      </w:r>
      <w:r w:rsidR="00DE3393" w:rsidRPr="00DE3393">
        <w:rPr>
          <w:rFonts w:ascii="Calibri" w:hAnsi="Calibri" w:cs="Calibri"/>
          <w:b/>
          <w:bCs/>
          <w:color w:val="235D64"/>
          <w:sz w:val="28"/>
          <w:szCs w:val="28"/>
        </w:rPr>
        <w:t>–</w:t>
      </w:r>
      <w:r w:rsidR="00E247F8">
        <w:rPr>
          <w:rFonts w:ascii="Calibri" w:hAnsi="Calibri" w:cs="Calibri"/>
          <w:b/>
          <w:bCs/>
          <w:color w:val="235D64"/>
          <w:sz w:val="28"/>
          <w:szCs w:val="28"/>
        </w:rPr>
        <w:t xml:space="preserve"> Clarification </w:t>
      </w:r>
      <w:r w:rsidR="00356DD5">
        <w:rPr>
          <w:rFonts w:ascii="Calibri" w:hAnsi="Calibri" w:cs="Calibri"/>
          <w:b/>
          <w:bCs/>
          <w:color w:val="235D64"/>
          <w:sz w:val="28"/>
          <w:szCs w:val="28"/>
        </w:rPr>
        <w:t>Response 5</w:t>
      </w:r>
      <w:r w:rsidR="00947F0D">
        <w:rPr>
          <w:rFonts w:ascii="Calibri" w:hAnsi="Calibri" w:cs="Calibri"/>
          <w:b/>
          <w:bCs/>
          <w:color w:val="235D64"/>
          <w:sz w:val="28"/>
          <w:szCs w:val="28"/>
        </w:rPr>
        <w:t xml:space="preserve"> - 6</w:t>
      </w:r>
    </w:p>
    <w:p w14:paraId="054CFDA9" w14:textId="77777777" w:rsidR="007720F4" w:rsidRPr="00E247F8" w:rsidRDefault="007720F4" w:rsidP="00D42A4A">
      <w:pPr>
        <w:pStyle w:val="Default"/>
        <w:rPr>
          <w:rFonts w:ascii="Calibri" w:hAnsi="Calibri" w:cs="Calibri"/>
          <w:b/>
          <w:bCs/>
          <w:color w:val="235D64"/>
          <w:sz w:val="28"/>
          <w:szCs w:val="28"/>
        </w:rPr>
      </w:pPr>
    </w:p>
    <w:tbl>
      <w:tblPr>
        <w:tblStyle w:val="GridTable4-Accent5"/>
        <w:tblpPr w:leftFromText="180" w:rightFromText="180" w:vertAnchor="text" w:tblpX="-5" w:tblpY="1"/>
        <w:tblOverlap w:val="never"/>
        <w:tblW w:w="1311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83"/>
        <w:gridCol w:w="5839"/>
        <w:gridCol w:w="6192"/>
      </w:tblGrid>
      <w:tr w:rsidR="0055458B" w:rsidRPr="00FF0E0B" w14:paraId="45EC9919" w14:textId="77777777" w:rsidTr="00D97A0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83" w:type="dxa"/>
            <w:tcBorders>
              <w:bottom w:val="single" w:sz="4" w:space="0" w:color="235D64"/>
            </w:tcBorders>
            <w:shd w:val="clear" w:color="auto" w:fill="235D64"/>
            <w:noWrap/>
            <w:hideMark/>
          </w:tcPr>
          <w:p w14:paraId="75AC01DA" w14:textId="77777777" w:rsidR="0055458B" w:rsidRPr="00FF0E0B" w:rsidRDefault="0055458B" w:rsidP="00322255">
            <w:pPr>
              <w:rPr>
                <w:rFonts w:ascii="Calibri" w:hAnsi="Calibri" w:cs="Calibri"/>
                <w:sz w:val="22"/>
                <w:szCs w:val="22"/>
              </w:rPr>
            </w:pPr>
            <w:r w:rsidRPr="00FF0E0B">
              <w:rPr>
                <w:rFonts w:ascii="Calibri" w:hAnsi="Calibri" w:cs="Calibri"/>
                <w:sz w:val="22"/>
                <w:szCs w:val="22"/>
              </w:rPr>
              <w:t>Message Ref No</w:t>
            </w:r>
          </w:p>
        </w:tc>
        <w:tc>
          <w:tcPr>
            <w:tcW w:w="5839" w:type="dxa"/>
            <w:tcBorders>
              <w:bottom w:val="single" w:sz="4" w:space="0" w:color="235D64"/>
            </w:tcBorders>
            <w:shd w:val="clear" w:color="auto" w:fill="235D64"/>
            <w:noWrap/>
            <w:hideMark/>
          </w:tcPr>
          <w:p w14:paraId="5E4FCBDF" w14:textId="77777777" w:rsidR="0055458B" w:rsidRPr="00FF0E0B" w:rsidRDefault="0055458B" w:rsidP="00322255">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Question</w:t>
            </w:r>
          </w:p>
        </w:tc>
        <w:tc>
          <w:tcPr>
            <w:tcW w:w="6192" w:type="dxa"/>
            <w:tcBorders>
              <w:bottom w:val="single" w:sz="4" w:space="0" w:color="235D64"/>
            </w:tcBorders>
            <w:shd w:val="clear" w:color="auto" w:fill="235D64"/>
            <w:hideMark/>
          </w:tcPr>
          <w:p w14:paraId="364D135D" w14:textId="77777777" w:rsidR="0055458B" w:rsidRPr="00FF0E0B" w:rsidRDefault="0055458B" w:rsidP="00426542">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OGP Response</w:t>
            </w:r>
          </w:p>
        </w:tc>
      </w:tr>
      <w:tr w:rsidR="0055458B" w:rsidRPr="00FF0E0B" w14:paraId="7F0A008F" w14:textId="77777777" w:rsidTr="00D97A09">
        <w:trPr>
          <w:cnfStyle w:val="000000100000" w:firstRow="0" w:lastRow="0" w:firstColumn="0" w:lastColumn="0" w:oddVBand="0" w:evenVBand="0" w:oddHBand="1" w:evenHBand="0" w:firstRowFirstColumn="0" w:firstRowLastColumn="0" w:lastRowFirstColumn="0" w:lastRowLastColumn="0"/>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5D47D84D" w14:textId="30EA1108" w:rsidR="00D76D3C" w:rsidRPr="00FF0E0B" w:rsidRDefault="00356DD5" w:rsidP="00D76D3C">
            <w:pPr>
              <w:rPr>
                <w:rFonts w:ascii="Calibri" w:hAnsi="Calibri" w:cs="Calibri"/>
                <w:bCs w:val="0"/>
                <w:sz w:val="22"/>
                <w:szCs w:val="22"/>
              </w:rPr>
            </w:pPr>
            <w:r w:rsidRPr="00FF0E0B">
              <w:rPr>
                <w:rFonts w:ascii="Calibri" w:hAnsi="Calibri" w:cs="Calibri"/>
                <w:bCs w:val="0"/>
                <w:sz w:val="22"/>
                <w:szCs w:val="22"/>
              </w:rPr>
              <w:t>740990</w:t>
            </w:r>
          </w:p>
          <w:p w14:paraId="20BA2468" w14:textId="140A4AE2" w:rsidR="0055458B" w:rsidRPr="00FF0E0B" w:rsidRDefault="0055458B" w:rsidP="00D76D3C">
            <w:pPr>
              <w:rPr>
                <w:rFonts w:ascii="Calibri" w:hAnsi="Calibri" w:cs="Calibri"/>
                <w:bCs w:val="0"/>
                <w:sz w:val="22"/>
                <w:szCs w:val="22"/>
              </w:rPr>
            </w:pPr>
          </w:p>
        </w:tc>
        <w:tc>
          <w:tcPr>
            <w:tcW w:w="5839" w:type="dxa"/>
            <w:shd w:val="clear" w:color="auto" w:fill="F2F2F2" w:themeFill="background1" w:themeFillShade="F2"/>
          </w:tcPr>
          <w:p w14:paraId="78604874" w14:textId="77777777" w:rsidR="0055458B"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Quality of Contract Management</w:t>
            </w:r>
          </w:p>
          <w:p w14:paraId="47E629EC" w14:textId="77777777"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25CADA2D" w14:textId="6D1CB09F"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Please clarify what is meant by ‘Introduce the commercial basis on which the Fuel Charge Card Service will operate’. Does this refer to the pricing methodology (including fuel pricing, discounts, fees, invoicing and rebate arrangements) or to the overall operational and contractual model for delivery of the Fuel Charge Card Service?</w:t>
            </w:r>
          </w:p>
        </w:tc>
        <w:tc>
          <w:tcPr>
            <w:tcW w:w="6192" w:type="dxa"/>
            <w:shd w:val="clear" w:color="auto" w:fill="F2F2F2" w:themeFill="background1" w:themeFillShade="F2"/>
          </w:tcPr>
          <w:p w14:paraId="59EFD618" w14:textId="1959ACCD" w:rsidR="00517A06" w:rsidRDefault="00356DD5" w:rsidP="00C7650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F0E0B">
              <w:rPr>
                <w:rFonts w:ascii="Calibri" w:hAnsi="Calibri" w:cs="Calibri"/>
                <w:sz w:val="22"/>
                <w:szCs w:val="22"/>
              </w:rPr>
              <w:t xml:space="preserve">We would refer Tenderers to </w:t>
            </w:r>
            <w:r w:rsidR="00947F0D">
              <w:rPr>
                <w:rFonts w:ascii="Calibri" w:hAnsi="Calibri" w:cs="Calibri"/>
                <w:sz w:val="22"/>
                <w:szCs w:val="22"/>
              </w:rPr>
              <w:t xml:space="preserve">the RFT Document, </w:t>
            </w:r>
            <w:r w:rsidRPr="00FF0E0B">
              <w:rPr>
                <w:rFonts w:ascii="Calibri" w:hAnsi="Calibri" w:cs="Calibri"/>
                <w:sz w:val="22"/>
                <w:szCs w:val="22"/>
              </w:rPr>
              <w:t xml:space="preserve">Section 3.3.1 Award Criteria, Award Criterion Two: Quality of Contract Management. </w:t>
            </w:r>
            <w:r w:rsidRPr="00FF0E0B">
              <w:rPr>
                <w:rFonts w:ascii="Calibri" w:hAnsi="Calibri" w:cs="Calibri"/>
                <w:sz w:val="22"/>
                <w:szCs w:val="22"/>
              </w:rPr>
              <w:br/>
              <w:t xml:space="preserve">                                                                                                                                                   </w:t>
            </w:r>
            <w:r w:rsidRPr="00C76508">
              <w:rPr>
                <w:rFonts w:asciiTheme="minorHAnsi" w:hAnsiTheme="minorHAnsi" w:cstheme="minorHAnsi"/>
                <w:sz w:val="22"/>
                <w:szCs w:val="22"/>
              </w:rPr>
              <w:t xml:space="preserve">In response to this criteria Tenderers must demonstrate their approaches to the elements of Quality of Contract Management as set out, </w:t>
            </w:r>
            <w:r w:rsidR="00475872" w:rsidRPr="00C76508">
              <w:rPr>
                <w:rFonts w:asciiTheme="minorHAnsi" w:hAnsiTheme="minorHAnsi" w:cstheme="minorHAnsi"/>
                <w:sz w:val="22"/>
                <w:szCs w:val="22"/>
              </w:rPr>
              <w:t xml:space="preserve">and </w:t>
            </w:r>
            <w:r w:rsidRPr="00C76508">
              <w:rPr>
                <w:rFonts w:asciiTheme="minorHAnsi" w:hAnsiTheme="minorHAnsi" w:cstheme="minorHAnsi"/>
                <w:sz w:val="22"/>
                <w:szCs w:val="22"/>
              </w:rPr>
              <w:t>having regard to the requirements in Appendix 1 Requirements and Specification, Section 11 “Account Manager”.</w:t>
            </w:r>
            <w:r w:rsidR="002A0285" w:rsidRPr="00C76508">
              <w:rPr>
                <w:rFonts w:asciiTheme="minorHAnsi" w:hAnsiTheme="minorHAnsi" w:cstheme="minorHAnsi"/>
                <w:sz w:val="22"/>
                <w:szCs w:val="22"/>
              </w:rPr>
              <w:t xml:space="preserve"> </w:t>
            </w:r>
          </w:p>
          <w:p w14:paraId="38E494AA" w14:textId="77777777" w:rsidR="00517A06" w:rsidRDefault="00517A06" w:rsidP="00C7650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7BA649FF" w14:textId="2046F224" w:rsidR="00C76508" w:rsidRPr="00C76508" w:rsidRDefault="002A0285" w:rsidP="00C7650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6508">
              <w:rPr>
                <w:rFonts w:asciiTheme="minorHAnsi" w:hAnsiTheme="minorHAnsi" w:cstheme="minorHAnsi"/>
                <w:sz w:val="22"/>
                <w:szCs w:val="22"/>
              </w:rPr>
              <w:t xml:space="preserve">An element of the Award Criterion includes </w:t>
            </w:r>
            <w:r w:rsidR="00356DD5" w:rsidRPr="00C76508">
              <w:rPr>
                <w:rFonts w:asciiTheme="minorHAnsi" w:hAnsiTheme="minorHAnsi" w:cstheme="minorHAnsi"/>
                <w:sz w:val="22"/>
                <w:szCs w:val="22"/>
              </w:rPr>
              <w:t>"Introduce the commercial basis on which the Fuel Charge Card Service will operate"</w:t>
            </w:r>
            <w:r w:rsidR="00C76508" w:rsidRPr="00C76508">
              <w:rPr>
                <w:rFonts w:asciiTheme="minorHAnsi" w:hAnsiTheme="minorHAnsi" w:cstheme="minorHAnsi"/>
                <w:sz w:val="22"/>
                <w:szCs w:val="22"/>
              </w:rPr>
              <w:t xml:space="preserve">. It is further detailed in this Award Criteria that Tenderers must provide…. “… - </w:t>
            </w:r>
            <w:r w:rsidR="00C76508" w:rsidRPr="00C76508">
              <w:rPr>
                <w:rFonts w:asciiTheme="minorHAnsi" w:hAnsiTheme="minorHAnsi" w:cstheme="minorHAnsi"/>
                <w:i/>
                <w:iCs/>
                <w:sz w:val="22"/>
                <w:szCs w:val="22"/>
              </w:rPr>
              <w:t>A detailed and specific description of how the Tenderer will manage the proposed contractors/consortia to deliver a high-quality, reliable, efficient and well-managed service for all products required on the following Fuel Charge Card services automotive fuel products</w:t>
            </w:r>
            <w:r w:rsidR="00947F0D">
              <w:rPr>
                <w:rFonts w:asciiTheme="minorHAnsi" w:hAnsiTheme="minorHAnsi" w:cstheme="minorHAnsi"/>
                <w:i/>
                <w:iCs/>
                <w:sz w:val="22"/>
                <w:szCs w:val="22"/>
              </w:rPr>
              <w:t xml:space="preserve"> </w:t>
            </w:r>
            <w:r w:rsidR="00C76508" w:rsidRPr="00C76508">
              <w:rPr>
                <w:rFonts w:asciiTheme="minorHAnsi" w:hAnsiTheme="minorHAnsi" w:cstheme="minorHAnsi"/>
                <w:i/>
                <w:iCs/>
                <w:sz w:val="22"/>
                <w:szCs w:val="22"/>
              </w:rPr>
              <w:t>(unleaded petrol, road diesel/derv, HVO, and green diesel/</w:t>
            </w:r>
            <w:proofErr w:type="spellStart"/>
            <w:r w:rsidR="00C76508" w:rsidRPr="00C76508">
              <w:rPr>
                <w:rFonts w:asciiTheme="minorHAnsi" w:hAnsiTheme="minorHAnsi" w:cstheme="minorHAnsi"/>
                <w:i/>
                <w:iCs/>
                <w:sz w:val="22"/>
                <w:szCs w:val="22"/>
              </w:rPr>
              <w:t>agri</w:t>
            </w:r>
            <w:proofErr w:type="spellEnd"/>
            <w:r w:rsidR="00C76508" w:rsidRPr="00C76508">
              <w:rPr>
                <w:rFonts w:asciiTheme="minorHAnsi" w:hAnsiTheme="minorHAnsi" w:cstheme="minorHAnsi"/>
                <w:i/>
                <w:iCs/>
                <w:sz w:val="22"/>
                <w:szCs w:val="22"/>
              </w:rPr>
              <w:t xml:space="preserve"> diesel) </w:t>
            </w:r>
          </w:p>
          <w:p w14:paraId="3571B5EC" w14:textId="77777777" w:rsidR="00C76508" w:rsidRPr="00C76508" w:rsidRDefault="00C76508" w:rsidP="00C76508">
            <w:pPr>
              <w:pStyle w:val="Default"/>
              <w:numPr>
                <w:ilvl w:val="2"/>
                <w:numId w:val="2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C76508">
              <w:rPr>
                <w:rFonts w:asciiTheme="minorHAnsi" w:hAnsiTheme="minorHAnsi" w:cstheme="minorHAnsi"/>
                <w:i/>
                <w:iCs/>
                <w:sz w:val="22"/>
                <w:szCs w:val="22"/>
              </w:rPr>
              <w:t xml:space="preserve">Lubricant products </w:t>
            </w:r>
          </w:p>
          <w:p w14:paraId="665CE2FE" w14:textId="77777777" w:rsidR="00C76508" w:rsidRPr="00C76508" w:rsidRDefault="00C76508" w:rsidP="00C76508">
            <w:pPr>
              <w:pStyle w:val="Default"/>
              <w:numPr>
                <w:ilvl w:val="2"/>
                <w:numId w:val="2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C76508">
              <w:rPr>
                <w:rFonts w:asciiTheme="minorHAnsi" w:hAnsiTheme="minorHAnsi" w:cstheme="minorHAnsi"/>
                <w:i/>
                <w:iCs/>
                <w:sz w:val="22"/>
                <w:szCs w:val="22"/>
              </w:rPr>
              <w:t xml:space="preserve">air/water </w:t>
            </w:r>
          </w:p>
          <w:p w14:paraId="5BB1BFF8" w14:textId="4A676E8E" w:rsidR="00C76508" w:rsidRPr="00C76508" w:rsidRDefault="00C76508" w:rsidP="00C76508">
            <w:pPr>
              <w:pStyle w:val="Default"/>
              <w:numPr>
                <w:ilvl w:val="2"/>
                <w:numId w:val="2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C76508">
              <w:rPr>
                <w:rFonts w:asciiTheme="minorHAnsi" w:hAnsiTheme="minorHAnsi" w:cstheme="minorHAnsi"/>
                <w:i/>
                <w:iCs/>
                <w:sz w:val="22"/>
                <w:szCs w:val="22"/>
              </w:rPr>
              <w:t>car washing facilities..”</w:t>
            </w:r>
          </w:p>
          <w:p w14:paraId="52783A14" w14:textId="77777777" w:rsidR="00C76508" w:rsidRPr="00C76508" w:rsidRDefault="00C76508" w:rsidP="002A02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09C4181B" w14:textId="469284B9" w:rsidR="00CB09A6" w:rsidRPr="00C76508" w:rsidRDefault="00356DD5" w:rsidP="004265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76508">
              <w:rPr>
                <w:rFonts w:asciiTheme="minorHAnsi" w:hAnsiTheme="minorHAnsi" w:cstheme="minorHAnsi"/>
                <w:sz w:val="22"/>
                <w:szCs w:val="22"/>
              </w:rPr>
              <w:t xml:space="preserve">Tenderers must form their own proposals in response to </w:t>
            </w:r>
            <w:r w:rsidR="006D747F" w:rsidRPr="00C76508">
              <w:rPr>
                <w:rFonts w:asciiTheme="minorHAnsi" w:hAnsiTheme="minorHAnsi" w:cstheme="minorHAnsi"/>
                <w:sz w:val="22"/>
                <w:szCs w:val="22"/>
              </w:rPr>
              <w:t xml:space="preserve">all elements of </w:t>
            </w:r>
            <w:r w:rsidRPr="00C76508">
              <w:rPr>
                <w:rFonts w:asciiTheme="minorHAnsi" w:hAnsiTheme="minorHAnsi" w:cstheme="minorHAnsi"/>
                <w:sz w:val="22"/>
                <w:szCs w:val="22"/>
              </w:rPr>
              <w:t xml:space="preserve">the Award Criteria </w:t>
            </w:r>
            <w:r w:rsidR="006B021B" w:rsidRPr="00C76508">
              <w:rPr>
                <w:rFonts w:asciiTheme="minorHAnsi" w:hAnsiTheme="minorHAnsi" w:cstheme="minorHAnsi"/>
                <w:sz w:val="22"/>
                <w:szCs w:val="22"/>
              </w:rPr>
              <w:t xml:space="preserve">and Requirements and Specification </w:t>
            </w:r>
            <w:r w:rsidRPr="00C76508">
              <w:rPr>
                <w:rFonts w:asciiTheme="minorHAnsi" w:hAnsiTheme="minorHAnsi" w:cstheme="minorHAnsi"/>
                <w:sz w:val="22"/>
                <w:szCs w:val="22"/>
              </w:rPr>
              <w:t>as set out in the RFT.</w:t>
            </w:r>
          </w:p>
          <w:p w14:paraId="740BAD73" w14:textId="05B75A92" w:rsidR="002F58D8" w:rsidRPr="00FF0E0B" w:rsidRDefault="002F58D8" w:rsidP="0042654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56DD5" w:rsidRPr="00FF0E0B" w14:paraId="26F8F922" w14:textId="77777777" w:rsidTr="00D97A09">
        <w:trPr>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7C6E431E" w14:textId="77777777" w:rsidR="00356DD5" w:rsidRPr="00FF0E0B" w:rsidRDefault="00356DD5" w:rsidP="00356DD5">
            <w:pPr>
              <w:rPr>
                <w:rFonts w:ascii="Calibri" w:hAnsi="Calibri" w:cs="Calibri"/>
                <w:bCs w:val="0"/>
                <w:sz w:val="22"/>
                <w:szCs w:val="22"/>
              </w:rPr>
            </w:pPr>
            <w:r w:rsidRPr="00FF0E0B">
              <w:rPr>
                <w:rFonts w:ascii="Calibri" w:hAnsi="Calibri" w:cs="Calibri"/>
                <w:bCs w:val="0"/>
                <w:sz w:val="22"/>
                <w:szCs w:val="22"/>
              </w:rPr>
              <w:lastRenderedPageBreak/>
              <w:t>740990</w:t>
            </w:r>
          </w:p>
          <w:p w14:paraId="79F058DC" w14:textId="77777777" w:rsidR="00356DD5" w:rsidRPr="00FF0E0B" w:rsidRDefault="00356DD5" w:rsidP="00D76D3C">
            <w:pPr>
              <w:rPr>
                <w:rFonts w:ascii="Calibri" w:hAnsi="Calibri" w:cs="Calibri"/>
                <w:sz w:val="22"/>
                <w:szCs w:val="22"/>
              </w:rPr>
            </w:pPr>
          </w:p>
        </w:tc>
        <w:tc>
          <w:tcPr>
            <w:tcW w:w="5839" w:type="dxa"/>
            <w:shd w:val="clear" w:color="auto" w:fill="F2F2F2" w:themeFill="background1" w:themeFillShade="F2"/>
          </w:tcPr>
          <w:p w14:paraId="220FE105" w14:textId="77777777"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Defining of Fuel Charge Card collection and delivery points and site access protocols including security clearance ? </w:t>
            </w:r>
          </w:p>
          <w:p w14:paraId="470003A1" w14:textId="77777777"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AAB7C21" w14:textId="77777777" w:rsidR="00356DD5" w:rsidRPr="00FF0E0B" w:rsidRDefault="00356DD5" w:rsidP="00356DD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Please clarify the requirements regarding the definition of Fuel Charge Card collection and delivery points and site access protocols, including security clearance. </w:t>
            </w:r>
          </w:p>
          <w:p w14:paraId="148DF15D" w14:textId="3FC5CD1D" w:rsidR="00356DD5" w:rsidRPr="00FF0E0B" w:rsidRDefault="00356DD5" w:rsidP="00356DD5">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Is the Contracting Authority seeking confirmation of the tenderer's proposed card distribution process, or are there specific site access and security clearance requirements that will apply to contractor personnel during contract implementation and operation?</w:t>
            </w:r>
          </w:p>
        </w:tc>
        <w:tc>
          <w:tcPr>
            <w:tcW w:w="6192" w:type="dxa"/>
            <w:shd w:val="clear" w:color="auto" w:fill="F2F2F2" w:themeFill="background1" w:themeFillShade="F2"/>
          </w:tcPr>
          <w:p w14:paraId="63086B38" w14:textId="379757ED" w:rsidR="006B021B" w:rsidRPr="00AE2DCB" w:rsidRDefault="006B021B" w:rsidP="004265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2DCB">
              <w:rPr>
                <w:rFonts w:asciiTheme="minorHAnsi" w:hAnsiTheme="minorHAnsi" w:cstheme="minorHAnsi"/>
                <w:sz w:val="22"/>
                <w:szCs w:val="22"/>
              </w:rPr>
              <w:t xml:space="preserve">We would refer Tenderers </w:t>
            </w:r>
            <w:r w:rsidR="00A34299" w:rsidRPr="00AE2DCB">
              <w:rPr>
                <w:rFonts w:asciiTheme="minorHAnsi" w:hAnsiTheme="minorHAnsi" w:cstheme="minorHAnsi"/>
                <w:sz w:val="22"/>
                <w:szCs w:val="22"/>
              </w:rPr>
              <w:t>to</w:t>
            </w:r>
            <w:r w:rsidR="00947F0D">
              <w:rPr>
                <w:rFonts w:asciiTheme="minorHAnsi" w:hAnsiTheme="minorHAnsi" w:cstheme="minorHAnsi"/>
                <w:sz w:val="22"/>
                <w:szCs w:val="22"/>
              </w:rPr>
              <w:t xml:space="preserve"> the RFT Document,</w:t>
            </w:r>
            <w:r w:rsidR="00A34299" w:rsidRPr="00AE2DCB">
              <w:rPr>
                <w:rFonts w:asciiTheme="minorHAnsi" w:hAnsiTheme="minorHAnsi" w:cstheme="minorHAnsi"/>
                <w:sz w:val="22"/>
                <w:szCs w:val="22"/>
              </w:rPr>
              <w:t xml:space="preserve"> </w:t>
            </w:r>
            <w:r w:rsidR="00DC3E08" w:rsidRPr="00AE2DCB">
              <w:rPr>
                <w:rFonts w:asciiTheme="minorHAnsi" w:hAnsiTheme="minorHAnsi" w:cstheme="minorHAnsi"/>
                <w:sz w:val="22"/>
                <w:szCs w:val="22"/>
              </w:rPr>
              <w:t xml:space="preserve">Section 3.3.1 Award Criteria, Award Criterion One: Implementation and Roll-Out, and </w:t>
            </w:r>
            <w:r w:rsidR="00A34299" w:rsidRPr="00AE2DCB">
              <w:rPr>
                <w:rFonts w:asciiTheme="minorHAnsi" w:hAnsiTheme="minorHAnsi" w:cstheme="minorHAnsi"/>
                <w:sz w:val="22"/>
                <w:szCs w:val="22"/>
              </w:rPr>
              <w:t>Appendix</w:t>
            </w:r>
            <w:r w:rsidRPr="00AE2DCB">
              <w:rPr>
                <w:rFonts w:asciiTheme="minorHAnsi" w:hAnsiTheme="minorHAnsi" w:cstheme="minorHAnsi"/>
                <w:sz w:val="22"/>
                <w:szCs w:val="22"/>
              </w:rPr>
              <w:t xml:space="preserve"> 1 Requirements and Specification, Section 3. </w:t>
            </w:r>
            <w:r w:rsidR="00356DD5" w:rsidRPr="00AE2DCB">
              <w:rPr>
                <w:rFonts w:asciiTheme="minorHAnsi" w:hAnsiTheme="minorHAnsi" w:cstheme="minorHAnsi"/>
                <w:sz w:val="22"/>
                <w:szCs w:val="22"/>
              </w:rPr>
              <w:t>Implementation</w:t>
            </w:r>
            <w:r w:rsidR="002A0285" w:rsidRPr="00AE2DCB">
              <w:rPr>
                <w:rFonts w:asciiTheme="minorHAnsi" w:hAnsiTheme="minorHAnsi" w:cstheme="minorHAnsi"/>
                <w:sz w:val="22"/>
                <w:szCs w:val="22"/>
              </w:rPr>
              <w:t xml:space="preserve">. </w:t>
            </w:r>
          </w:p>
          <w:p w14:paraId="1EA66110" w14:textId="77777777" w:rsidR="002A0285" w:rsidRPr="00AE2DCB" w:rsidRDefault="002A0285" w:rsidP="004265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72D4EC1" w14:textId="04BCAFA0" w:rsidR="00356DD5" w:rsidRPr="00AE2DCB" w:rsidRDefault="00DC3E08" w:rsidP="00DC3E08">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2DCB">
              <w:rPr>
                <w:rFonts w:asciiTheme="minorHAnsi" w:hAnsiTheme="minorHAnsi" w:cstheme="minorHAnsi"/>
                <w:sz w:val="22"/>
                <w:szCs w:val="22"/>
              </w:rPr>
              <w:t>In response to this criteria Tenderers must demonstrate the quality of their implementation plan to deliver the Services so as to ensure timely delivery in accordance with Framework Client requirements. It is further detailed in this Award Criteri</w:t>
            </w:r>
            <w:r w:rsidR="003A3BE1">
              <w:rPr>
                <w:rFonts w:asciiTheme="minorHAnsi" w:hAnsiTheme="minorHAnsi" w:cstheme="minorHAnsi"/>
                <w:sz w:val="22"/>
                <w:szCs w:val="22"/>
              </w:rPr>
              <w:t>on</w:t>
            </w:r>
            <w:r w:rsidRPr="00AE2DCB">
              <w:rPr>
                <w:rFonts w:asciiTheme="minorHAnsi" w:hAnsiTheme="minorHAnsi" w:cstheme="minorHAnsi"/>
                <w:sz w:val="22"/>
                <w:szCs w:val="22"/>
              </w:rPr>
              <w:t xml:space="preserve"> that the requirements to be taken into account includes “- Defining of Fuel Charge Card collection and delivery points and site access protocols including security clearance” where Tenderers should demonstrate co</w:t>
            </w:r>
            <w:r w:rsidR="00356DD5" w:rsidRPr="00AE2DCB">
              <w:rPr>
                <w:rFonts w:asciiTheme="minorHAnsi" w:hAnsiTheme="minorHAnsi" w:cstheme="minorHAnsi"/>
                <w:sz w:val="22"/>
                <w:szCs w:val="22"/>
              </w:rPr>
              <w:t xml:space="preserve">nfirmation of the fuel card distribution process and its ability to ensure access and security clearance measures are maintained </w:t>
            </w:r>
            <w:r w:rsidR="00D90FDC">
              <w:rPr>
                <w:rFonts w:asciiTheme="minorHAnsi" w:hAnsiTheme="minorHAnsi" w:cstheme="minorHAnsi"/>
                <w:sz w:val="22"/>
                <w:szCs w:val="22"/>
              </w:rPr>
              <w:t xml:space="preserve">whether delivery is made by post or through collection. </w:t>
            </w:r>
          </w:p>
          <w:p w14:paraId="5A09F602" w14:textId="77777777" w:rsidR="00DC3E08" w:rsidRPr="00AE2DCB" w:rsidRDefault="00DC3E08" w:rsidP="00DC3E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1318BFF3" w14:textId="7E17E7A1" w:rsidR="00DC3E08" w:rsidRPr="00DC3E08" w:rsidRDefault="00DC3E08" w:rsidP="00DC3E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E2DCB">
              <w:rPr>
                <w:rFonts w:asciiTheme="minorHAnsi" w:hAnsiTheme="minorHAnsi" w:cstheme="minorHAnsi"/>
                <w:sz w:val="22"/>
                <w:szCs w:val="22"/>
              </w:rPr>
              <w:t>Tenderers must form their own proposals in response to all elements of the Award Criteria and</w:t>
            </w:r>
            <w:r w:rsidRPr="00C76508">
              <w:rPr>
                <w:rFonts w:asciiTheme="minorHAnsi" w:hAnsiTheme="minorHAnsi" w:cstheme="minorHAnsi"/>
                <w:sz w:val="22"/>
                <w:szCs w:val="22"/>
              </w:rPr>
              <w:t xml:space="preserve"> Requirements and Specification as set out in the RFT.</w:t>
            </w:r>
          </w:p>
          <w:p w14:paraId="24713B34" w14:textId="52427672" w:rsidR="00DC3E08" w:rsidRPr="00FF0E0B" w:rsidRDefault="00DC3E08" w:rsidP="002A028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56DD5" w:rsidRPr="00FF0E0B" w14:paraId="1829EDA4" w14:textId="77777777" w:rsidTr="005B59FE">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10F95E13" w14:textId="77777777" w:rsidR="00356DD5" w:rsidRPr="00FF0E0B" w:rsidRDefault="00356DD5" w:rsidP="00356DD5">
            <w:pPr>
              <w:rPr>
                <w:rFonts w:ascii="Calibri" w:hAnsi="Calibri" w:cs="Calibri"/>
                <w:bCs w:val="0"/>
                <w:sz w:val="22"/>
                <w:szCs w:val="22"/>
              </w:rPr>
            </w:pPr>
            <w:r w:rsidRPr="00FF0E0B">
              <w:rPr>
                <w:rFonts w:ascii="Calibri" w:hAnsi="Calibri" w:cs="Calibri"/>
                <w:bCs w:val="0"/>
                <w:sz w:val="22"/>
                <w:szCs w:val="22"/>
              </w:rPr>
              <w:t>740990</w:t>
            </w:r>
          </w:p>
          <w:p w14:paraId="190C9749" w14:textId="77777777" w:rsidR="00356DD5" w:rsidRPr="00FF0E0B" w:rsidRDefault="00356DD5" w:rsidP="00356DD5">
            <w:pPr>
              <w:rPr>
                <w:rFonts w:ascii="Calibri" w:hAnsi="Calibri" w:cs="Calibri"/>
                <w:sz w:val="22"/>
                <w:szCs w:val="22"/>
              </w:rPr>
            </w:pPr>
          </w:p>
        </w:tc>
        <w:tc>
          <w:tcPr>
            <w:tcW w:w="5839" w:type="dxa"/>
            <w:shd w:val="clear" w:color="auto" w:fill="F2F2F2" w:themeFill="background1" w:themeFillShade="F2"/>
          </w:tcPr>
          <w:p w14:paraId="4D1657CB" w14:textId="77777777"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2.10.4 </w:t>
            </w:r>
            <w:r w:rsidRPr="00FF0E0B">
              <w:rPr>
                <w:rFonts w:ascii="Calibri" w:hAnsi="Calibri" w:cs="Calibri"/>
                <w:sz w:val="22"/>
                <w:szCs w:val="22"/>
              </w:rPr>
              <w:tab/>
              <w:t>Any currency variations occurring over the term of the Client Contract shall be borne by the Tenderer.</w:t>
            </w:r>
          </w:p>
          <w:p w14:paraId="51FBC1E4" w14:textId="77777777"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1314836B" w14:textId="21EDEE72"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Any currency variations occurring over the term of the client contract shall be borne by the tenderer – what does this relate to as PLATTS pricing is subject to daily FX.</w:t>
            </w:r>
          </w:p>
        </w:tc>
        <w:tc>
          <w:tcPr>
            <w:tcW w:w="6192" w:type="dxa"/>
            <w:shd w:val="clear" w:color="auto" w:fill="F2F2F2" w:themeFill="background1" w:themeFillShade="F2"/>
          </w:tcPr>
          <w:p w14:paraId="7E9F10E3" w14:textId="37BF232C" w:rsidR="00CE46A7" w:rsidRPr="00FF0E0B" w:rsidRDefault="00CE46A7" w:rsidP="00CE46A7">
            <w:pPr>
              <w:spacing w:line="300" w:lineRule="atLeast"/>
              <w:cnfStyle w:val="000000100000" w:firstRow="0" w:lastRow="0" w:firstColumn="0" w:lastColumn="0" w:oddVBand="0" w:evenVBand="0" w:oddHBand="1" w:evenHBand="0" w:firstRowFirstColumn="0" w:firstRowLastColumn="0" w:lastRowFirstColumn="0" w:lastRowLastColumn="0"/>
              <w:rPr>
                <w:rStyle w:val="Strong"/>
                <w:rFonts w:ascii="Calibri" w:hAnsi="Calibri" w:cs="Calibri"/>
                <w:sz w:val="22"/>
                <w:szCs w:val="22"/>
              </w:rPr>
            </w:pPr>
            <w:r w:rsidRPr="00FF0E0B">
              <w:rPr>
                <w:rFonts w:ascii="Calibri" w:hAnsi="Calibri" w:cs="Calibri"/>
                <w:sz w:val="22"/>
                <w:szCs w:val="22"/>
              </w:rPr>
              <w:t>We would refer Tenderers to pg. 29 of the RFT Document “Pricing will be directly linked to the PLATTS Index Monthly Average and the ECB USD vs Euro exchange Monthly Average without exception for the duration of the Framework Agreement.”</w:t>
            </w:r>
          </w:p>
          <w:p w14:paraId="01B8777F" w14:textId="77777777" w:rsidR="00CE46A7" w:rsidRPr="00FF0E0B" w:rsidRDefault="00CE46A7" w:rsidP="00CE46A7">
            <w:pPr>
              <w:spacing w:line="300" w:lineRule="atLeast"/>
              <w:cnfStyle w:val="000000100000" w:firstRow="0" w:lastRow="0" w:firstColumn="0" w:lastColumn="0" w:oddVBand="0" w:evenVBand="0" w:oddHBand="1" w:evenHBand="0" w:firstRowFirstColumn="0" w:firstRowLastColumn="0" w:lastRowFirstColumn="0" w:lastRowLastColumn="0"/>
              <w:rPr>
                <w:rStyle w:val="Strong"/>
                <w:rFonts w:ascii="Calibri" w:hAnsi="Calibri" w:cs="Calibri"/>
                <w:sz w:val="22"/>
                <w:szCs w:val="22"/>
              </w:rPr>
            </w:pPr>
          </w:p>
          <w:p w14:paraId="2546FE60" w14:textId="46F6051A" w:rsidR="00CE46A7" w:rsidRPr="00FF0E0B" w:rsidRDefault="00CE46A7" w:rsidP="00CE46A7">
            <w:pPr>
              <w:spacing w:line="300" w:lineRule="atLeast"/>
              <w:cnfStyle w:val="000000100000" w:firstRow="0" w:lastRow="0" w:firstColumn="0" w:lastColumn="0" w:oddVBand="0" w:evenVBand="0" w:oddHBand="1" w:evenHBand="0" w:firstRowFirstColumn="0" w:firstRowLastColumn="0" w:lastRowFirstColumn="0" w:lastRowLastColumn="0"/>
              <w:rPr>
                <w:rStyle w:val="Strong"/>
                <w:rFonts w:ascii="Calibri" w:hAnsi="Calibri" w:cs="Calibri"/>
                <w:b w:val="0"/>
                <w:bCs w:val="0"/>
                <w:sz w:val="22"/>
                <w:szCs w:val="22"/>
              </w:rPr>
            </w:pPr>
            <w:r w:rsidRPr="00FF0E0B">
              <w:rPr>
                <w:rStyle w:val="Strong"/>
                <w:rFonts w:ascii="Calibri" w:hAnsi="Calibri" w:cs="Calibri"/>
                <w:b w:val="0"/>
                <w:bCs w:val="0"/>
                <w:sz w:val="22"/>
                <w:szCs w:val="22"/>
              </w:rPr>
              <w:t>We would also refer Tenderers to “Appendix 2 Pricing Schedule”,</w:t>
            </w:r>
            <w:r w:rsidRPr="00FF0E0B">
              <w:rPr>
                <w:rStyle w:val="Strong"/>
                <w:rFonts w:ascii="Calibri" w:hAnsi="Calibri" w:cs="Calibri"/>
                <w:sz w:val="22"/>
                <w:szCs w:val="22"/>
              </w:rPr>
              <w:t xml:space="preserve"> </w:t>
            </w:r>
            <w:r w:rsidRPr="00FF0E0B">
              <w:rPr>
                <w:rStyle w:val="Strong"/>
                <w:rFonts w:ascii="Calibri" w:hAnsi="Calibri" w:cs="Calibri"/>
                <w:b w:val="0"/>
                <w:bCs w:val="0"/>
                <w:sz w:val="22"/>
                <w:szCs w:val="22"/>
              </w:rPr>
              <w:t xml:space="preserve">Tab “03 Full Pricing Calculation” is a spreadsheet showing an example of a calculation of the full price of liquid fuels during the Framework Agreement considering all elements of the full price. </w:t>
            </w:r>
          </w:p>
          <w:p w14:paraId="150266AE" w14:textId="565E1222" w:rsidR="00CE46A7" w:rsidRPr="00FF0E0B" w:rsidRDefault="00CE46A7" w:rsidP="0042654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56DD5" w:rsidRPr="00FF0E0B" w14:paraId="0835DD0E" w14:textId="77777777" w:rsidTr="00D97A09">
        <w:trPr>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3CFE72CF" w14:textId="77777777" w:rsidR="00356DD5" w:rsidRPr="00FF0E0B" w:rsidRDefault="00356DD5" w:rsidP="00356DD5">
            <w:pPr>
              <w:rPr>
                <w:rFonts w:ascii="Calibri" w:hAnsi="Calibri" w:cs="Calibri"/>
                <w:b w:val="0"/>
                <w:bCs w:val="0"/>
                <w:sz w:val="22"/>
                <w:szCs w:val="22"/>
              </w:rPr>
            </w:pPr>
          </w:p>
          <w:p w14:paraId="523944F9" w14:textId="77777777" w:rsidR="00356DD5" w:rsidRPr="00FF0E0B" w:rsidRDefault="00356DD5" w:rsidP="00356DD5">
            <w:pPr>
              <w:rPr>
                <w:rFonts w:ascii="Calibri" w:hAnsi="Calibri" w:cs="Calibri"/>
                <w:bCs w:val="0"/>
                <w:sz w:val="22"/>
                <w:szCs w:val="22"/>
              </w:rPr>
            </w:pPr>
            <w:r w:rsidRPr="00FF0E0B">
              <w:rPr>
                <w:rFonts w:ascii="Calibri" w:hAnsi="Calibri" w:cs="Calibri"/>
                <w:bCs w:val="0"/>
                <w:sz w:val="22"/>
                <w:szCs w:val="22"/>
              </w:rPr>
              <w:t>740990</w:t>
            </w:r>
          </w:p>
          <w:p w14:paraId="36B48551" w14:textId="77777777" w:rsidR="00356DD5" w:rsidRPr="00FF0E0B" w:rsidRDefault="00356DD5" w:rsidP="00356DD5">
            <w:pPr>
              <w:rPr>
                <w:rFonts w:ascii="Calibri" w:hAnsi="Calibri" w:cs="Calibri"/>
                <w:sz w:val="22"/>
                <w:szCs w:val="22"/>
              </w:rPr>
            </w:pPr>
          </w:p>
        </w:tc>
        <w:tc>
          <w:tcPr>
            <w:tcW w:w="5839" w:type="dxa"/>
            <w:shd w:val="clear" w:color="auto" w:fill="F2F2F2" w:themeFill="background1" w:themeFillShade="F2"/>
          </w:tcPr>
          <w:p w14:paraId="65E24C39" w14:textId="15A6AF76"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EV Pricing</w:t>
            </w:r>
          </w:p>
          <w:p w14:paraId="6596D4DD" w14:textId="77777777"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66B3BE8" w14:textId="3708817A"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The Pricing Schedule does not appear to contain a section for EV charging services. Please confirm where Tenderers should include EV charging pricing within the submission.</w:t>
            </w:r>
          </w:p>
        </w:tc>
        <w:tc>
          <w:tcPr>
            <w:tcW w:w="6192" w:type="dxa"/>
            <w:shd w:val="clear" w:color="auto" w:fill="F2F2F2" w:themeFill="background1" w:themeFillShade="F2"/>
          </w:tcPr>
          <w:p w14:paraId="73FFD7DF" w14:textId="77777777" w:rsidR="00CE46A7" w:rsidRPr="00FF0E0B" w:rsidRDefault="00CE46A7" w:rsidP="00CE46A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EV charging facilities </w:t>
            </w:r>
          </w:p>
          <w:p w14:paraId="5E60A5A1" w14:textId="77777777" w:rsidR="00CE46A7" w:rsidRPr="00FF0E0B" w:rsidRDefault="00CE46A7"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6B4589B0" w14:textId="77777777" w:rsidR="00777382" w:rsidRPr="00FF0E0B" w:rsidRDefault="00777382"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No. The pricing of Electric Vehicle Charging will be at prevailing rates and will be billed accordingly. </w:t>
            </w:r>
          </w:p>
          <w:p w14:paraId="18EA9579" w14:textId="65C002E5" w:rsidR="00777382" w:rsidRPr="00FF0E0B" w:rsidRDefault="00777382"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We would refer Tenderers to RFT Document Section 3.3.1 Award Criteria, Award Criterion Four: Electric Vehicle Charging,</w:t>
            </w:r>
          </w:p>
          <w:p w14:paraId="4268CA18" w14:textId="270E370A" w:rsidR="00777382" w:rsidRPr="00FF0E0B" w:rsidRDefault="00777382" w:rsidP="0077738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Marks will be awarded according to the number of sites providing Electric Vehicle Charging services nationwide according to the formula set out. The representation of service stations providing EV charging will be scored (Yes/No - Document “Attachment 3”). </w:t>
            </w:r>
          </w:p>
          <w:p w14:paraId="1AE61810" w14:textId="3A976E40" w:rsidR="00356DD5" w:rsidRPr="00FF0E0B" w:rsidRDefault="00CE46A7"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We would</w:t>
            </w:r>
            <w:r w:rsidR="00777382" w:rsidRPr="00FF0E0B">
              <w:rPr>
                <w:rFonts w:ascii="Calibri" w:hAnsi="Calibri" w:cs="Calibri"/>
                <w:sz w:val="22"/>
                <w:szCs w:val="22"/>
              </w:rPr>
              <w:t xml:space="preserve"> also</w:t>
            </w:r>
            <w:r w:rsidRPr="00FF0E0B">
              <w:rPr>
                <w:rFonts w:ascii="Calibri" w:hAnsi="Calibri" w:cs="Calibri"/>
                <w:sz w:val="22"/>
                <w:szCs w:val="22"/>
              </w:rPr>
              <w:t xml:space="preserve"> refer Tenderers </w:t>
            </w:r>
            <w:r w:rsidR="00777382" w:rsidRPr="00FF0E0B">
              <w:rPr>
                <w:rFonts w:ascii="Calibri" w:hAnsi="Calibri" w:cs="Calibri"/>
                <w:sz w:val="22"/>
                <w:szCs w:val="22"/>
              </w:rPr>
              <w:t>to pg. 38 of the RFT for EV Charging Infrastructure – Technical Requirements.</w:t>
            </w:r>
            <w:r w:rsidR="006D747F" w:rsidRPr="00FF0E0B">
              <w:rPr>
                <w:rFonts w:ascii="Calibri" w:hAnsi="Calibri" w:cs="Calibri"/>
                <w:sz w:val="22"/>
                <w:szCs w:val="22"/>
              </w:rPr>
              <w:br/>
            </w:r>
          </w:p>
        </w:tc>
      </w:tr>
      <w:tr w:rsidR="00356DD5" w:rsidRPr="00FF0E0B" w14:paraId="173F0BA6" w14:textId="77777777" w:rsidTr="00D97A09">
        <w:trPr>
          <w:cnfStyle w:val="000000100000" w:firstRow="0" w:lastRow="0" w:firstColumn="0" w:lastColumn="0" w:oddVBand="0" w:evenVBand="0" w:oddHBand="1" w:evenHBand="0" w:firstRowFirstColumn="0" w:firstRowLastColumn="0" w:lastRowFirstColumn="0" w:lastRowLastColumn="0"/>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5799FF37" w14:textId="77777777" w:rsidR="00356DD5" w:rsidRPr="00FF0E0B" w:rsidRDefault="00356DD5" w:rsidP="00356DD5">
            <w:pPr>
              <w:rPr>
                <w:rFonts w:ascii="Calibri" w:hAnsi="Calibri" w:cs="Calibri"/>
                <w:bCs w:val="0"/>
                <w:sz w:val="22"/>
                <w:szCs w:val="22"/>
              </w:rPr>
            </w:pPr>
            <w:r w:rsidRPr="00FF0E0B">
              <w:rPr>
                <w:rFonts w:ascii="Calibri" w:hAnsi="Calibri" w:cs="Calibri"/>
                <w:bCs w:val="0"/>
                <w:sz w:val="22"/>
                <w:szCs w:val="22"/>
              </w:rPr>
              <w:t>740990</w:t>
            </w:r>
          </w:p>
          <w:p w14:paraId="1ACB7668" w14:textId="77777777" w:rsidR="00356DD5" w:rsidRPr="00FF0E0B" w:rsidRDefault="00356DD5" w:rsidP="00356DD5">
            <w:pPr>
              <w:rPr>
                <w:rFonts w:ascii="Calibri" w:hAnsi="Calibri" w:cs="Calibri"/>
                <w:b w:val="0"/>
                <w:bCs w:val="0"/>
                <w:sz w:val="22"/>
                <w:szCs w:val="22"/>
              </w:rPr>
            </w:pPr>
          </w:p>
        </w:tc>
        <w:tc>
          <w:tcPr>
            <w:tcW w:w="5839" w:type="dxa"/>
            <w:shd w:val="clear" w:color="auto" w:fill="F2F2F2" w:themeFill="background1" w:themeFillShade="F2"/>
          </w:tcPr>
          <w:p w14:paraId="7988573C" w14:textId="77777777"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ESPD</w:t>
            </w:r>
          </w:p>
          <w:p w14:paraId="30E33F52" w14:textId="77777777"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0A8A4156" w14:textId="7498AEF1" w:rsidR="00356DD5" w:rsidRPr="00FF0E0B" w:rsidRDefault="00356DD5" w:rsidP="00D76D3C">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Where an external service provider is utilised for the provision of fuel card infrastructure and transaction processing, but the Tender is being submitted by and the Framework Contract would be entered into by a single Tenderer only, can the Contracting Authority confirm whether such an entity is required to be treated as a Subcontractor for the purposes of the RFT and </w:t>
            </w:r>
            <w:proofErr w:type="spellStart"/>
            <w:r w:rsidRPr="00FF0E0B">
              <w:rPr>
                <w:rFonts w:ascii="Calibri" w:hAnsi="Calibri" w:cs="Calibri"/>
                <w:sz w:val="22"/>
                <w:szCs w:val="22"/>
              </w:rPr>
              <w:t>eESPD</w:t>
            </w:r>
            <w:proofErr w:type="spellEnd"/>
            <w:r w:rsidRPr="00FF0E0B">
              <w:rPr>
                <w:rFonts w:ascii="Calibri" w:hAnsi="Calibri" w:cs="Calibri"/>
                <w:sz w:val="22"/>
                <w:szCs w:val="22"/>
              </w:rPr>
              <w:t xml:space="preserve"> submission requirements, or whether it may be treated solely as a third-party service provider where the Tenderer retains full contractual responsibility for service delivery?</w:t>
            </w:r>
          </w:p>
        </w:tc>
        <w:tc>
          <w:tcPr>
            <w:tcW w:w="6192" w:type="dxa"/>
            <w:shd w:val="clear" w:color="auto" w:fill="F2F2F2" w:themeFill="background1" w:themeFillShade="F2"/>
          </w:tcPr>
          <w:p w14:paraId="356F0A4A" w14:textId="7FC60BB7" w:rsidR="00356DD5" w:rsidRPr="00FF0E0B" w:rsidRDefault="00BD3851" w:rsidP="0042654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European Single Procurement Document (“ESPD”).</w:t>
            </w:r>
          </w:p>
          <w:p w14:paraId="6C73593B" w14:textId="77777777" w:rsidR="00BD3851" w:rsidRPr="00FF0E0B" w:rsidRDefault="00BD3851" w:rsidP="0042654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0AF9AADC" w14:textId="09D074D8" w:rsidR="00BD3851" w:rsidRPr="00FF0E0B" w:rsidRDefault="00BD3851" w:rsidP="00BD3851">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We would refer Tenderers to the RFT Document, Part 3, 3.1 Compliant Tenders. </w:t>
            </w:r>
          </w:p>
          <w:p w14:paraId="7C5DA25E" w14:textId="14AB9F3D" w:rsidR="00BD3851" w:rsidRPr="00FF0E0B" w:rsidRDefault="00BD3851" w:rsidP="00BD3851">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Where a Tenderer is relying on the capacity of other entities (for example, Subcontractors) for the purposes of fulfilling any of the Selection Criteria in part 3.2 it must ensure that each such entity:</w:t>
            </w:r>
          </w:p>
          <w:p w14:paraId="2F2AEF61" w14:textId="77777777" w:rsidR="00BD3851" w:rsidRPr="00FF0E0B" w:rsidRDefault="00BD3851" w:rsidP="00BD3851">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w:t>
            </w:r>
            <w:proofErr w:type="spellStart"/>
            <w:r w:rsidRPr="00FF0E0B">
              <w:rPr>
                <w:rFonts w:ascii="Calibri" w:hAnsi="Calibri" w:cs="Calibri"/>
                <w:sz w:val="22"/>
                <w:szCs w:val="22"/>
              </w:rPr>
              <w:t>i</w:t>
            </w:r>
            <w:proofErr w:type="spellEnd"/>
            <w:r w:rsidRPr="00FF0E0B">
              <w:rPr>
                <w:rFonts w:ascii="Calibri" w:hAnsi="Calibri" w:cs="Calibri"/>
                <w:sz w:val="22"/>
                <w:szCs w:val="22"/>
              </w:rPr>
              <w:t xml:space="preserve">) completes and submits a separate </w:t>
            </w:r>
            <w:proofErr w:type="spellStart"/>
            <w:r w:rsidRPr="00FF0E0B">
              <w:rPr>
                <w:rFonts w:ascii="Calibri" w:hAnsi="Calibri" w:cs="Calibri"/>
                <w:sz w:val="22"/>
                <w:szCs w:val="22"/>
              </w:rPr>
              <w:t>eESPD</w:t>
            </w:r>
            <w:proofErr w:type="spellEnd"/>
            <w:r w:rsidRPr="00FF0E0B">
              <w:rPr>
                <w:rFonts w:ascii="Calibri" w:hAnsi="Calibri" w:cs="Calibri"/>
                <w:sz w:val="22"/>
                <w:szCs w:val="22"/>
              </w:rPr>
              <w:t xml:space="preserve"> in respect of each such entity, </w:t>
            </w:r>
          </w:p>
          <w:p w14:paraId="1D2E2033" w14:textId="77777777" w:rsidR="00BD3851" w:rsidRPr="00FF0E0B" w:rsidRDefault="00BD3851" w:rsidP="00BD3851">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74F933A4" w14:textId="0A22BAF0" w:rsidR="006D747F" w:rsidRPr="00FF0E0B" w:rsidRDefault="00BD3851" w:rsidP="00A61CC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Where a Tenderer (Prime Contractor) intends to subcontract any share of any Contract to a Subcontractor, but is not relying on the capacity of such Subcontractor for the purposes of fulfilling any of the Selection Criteria in part 3.2, it must ensure that each such Subcontractor submits a separate </w:t>
            </w:r>
            <w:proofErr w:type="spellStart"/>
            <w:r w:rsidRPr="00FF0E0B">
              <w:rPr>
                <w:rFonts w:ascii="Calibri" w:hAnsi="Calibri" w:cs="Calibri"/>
                <w:sz w:val="22"/>
                <w:szCs w:val="22"/>
              </w:rPr>
              <w:t>eESPD</w:t>
            </w:r>
            <w:proofErr w:type="spellEnd"/>
            <w:r w:rsidRPr="00FF0E0B">
              <w:rPr>
                <w:rFonts w:ascii="Calibri" w:hAnsi="Calibri" w:cs="Calibri"/>
                <w:sz w:val="22"/>
                <w:szCs w:val="22"/>
              </w:rPr>
              <w:t xml:space="preserve"> in respect of such Subcontractor completing those sections of the </w:t>
            </w:r>
            <w:proofErr w:type="spellStart"/>
            <w:r w:rsidRPr="00FF0E0B">
              <w:rPr>
                <w:rFonts w:ascii="Calibri" w:hAnsi="Calibri" w:cs="Calibri"/>
                <w:sz w:val="22"/>
                <w:szCs w:val="22"/>
              </w:rPr>
              <w:t>eESPD</w:t>
            </w:r>
            <w:proofErr w:type="spellEnd"/>
            <w:r w:rsidRPr="00FF0E0B">
              <w:rPr>
                <w:rFonts w:ascii="Calibri" w:hAnsi="Calibri" w:cs="Calibri"/>
                <w:sz w:val="22"/>
                <w:szCs w:val="22"/>
              </w:rPr>
              <w:t xml:space="preserve"> which are specified in section 2.D of the </w:t>
            </w:r>
            <w:proofErr w:type="spellStart"/>
            <w:r w:rsidRPr="00FF0E0B">
              <w:rPr>
                <w:rFonts w:ascii="Calibri" w:hAnsi="Calibri" w:cs="Calibri"/>
                <w:sz w:val="22"/>
                <w:szCs w:val="22"/>
              </w:rPr>
              <w:t>eESPD</w:t>
            </w:r>
            <w:proofErr w:type="spellEnd"/>
            <w:r w:rsidRPr="00FF0E0B">
              <w:rPr>
                <w:rFonts w:ascii="Calibri" w:hAnsi="Calibri" w:cs="Calibri"/>
                <w:sz w:val="22"/>
                <w:szCs w:val="22"/>
              </w:rPr>
              <w:t xml:space="preserve"> for this Competition.</w:t>
            </w:r>
          </w:p>
        </w:tc>
      </w:tr>
      <w:tr w:rsidR="00356DD5" w:rsidRPr="00FF0E0B" w14:paraId="1191CCF6" w14:textId="77777777" w:rsidTr="00D97A09">
        <w:trPr>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49E0C72F" w14:textId="77777777" w:rsidR="00356DD5" w:rsidRPr="00FF0E0B" w:rsidRDefault="00356DD5" w:rsidP="00356DD5">
            <w:pPr>
              <w:rPr>
                <w:rFonts w:ascii="Calibri" w:hAnsi="Calibri" w:cs="Calibri"/>
                <w:bCs w:val="0"/>
                <w:sz w:val="22"/>
                <w:szCs w:val="22"/>
              </w:rPr>
            </w:pPr>
            <w:r w:rsidRPr="00FF0E0B">
              <w:rPr>
                <w:rFonts w:ascii="Calibri" w:hAnsi="Calibri" w:cs="Calibri"/>
                <w:bCs w:val="0"/>
                <w:sz w:val="22"/>
                <w:szCs w:val="22"/>
              </w:rPr>
              <w:lastRenderedPageBreak/>
              <w:t>740990</w:t>
            </w:r>
          </w:p>
          <w:p w14:paraId="231346AF" w14:textId="77777777" w:rsidR="00356DD5" w:rsidRPr="00FF0E0B" w:rsidRDefault="00356DD5" w:rsidP="00356DD5">
            <w:pPr>
              <w:rPr>
                <w:rFonts w:ascii="Calibri" w:hAnsi="Calibri" w:cs="Calibri"/>
                <w:sz w:val="22"/>
                <w:szCs w:val="22"/>
              </w:rPr>
            </w:pPr>
          </w:p>
        </w:tc>
        <w:tc>
          <w:tcPr>
            <w:tcW w:w="5839" w:type="dxa"/>
            <w:shd w:val="clear" w:color="auto" w:fill="F2F2F2" w:themeFill="background1" w:themeFillShade="F2"/>
          </w:tcPr>
          <w:p w14:paraId="02C9581C" w14:textId="77777777"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Pricing</w:t>
            </w:r>
          </w:p>
          <w:p w14:paraId="6EF08B03" w14:textId="77777777" w:rsidR="00356DD5" w:rsidRPr="00FF0E0B" w:rsidRDefault="00356DD5" w:rsidP="00D76D3C">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0B1A36D8" w14:textId="1692FB5F" w:rsidR="00356DD5" w:rsidRPr="00FF0E0B" w:rsidRDefault="00356DD5" w:rsidP="00A3429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On tab 3 of the pricing schedule it states Gas Oil but not on tab 2 Supplier Pricing. Is Gas Oil to be included </w:t>
            </w:r>
          </w:p>
          <w:p w14:paraId="488AF983" w14:textId="77777777" w:rsidR="00A34299" w:rsidRPr="00FF0E0B" w:rsidRDefault="00A34299" w:rsidP="00A34299">
            <w:pPr>
              <w:pStyle w:val="ListParagrap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07B6A7DB" w14:textId="0258D099" w:rsidR="00356DD5" w:rsidRPr="00FF0E0B" w:rsidRDefault="00356DD5" w:rsidP="00A3429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Tab 3 - Full Pricing Calculation, do we need to populate D19, I19 &amp; M19? If so is that  to be taken from the sun of the weighted prices for each lot?</w:t>
            </w:r>
          </w:p>
          <w:p w14:paraId="0196184D" w14:textId="77777777" w:rsidR="00A34299" w:rsidRPr="00FF0E0B" w:rsidRDefault="00A34299" w:rsidP="00A34299">
            <w:pPr>
              <w:pStyle w:val="ListParagrap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3680B2D1" w14:textId="77777777" w:rsidR="00A34299" w:rsidRPr="00FF0E0B" w:rsidRDefault="00A34299" w:rsidP="00A34299">
            <w:pPr>
              <w:pStyle w:val="ListParagrap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0552368F" w14:textId="20178225" w:rsidR="00356DD5" w:rsidRPr="00FF0E0B" w:rsidRDefault="00356DD5" w:rsidP="00A3429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Tab 3 - Full Pricing Calculation is for evaluation purposes only and is accepted that tenderer specific blending % will differ / apply and change annually in order to meet Government obligations.</w:t>
            </w:r>
          </w:p>
          <w:p w14:paraId="7B0F96C2" w14:textId="77777777" w:rsidR="00A34299" w:rsidRPr="00FF0E0B" w:rsidRDefault="00A34299" w:rsidP="00A34299">
            <w:pPr>
              <w:pStyle w:val="ListParagrap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56E44A11" w14:textId="0EFA4672" w:rsidR="00356DD5" w:rsidRPr="00FF0E0B" w:rsidRDefault="00356DD5" w:rsidP="00A34299">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Due to the volatility in HVO market, schedule less discount would be most optimum  price model for OGP. Is it possible to quote based on fixed discount off weekly HVO schedule price and not PLATTS?</w:t>
            </w:r>
          </w:p>
          <w:p w14:paraId="326D35D8" w14:textId="77777777" w:rsidR="00A34299" w:rsidRPr="00FF0E0B" w:rsidRDefault="00A34299" w:rsidP="00A34299">
            <w:pPr>
              <w:pStyle w:val="ListParagrap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358B5F3F" w14:textId="3E03AFB1" w:rsidR="00A34299" w:rsidRPr="00FF0E0B" w:rsidRDefault="00A34299" w:rsidP="00A34299">
            <w:pPr>
              <w:pStyle w:val="ListParagrap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6192" w:type="dxa"/>
            <w:shd w:val="clear" w:color="auto" w:fill="F2F2F2" w:themeFill="background1" w:themeFillShade="F2"/>
          </w:tcPr>
          <w:p w14:paraId="6C8545D3" w14:textId="21435086" w:rsidR="00A34299" w:rsidRPr="00FF0E0B" w:rsidRDefault="00A34299"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We would refer Tenderers </w:t>
            </w:r>
            <w:r w:rsidR="00426542" w:rsidRPr="00FF0E0B">
              <w:rPr>
                <w:rFonts w:ascii="Calibri" w:hAnsi="Calibri" w:cs="Calibri"/>
                <w:sz w:val="22"/>
                <w:szCs w:val="22"/>
              </w:rPr>
              <w:t xml:space="preserve">to “Appendix 2 Pricing Schedule”. </w:t>
            </w:r>
          </w:p>
          <w:p w14:paraId="1D7CFCA2" w14:textId="77777777" w:rsidR="00A34299" w:rsidRPr="00FF0E0B" w:rsidRDefault="00A34299"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76"/>
            </w:tblGrid>
            <w:tr w:rsidR="006D747F" w:rsidRPr="00FF0E0B" w14:paraId="0381924C" w14:textId="77777777" w:rsidTr="00426542">
              <w:trPr>
                <w:tblCellSpacing w:w="15" w:type="dxa"/>
              </w:trPr>
              <w:tc>
                <w:tcPr>
                  <w:tcW w:w="0" w:type="auto"/>
                  <w:vAlign w:val="center"/>
                  <w:hideMark/>
                </w:tcPr>
                <w:p w14:paraId="46EA23D1" w14:textId="676254D8" w:rsidR="00426542" w:rsidRPr="00FF0E0B" w:rsidRDefault="00A34299" w:rsidP="00947F0D">
                  <w:pPr>
                    <w:pStyle w:val="ListParagraph"/>
                    <w:framePr w:hSpace="180" w:wrap="around" w:vAnchor="text" w:hAnchor="text" w:x="-5" w:y="1"/>
                    <w:numPr>
                      <w:ilvl w:val="0"/>
                      <w:numId w:val="22"/>
                    </w:numPr>
                    <w:spacing w:line="300" w:lineRule="atLeast"/>
                    <w:suppressOverlap/>
                    <w:rPr>
                      <w:rStyle w:val="Strong"/>
                      <w:rFonts w:ascii="Calibri" w:hAnsi="Calibri" w:cs="Calibri"/>
                      <w:b w:val="0"/>
                      <w:bCs w:val="0"/>
                      <w:sz w:val="22"/>
                      <w:szCs w:val="22"/>
                    </w:rPr>
                  </w:pPr>
                  <w:r w:rsidRPr="00FF0E0B">
                    <w:rPr>
                      <w:rStyle w:val="Strong"/>
                      <w:rFonts w:ascii="Calibri" w:hAnsi="Calibri" w:cs="Calibri"/>
                      <w:b w:val="0"/>
                      <w:bCs w:val="0"/>
                      <w:sz w:val="22"/>
                      <w:szCs w:val="22"/>
                    </w:rPr>
                    <w:t xml:space="preserve">Tenderers are advised that the Supplier Premium quoted by the Tenderer for </w:t>
                  </w:r>
                  <w:r w:rsidR="00FF0E0B" w:rsidRPr="00FF0E0B">
                    <w:rPr>
                      <w:rStyle w:val="Strong"/>
                      <w:rFonts w:ascii="Calibri" w:hAnsi="Calibri" w:cs="Calibri"/>
                      <w:b w:val="0"/>
                      <w:bCs w:val="0"/>
                      <w:sz w:val="22"/>
                      <w:szCs w:val="22"/>
                    </w:rPr>
                    <w:t>“P</w:t>
                  </w:r>
                  <w:r w:rsidR="00426542" w:rsidRPr="00FF0E0B">
                    <w:rPr>
                      <w:rStyle w:val="Strong"/>
                      <w:rFonts w:ascii="Calibri" w:hAnsi="Calibri" w:cs="Calibri"/>
                      <w:b w:val="0"/>
                      <w:bCs w:val="0"/>
                      <w:sz w:val="22"/>
                      <w:szCs w:val="22"/>
                    </w:rPr>
                    <w:t xml:space="preserve">remium" diesel or petrol </w:t>
                  </w:r>
                  <w:r w:rsidRPr="00FF0E0B">
                    <w:rPr>
                      <w:rStyle w:val="Strong"/>
                      <w:rFonts w:ascii="Calibri" w:hAnsi="Calibri" w:cs="Calibri"/>
                      <w:b w:val="0"/>
                      <w:bCs w:val="0"/>
                      <w:sz w:val="22"/>
                      <w:szCs w:val="22"/>
                    </w:rPr>
                    <w:t>shall be the same Supplier Premium quoted for</w:t>
                  </w:r>
                  <w:r w:rsidR="00426542" w:rsidRPr="00FF0E0B">
                    <w:rPr>
                      <w:rStyle w:val="Strong"/>
                      <w:rFonts w:ascii="Calibri" w:hAnsi="Calibri" w:cs="Calibri"/>
                      <w:b w:val="0"/>
                      <w:bCs w:val="0"/>
                      <w:sz w:val="22"/>
                      <w:szCs w:val="22"/>
                    </w:rPr>
                    <w:t xml:space="preserve"> Sulphur Free Gas Oil (SFGO) (green diesel, marked gas oil, or </w:t>
                  </w:r>
                  <w:proofErr w:type="spellStart"/>
                  <w:r w:rsidR="00426542" w:rsidRPr="00FF0E0B">
                    <w:rPr>
                      <w:rStyle w:val="Strong"/>
                      <w:rFonts w:ascii="Calibri" w:hAnsi="Calibri" w:cs="Calibri"/>
                      <w:b w:val="0"/>
                      <w:bCs w:val="0"/>
                      <w:sz w:val="22"/>
                      <w:szCs w:val="22"/>
                    </w:rPr>
                    <w:t>agri</w:t>
                  </w:r>
                  <w:proofErr w:type="spellEnd"/>
                  <w:r w:rsidR="00426542" w:rsidRPr="00FF0E0B">
                    <w:rPr>
                      <w:rStyle w:val="Strong"/>
                      <w:rFonts w:ascii="Calibri" w:hAnsi="Calibri" w:cs="Calibri"/>
                      <w:b w:val="0"/>
                      <w:bCs w:val="0"/>
                      <w:sz w:val="22"/>
                      <w:szCs w:val="22"/>
                    </w:rPr>
                    <w:t xml:space="preserve"> diesel)</w:t>
                  </w:r>
                  <w:r w:rsidRPr="00FF0E0B">
                    <w:rPr>
                      <w:rStyle w:val="Strong"/>
                      <w:rFonts w:ascii="Calibri" w:hAnsi="Calibri" w:cs="Calibri"/>
                      <w:b w:val="0"/>
                      <w:bCs w:val="0"/>
                      <w:sz w:val="22"/>
                      <w:szCs w:val="22"/>
                    </w:rPr>
                    <w:t>.</w:t>
                  </w:r>
                  <w:r w:rsidR="00426542" w:rsidRPr="00FF0E0B">
                    <w:rPr>
                      <w:rStyle w:val="Strong"/>
                      <w:rFonts w:ascii="Calibri" w:hAnsi="Calibri" w:cs="Calibri"/>
                      <w:b w:val="0"/>
                      <w:bCs w:val="0"/>
                      <w:sz w:val="22"/>
                      <w:szCs w:val="22"/>
                    </w:rPr>
                    <w:t xml:space="preserve"> </w:t>
                  </w:r>
                </w:p>
                <w:p w14:paraId="2F21CC6E" w14:textId="77777777" w:rsidR="00426542" w:rsidRPr="00FF0E0B" w:rsidRDefault="00426542" w:rsidP="00947F0D">
                  <w:pPr>
                    <w:pStyle w:val="ListParagraph"/>
                    <w:framePr w:hSpace="180" w:wrap="around" w:vAnchor="text" w:hAnchor="text" w:x="-5" w:y="1"/>
                    <w:spacing w:line="300" w:lineRule="atLeast"/>
                    <w:suppressOverlap/>
                    <w:rPr>
                      <w:rStyle w:val="Strong"/>
                      <w:rFonts w:ascii="Calibri" w:hAnsi="Calibri" w:cs="Calibri"/>
                      <w:b w:val="0"/>
                      <w:bCs w:val="0"/>
                      <w:sz w:val="22"/>
                      <w:szCs w:val="22"/>
                    </w:rPr>
                  </w:pPr>
                </w:p>
                <w:p w14:paraId="4667EBF8" w14:textId="094FFAFB" w:rsidR="00426542" w:rsidRPr="00FF0E0B" w:rsidRDefault="00A34299" w:rsidP="00947F0D">
                  <w:pPr>
                    <w:pStyle w:val="ListParagraph"/>
                    <w:framePr w:hSpace="180" w:wrap="around" w:vAnchor="text" w:hAnchor="text" w:x="-5" w:y="1"/>
                    <w:spacing w:line="300" w:lineRule="atLeast"/>
                    <w:suppressOverlap/>
                    <w:rPr>
                      <w:rStyle w:val="Strong"/>
                      <w:rFonts w:ascii="Calibri" w:hAnsi="Calibri" w:cs="Calibri"/>
                      <w:b w:val="0"/>
                      <w:bCs w:val="0"/>
                      <w:sz w:val="22"/>
                      <w:szCs w:val="22"/>
                    </w:rPr>
                  </w:pPr>
                  <w:r w:rsidRPr="00FF0E0B">
                    <w:rPr>
                      <w:rStyle w:val="Strong"/>
                      <w:rFonts w:ascii="Calibri" w:hAnsi="Calibri" w:cs="Calibri"/>
                      <w:b w:val="0"/>
                      <w:bCs w:val="0"/>
                      <w:sz w:val="22"/>
                      <w:szCs w:val="22"/>
                    </w:rPr>
                    <w:t xml:space="preserve">Accordingly, tenderers should enter the Supplier Premium applicable to </w:t>
                  </w:r>
                  <w:r w:rsidR="00FF0E0B" w:rsidRPr="00FF0E0B">
                    <w:rPr>
                      <w:rStyle w:val="Strong"/>
                      <w:rFonts w:ascii="Calibri" w:hAnsi="Calibri" w:cs="Calibri"/>
                      <w:b w:val="0"/>
                      <w:bCs w:val="0"/>
                      <w:sz w:val="22"/>
                      <w:szCs w:val="22"/>
                    </w:rPr>
                    <w:t>“</w:t>
                  </w:r>
                  <w:r w:rsidRPr="00FF0E0B">
                    <w:rPr>
                      <w:rStyle w:val="Strong"/>
                      <w:rFonts w:ascii="Calibri" w:hAnsi="Calibri" w:cs="Calibri"/>
                      <w:b w:val="0"/>
                      <w:bCs w:val="0"/>
                      <w:sz w:val="22"/>
                      <w:szCs w:val="22"/>
                    </w:rPr>
                    <w:t>premium</w:t>
                  </w:r>
                  <w:r w:rsidR="00FF0E0B" w:rsidRPr="00FF0E0B">
                    <w:rPr>
                      <w:rStyle w:val="Strong"/>
                      <w:rFonts w:ascii="Calibri" w:hAnsi="Calibri" w:cs="Calibri"/>
                      <w:b w:val="0"/>
                      <w:bCs w:val="0"/>
                      <w:sz w:val="22"/>
                      <w:szCs w:val="22"/>
                    </w:rPr>
                    <w:t>”</w:t>
                  </w:r>
                  <w:r w:rsidRPr="00FF0E0B">
                    <w:rPr>
                      <w:rStyle w:val="Strong"/>
                      <w:rFonts w:ascii="Calibri" w:hAnsi="Calibri" w:cs="Calibri"/>
                      <w:b w:val="0"/>
                      <w:bCs w:val="0"/>
                      <w:sz w:val="22"/>
                      <w:szCs w:val="22"/>
                    </w:rPr>
                    <w:t xml:space="preserve"> </w:t>
                  </w:r>
                  <w:r w:rsidR="009C4642" w:rsidRPr="00FF0E0B">
                    <w:rPr>
                      <w:rStyle w:val="Strong"/>
                      <w:rFonts w:ascii="Calibri" w:hAnsi="Calibri" w:cs="Calibri"/>
                      <w:b w:val="0"/>
                      <w:bCs w:val="0"/>
                      <w:sz w:val="22"/>
                      <w:szCs w:val="22"/>
                    </w:rPr>
                    <w:t>diesel, “</w:t>
                  </w:r>
                  <w:r w:rsidR="00426542" w:rsidRPr="00FF0E0B">
                    <w:rPr>
                      <w:rStyle w:val="Strong"/>
                      <w:rFonts w:ascii="Calibri" w:hAnsi="Calibri" w:cs="Calibri"/>
                      <w:b w:val="0"/>
                      <w:bCs w:val="0"/>
                      <w:sz w:val="22"/>
                      <w:szCs w:val="22"/>
                    </w:rPr>
                    <w:t>premium</w:t>
                  </w:r>
                  <w:r w:rsidR="00FF0E0B" w:rsidRPr="00FF0E0B">
                    <w:rPr>
                      <w:rStyle w:val="Strong"/>
                      <w:rFonts w:ascii="Calibri" w:hAnsi="Calibri" w:cs="Calibri"/>
                      <w:b w:val="0"/>
                      <w:bCs w:val="0"/>
                      <w:sz w:val="22"/>
                      <w:szCs w:val="22"/>
                    </w:rPr>
                    <w:t>”</w:t>
                  </w:r>
                  <w:r w:rsidR="00426542" w:rsidRPr="00FF0E0B">
                    <w:rPr>
                      <w:rStyle w:val="Strong"/>
                      <w:rFonts w:ascii="Calibri" w:hAnsi="Calibri" w:cs="Calibri"/>
                      <w:b w:val="0"/>
                      <w:bCs w:val="0"/>
                      <w:sz w:val="22"/>
                      <w:szCs w:val="22"/>
                    </w:rPr>
                    <w:t xml:space="preserve"> </w:t>
                  </w:r>
                  <w:r w:rsidRPr="00FF0E0B">
                    <w:rPr>
                      <w:rStyle w:val="Strong"/>
                      <w:rFonts w:ascii="Calibri" w:hAnsi="Calibri" w:cs="Calibri"/>
                      <w:b w:val="0"/>
                      <w:bCs w:val="0"/>
                      <w:sz w:val="22"/>
                      <w:szCs w:val="22"/>
                    </w:rPr>
                    <w:t>petrol and SFGO in Tab 2 – "02 Supplier Pricing", Row 7 of the Pricing Schedule</w:t>
                  </w:r>
                  <w:r w:rsidR="00426542" w:rsidRPr="00FF0E0B">
                    <w:rPr>
                      <w:rStyle w:val="Strong"/>
                      <w:rFonts w:ascii="Calibri" w:hAnsi="Calibri" w:cs="Calibri"/>
                      <w:b w:val="0"/>
                      <w:bCs w:val="0"/>
                      <w:sz w:val="22"/>
                      <w:szCs w:val="22"/>
                    </w:rPr>
                    <w:t xml:space="preserve">. </w:t>
                  </w:r>
                </w:p>
                <w:p w14:paraId="478BFDA4" w14:textId="1BD46D0D" w:rsidR="00D97A09" w:rsidRPr="00FF0E0B" w:rsidRDefault="00426542" w:rsidP="00947F0D">
                  <w:pPr>
                    <w:pStyle w:val="ListParagraph"/>
                    <w:framePr w:hSpace="180" w:wrap="around" w:vAnchor="text" w:hAnchor="text" w:x="-5" w:y="1"/>
                    <w:spacing w:line="300" w:lineRule="atLeast"/>
                    <w:suppressOverlap/>
                    <w:rPr>
                      <w:rStyle w:val="Strong"/>
                      <w:rFonts w:ascii="Calibri" w:hAnsi="Calibri" w:cs="Calibri"/>
                      <w:b w:val="0"/>
                      <w:bCs w:val="0"/>
                      <w:sz w:val="22"/>
                      <w:szCs w:val="22"/>
                    </w:rPr>
                  </w:pPr>
                  <w:r w:rsidRPr="00FF0E0B">
                    <w:rPr>
                      <w:rStyle w:val="Strong"/>
                      <w:rFonts w:ascii="Calibri" w:hAnsi="Calibri" w:cs="Calibri"/>
                      <w:b w:val="0"/>
                      <w:bCs w:val="0"/>
                      <w:sz w:val="22"/>
                      <w:szCs w:val="22"/>
                    </w:rPr>
                    <w:br/>
                  </w:r>
                  <w:r w:rsidR="00A34299" w:rsidRPr="00FF0E0B">
                    <w:rPr>
                      <w:rStyle w:val="Strong"/>
                      <w:rFonts w:ascii="Calibri" w:hAnsi="Calibri" w:cs="Calibri"/>
                      <w:b w:val="0"/>
                      <w:bCs w:val="0"/>
                      <w:sz w:val="22"/>
                      <w:szCs w:val="22"/>
                    </w:rPr>
                    <w:t xml:space="preserve">To reflect this clarification, an updated Pricing Schedule has been uploaded to the Contract Documents section on </w:t>
                  </w:r>
                  <w:proofErr w:type="spellStart"/>
                  <w:r w:rsidR="00A34299" w:rsidRPr="00FF0E0B">
                    <w:rPr>
                      <w:rStyle w:val="Strong"/>
                      <w:rFonts w:ascii="Calibri" w:hAnsi="Calibri" w:cs="Calibri"/>
                      <w:b w:val="0"/>
                      <w:bCs w:val="0"/>
                      <w:sz w:val="22"/>
                      <w:szCs w:val="22"/>
                    </w:rPr>
                    <w:t>eTenders</w:t>
                  </w:r>
                  <w:proofErr w:type="spellEnd"/>
                  <w:r w:rsidR="00A34299" w:rsidRPr="00FF0E0B">
                    <w:rPr>
                      <w:rStyle w:val="Strong"/>
                      <w:rFonts w:ascii="Calibri" w:hAnsi="Calibri" w:cs="Calibri"/>
                      <w:b w:val="0"/>
                      <w:bCs w:val="0"/>
                      <w:sz w:val="22"/>
                      <w:szCs w:val="22"/>
                    </w:rPr>
                    <w:t>.</w:t>
                  </w:r>
                </w:p>
                <w:p w14:paraId="3410A001" w14:textId="77777777" w:rsidR="00A34299" w:rsidRPr="00FF0E0B" w:rsidRDefault="00A34299" w:rsidP="00947F0D">
                  <w:pPr>
                    <w:framePr w:hSpace="180" w:wrap="around" w:vAnchor="text" w:hAnchor="text" w:x="-5" w:y="1"/>
                    <w:spacing w:line="300" w:lineRule="atLeast"/>
                    <w:suppressOverlap/>
                    <w:rPr>
                      <w:rStyle w:val="Strong"/>
                      <w:rFonts w:ascii="Calibri" w:hAnsi="Calibri" w:cs="Calibri"/>
                      <w:b w:val="0"/>
                      <w:bCs w:val="0"/>
                      <w:sz w:val="22"/>
                      <w:szCs w:val="22"/>
                    </w:rPr>
                  </w:pPr>
                </w:p>
                <w:p w14:paraId="64099BEA" w14:textId="340BA821" w:rsidR="00A34299" w:rsidRPr="00FF0E0B" w:rsidRDefault="00426542" w:rsidP="00947F0D">
                  <w:pPr>
                    <w:pStyle w:val="ListParagraph"/>
                    <w:framePr w:hSpace="180" w:wrap="around" w:vAnchor="text" w:hAnchor="text" w:x="-5" w:y="1"/>
                    <w:numPr>
                      <w:ilvl w:val="0"/>
                      <w:numId w:val="22"/>
                    </w:numPr>
                    <w:spacing w:line="300" w:lineRule="atLeast"/>
                    <w:suppressOverlap/>
                    <w:rPr>
                      <w:rStyle w:val="Strong"/>
                      <w:rFonts w:ascii="Calibri" w:hAnsi="Calibri" w:cs="Calibri"/>
                      <w:b w:val="0"/>
                      <w:bCs w:val="0"/>
                      <w:sz w:val="22"/>
                      <w:szCs w:val="22"/>
                    </w:rPr>
                  </w:pPr>
                  <w:r w:rsidRPr="00FF0E0B">
                    <w:rPr>
                      <w:rStyle w:val="Strong"/>
                      <w:rFonts w:ascii="Calibri" w:hAnsi="Calibri" w:cs="Calibri"/>
                      <w:b w:val="0"/>
                      <w:bCs w:val="0"/>
                      <w:sz w:val="22"/>
                      <w:szCs w:val="22"/>
                    </w:rPr>
                    <w:t xml:space="preserve">No. Tab 2 “02 Supplier Pricing” is where Tenderers must enter their pricing in the cells under the heading “Tenderer Entry”. Tab “03 Full Pricing Calculation” is a spreadsheet showing an example of a calculation of the full price, as detailed in Tab 1 “Information Page”, row 19. </w:t>
                  </w:r>
                </w:p>
                <w:p w14:paraId="7DC779AD" w14:textId="77777777" w:rsidR="00426542" w:rsidRPr="00FF0E0B" w:rsidRDefault="00426542" w:rsidP="00947F0D">
                  <w:pPr>
                    <w:framePr w:hSpace="180" w:wrap="around" w:vAnchor="text" w:hAnchor="text" w:x="-5" w:y="1"/>
                    <w:spacing w:line="300" w:lineRule="atLeast"/>
                    <w:suppressOverlap/>
                    <w:rPr>
                      <w:rStyle w:val="Strong"/>
                      <w:rFonts w:ascii="Calibri" w:hAnsi="Calibri" w:cs="Calibri"/>
                      <w:b w:val="0"/>
                      <w:bCs w:val="0"/>
                      <w:sz w:val="22"/>
                      <w:szCs w:val="22"/>
                    </w:rPr>
                  </w:pPr>
                </w:p>
                <w:p w14:paraId="5C9C5CA0" w14:textId="77777777" w:rsidR="00426542" w:rsidRPr="00FF0E0B" w:rsidRDefault="00426542" w:rsidP="00947F0D">
                  <w:pPr>
                    <w:pStyle w:val="ListParagraph"/>
                    <w:framePr w:hSpace="180" w:wrap="around" w:vAnchor="text" w:hAnchor="text" w:x="-5" w:y="1"/>
                    <w:numPr>
                      <w:ilvl w:val="0"/>
                      <w:numId w:val="22"/>
                    </w:numPr>
                    <w:spacing w:after="160" w:line="300" w:lineRule="atLeast"/>
                    <w:suppressOverlap/>
                    <w:rPr>
                      <w:rStyle w:val="Strong"/>
                      <w:rFonts w:ascii="Calibri" w:hAnsi="Calibri" w:cs="Calibri"/>
                      <w:b w:val="0"/>
                      <w:bCs w:val="0"/>
                      <w:sz w:val="22"/>
                      <w:szCs w:val="22"/>
                    </w:rPr>
                  </w:pPr>
                  <w:r w:rsidRPr="00FF0E0B">
                    <w:rPr>
                      <w:rStyle w:val="Strong"/>
                      <w:rFonts w:ascii="Calibri" w:hAnsi="Calibri" w:cs="Calibri"/>
                      <w:b w:val="0"/>
                      <w:bCs w:val="0"/>
                      <w:sz w:val="22"/>
                      <w:szCs w:val="22"/>
                    </w:rPr>
                    <w:t xml:space="preserve">Tab “03 Full Pricing Calculation” is a spreadsheet showing an example of a calculation of the full price of liquid fuels during the Framework Agreement considering all elements of the full price. </w:t>
                  </w:r>
                </w:p>
                <w:p w14:paraId="56AA538E" w14:textId="77777777" w:rsidR="009C4642" w:rsidRDefault="00426542" w:rsidP="00947F0D">
                  <w:pPr>
                    <w:pStyle w:val="ListParagraph"/>
                    <w:framePr w:hSpace="180" w:wrap="around" w:vAnchor="text" w:hAnchor="text" w:x="-5" w:y="1"/>
                    <w:spacing w:line="300" w:lineRule="atLeast"/>
                    <w:suppressOverlap/>
                    <w:rPr>
                      <w:rStyle w:val="Strong"/>
                      <w:rFonts w:ascii="Calibri" w:hAnsi="Calibri" w:cs="Calibri"/>
                      <w:b w:val="0"/>
                      <w:bCs w:val="0"/>
                      <w:sz w:val="22"/>
                      <w:szCs w:val="22"/>
                    </w:rPr>
                  </w:pPr>
                  <w:r w:rsidRPr="00FF0E0B">
                    <w:rPr>
                      <w:rStyle w:val="Strong"/>
                      <w:rFonts w:ascii="Calibri" w:hAnsi="Calibri" w:cs="Calibri"/>
                      <w:b w:val="0"/>
                      <w:bCs w:val="0"/>
                      <w:sz w:val="22"/>
                      <w:szCs w:val="22"/>
                    </w:rPr>
                    <w:lastRenderedPageBreak/>
                    <w:t xml:space="preserve">As set out in Tab 01, row 19, the actual calculation may vary over the course of a Framework Agreement… for reasons including… increases…decreases...introductions… eliminations of any tax, levy, or any elements making up the cost of the relevant fuel during the term of the Framework Agreement. </w:t>
                  </w:r>
                </w:p>
                <w:p w14:paraId="54CE5F34" w14:textId="77777777" w:rsidR="005B59FE" w:rsidRDefault="005B59FE" w:rsidP="00947F0D">
                  <w:pPr>
                    <w:pStyle w:val="ListParagraph"/>
                    <w:framePr w:hSpace="180" w:wrap="around" w:vAnchor="text" w:hAnchor="text" w:x="-5" w:y="1"/>
                    <w:spacing w:line="300" w:lineRule="atLeast"/>
                    <w:suppressOverlap/>
                    <w:rPr>
                      <w:rStyle w:val="Strong"/>
                      <w:rFonts w:ascii="Calibri" w:hAnsi="Calibri" w:cs="Calibri"/>
                      <w:b w:val="0"/>
                      <w:bCs w:val="0"/>
                      <w:sz w:val="22"/>
                      <w:szCs w:val="22"/>
                    </w:rPr>
                  </w:pPr>
                </w:p>
                <w:p w14:paraId="28C75E83" w14:textId="5F5458D5" w:rsidR="006D747F" w:rsidRPr="00FF0E0B" w:rsidRDefault="006D747F" w:rsidP="00947F0D">
                  <w:pPr>
                    <w:pStyle w:val="ListParagraph"/>
                    <w:framePr w:hSpace="180" w:wrap="around" w:vAnchor="text" w:hAnchor="text" w:x="-5" w:y="1"/>
                    <w:spacing w:line="300" w:lineRule="atLeast"/>
                    <w:suppressOverlap/>
                    <w:rPr>
                      <w:rFonts w:ascii="Calibri" w:eastAsiaTheme="minorHAnsi" w:hAnsi="Calibri" w:cs="Calibri"/>
                      <w:sz w:val="22"/>
                      <w:szCs w:val="22"/>
                      <w:lang w:eastAsia="en-US"/>
                    </w:rPr>
                  </w:pPr>
                </w:p>
              </w:tc>
            </w:tr>
            <w:tr w:rsidR="006D747F" w:rsidRPr="00FF0E0B" w14:paraId="3E6B8CCA" w14:textId="77777777">
              <w:trPr>
                <w:tblCellSpacing w:w="15" w:type="dxa"/>
              </w:trPr>
              <w:tc>
                <w:tcPr>
                  <w:tcW w:w="0" w:type="auto"/>
                  <w:vAlign w:val="center"/>
                  <w:hideMark/>
                </w:tcPr>
                <w:p w14:paraId="54FE64BD" w14:textId="28ECA387" w:rsidR="006D747F" w:rsidRPr="00FF0E0B" w:rsidRDefault="00277A29" w:rsidP="00947F0D">
                  <w:pPr>
                    <w:pStyle w:val="ListParagraph"/>
                    <w:framePr w:hSpace="180" w:wrap="around" w:vAnchor="text" w:hAnchor="text" w:x="-5" w:y="1"/>
                    <w:numPr>
                      <w:ilvl w:val="0"/>
                      <w:numId w:val="22"/>
                    </w:numPr>
                    <w:suppressOverlap/>
                    <w:rPr>
                      <w:rFonts w:ascii="Calibri" w:hAnsi="Calibri" w:cs="Calibri"/>
                      <w:sz w:val="22"/>
                      <w:szCs w:val="22"/>
                    </w:rPr>
                  </w:pPr>
                  <w:r w:rsidRPr="00FF0E0B">
                    <w:rPr>
                      <w:rFonts w:ascii="Calibri" w:hAnsi="Calibri" w:cs="Calibri"/>
                      <w:sz w:val="22"/>
                      <w:szCs w:val="22"/>
                    </w:rPr>
                    <w:lastRenderedPageBreak/>
                    <w:t xml:space="preserve">We would refer Tenderers to </w:t>
                  </w:r>
                  <w:r w:rsidRPr="00FF0E0B">
                    <w:rPr>
                      <w:rStyle w:val="Strong"/>
                      <w:rFonts w:ascii="Calibri" w:hAnsi="Calibri" w:cs="Calibri"/>
                      <w:b w:val="0"/>
                      <w:bCs w:val="0"/>
                      <w:sz w:val="22"/>
                      <w:szCs w:val="22"/>
                    </w:rPr>
                    <w:t>Tab “03 Full Pricing Calculation”, row 1 “HVO quoted from Argus”.</w:t>
                  </w:r>
                  <w:r w:rsidRPr="00FF0E0B">
                    <w:rPr>
                      <w:rStyle w:val="Strong"/>
                      <w:rFonts w:ascii="Calibri" w:hAnsi="Calibri" w:cs="Calibri"/>
                      <w:sz w:val="22"/>
                      <w:szCs w:val="22"/>
                    </w:rPr>
                    <w:t xml:space="preserve"> </w:t>
                  </w:r>
                  <w:r w:rsidR="006D747F" w:rsidRPr="00FF0E0B">
                    <w:rPr>
                      <w:rFonts w:ascii="Calibri" w:hAnsi="Calibri" w:cs="Calibri"/>
                      <w:sz w:val="22"/>
                      <w:szCs w:val="22"/>
                    </w:rPr>
                    <w:t xml:space="preserve">The Argus index is used for Hydrotreated Vegetable Oil (HVO) pricing. It is one of the primary global benchmarks for HVO. </w:t>
                  </w:r>
                </w:p>
              </w:tc>
            </w:tr>
          </w:tbl>
          <w:p w14:paraId="3ED1CC27" w14:textId="77777777" w:rsidR="00356DD5" w:rsidRPr="00FF0E0B" w:rsidRDefault="00356DD5" w:rsidP="0042654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56DD5" w:rsidRPr="00FF0E0B" w14:paraId="6556C300" w14:textId="77777777" w:rsidTr="00D97A09">
        <w:trPr>
          <w:cnfStyle w:val="000000100000" w:firstRow="0" w:lastRow="0" w:firstColumn="0" w:lastColumn="0" w:oddVBand="0" w:evenVBand="0" w:oddHBand="1" w:evenHBand="0" w:firstRowFirstColumn="0" w:firstRowLastColumn="0" w:lastRowFirstColumn="0" w:lastRowLastColumn="0"/>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4F46269F" w14:textId="77777777" w:rsidR="00356DD5" w:rsidRPr="00FF0E0B" w:rsidRDefault="00356DD5" w:rsidP="00356DD5">
            <w:pPr>
              <w:rPr>
                <w:rFonts w:ascii="Calibri" w:hAnsi="Calibri" w:cs="Calibri"/>
                <w:bCs w:val="0"/>
                <w:sz w:val="22"/>
                <w:szCs w:val="22"/>
              </w:rPr>
            </w:pPr>
            <w:r w:rsidRPr="00FF0E0B">
              <w:rPr>
                <w:rFonts w:ascii="Calibri" w:hAnsi="Calibri" w:cs="Calibri"/>
                <w:bCs w:val="0"/>
                <w:sz w:val="22"/>
                <w:szCs w:val="22"/>
              </w:rPr>
              <w:lastRenderedPageBreak/>
              <w:t>740990</w:t>
            </w:r>
          </w:p>
          <w:p w14:paraId="593707B6" w14:textId="77777777" w:rsidR="00356DD5" w:rsidRPr="00FF0E0B" w:rsidRDefault="00356DD5" w:rsidP="00356DD5">
            <w:pPr>
              <w:rPr>
                <w:rFonts w:ascii="Calibri" w:hAnsi="Calibri" w:cs="Calibri"/>
                <w:sz w:val="22"/>
                <w:szCs w:val="22"/>
              </w:rPr>
            </w:pPr>
          </w:p>
        </w:tc>
        <w:tc>
          <w:tcPr>
            <w:tcW w:w="5839" w:type="dxa"/>
            <w:shd w:val="clear" w:color="auto" w:fill="F2F2F2" w:themeFill="background1" w:themeFillShade="F2"/>
          </w:tcPr>
          <w:p w14:paraId="1274B0DB" w14:textId="77777777" w:rsidR="00356DD5" w:rsidRPr="00FF0E0B" w:rsidRDefault="00356DD5" w:rsidP="00356DD5">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The Contractor must provide the following services: </w:t>
            </w:r>
          </w:p>
          <w:p w14:paraId="28547491" w14:textId="77777777" w:rsidR="00356DD5" w:rsidRPr="00FF0E0B" w:rsidRDefault="00356DD5" w:rsidP="00356DD5">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w:t>
            </w:r>
            <w:r w:rsidRPr="00FF0E0B">
              <w:rPr>
                <w:rFonts w:ascii="Calibri" w:hAnsi="Calibri" w:cs="Calibri"/>
                <w:sz w:val="22"/>
                <w:szCs w:val="22"/>
              </w:rPr>
              <w:tab/>
              <w:t>Chip and Pin and a hot-line for reporting lost or stolen cards.</w:t>
            </w:r>
          </w:p>
          <w:p w14:paraId="26316D6F" w14:textId="77777777" w:rsidR="00356DD5" w:rsidRPr="00FF0E0B" w:rsidRDefault="00356DD5" w:rsidP="00356DD5">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2F2FAA6F" w14:textId="261530E9" w:rsidR="00356DD5" w:rsidRPr="00FF0E0B" w:rsidRDefault="00356DD5" w:rsidP="00356DD5">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Please confirm whether the reference to “Chip and Pin” in Section 7 – Controls and Security refers to Chip and PIN payment functionality or a Card and PIN fuel card solution.</w:t>
            </w:r>
          </w:p>
        </w:tc>
        <w:tc>
          <w:tcPr>
            <w:tcW w:w="6192" w:type="dxa"/>
            <w:shd w:val="clear" w:color="auto" w:fill="F2F2F2" w:themeFill="background1" w:themeFillShade="F2"/>
          </w:tcPr>
          <w:p w14:paraId="52AA2B95" w14:textId="02DF699B" w:rsidR="00356DD5" w:rsidRPr="009C4642" w:rsidRDefault="00FF0E0B" w:rsidP="00471602">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9C4642">
              <w:rPr>
                <w:rFonts w:ascii="Calibri" w:hAnsi="Calibri" w:cs="Calibri"/>
                <w:sz w:val="22"/>
                <w:szCs w:val="22"/>
              </w:rPr>
              <w:t>We would refer Tenderers to RFT Document Appendix 1 Requirements and Specification</w:t>
            </w:r>
            <w:r w:rsidR="009C4642" w:rsidRPr="009C4642">
              <w:rPr>
                <w:rFonts w:ascii="Calibri" w:hAnsi="Calibri" w:cs="Calibri"/>
                <w:sz w:val="22"/>
                <w:szCs w:val="22"/>
              </w:rPr>
              <w:t>, Section 7. Controls and Security</w:t>
            </w:r>
            <w:r w:rsidRPr="009C4642">
              <w:rPr>
                <w:rFonts w:ascii="Calibri" w:hAnsi="Calibri" w:cs="Calibri"/>
                <w:sz w:val="22"/>
                <w:szCs w:val="22"/>
              </w:rPr>
              <w:t xml:space="preserve">. </w:t>
            </w:r>
            <w:r w:rsidR="006D747F" w:rsidRPr="009C4642">
              <w:rPr>
                <w:rFonts w:ascii="Calibri" w:hAnsi="Calibri" w:cs="Calibri"/>
                <w:sz w:val="22"/>
                <w:szCs w:val="22"/>
              </w:rPr>
              <w:br/>
              <w:t xml:space="preserve">Chip and Pin - </w:t>
            </w:r>
            <w:r w:rsidR="002E3095" w:rsidRPr="002E3095">
              <w:rPr>
                <w:rFonts w:ascii="Calibri" w:hAnsi="Calibri" w:cs="Calibri"/>
                <w:sz w:val="22"/>
                <w:szCs w:val="22"/>
              </w:rPr>
              <w:t>Payment systems utilising either Chip-and-PIN cards or magnetic swipe cards with PIN verification are acceptable.</w:t>
            </w:r>
          </w:p>
        </w:tc>
      </w:tr>
      <w:tr w:rsidR="00D97A09" w:rsidRPr="00FF0E0B" w14:paraId="42FF156C" w14:textId="77777777" w:rsidTr="00D97A09">
        <w:trPr>
          <w:trHeight w:val="2947"/>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noWrap/>
          </w:tcPr>
          <w:p w14:paraId="00A37748" w14:textId="77777777" w:rsidR="00D97A09" w:rsidRPr="00FF0E0B" w:rsidRDefault="00D97A09" w:rsidP="00D97A09">
            <w:pPr>
              <w:rPr>
                <w:rFonts w:ascii="Calibri" w:hAnsi="Calibri" w:cs="Calibri"/>
                <w:sz w:val="22"/>
                <w:szCs w:val="22"/>
              </w:rPr>
            </w:pPr>
          </w:p>
          <w:p w14:paraId="4C5CAAF3" w14:textId="1A23B843" w:rsidR="00D97A09" w:rsidRPr="00FF0E0B" w:rsidRDefault="00D97A09" w:rsidP="00D97A09">
            <w:pPr>
              <w:rPr>
                <w:rFonts w:ascii="Calibri" w:hAnsi="Calibri" w:cs="Calibri"/>
                <w:sz w:val="22"/>
                <w:szCs w:val="22"/>
              </w:rPr>
            </w:pPr>
            <w:r w:rsidRPr="00FF0E0B">
              <w:rPr>
                <w:rFonts w:ascii="Calibri" w:hAnsi="Calibri" w:cs="Calibri"/>
                <w:sz w:val="22"/>
                <w:szCs w:val="22"/>
              </w:rPr>
              <w:t>741803</w:t>
            </w:r>
          </w:p>
        </w:tc>
        <w:tc>
          <w:tcPr>
            <w:tcW w:w="5839" w:type="dxa"/>
            <w:shd w:val="clear" w:color="auto" w:fill="F2F2F2" w:themeFill="background1" w:themeFillShade="F2"/>
          </w:tcPr>
          <w:p w14:paraId="1A16F7BC" w14:textId="0CF063A5" w:rsidR="00D97A09" w:rsidRPr="00FF0E0B" w:rsidRDefault="00D97A09" w:rsidP="00356DD5">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Can you please include formulas in pricing sheet? The total product price does not tie back to total product cost plus taxes. For e.g. unleaded product cost per the example provided is 77.46, total taxes for unleaded is 71.85 but total product price is 153.78</w:t>
            </w:r>
          </w:p>
        </w:tc>
        <w:tc>
          <w:tcPr>
            <w:tcW w:w="6192" w:type="dxa"/>
            <w:shd w:val="clear" w:color="auto" w:fill="F2F2F2" w:themeFill="background1" w:themeFillShade="F2"/>
          </w:tcPr>
          <w:p w14:paraId="54746719" w14:textId="77777777" w:rsidR="00D97A09" w:rsidRPr="00FF0E0B" w:rsidRDefault="00277A29" w:rsidP="0047160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We would refer Tenderers to “Appendix 2 Pricing Schedule”.</w:t>
            </w:r>
          </w:p>
          <w:p w14:paraId="02FFFAD4" w14:textId="77777777" w:rsidR="00277A29" w:rsidRPr="00FF0E0B" w:rsidRDefault="00277A29" w:rsidP="0047160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7BD2D0AB" w14:textId="2A743F05" w:rsidR="00277A29" w:rsidRPr="00FF0E0B" w:rsidRDefault="00277A29" w:rsidP="0047160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Tab 2 “02 Supplier Pricing” is where Tenderers must enter their pricing in the cells under the heading “Tenderer Entry” and includes formulas where appropriate.  </w:t>
            </w:r>
            <w:r w:rsidRPr="00FF0E0B">
              <w:rPr>
                <w:rFonts w:ascii="Calibri" w:hAnsi="Calibri" w:cs="Calibri"/>
                <w:sz w:val="22"/>
                <w:szCs w:val="22"/>
              </w:rPr>
              <w:br/>
            </w:r>
          </w:p>
          <w:p w14:paraId="7E2A9766" w14:textId="3505061E" w:rsidR="00277A29" w:rsidRPr="00FF0E0B" w:rsidRDefault="00277A29" w:rsidP="00471602">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F0E0B">
              <w:rPr>
                <w:rFonts w:ascii="Calibri" w:hAnsi="Calibri" w:cs="Calibri"/>
                <w:sz w:val="22"/>
                <w:szCs w:val="22"/>
              </w:rPr>
              <w:t xml:space="preserve">Tab “03 Full Pricing Calculation” is a spreadsheet showing an example </w:t>
            </w:r>
            <w:r w:rsidR="009C4642" w:rsidRPr="009C4642">
              <w:rPr>
                <w:rFonts w:ascii="Calibri" w:hAnsi="Calibri" w:cs="Calibri"/>
                <w:sz w:val="22"/>
                <w:szCs w:val="22"/>
              </w:rPr>
              <w:t>considering all elements of the full price</w:t>
            </w:r>
            <w:r w:rsidR="009C4642">
              <w:rPr>
                <w:rFonts w:ascii="Calibri" w:hAnsi="Calibri" w:cs="Calibri"/>
                <w:sz w:val="22"/>
                <w:szCs w:val="22"/>
              </w:rPr>
              <w:t xml:space="preserve">. </w:t>
            </w:r>
            <w:r w:rsidR="009C4642" w:rsidRPr="009C4642">
              <w:rPr>
                <w:rFonts w:ascii="Calibri" w:hAnsi="Calibri" w:cs="Calibri"/>
                <w:sz w:val="22"/>
                <w:szCs w:val="22"/>
              </w:rPr>
              <w:t xml:space="preserve">As set out in Tab 01, row 19, the actual calculation may vary over the course of a Framework Agreement… for reasons including… increases…decreases...introductions… eliminations of any tax, levy, or any elements making up the cost of the relevant fuel during the term of the Framework Agreement. </w:t>
            </w:r>
          </w:p>
        </w:tc>
      </w:tr>
    </w:tbl>
    <w:p w14:paraId="3DC46636" w14:textId="313DEEB4" w:rsidR="0071122D" w:rsidRPr="00FF0E0B" w:rsidRDefault="00322255" w:rsidP="00E1051A">
      <w:pPr>
        <w:rPr>
          <w:rFonts w:ascii="Calibri" w:hAnsi="Calibri" w:cs="Calibri"/>
          <w:sz w:val="22"/>
          <w:szCs w:val="22"/>
        </w:rPr>
      </w:pPr>
      <w:r w:rsidRPr="00FF0E0B">
        <w:rPr>
          <w:rFonts w:ascii="Calibri" w:hAnsi="Calibri" w:cs="Calibri"/>
          <w:sz w:val="22"/>
          <w:szCs w:val="22"/>
        </w:rPr>
        <w:br w:type="textWrapping" w:clear="all"/>
      </w:r>
    </w:p>
    <w:sectPr w:rsidR="0071122D" w:rsidRPr="00FF0E0B" w:rsidSect="004534F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ic A1">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572D34"/>
    <w:multiLevelType w:val="hybridMultilevel"/>
    <w:tmpl w:val="B5B96AA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013C2A"/>
    <w:multiLevelType w:val="hybridMultilevel"/>
    <w:tmpl w:val="C5A8373A"/>
    <w:lvl w:ilvl="0" w:tplc="1809001B">
      <w:start w:val="1"/>
      <w:numFmt w:val="lowerRoman"/>
      <w:lvlText w:val="%1."/>
      <w:lvlJc w:val="right"/>
      <w:pPr>
        <w:ind w:left="2340" w:hanging="360"/>
      </w:pPr>
    </w:lvl>
    <w:lvl w:ilvl="1" w:tplc="18090019" w:tentative="1">
      <w:start w:val="1"/>
      <w:numFmt w:val="lowerLetter"/>
      <w:lvlText w:val="%2."/>
      <w:lvlJc w:val="left"/>
      <w:pPr>
        <w:ind w:left="3060" w:hanging="360"/>
      </w:pPr>
    </w:lvl>
    <w:lvl w:ilvl="2" w:tplc="1809001B" w:tentative="1">
      <w:start w:val="1"/>
      <w:numFmt w:val="lowerRoman"/>
      <w:lvlText w:val="%3."/>
      <w:lvlJc w:val="right"/>
      <w:pPr>
        <w:ind w:left="3780" w:hanging="180"/>
      </w:pPr>
    </w:lvl>
    <w:lvl w:ilvl="3" w:tplc="1809000F" w:tentative="1">
      <w:start w:val="1"/>
      <w:numFmt w:val="decimal"/>
      <w:lvlText w:val="%4."/>
      <w:lvlJc w:val="left"/>
      <w:pPr>
        <w:ind w:left="4500" w:hanging="360"/>
      </w:pPr>
    </w:lvl>
    <w:lvl w:ilvl="4" w:tplc="18090019" w:tentative="1">
      <w:start w:val="1"/>
      <w:numFmt w:val="lowerLetter"/>
      <w:lvlText w:val="%5."/>
      <w:lvlJc w:val="left"/>
      <w:pPr>
        <w:ind w:left="5220" w:hanging="360"/>
      </w:pPr>
    </w:lvl>
    <w:lvl w:ilvl="5" w:tplc="1809001B" w:tentative="1">
      <w:start w:val="1"/>
      <w:numFmt w:val="lowerRoman"/>
      <w:lvlText w:val="%6."/>
      <w:lvlJc w:val="right"/>
      <w:pPr>
        <w:ind w:left="5940" w:hanging="180"/>
      </w:pPr>
    </w:lvl>
    <w:lvl w:ilvl="6" w:tplc="1809000F" w:tentative="1">
      <w:start w:val="1"/>
      <w:numFmt w:val="decimal"/>
      <w:lvlText w:val="%7."/>
      <w:lvlJc w:val="left"/>
      <w:pPr>
        <w:ind w:left="6660" w:hanging="360"/>
      </w:pPr>
    </w:lvl>
    <w:lvl w:ilvl="7" w:tplc="18090019" w:tentative="1">
      <w:start w:val="1"/>
      <w:numFmt w:val="lowerLetter"/>
      <w:lvlText w:val="%8."/>
      <w:lvlJc w:val="left"/>
      <w:pPr>
        <w:ind w:left="7380" w:hanging="360"/>
      </w:pPr>
    </w:lvl>
    <w:lvl w:ilvl="8" w:tplc="1809001B" w:tentative="1">
      <w:start w:val="1"/>
      <w:numFmt w:val="lowerRoman"/>
      <w:lvlText w:val="%9."/>
      <w:lvlJc w:val="right"/>
      <w:pPr>
        <w:ind w:left="8100" w:hanging="180"/>
      </w:pPr>
    </w:lvl>
  </w:abstractNum>
  <w:abstractNum w:abstractNumId="2" w15:restartNumberingAfterBreak="0">
    <w:nsid w:val="0E0B7E7D"/>
    <w:multiLevelType w:val="hybridMultilevel"/>
    <w:tmpl w:val="6486E59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135C8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3213262"/>
    <w:multiLevelType w:val="hybridMultilevel"/>
    <w:tmpl w:val="DF1CD2E6"/>
    <w:lvl w:ilvl="0" w:tplc="18090011">
      <w:start w:val="1"/>
      <w:numFmt w:val="decimal"/>
      <w:lvlText w:val="%1)"/>
      <w:lvlJc w:val="left"/>
      <w:pPr>
        <w:ind w:left="1080" w:hanging="720"/>
      </w:pPr>
      <w:rPr>
        <w:rFonts w:hint="default"/>
        <w:color w:val="000000" w:themeColor="text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09F8B37A">
      <w:start w:val="5"/>
      <w:numFmt w:val="decimal"/>
      <w:lvlText w:val="%4."/>
      <w:lvlJc w:val="left"/>
      <w:pPr>
        <w:ind w:left="2880"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691247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6FD477B"/>
    <w:multiLevelType w:val="hybridMultilevel"/>
    <w:tmpl w:val="EF1488DA"/>
    <w:lvl w:ilvl="0" w:tplc="1809000F">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70E4883"/>
    <w:multiLevelType w:val="hybridMultilevel"/>
    <w:tmpl w:val="A88A24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D3842E5"/>
    <w:multiLevelType w:val="hybridMultilevel"/>
    <w:tmpl w:val="65FC151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D75643F"/>
    <w:multiLevelType w:val="hybridMultilevel"/>
    <w:tmpl w:val="EF02D826"/>
    <w:lvl w:ilvl="0" w:tplc="1809000F">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E5C17B8"/>
    <w:multiLevelType w:val="hybridMultilevel"/>
    <w:tmpl w:val="1C4845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06A67C6"/>
    <w:multiLevelType w:val="hybridMultilevel"/>
    <w:tmpl w:val="F9CEECBA"/>
    <w:lvl w:ilvl="0" w:tplc="A796911A">
      <w:start w:val="3"/>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41B33611"/>
    <w:multiLevelType w:val="hybridMultilevel"/>
    <w:tmpl w:val="A88A24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AB7025D"/>
    <w:multiLevelType w:val="hybridMultilevel"/>
    <w:tmpl w:val="287454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C3E242C"/>
    <w:multiLevelType w:val="hybridMultilevel"/>
    <w:tmpl w:val="791A7C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C71499D"/>
    <w:multiLevelType w:val="hybridMultilevel"/>
    <w:tmpl w:val="E3C2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E3076"/>
    <w:multiLevelType w:val="hybridMultilevel"/>
    <w:tmpl w:val="3E722E6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F3039D1"/>
    <w:multiLevelType w:val="hybridMultilevel"/>
    <w:tmpl w:val="67D02EC6"/>
    <w:lvl w:ilvl="0" w:tplc="D564FEB0">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5E6295B"/>
    <w:multiLevelType w:val="hybridMultilevel"/>
    <w:tmpl w:val="BF824F5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7547213"/>
    <w:multiLevelType w:val="hybridMultilevel"/>
    <w:tmpl w:val="9C4C7AC4"/>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97368F0"/>
    <w:multiLevelType w:val="hybridMultilevel"/>
    <w:tmpl w:val="931077C2"/>
    <w:lvl w:ilvl="0" w:tplc="18090019">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AA10EED"/>
    <w:multiLevelType w:val="multilevel"/>
    <w:tmpl w:val="A9F6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9FD521"/>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B87301E7">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52E3370"/>
    <w:multiLevelType w:val="hybridMultilevel"/>
    <w:tmpl w:val="593A58D2"/>
    <w:lvl w:ilvl="0" w:tplc="18090017">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F5364FB"/>
    <w:multiLevelType w:val="hybridMultilevel"/>
    <w:tmpl w:val="F93898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79358479">
    <w:abstractNumId w:val="18"/>
  </w:num>
  <w:num w:numId="2" w16cid:durableId="1310211146">
    <w:abstractNumId w:val="15"/>
  </w:num>
  <w:num w:numId="3" w16cid:durableId="974599778">
    <w:abstractNumId w:val="4"/>
  </w:num>
  <w:num w:numId="4" w16cid:durableId="1115904657">
    <w:abstractNumId w:val="1"/>
  </w:num>
  <w:num w:numId="5" w16cid:durableId="223685117">
    <w:abstractNumId w:val="13"/>
  </w:num>
  <w:num w:numId="6" w16cid:durableId="1410078114">
    <w:abstractNumId w:val="12"/>
  </w:num>
  <w:num w:numId="7" w16cid:durableId="1491483985">
    <w:abstractNumId w:val="7"/>
  </w:num>
  <w:num w:numId="8" w16cid:durableId="582841347">
    <w:abstractNumId w:val="19"/>
  </w:num>
  <w:num w:numId="9" w16cid:durableId="512257078">
    <w:abstractNumId w:val="10"/>
  </w:num>
  <w:num w:numId="10" w16cid:durableId="769857631">
    <w:abstractNumId w:val="6"/>
  </w:num>
  <w:num w:numId="11" w16cid:durableId="1391613901">
    <w:abstractNumId w:val="9"/>
  </w:num>
  <w:num w:numId="12" w16cid:durableId="683168003">
    <w:abstractNumId w:val="14"/>
  </w:num>
  <w:num w:numId="13" w16cid:durableId="165636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0810253">
    <w:abstractNumId w:val="0"/>
    <w:lvlOverride w:ilvl="0">
      <w:startOverride w:val="1"/>
    </w:lvlOverride>
    <w:lvlOverride w:ilvl="1"/>
    <w:lvlOverride w:ilvl="2"/>
    <w:lvlOverride w:ilvl="3"/>
    <w:lvlOverride w:ilvl="4"/>
    <w:lvlOverride w:ilvl="5"/>
    <w:lvlOverride w:ilvl="6"/>
    <w:lvlOverride w:ilvl="7"/>
    <w:lvlOverride w:ilvl="8"/>
  </w:num>
  <w:num w:numId="15" w16cid:durableId="400107217">
    <w:abstractNumId w:val="8"/>
  </w:num>
  <w:num w:numId="16" w16cid:durableId="600188446">
    <w:abstractNumId w:val="20"/>
  </w:num>
  <w:num w:numId="17" w16cid:durableId="1592620864">
    <w:abstractNumId w:val="11"/>
  </w:num>
  <w:num w:numId="18" w16cid:durableId="2012834047">
    <w:abstractNumId w:val="21"/>
  </w:num>
  <w:num w:numId="19" w16cid:durableId="1854539249">
    <w:abstractNumId w:val="16"/>
  </w:num>
  <w:num w:numId="20" w16cid:durableId="189344324">
    <w:abstractNumId w:val="23"/>
  </w:num>
  <w:num w:numId="21" w16cid:durableId="218593487">
    <w:abstractNumId w:val="17"/>
  </w:num>
  <w:num w:numId="22" w16cid:durableId="325981561">
    <w:abstractNumId w:val="24"/>
  </w:num>
  <w:num w:numId="23" w16cid:durableId="1598902629">
    <w:abstractNumId w:val="3"/>
  </w:num>
  <w:num w:numId="24" w16cid:durableId="1949045043">
    <w:abstractNumId w:val="5"/>
  </w:num>
  <w:num w:numId="25" w16cid:durableId="3371174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B1E"/>
    <w:rsid w:val="00002FC8"/>
    <w:rsid w:val="00021CBB"/>
    <w:rsid w:val="00056751"/>
    <w:rsid w:val="00072344"/>
    <w:rsid w:val="00083BAE"/>
    <w:rsid w:val="000A7C14"/>
    <w:rsid w:val="000D0F98"/>
    <w:rsid w:val="000D78A8"/>
    <w:rsid w:val="000F30E2"/>
    <w:rsid w:val="00107929"/>
    <w:rsid w:val="00116FBC"/>
    <w:rsid w:val="00137EED"/>
    <w:rsid w:val="00140FC5"/>
    <w:rsid w:val="001445AD"/>
    <w:rsid w:val="0015330F"/>
    <w:rsid w:val="00153FB3"/>
    <w:rsid w:val="00181C06"/>
    <w:rsid w:val="001B39D6"/>
    <w:rsid w:val="001F564C"/>
    <w:rsid w:val="00212CAB"/>
    <w:rsid w:val="002373DB"/>
    <w:rsid w:val="0026721F"/>
    <w:rsid w:val="002704CE"/>
    <w:rsid w:val="00277A29"/>
    <w:rsid w:val="00285A12"/>
    <w:rsid w:val="002A0285"/>
    <w:rsid w:val="002A245B"/>
    <w:rsid w:val="002C00F0"/>
    <w:rsid w:val="002D78DD"/>
    <w:rsid w:val="002E1BBB"/>
    <w:rsid w:val="002E3095"/>
    <w:rsid w:val="002F58D8"/>
    <w:rsid w:val="00322255"/>
    <w:rsid w:val="00337277"/>
    <w:rsid w:val="00337411"/>
    <w:rsid w:val="00347CDD"/>
    <w:rsid w:val="003526AC"/>
    <w:rsid w:val="00356DD5"/>
    <w:rsid w:val="003701DE"/>
    <w:rsid w:val="003A3BE1"/>
    <w:rsid w:val="003D530E"/>
    <w:rsid w:val="00426542"/>
    <w:rsid w:val="004270DD"/>
    <w:rsid w:val="0043661A"/>
    <w:rsid w:val="004534F3"/>
    <w:rsid w:val="00471602"/>
    <w:rsid w:val="00475872"/>
    <w:rsid w:val="0048386A"/>
    <w:rsid w:val="004B465A"/>
    <w:rsid w:val="004B6C2E"/>
    <w:rsid w:val="004E072F"/>
    <w:rsid w:val="00517A06"/>
    <w:rsid w:val="00522817"/>
    <w:rsid w:val="0053352F"/>
    <w:rsid w:val="0055458B"/>
    <w:rsid w:val="00576619"/>
    <w:rsid w:val="00577DD4"/>
    <w:rsid w:val="005A2FB0"/>
    <w:rsid w:val="005A3B7A"/>
    <w:rsid w:val="005B59FE"/>
    <w:rsid w:val="005C5A93"/>
    <w:rsid w:val="005C5BC7"/>
    <w:rsid w:val="005C6C0B"/>
    <w:rsid w:val="005C736F"/>
    <w:rsid w:val="005D6258"/>
    <w:rsid w:val="005D6FA7"/>
    <w:rsid w:val="005F2266"/>
    <w:rsid w:val="0063284F"/>
    <w:rsid w:val="00653635"/>
    <w:rsid w:val="006546F0"/>
    <w:rsid w:val="00666A3C"/>
    <w:rsid w:val="006A135D"/>
    <w:rsid w:val="006B021B"/>
    <w:rsid w:val="006D410A"/>
    <w:rsid w:val="006D747F"/>
    <w:rsid w:val="006E05CF"/>
    <w:rsid w:val="006F0347"/>
    <w:rsid w:val="00705AA4"/>
    <w:rsid w:val="0071122D"/>
    <w:rsid w:val="0072396D"/>
    <w:rsid w:val="00737DEE"/>
    <w:rsid w:val="00742151"/>
    <w:rsid w:val="00757F77"/>
    <w:rsid w:val="00761336"/>
    <w:rsid w:val="007720F4"/>
    <w:rsid w:val="00773938"/>
    <w:rsid w:val="00774D9A"/>
    <w:rsid w:val="007759DF"/>
    <w:rsid w:val="00777382"/>
    <w:rsid w:val="007779B8"/>
    <w:rsid w:val="00780A4E"/>
    <w:rsid w:val="0078172F"/>
    <w:rsid w:val="007900D5"/>
    <w:rsid w:val="007A00CF"/>
    <w:rsid w:val="007A4F41"/>
    <w:rsid w:val="007D515C"/>
    <w:rsid w:val="007E0D04"/>
    <w:rsid w:val="007E635A"/>
    <w:rsid w:val="008054DB"/>
    <w:rsid w:val="008205DD"/>
    <w:rsid w:val="00845BF7"/>
    <w:rsid w:val="00875311"/>
    <w:rsid w:val="008A5630"/>
    <w:rsid w:val="008C6A29"/>
    <w:rsid w:val="008D3BCC"/>
    <w:rsid w:val="008D5509"/>
    <w:rsid w:val="008D7A40"/>
    <w:rsid w:val="008E2915"/>
    <w:rsid w:val="008F4D04"/>
    <w:rsid w:val="009074D4"/>
    <w:rsid w:val="00914166"/>
    <w:rsid w:val="00914A52"/>
    <w:rsid w:val="0092006B"/>
    <w:rsid w:val="00934AD4"/>
    <w:rsid w:val="00947F0D"/>
    <w:rsid w:val="0098102B"/>
    <w:rsid w:val="00981FD5"/>
    <w:rsid w:val="009C01A4"/>
    <w:rsid w:val="009C4642"/>
    <w:rsid w:val="009D3825"/>
    <w:rsid w:val="009D7F7B"/>
    <w:rsid w:val="009E1C75"/>
    <w:rsid w:val="00A142D3"/>
    <w:rsid w:val="00A17479"/>
    <w:rsid w:val="00A2142B"/>
    <w:rsid w:val="00A23DD3"/>
    <w:rsid w:val="00A3110F"/>
    <w:rsid w:val="00A34299"/>
    <w:rsid w:val="00A61CC8"/>
    <w:rsid w:val="00A624A5"/>
    <w:rsid w:val="00A72EF9"/>
    <w:rsid w:val="00A82908"/>
    <w:rsid w:val="00A8319B"/>
    <w:rsid w:val="00A84D5A"/>
    <w:rsid w:val="00A9365B"/>
    <w:rsid w:val="00AC71D0"/>
    <w:rsid w:val="00AE2DCB"/>
    <w:rsid w:val="00AE34A5"/>
    <w:rsid w:val="00B0654C"/>
    <w:rsid w:val="00B22C86"/>
    <w:rsid w:val="00B3512E"/>
    <w:rsid w:val="00B431A2"/>
    <w:rsid w:val="00B56ECB"/>
    <w:rsid w:val="00B61E28"/>
    <w:rsid w:val="00B71F30"/>
    <w:rsid w:val="00B904F5"/>
    <w:rsid w:val="00BA3B9D"/>
    <w:rsid w:val="00BB416C"/>
    <w:rsid w:val="00BC6BA3"/>
    <w:rsid w:val="00BD024F"/>
    <w:rsid w:val="00BD3851"/>
    <w:rsid w:val="00BD3D6B"/>
    <w:rsid w:val="00BF0056"/>
    <w:rsid w:val="00C028D0"/>
    <w:rsid w:val="00C06D24"/>
    <w:rsid w:val="00C100B8"/>
    <w:rsid w:val="00C15D3B"/>
    <w:rsid w:val="00C177A1"/>
    <w:rsid w:val="00C33087"/>
    <w:rsid w:val="00C47D44"/>
    <w:rsid w:val="00C76508"/>
    <w:rsid w:val="00C771AF"/>
    <w:rsid w:val="00CB09A6"/>
    <w:rsid w:val="00CC511C"/>
    <w:rsid w:val="00CD2C9C"/>
    <w:rsid w:val="00CE46A7"/>
    <w:rsid w:val="00CE5E02"/>
    <w:rsid w:val="00D12B78"/>
    <w:rsid w:val="00D24AAA"/>
    <w:rsid w:val="00D4021C"/>
    <w:rsid w:val="00D410C7"/>
    <w:rsid w:val="00D42A4A"/>
    <w:rsid w:val="00D51840"/>
    <w:rsid w:val="00D53277"/>
    <w:rsid w:val="00D62EA1"/>
    <w:rsid w:val="00D66BFA"/>
    <w:rsid w:val="00D76D3C"/>
    <w:rsid w:val="00D90FDC"/>
    <w:rsid w:val="00D97A09"/>
    <w:rsid w:val="00DA35D5"/>
    <w:rsid w:val="00DA44EC"/>
    <w:rsid w:val="00DC3E08"/>
    <w:rsid w:val="00DD31C4"/>
    <w:rsid w:val="00DD4D7C"/>
    <w:rsid w:val="00DD53DB"/>
    <w:rsid w:val="00DD7C7B"/>
    <w:rsid w:val="00DE3393"/>
    <w:rsid w:val="00DF238C"/>
    <w:rsid w:val="00E1051A"/>
    <w:rsid w:val="00E12815"/>
    <w:rsid w:val="00E247F8"/>
    <w:rsid w:val="00E72740"/>
    <w:rsid w:val="00E909B0"/>
    <w:rsid w:val="00EA7FB3"/>
    <w:rsid w:val="00EC7530"/>
    <w:rsid w:val="00EF0ECF"/>
    <w:rsid w:val="00EF33D5"/>
    <w:rsid w:val="00F06A79"/>
    <w:rsid w:val="00F12B1E"/>
    <w:rsid w:val="00F13FFB"/>
    <w:rsid w:val="00F31652"/>
    <w:rsid w:val="00F62EF2"/>
    <w:rsid w:val="00F67407"/>
    <w:rsid w:val="00F826AE"/>
    <w:rsid w:val="00F94946"/>
    <w:rsid w:val="00FA2A27"/>
    <w:rsid w:val="00FA4319"/>
    <w:rsid w:val="00FB02AF"/>
    <w:rsid w:val="00FC3456"/>
    <w:rsid w:val="00FE1709"/>
    <w:rsid w:val="00FF0E0B"/>
    <w:rsid w:val="00FF54C8"/>
    <w:rsid w:val="00FF6E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0EC3"/>
  <w15:chartTrackingRefBased/>
  <w15:docId w15:val="{8DE959CD-5523-4F2D-A6E7-3F0AFD5D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09"/>
    <w:pPr>
      <w:spacing w:after="0" w:line="240" w:lineRule="auto"/>
    </w:pPr>
    <w:rPr>
      <w:rFonts w:ascii="Times New Roman" w:eastAsia="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5">
    <w:name w:val="Grid Table 4 Accent 5"/>
    <w:basedOn w:val="TableNormal"/>
    <w:uiPriority w:val="49"/>
    <w:rsid w:val="004534F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
    <w:basedOn w:val="Normal"/>
    <w:link w:val="ListParagraphChar"/>
    <w:uiPriority w:val="34"/>
    <w:qFormat/>
    <w:rsid w:val="004534F3"/>
    <w:pPr>
      <w:ind w:left="720"/>
      <w:contextualSpacing/>
    </w:pPr>
  </w:style>
  <w:style w:type="paragraph" w:styleId="NormalWeb">
    <w:name w:val="Normal (Web)"/>
    <w:basedOn w:val="Normal"/>
    <w:uiPriority w:val="99"/>
    <w:unhideWhenUsed/>
    <w:rsid w:val="007A00CF"/>
    <w:pPr>
      <w:spacing w:before="100" w:beforeAutospacing="1" w:after="100" w:afterAutospacing="1"/>
    </w:pPr>
  </w:style>
  <w:style w:type="paragraph" w:customStyle="1" w:styleId="Default">
    <w:name w:val="Default"/>
    <w:rsid w:val="0071122D"/>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4E072F"/>
    <w:rPr>
      <w:i/>
      <w:iCs/>
    </w:rPr>
  </w:style>
  <w:style w:type="character" w:customStyle="1" w:styleId="ListParagraphChar">
    <w:name w:val="List Paragraph Char"/>
    <w:aliases w:val="igunore Char,Subtitle Cover Page Char"/>
    <w:link w:val="ListParagraph"/>
    <w:uiPriority w:val="34"/>
    <w:qFormat/>
    <w:locked/>
    <w:rsid w:val="001F564C"/>
  </w:style>
  <w:style w:type="character" w:styleId="PlaceholderText">
    <w:name w:val="Placeholder Text"/>
    <w:basedOn w:val="DefaultParagraphFont"/>
    <w:uiPriority w:val="99"/>
    <w:semiHidden/>
    <w:rsid w:val="008D5509"/>
    <w:rPr>
      <w:color w:val="808080"/>
    </w:rPr>
  </w:style>
  <w:style w:type="paragraph" w:customStyle="1" w:styleId="Pa10">
    <w:name w:val="Pa10"/>
    <w:basedOn w:val="Normal"/>
    <w:uiPriority w:val="99"/>
    <w:rsid w:val="007D515C"/>
    <w:pPr>
      <w:autoSpaceDE w:val="0"/>
      <w:autoSpaceDN w:val="0"/>
      <w:spacing w:line="201" w:lineRule="atLeast"/>
    </w:pPr>
    <w:rPr>
      <w:rFonts w:ascii="Gothic A1" w:hAnsi="Gothic A1"/>
    </w:rPr>
  </w:style>
  <w:style w:type="paragraph" w:customStyle="1" w:styleId="Pa0">
    <w:name w:val="Pa0"/>
    <w:basedOn w:val="Normal"/>
    <w:uiPriority w:val="99"/>
    <w:rsid w:val="00914166"/>
    <w:pPr>
      <w:autoSpaceDE w:val="0"/>
      <w:autoSpaceDN w:val="0"/>
      <w:spacing w:line="201" w:lineRule="atLeast"/>
    </w:pPr>
    <w:rPr>
      <w:rFonts w:ascii="Gothic A1" w:hAnsi="Gothic A1"/>
    </w:rPr>
  </w:style>
  <w:style w:type="paragraph" w:customStyle="1" w:styleId="Pa20">
    <w:name w:val="Pa20"/>
    <w:basedOn w:val="Normal"/>
    <w:uiPriority w:val="99"/>
    <w:rsid w:val="00914166"/>
    <w:pPr>
      <w:autoSpaceDE w:val="0"/>
      <w:autoSpaceDN w:val="0"/>
      <w:spacing w:line="221" w:lineRule="atLeast"/>
    </w:pPr>
    <w:rPr>
      <w:rFonts w:ascii="Gothic A1" w:hAnsi="Gothic A1"/>
    </w:rPr>
  </w:style>
  <w:style w:type="character" w:styleId="Strong">
    <w:name w:val="Strong"/>
    <w:basedOn w:val="DefaultParagraphFont"/>
    <w:uiPriority w:val="22"/>
    <w:qFormat/>
    <w:rsid w:val="00DE3393"/>
    <w:rPr>
      <w:b/>
      <w:bCs/>
    </w:rPr>
  </w:style>
  <w:style w:type="paragraph" w:styleId="BalloonText">
    <w:name w:val="Balloon Text"/>
    <w:basedOn w:val="Normal"/>
    <w:link w:val="BalloonTextChar"/>
    <w:uiPriority w:val="99"/>
    <w:semiHidden/>
    <w:unhideWhenUsed/>
    <w:rsid w:val="00845B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BF7"/>
    <w:rPr>
      <w:rFonts w:ascii="Segoe UI" w:hAnsi="Segoe UI" w:cs="Segoe UI"/>
      <w:sz w:val="18"/>
      <w:szCs w:val="18"/>
    </w:rPr>
  </w:style>
  <w:style w:type="paragraph" w:styleId="Revision">
    <w:name w:val="Revision"/>
    <w:hidden/>
    <w:uiPriority w:val="99"/>
    <w:semiHidden/>
    <w:rsid w:val="00E90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04991">
      <w:bodyDiv w:val="1"/>
      <w:marLeft w:val="0"/>
      <w:marRight w:val="0"/>
      <w:marTop w:val="0"/>
      <w:marBottom w:val="0"/>
      <w:divBdr>
        <w:top w:val="none" w:sz="0" w:space="0" w:color="auto"/>
        <w:left w:val="none" w:sz="0" w:space="0" w:color="auto"/>
        <w:bottom w:val="none" w:sz="0" w:space="0" w:color="auto"/>
        <w:right w:val="none" w:sz="0" w:space="0" w:color="auto"/>
      </w:divBdr>
    </w:div>
    <w:div w:id="761147874">
      <w:bodyDiv w:val="1"/>
      <w:marLeft w:val="0"/>
      <w:marRight w:val="0"/>
      <w:marTop w:val="0"/>
      <w:marBottom w:val="0"/>
      <w:divBdr>
        <w:top w:val="none" w:sz="0" w:space="0" w:color="auto"/>
        <w:left w:val="none" w:sz="0" w:space="0" w:color="auto"/>
        <w:bottom w:val="none" w:sz="0" w:space="0" w:color="auto"/>
        <w:right w:val="none" w:sz="0" w:space="0" w:color="auto"/>
      </w:divBdr>
    </w:div>
    <w:div w:id="768428862">
      <w:bodyDiv w:val="1"/>
      <w:marLeft w:val="0"/>
      <w:marRight w:val="0"/>
      <w:marTop w:val="0"/>
      <w:marBottom w:val="0"/>
      <w:divBdr>
        <w:top w:val="none" w:sz="0" w:space="0" w:color="auto"/>
        <w:left w:val="none" w:sz="0" w:space="0" w:color="auto"/>
        <w:bottom w:val="none" w:sz="0" w:space="0" w:color="auto"/>
        <w:right w:val="none" w:sz="0" w:space="0" w:color="auto"/>
      </w:divBdr>
    </w:div>
    <w:div w:id="793645085">
      <w:bodyDiv w:val="1"/>
      <w:marLeft w:val="0"/>
      <w:marRight w:val="0"/>
      <w:marTop w:val="0"/>
      <w:marBottom w:val="0"/>
      <w:divBdr>
        <w:top w:val="none" w:sz="0" w:space="0" w:color="auto"/>
        <w:left w:val="none" w:sz="0" w:space="0" w:color="auto"/>
        <w:bottom w:val="none" w:sz="0" w:space="0" w:color="auto"/>
        <w:right w:val="none" w:sz="0" w:space="0" w:color="auto"/>
      </w:divBdr>
    </w:div>
    <w:div w:id="890923672">
      <w:bodyDiv w:val="1"/>
      <w:marLeft w:val="0"/>
      <w:marRight w:val="0"/>
      <w:marTop w:val="0"/>
      <w:marBottom w:val="0"/>
      <w:divBdr>
        <w:top w:val="none" w:sz="0" w:space="0" w:color="auto"/>
        <w:left w:val="none" w:sz="0" w:space="0" w:color="auto"/>
        <w:bottom w:val="none" w:sz="0" w:space="0" w:color="auto"/>
        <w:right w:val="none" w:sz="0" w:space="0" w:color="auto"/>
      </w:divBdr>
    </w:div>
    <w:div w:id="984118689">
      <w:bodyDiv w:val="1"/>
      <w:marLeft w:val="0"/>
      <w:marRight w:val="0"/>
      <w:marTop w:val="0"/>
      <w:marBottom w:val="0"/>
      <w:divBdr>
        <w:top w:val="none" w:sz="0" w:space="0" w:color="auto"/>
        <w:left w:val="none" w:sz="0" w:space="0" w:color="auto"/>
        <w:bottom w:val="none" w:sz="0" w:space="0" w:color="auto"/>
        <w:right w:val="none" w:sz="0" w:space="0" w:color="auto"/>
      </w:divBdr>
    </w:div>
    <w:div w:id="1283152535">
      <w:bodyDiv w:val="1"/>
      <w:marLeft w:val="0"/>
      <w:marRight w:val="0"/>
      <w:marTop w:val="0"/>
      <w:marBottom w:val="0"/>
      <w:divBdr>
        <w:top w:val="none" w:sz="0" w:space="0" w:color="auto"/>
        <w:left w:val="none" w:sz="0" w:space="0" w:color="auto"/>
        <w:bottom w:val="none" w:sz="0" w:space="0" w:color="auto"/>
        <w:right w:val="none" w:sz="0" w:space="0" w:color="auto"/>
      </w:divBdr>
    </w:div>
    <w:div w:id="1467549001">
      <w:bodyDiv w:val="1"/>
      <w:marLeft w:val="0"/>
      <w:marRight w:val="0"/>
      <w:marTop w:val="0"/>
      <w:marBottom w:val="0"/>
      <w:divBdr>
        <w:top w:val="none" w:sz="0" w:space="0" w:color="auto"/>
        <w:left w:val="none" w:sz="0" w:space="0" w:color="auto"/>
        <w:bottom w:val="none" w:sz="0" w:space="0" w:color="auto"/>
        <w:right w:val="none" w:sz="0" w:space="0" w:color="auto"/>
      </w:divBdr>
    </w:div>
    <w:div w:id="1514756382">
      <w:bodyDiv w:val="1"/>
      <w:marLeft w:val="0"/>
      <w:marRight w:val="0"/>
      <w:marTop w:val="0"/>
      <w:marBottom w:val="0"/>
      <w:divBdr>
        <w:top w:val="none" w:sz="0" w:space="0" w:color="auto"/>
        <w:left w:val="none" w:sz="0" w:space="0" w:color="auto"/>
        <w:bottom w:val="none" w:sz="0" w:space="0" w:color="auto"/>
        <w:right w:val="none" w:sz="0" w:space="0" w:color="auto"/>
      </w:divBdr>
    </w:div>
    <w:div w:id="1545286732">
      <w:bodyDiv w:val="1"/>
      <w:marLeft w:val="0"/>
      <w:marRight w:val="0"/>
      <w:marTop w:val="0"/>
      <w:marBottom w:val="0"/>
      <w:divBdr>
        <w:top w:val="none" w:sz="0" w:space="0" w:color="auto"/>
        <w:left w:val="none" w:sz="0" w:space="0" w:color="auto"/>
        <w:bottom w:val="none" w:sz="0" w:space="0" w:color="auto"/>
        <w:right w:val="none" w:sz="0" w:space="0" w:color="auto"/>
      </w:divBdr>
    </w:div>
    <w:div w:id="1743409027">
      <w:marLeft w:val="0"/>
      <w:marRight w:val="0"/>
      <w:marTop w:val="0"/>
      <w:marBottom w:val="0"/>
      <w:divBdr>
        <w:top w:val="none" w:sz="0" w:space="0" w:color="auto"/>
        <w:left w:val="none" w:sz="0" w:space="0" w:color="auto"/>
        <w:bottom w:val="none" w:sz="0" w:space="0" w:color="auto"/>
        <w:right w:val="none" w:sz="0" w:space="0" w:color="auto"/>
      </w:divBdr>
    </w:div>
    <w:div w:id="1928229367">
      <w:bodyDiv w:val="1"/>
      <w:marLeft w:val="0"/>
      <w:marRight w:val="0"/>
      <w:marTop w:val="0"/>
      <w:marBottom w:val="0"/>
      <w:divBdr>
        <w:top w:val="none" w:sz="0" w:space="0" w:color="auto"/>
        <w:left w:val="none" w:sz="0" w:space="0" w:color="auto"/>
        <w:bottom w:val="none" w:sz="0" w:space="0" w:color="auto"/>
        <w:right w:val="none" w:sz="0" w:space="0" w:color="auto"/>
      </w:divBdr>
    </w:div>
    <w:div w:id="1941864069">
      <w:bodyDiv w:val="1"/>
      <w:marLeft w:val="0"/>
      <w:marRight w:val="0"/>
      <w:marTop w:val="0"/>
      <w:marBottom w:val="0"/>
      <w:divBdr>
        <w:top w:val="none" w:sz="0" w:space="0" w:color="auto"/>
        <w:left w:val="none" w:sz="0" w:space="0" w:color="auto"/>
        <w:bottom w:val="none" w:sz="0" w:space="0" w:color="auto"/>
        <w:right w:val="none" w:sz="0" w:space="0" w:color="auto"/>
      </w:divBdr>
    </w:div>
    <w:div w:id="197506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rienmic\AppData\Local\Microsoft\Windows\INetCache\Content.Outlook\CE6TWT1H\Clarification%20Response_10772_10869_2807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FileStatus xmlns="a719180e-ab9a-427c-bfa6-1a243b17fdc7">Live</eDocs_FileStatus>
    <TaxCatchAll xmlns="a719180e-ab9a-427c-bfa6-1a243b17fdc7">
      <Value>7</Value>
      <Value>4</Value>
      <Value>36</Value>
      <Value>1</Value>
    </TaxCatchAll>
    <nb1b8a72855341e18dd75ce464e281f2 xmlns="a719180e-ab9a-427c-bfa6-1a243b17fdc7">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mbbd3fafa5ab4e5eb8a6a5e099cef439 xmlns="a719180e-ab9a-427c-bfa6-1a243b17fdc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a719180e-ab9a-427c-bfa6-1a243b17fdc7">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26718433-2fa9-473d-85c3-96d486fdf3d1</TermId>
        </TermInfo>
      </Terms>
    </h1f8bb4843d6459a8b809123185593c7>
    <m02c691f3efa402dab5cbaa8c240a9e7 xmlns="a719180e-ab9a-427c-bfa6-1a243b17fdc7">
      <Terms xmlns="http://schemas.microsoft.com/office/infopath/2007/PartnerControls">
        <TermInfo xmlns="http://schemas.microsoft.com/office/infopath/2007/PartnerControls">
          <TermName xmlns="http://schemas.microsoft.com/office/infopath/2007/PartnerControls">Fleet ＆ Plant</TermName>
          <TermId xmlns="http://schemas.microsoft.com/office/infopath/2007/PartnerControls">ff828d08-30c9-46fe-9cea-dbe225d3f373</TermId>
        </TermInfo>
      </Terms>
    </m02c691f3efa402dab5cbaa8c240a9e7>
    <fbaa881fc4ae443f9fdafbdd527793df xmlns="a719180e-ab9a-427c-bfa6-1a243b17fdc7">
      <Terms xmlns="http://schemas.microsoft.com/office/infopath/2007/PartnerControls"/>
    </fbaa881fc4ae443f9fdafbdd527793df>
    <_vti_ItemDeclaredRecord xmlns="a719180e-ab9a-427c-bfa6-1a243b17fdc7" xsi:nil="true"/>
    <eDocs_eFileName xmlns="a719180e-ab9a-427c-bfa6-1a243b17fdc7">OGPSK001-003-2025</eDocs_eFileName>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42F6E159C633AD43835B08CDF97FEBAB" ma:contentTypeVersion="145" ma:contentTypeDescription="" ma:contentTypeScope="" ma:versionID="5337ca20f1e6e2362c48dccfe39ab93a">
  <xsd:schema xmlns:xsd="http://www.w3.org/2001/XMLSchema" xmlns:xs="http://www.w3.org/2001/XMLSchema" xmlns:p="http://schemas.microsoft.com/office/2006/metadata/properties" xmlns:ns2="a719180e-ab9a-427c-bfa6-1a243b17fdc7" targetNamespace="http://schemas.microsoft.com/office/2006/metadata/properties" ma:root="true" ma:fieldsID="4d7aa25fdcad5d05013feb4937113ca1" ns2:_="">
    <xsd:import namespace="a719180e-ab9a-427c-bfa6-1a243b17fdc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180e-ab9a-427c-bfa6-1a243b17fdc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857b5e8e-2709-44a9-8cfa-4080c9e6a82f}" ma:internalName="TaxCatchAll" ma:showField="CatchAllData" ma:web="a719180e-ab9a-427c-bfa6-1a243b17fd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57b5e8e-2709-44a9-8cfa-4080c9e6a82f}" ma:internalName="TaxCatchAllLabel" ma:readOnly="true" ma:showField="CatchAllDataLabel" ma:web="a719180e-ab9a-427c-bfa6-1a243b17fdc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26718433-2fa9-473d-85c3-96d486fdf3d1"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7711b3da-0d59-4454-91aa-d81b9a6d9326"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7711b3da-0d59-4454-91aa-d81b9a6d932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30F7B-D80B-457D-A5EB-EEB4BDF14920}">
  <ds:schemaRefs>
    <ds:schemaRef ds:uri="http://schemas.microsoft.com/sharepoint/v3/contenttype/forms"/>
  </ds:schemaRefs>
</ds:datastoreItem>
</file>

<file path=customXml/itemProps2.xml><?xml version="1.0" encoding="utf-8"?>
<ds:datastoreItem xmlns:ds="http://schemas.openxmlformats.org/officeDocument/2006/customXml" ds:itemID="{653980A1-16F4-4584-B135-EE7E4429DD84}">
  <ds:schemaRefs>
    <ds:schemaRef ds:uri="http://schemas.microsoft.com/office/2006/metadata/properties"/>
    <ds:schemaRef ds:uri="http://schemas.microsoft.com/office/infopath/2007/PartnerControls"/>
    <ds:schemaRef ds:uri="a719180e-ab9a-427c-bfa6-1a243b17fdc7"/>
  </ds:schemaRefs>
</ds:datastoreItem>
</file>

<file path=customXml/itemProps3.xml><?xml version="1.0" encoding="utf-8"?>
<ds:datastoreItem xmlns:ds="http://schemas.openxmlformats.org/officeDocument/2006/customXml" ds:itemID="{6BEDEEB6-5C5D-4CD4-89C7-CD0C2DDD2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180e-ab9a-427c-bfa6-1a243b17f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Clarification Response_10772_10869_28072023</Template>
  <TotalTime>528</TotalTime>
  <Pages>6</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Guidance Note</dc:creator>
  <cp:keywords/>
  <dc:description/>
  <cp:lastModifiedBy>Eimear Cronin (OGP)</cp:lastModifiedBy>
  <cp:revision>26</cp:revision>
  <cp:lastPrinted>2024-08-16T13:26:00Z</cp:lastPrinted>
  <dcterms:created xsi:type="dcterms:W3CDTF">2026-07-13T15:27:00Z</dcterms:created>
  <dcterms:modified xsi:type="dcterms:W3CDTF">2026-07-23T13:50:00Z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Year">
    <vt:lpwstr>36;#2025|b7072365-3e5a-4512-a5c2-c9dbe828b290</vt:lpwstr>
  </property>
  <property fmtid="{D5CDD505-2E9C-101B-9397-08002B2CF9AE}" pid="4" name="ContentTypeId">
    <vt:lpwstr>0x0101000BC94875665D404BB1351B53C41FD2C00042F6E159C633AD43835B08CDF97FEBAB</vt:lpwstr>
  </property>
  <property fmtid="{D5CDD505-2E9C-101B-9397-08002B2CF9AE}" pid="5" name="eDocs_SeriesSubSeries">
    <vt:lpwstr>2;#002|bb12dd1c-f0bf-4615-b8e0-44741b7bcb9f</vt:lpwstr>
  </property>
  <property fmtid="{D5CDD505-2E9C-101B-9397-08002B2CF9AE}" pid="6" name="eDocs_FileTopics">
    <vt:lpwstr>7;#Fleet ＆ Plant|ff828d08-30c9-46fe-9cea-dbe225d3f373</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_dlc_LastRun">
    <vt:lpwstr>03/24/2018 23:14:24</vt:lpwstr>
  </property>
  <property fmtid="{D5CDD505-2E9C-101B-9397-08002B2CF9AE}" pid="12" name="eDocs_SecurityClassification">
    <vt:lpwstr>4;#Unclassified|f33d2cd0-30e5-4f10-8d2a-4027eb6837f4</vt:lpwstr>
  </property>
  <property fmtid="{D5CDD505-2E9C-101B-9397-08002B2CF9AE}" pid="13" name="eDocs_SecurityLevel">
    <vt:lpwstr>Unclassified</vt:lpwstr>
  </property>
  <property fmtid="{D5CDD505-2E9C-101B-9397-08002B2CF9AE}" pid="14" name="eDocs_Series">
    <vt:lpwstr>1;#001|26718433-2fa9-473d-85c3-96d486fdf3d1</vt:lpwstr>
  </property>
  <property fmtid="{D5CDD505-2E9C-101B-9397-08002B2CF9AE}" pid="15" name="ge25f6a3ef6f42d4865685f2a74bf8c7">
    <vt:lpwstr/>
  </property>
  <property fmtid="{D5CDD505-2E9C-101B-9397-08002B2CF9AE}" pid="16" name="eDocs_RetentionPeriodTerm">
    <vt:lpwstr/>
  </property>
</Properties>
</file>