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014B" w14:textId="1210C269" w:rsidR="001C2526" w:rsidRDefault="00425513" w:rsidP="004C5807">
      <w:pPr>
        <w:pStyle w:val="Heading1"/>
      </w:pPr>
      <w:r w:rsidRPr="00716BC3">
        <w:rPr>
          <w:noProof/>
        </w:rPr>
        <w:drawing>
          <wp:inline distT="0" distB="0" distL="0" distR="0" wp14:anchorId="27FEF131" wp14:editId="6534B096">
            <wp:extent cx="1428750" cy="651076"/>
            <wp:effectExtent l="0" t="0" r="0" b="0"/>
            <wp:docPr id="1125862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4849" cy="667526"/>
                    </a:xfrm>
                    <a:prstGeom prst="rect">
                      <a:avLst/>
                    </a:prstGeom>
                    <a:noFill/>
                  </pic:spPr>
                </pic:pic>
              </a:graphicData>
            </a:graphic>
          </wp:inline>
        </w:drawing>
      </w:r>
    </w:p>
    <w:p w14:paraId="24A620F0" w14:textId="043E7B32" w:rsidR="00F467A3" w:rsidRPr="00E14841" w:rsidRDefault="00E14841" w:rsidP="004C5807">
      <w:pPr>
        <w:pStyle w:val="Heading1"/>
      </w:pPr>
      <w:r w:rsidRPr="00E14841">
        <w:t xml:space="preserve">RFT for </w:t>
      </w:r>
      <w:r w:rsidR="002E126E" w:rsidRPr="002E126E">
        <w:t>ICT Managed Service</w:t>
      </w:r>
    </w:p>
    <w:p w14:paraId="74800BB4" w14:textId="41B86B3E" w:rsidR="00F467A3" w:rsidRDefault="00F467A3" w:rsidP="004C5807">
      <w:pPr>
        <w:pStyle w:val="Heading1"/>
      </w:pPr>
      <w:r w:rsidRPr="00E14841">
        <w:t>Closing date for tender responses</w:t>
      </w:r>
      <w:r w:rsidR="0081314B">
        <w:t xml:space="preserve">: </w:t>
      </w:r>
      <w:r w:rsidRPr="00E14841">
        <w:t xml:space="preserve"> </w:t>
      </w:r>
      <w:r w:rsidR="0081314B" w:rsidRPr="0081314B">
        <w:t xml:space="preserve">Wednesday </w:t>
      </w:r>
      <w:r w:rsidR="00E67257">
        <w:t>5</w:t>
      </w:r>
      <w:r w:rsidR="00E67257" w:rsidRPr="00E67257">
        <w:rPr>
          <w:vertAlign w:val="superscript"/>
        </w:rPr>
        <w:t>th</w:t>
      </w:r>
      <w:r w:rsidR="00E67257">
        <w:t xml:space="preserve"> August 2026</w:t>
      </w:r>
      <w:r w:rsidR="0081314B" w:rsidRPr="0081314B">
        <w:t>, 5pm</w:t>
      </w:r>
    </w:p>
    <w:p w14:paraId="485CBBC5" w14:textId="29B314C0" w:rsidR="00E14841" w:rsidRPr="00A11B36" w:rsidRDefault="00E14841" w:rsidP="004C5807">
      <w:pPr>
        <w:pStyle w:val="Heading1"/>
      </w:pPr>
      <w:r w:rsidRPr="00A11B36">
        <w:t>Question</w:t>
      </w:r>
      <w:r w:rsidR="002E126E" w:rsidRPr="00A11B36">
        <w:t>s close</w:t>
      </w:r>
      <w:r w:rsidR="00425513" w:rsidRPr="00A11B36">
        <w:t>:</w:t>
      </w:r>
      <w:r w:rsidRPr="00A11B36">
        <w:t xml:space="preserve"> </w:t>
      </w:r>
      <w:r w:rsidR="00067054">
        <w:t xml:space="preserve"> </w:t>
      </w:r>
      <w:r w:rsidR="0081314B" w:rsidRPr="00A11B36">
        <w:t xml:space="preserve">Wednesday </w:t>
      </w:r>
      <w:r w:rsidR="00E67257">
        <w:t>29</w:t>
      </w:r>
      <w:r w:rsidR="00E67257" w:rsidRPr="00E67257">
        <w:rPr>
          <w:vertAlign w:val="superscript"/>
        </w:rPr>
        <w:t>th</w:t>
      </w:r>
      <w:r w:rsidR="00E67257">
        <w:t xml:space="preserve"> July 2026</w:t>
      </w:r>
      <w:r w:rsidR="0081314B" w:rsidRPr="00A11B36">
        <w:t>, 5pm</w:t>
      </w:r>
    </w:p>
    <w:tbl>
      <w:tblPr>
        <w:tblStyle w:val="TableGrid"/>
        <w:tblW w:w="14737" w:type="dxa"/>
        <w:tblLayout w:type="fixed"/>
        <w:tblCellMar>
          <w:top w:w="57" w:type="dxa"/>
          <w:bottom w:w="57" w:type="dxa"/>
        </w:tblCellMar>
        <w:tblLook w:val="04A0" w:firstRow="1" w:lastRow="0" w:firstColumn="1" w:lastColumn="0" w:noHBand="0" w:noVBand="1"/>
      </w:tblPr>
      <w:tblGrid>
        <w:gridCol w:w="760"/>
        <w:gridCol w:w="6988"/>
        <w:gridCol w:w="6989"/>
      </w:tblGrid>
      <w:tr w:rsidR="00E14841" w14:paraId="5A9380A0" w14:textId="77777777" w:rsidTr="7D7BB893">
        <w:trPr>
          <w:tblHeader/>
        </w:trPr>
        <w:tc>
          <w:tcPr>
            <w:tcW w:w="760" w:type="dxa"/>
            <w:shd w:val="clear" w:color="auto" w:fill="DBE5F1" w:themeFill="accent1" w:themeFillTint="33"/>
          </w:tcPr>
          <w:p w14:paraId="31BA4C02" w14:textId="1114AE82" w:rsidR="00E14841" w:rsidRPr="00431BBE" w:rsidRDefault="00E14841" w:rsidP="004C5807">
            <w:pPr>
              <w:rPr>
                <w:i/>
                <w:iCs/>
              </w:rPr>
            </w:pPr>
            <w:r w:rsidRPr="00431BBE">
              <w:rPr>
                <w:i/>
                <w:iCs/>
              </w:rPr>
              <w:t>No.</w:t>
            </w:r>
          </w:p>
        </w:tc>
        <w:tc>
          <w:tcPr>
            <w:tcW w:w="6988" w:type="dxa"/>
            <w:shd w:val="clear" w:color="auto" w:fill="DBE5F1" w:themeFill="accent1" w:themeFillTint="33"/>
          </w:tcPr>
          <w:p w14:paraId="5302C350" w14:textId="463D83FF" w:rsidR="00E14841" w:rsidRPr="00431BBE" w:rsidRDefault="00E14841" w:rsidP="004C5807">
            <w:pPr>
              <w:rPr>
                <w:i/>
                <w:iCs/>
              </w:rPr>
            </w:pPr>
            <w:r w:rsidRPr="00431BBE">
              <w:rPr>
                <w:i/>
                <w:iCs/>
              </w:rPr>
              <w:t>Question</w:t>
            </w:r>
          </w:p>
        </w:tc>
        <w:tc>
          <w:tcPr>
            <w:tcW w:w="6989" w:type="dxa"/>
            <w:shd w:val="clear" w:color="auto" w:fill="DBE5F1" w:themeFill="accent1" w:themeFillTint="33"/>
          </w:tcPr>
          <w:p w14:paraId="2C0BC50E" w14:textId="4182333E" w:rsidR="00E14841" w:rsidRPr="00431BBE" w:rsidRDefault="00E14841" w:rsidP="004C5807">
            <w:pPr>
              <w:rPr>
                <w:i/>
                <w:iCs/>
              </w:rPr>
            </w:pPr>
            <w:r w:rsidRPr="00431BBE">
              <w:rPr>
                <w:i/>
                <w:iCs/>
              </w:rPr>
              <w:t>Response</w:t>
            </w:r>
          </w:p>
        </w:tc>
      </w:tr>
      <w:tr w:rsidR="00B60D4B" w14:paraId="755259F3" w14:textId="77777777" w:rsidTr="7D7BB893">
        <w:tc>
          <w:tcPr>
            <w:tcW w:w="760" w:type="dxa"/>
          </w:tcPr>
          <w:p w14:paraId="67BA7275" w14:textId="124B0885" w:rsidR="00B60D4B" w:rsidRDefault="00B60D4B" w:rsidP="004C5807">
            <w:r>
              <w:t>1</w:t>
            </w:r>
          </w:p>
        </w:tc>
        <w:tc>
          <w:tcPr>
            <w:tcW w:w="6988" w:type="dxa"/>
          </w:tcPr>
          <w:p w14:paraId="76C5E7C3" w14:textId="09972580" w:rsidR="00B60D4B" w:rsidRPr="002E126E" w:rsidRDefault="00B60D4B" w:rsidP="004C5807">
            <w:r w:rsidRPr="00E54D5A">
              <w:t>Can AsIAm confirm whether appendices and supporting documents prepared for the original tender submission remain acceptable for the re-issued V2 competition, provided they are still current, accurate and explicitly referenced in the relevant response sections?</w:t>
            </w:r>
          </w:p>
        </w:tc>
        <w:tc>
          <w:tcPr>
            <w:tcW w:w="6989" w:type="dxa"/>
          </w:tcPr>
          <w:p w14:paraId="4404DFB7" w14:textId="429C28DE" w:rsidR="000F2830" w:rsidRDefault="000F2830" w:rsidP="000F2830">
            <w:r>
              <w:t>AsIAm confirms that supporting documents and appendices prepared for the original competition remain acceptable for the V2 competition, provided that:</w:t>
            </w:r>
          </w:p>
          <w:p w14:paraId="0A0737DD" w14:textId="77777777" w:rsidR="000F2830" w:rsidRDefault="000F2830" w:rsidP="000F2830">
            <w:pPr>
              <w:pStyle w:val="ListParagraph"/>
              <w:numPr>
                <w:ilvl w:val="0"/>
                <w:numId w:val="10"/>
              </w:numPr>
            </w:pPr>
            <w:r>
              <w:t>The content remains current and accurate as at the V2 tender deadline</w:t>
            </w:r>
          </w:p>
          <w:p w14:paraId="51F6DE98" w14:textId="77777777" w:rsidR="000F2830" w:rsidRDefault="000F2830" w:rsidP="000F2830">
            <w:pPr>
              <w:pStyle w:val="ListParagraph"/>
              <w:numPr>
                <w:ilvl w:val="0"/>
                <w:numId w:val="10"/>
              </w:numPr>
            </w:pPr>
            <w:r>
              <w:t>The documents are explicitly referenced and linked to the specific response section in which they are relied upon, in accordance with the instructions in Section A.1 of the TRD</w:t>
            </w:r>
          </w:p>
          <w:p w14:paraId="06C647BC" w14:textId="03CA9C33" w:rsidR="000F2830" w:rsidRDefault="000F2830" w:rsidP="000F2830">
            <w:pPr>
              <w:pStyle w:val="ListParagraph"/>
              <w:numPr>
                <w:ilvl w:val="0"/>
                <w:numId w:val="10"/>
              </w:numPr>
            </w:pPr>
            <w:r>
              <w:t>No material changes to the tenderer's organisation, personnel, technical capability or financial position have occurred since the original document was prepared that would affect its accuracy</w:t>
            </w:r>
          </w:p>
          <w:p w14:paraId="20B8B7BE" w14:textId="0ED6F851" w:rsidR="000F2830" w:rsidRDefault="000F2830" w:rsidP="000F2830">
            <w:r>
              <w:t>Tenderers are responsible for ensuring all submitted information, including referenced supporting documents, accurately reflects their position at the time of submission.</w:t>
            </w:r>
          </w:p>
          <w:p w14:paraId="21592E4F" w14:textId="503CC1CF" w:rsidR="00B60D4B" w:rsidRPr="002E126E" w:rsidRDefault="004C5807" w:rsidP="004C5807">
            <w:r w:rsidRPr="004C5807">
              <w:t xml:space="preserve">However, tenderers should note that appendices do not extend or replace the page limits set for the scored sections of the Tender Response Document. Narrative content required for scoring must </w:t>
            </w:r>
            <w:r w:rsidRPr="004C5807">
              <w:lastRenderedPageBreak/>
              <w:t>remain within the page limits, and any narrative placed in appendices will not be evaluated. Appendices may only be used to provide supporting evidence, artefacts, or documents referenced in the main response.</w:t>
            </w:r>
          </w:p>
        </w:tc>
      </w:tr>
      <w:tr w:rsidR="00B60D4B" w14:paraId="191DE906" w14:textId="77777777" w:rsidTr="7D7BB893">
        <w:tc>
          <w:tcPr>
            <w:tcW w:w="760" w:type="dxa"/>
          </w:tcPr>
          <w:p w14:paraId="7351A387" w14:textId="639296FA" w:rsidR="00B60D4B" w:rsidRDefault="00B60D4B" w:rsidP="004C5807">
            <w:r>
              <w:lastRenderedPageBreak/>
              <w:t>2</w:t>
            </w:r>
          </w:p>
        </w:tc>
        <w:tc>
          <w:tcPr>
            <w:tcW w:w="6988" w:type="dxa"/>
          </w:tcPr>
          <w:p w14:paraId="1DFB73BF" w14:textId="51F783BB" w:rsidR="00B60D4B" w:rsidRPr="002E126E" w:rsidRDefault="00B60D4B" w:rsidP="004C5807">
            <w:r w:rsidRPr="00E54D5A">
              <w:t>The Tender Response Document requires a Declaration as to Personal Circumstances. BITS prepared a declaration that was signed and witnessed by a solicitor in June 2026 as part of the original competition. Can AsIAm confirm whether this declaration remains acceptable for the re-issued V2 competition, or whether a newly signed and witnessed declaration is required?</w:t>
            </w:r>
          </w:p>
        </w:tc>
        <w:tc>
          <w:tcPr>
            <w:tcW w:w="6989" w:type="dxa"/>
          </w:tcPr>
          <w:p w14:paraId="040A12DE" w14:textId="77777777" w:rsidR="00DF4D8B" w:rsidRDefault="00DF4D8B" w:rsidP="00DF4D8B">
            <w:r>
              <w:t>The Declaration as to Personal Circumstances is not required to be submitted with the Tender at this stage. As set out at paragraphs 3.1 and 3.3.2(a) of the RFT, the Contracting Authority may request the Declaration from a Tenderer at any point during the Competition, and its submission is in any event a condition of award.</w:t>
            </w:r>
          </w:p>
          <w:p w14:paraId="11828008" w14:textId="77777777" w:rsidR="00DF4D8B" w:rsidRDefault="00DF4D8B" w:rsidP="00DF4D8B">
            <w:r>
              <w:t>Where the Declaration is requested, it must relate to the Tender submitted in response to this RFT, i.e. the Request for Tenders dated 6th July 2026 for the provision of an ICT Managed Service. A declaration prepared in respect of the previous competition is not acceptable for this purpose.</w:t>
            </w:r>
          </w:p>
          <w:p w14:paraId="52942A0C" w14:textId="56765AEB" w:rsidR="00B60D4B" w:rsidRPr="002E126E" w:rsidRDefault="00DF4D8B" w:rsidP="00DF4D8B">
            <w:r>
              <w:t>All other terms of the RFT remain unchanged and the Tender Deadline is unaffected.</w:t>
            </w:r>
          </w:p>
        </w:tc>
      </w:tr>
      <w:tr w:rsidR="00B60D4B" w14:paraId="5AF4A664" w14:textId="77777777" w:rsidTr="7D7BB893">
        <w:tc>
          <w:tcPr>
            <w:tcW w:w="760" w:type="dxa"/>
          </w:tcPr>
          <w:p w14:paraId="2B815CC7" w14:textId="09B6EBA9" w:rsidR="00B60D4B" w:rsidRDefault="00B60D4B" w:rsidP="004C5807">
            <w:r>
              <w:t>3</w:t>
            </w:r>
          </w:p>
        </w:tc>
        <w:tc>
          <w:tcPr>
            <w:tcW w:w="6988" w:type="dxa"/>
          </w:tcPr>
          <w:p w14:paraId="1CD110B7" w14:textId="77C3884F" w:rsidR="00B60D4B" w:rsidRPr="002E126E" w:rsidRDefault="00B60D4B" w:rsidP="004C5807">
            <w:r w:rsidRPr="00B60D4B">
              <w:t>For the cloud hosting platform ISO/IEC 27001 requirement, can AsIAm confirm that Microsoft Azure and Microsoft 365 ISO/IEC 27001 certification evidence from the Microsoft Service Trust Portal is acceptable where those Microsoft cloud services are used to deliver the proposed solution?</w:t>
            </w:r>
          </w:p>
        </w:tc>
        <w:tc>
          <w:tcPr>
            <w:tcW w:w="6989" w:type="dxa"/>
          </w:tcPr>
          <w:p w14:paraId="5473EA5E" w14:textId="77777777" w:rsidR="000F2830" w:rsidRDefault="000F2830" w:rsidP="000F2830">
            <w:r>
              <w:t>AsIAm confirms that where a tenderer's proposed solution is hosted on Microsoft Azure and/or delivered through Microsoft 365, ISO/IEC 27001 certification evidence for those platforms obtained from the Microsoft Service Trust Portal is acceptable as evidence of compliance with the cloud hosting platform certification requirement.</w:t>
            </w:r>
          </w:p>
          <w:p w14:paraId="7005DCDE" w14:textId="2BD1BF68" w:rsidR="000F2830" w:rsidRDefault="000F2830" w:rsidP="000F2830">
            <w:r>
              <w:t>Tenderers should ensure that:</w:t>
            </w:r>
          </w:p>
          <w:p w14:paraId="2BF72490" w14:textId="32567B4D" w:rsidR="000F2830" w:rsidRDefault="000F2830" w:rsidP="000F2830">
            <w:pPr>
              <w:pStyle w:val="ListParagraph"/>
              <w:numPr>
                <w:ilvl w:val="0"/>
                <w:numId w:val="9"/>
              </w:numPr>
            </w:pPr>
            <w:r>
              <w:lastRenderedPageBreak/>
              <w:t>The specific certification documents referenced are clearly identified, including the certification scope, standard version, certification body and current validity</w:t>
            </w:r>
          </w:p>
          <w:p w14:paraId="43428227" w14:textId="77777777" w:rsidR="000F2830" w:rsidRDefault="000F2830" w:rsidP="000F2830">
            <w:pPr>
              <w:pStyle w:val="ListParagraph"/>
              <w:numPr>
                <w:ilvl w:val="0"/>
                <w:numId w:val="9"/>
              </w:numPr>
            </w:pPr>
            <w:r>
              <w:t>The evidence is explicitly linked to the relevant response section in the TRD</w:t>
            </w:r>
          </w:p>
          <w:p w14:paraId="1B7B0ED4" w14:textId="28697AA4" w:rsidR="00B60D4B" w:rsidRPr="002E126E" w:rsidRDefault="000F2830" w:rsidP="000F2830">
            <w:pPr>
              <w:pStyle w:val="ListParagraph"/>
              <w:numPr>
                <w:ilvl w:val="0"/>
                <w:numId w:val="9"/>
              </w:numPr>
            </w:pPr>
            <w:r>
              <w:t>Where the tenderer also operates its own information security management system in scope of the services, evidence of the tenderer's own ISO/IEC 27001 certification should be provided separately.</w:t>
            </w:r>
          </w:p>
        </w:tc>
      </w:tr>
      <w:tr w:rsidR="00B60D4B" w14:paraId="687DB459" w14:textId="77777777" w:rsidTr="7D7BB893">
        <w:tc>
          <w:tcPr>
            <w:tcW w:w="760" w:type="dxa"/>
          </w:tcPr>
          <w:p w14:paraId="76A04030" w14:textId="497B6904" w:rsidR="00B60D4B" w:rsidRDefault="00B60D4B" w:rsidP="004C5807">
            <w:r>
              <w:lastRenderedPageBreak/>
              <w:t>4</w:t>
            </w:r>
          </w:p>
        </w:tc>
        <w:tc>
          <w:tcPr>
            <w:tcW w:w="6988" w:type="dxa"/>
          </w:tcPr>
          <w:p w14:paraId="7CCB66EC" w14:textId="518A44C7" w:rsidR="00B60D4B" w:rsidRPr="00E67257" w:rsidRDefault="00B60D4B" w:rsidP="004C5807">
            <w:r w:rsidRPr="00B60D4B">
              <w:t>Can AsIAm confirm whether any supporting documents signed or dated before the publication of the V2 RFT must be re-dated or re-executed, even where the information remains accurate and valid at the V2 tender deadline?</w:t>
            </w:r>
          </w:p>
        </w:tc>
        <w:tc>
          <w:tcPr>
            <w:tcW w:w="6989" w:type="dxa"/>
          </w:tcPr>
          <w:p w14:paraId="0F046263" w14:textId="232B019B" w:rsidR="000F2830" w:rsidRDefault="000F2830" w:rsidP="000F2830">
            <w:r>
              <w:t>AsIAm does not require supporting documents, certificates or declarations to be re-dated or re-executed solely by reason of having been prepared before the publication of the RFT V2, provided the information they contain remains accurate and valid as at the V2 tender deadline.</w:t>
            </w:r>
          </w:p>
          <w:p w14:paraId="223864BF" w14:textId="363F2F35" w:rsidR="00B60D4B" w:rsidRPr="00E67257" w:rsidRDefault="000F2830" w:rsidP="000F2830">
            <w:r>
              <w:t>Where a document has an explicit expiry date, tenderers must ensure it remains valid through the tender deadline. Where circumstances have changed since a document was originally prepared or signed, an updated document reflecting the current position must be submitted.</w:t>
            </w:r>
          </w:p>
        </w:tc>
      </w:tr>
      <w:tr w:rsidR="00616F7D" w14:paraId="2843E28B" w14:textId="77777777" w:rsidTr="7D7BB893">
        <w:tc>
          <w:tcPr>
            <w:tcW w:w="760" w:type="dxa"/>
          </w:tcPr>
          <w:p w14:paraId="397CA6AE" w14:textId="08B0063B" w:rsidR="00616F7D" w:rsidRDefault="00616F7D" w:rsidP="00616F7D">
            <w:r>
              <w:t>5</w:t>
            </w:r>
          </w:p>
        </w:tc>
        <w:tc>
          <w:tcPr>
            <w:tcW w:w="6988" w:type="dxa"/>
          </w:tcPr>
          <w:p w14:paraId="7E132DB6" w14:textId="71DA7CB4" w:rsidR="00616F7D" w:rsidRPr="002E126E" w:rsidRDefault="00616F7D" w:rsidP="00616F7D">
            <w:r w:rsidRPr="00474625">
              <w:t>Can you please confirm if the total budget mentioned in the documentation needs to also include the cost of licensing for the duration of the contract?</w:t>
            </w:r>
          </w:p>
        </w:tc>
        <w:tc>
          <w:tcPr>
            <w:tcW w:w="6989" w:type="dxa"/>
          </w:tcPr>
          <w:p w14:paraId="71CD680B" w14:textId="2F591506" w:rsidR="000A0B8A" w:rsidRDefault="000A0B8A" w:rsidP="000A0B8A">
            <w:r>
              <w:t>Tenderers must include all costs required to deliver their proposed managed service over the full contract term except where the RFT states that AsIAm already owns or procures a cost element directly.</w:t>
            </w:r>
          </w:p>
          <w:p w14:paraId="346CC873" w14:textId="5574F55E" w:rsidR="000A0B8A" w:rsidRDefault="000A0B8A" w:rsidP="000A0B8A">
            <w:r>
              <w:t>Appendix 1, Sections 0.3.5–0.3.7 confirm that AsIAm owns and procures all Microsoft 365 licences directly, so tenderers should not include costs for existing M365 licences. Only additional licences required by the tenderer’s proposed solution should be costed.</w:t>
            </w:r>
          </w:p>
          <w:p w14:paraId="1C89305A" w14:textId="2DF2C4CF" w:rsidR="000A0B8A" w:rsidRDefault="000A0B8A" w:rsidP="000A0B8A">
            <w:r>
              <w:lastRenderedPageBreak/>
              <w:t>Costs that must be included are:</w:t>
            </w:r>
          </w:p>
          <w:p w14:paraId="561452B5" w14:textId="11D4DB6E" w:rsidR="000A0B8A" w:rsidRDefault="000A0B8A" w:rsidP="000A0B8A">
            <w:pPr>
              <w:pStyle w:val="ListParagraph"/>
              <w:numPr>
                <w:ilvl w:val="0"/>
                <w:numId w:val="11"/>
              </w:numPr>
            </w:pPr>
            <w:r>
              <w:t>All non</w:t>
            </w:r>
            <w:r w:rsidRPr="000A0B8A">
              <w:rPr>
                <w:rFonts w:ascii="Cambria Math" w:hAnsi="Cambria Math" w:cs="Cambria Math"/>
              </w:rPr>
              <w:t>‑</w:t>
            </w:r>
            <w:r>
              <w:t>Microsoft licences required for the proposed architecture</w:t>
            </w:r>
          </w:p>
          <w:p w14:paraId="2F08CE44" w14:textId="036697A9" w:rsidR="000A0B8A" w:rsidRDefault="000A0B8A" w:rsidP="000A0B8A">
            <w:pPr>
              <w:pStyle w:val="ListParagraph"/>
              <w:numPr>
                <w:ilvl w:val="0"/>
                <w:numId w:val="11"/>
              </w:numPr>
            </w:pPr>
            <w:r>
              <w:t>All implementation costs for Phases 1–5 (Appendix 1, Section 3)</w:t>
            </w:r>
          </w:p>
          <w:p w14:paraId="7E524249" w14:textId="740BCA8E" w:rsidR="000A0B8A" w:rsidRDefault="000A0B8A" w:rsidP="000A0B8A">
            <w:pPr>
              <w:pStyle w:val="ListParagraph"/>
              <w:numPr>
                <w:ilvl w:val="0"/>
                <w:numId w:val="11"/>
              </w:numPr>
            </w:pPr>
            <w:r>
              <w:t>All recurring managed service costs for Years 1–6 (Appendix 2)</w:t>
            </w:r>
          </w:p>
          <w:p w14:paraId="26719C7A" w14:textId="36B90BF0" w:rsidR="000A0B8A" w:rsidRDefault="000A0B8A" w:rsidP="000A0B8A">
            <w:pPr>
              <w:pStyle w:val="ListParagraph"/>
              <w:numPr>
                <w:ilvl w:val="0"/>
                <w:numId w:val="11"/>
              </w:numPr>
            </w:pPr>
            <w:r>
              <w:t>Any cloud hosting, storage, infrastructure or third</w:t>
            </w:r>
            <w:r w:rsidRPr="000A0B8A">
              <w:rPr>
                <w:rFonts w:ascii="Cambria Math" w:hAnsi="Cambria Math" w:cs="Cambria Math"/>
              </w:rPr>
              <w:t>‑</w:t>
            </w:r>
            <w:r>
              <w:t>party services required by the tenderer</w:t>
            </w:r>
            <w:r w:rsidRPr="000A0B8A">
              <w:rPr>
                <w:rFonts w:ascii="Calibri" w:hAnsi="Calibri" w:cs="Calibri"/>
              </w:rPr>
              <w:t>’</w:t>
            </w:r>
            <w:r>
              <w:t>s design</w:t>
            </w:r>
          </w:p>
          <w:p w14:paraId="02672AC7" w14:textId="37EA6888" w:rsidR="000A0B8A" w:rsidRDefault="000A0B8A" w:rsidP="000A0B8A">
            <w:pPr>
              <w:pStyle w:val="ListParagraph"/>
              <w:numPr>
                <w:ilvl w:val="0"/>
                <w:numId w:val="11"/>
              </w:numPr>
            </w:pPr>
            <w:r>
              <w:t>Any hardware the tenderer proposes to supply or replace</w:t>
            </w:r>
          </w:p>
          <w:p w14:paraId="2A6878BF" w14:textId="18A61E70" w:rsidR="000A0B8A" w:rsidRDefault="000A0B8A" w:rsidP="000A0B8A">
            <w:r>
              <w:t>Costs that may be excluded are:</w:t>
            </w:r>
          </w:p>
          <w:p w14:paraId="1195FF77" w14:textId="3B467292" w:rsidR="000A0B8A" w:rsidRDefault="000A0B8A" w:rsidP="000A0B8A">
            <w:pPr>
              <w:pStyle w:val="ListParagraph"/>
              <w:numPr>
                <w:ilvl w:val="0"/>
                <w:numId w:val="12"/>
              </w:numPr>
            </w:pPr>
            <w:r>
              <w:t>Existing Microsoft 365 licences owned by AsIAm</w:t>
            </w:r>
          </w:p>
          <w:p w14:paraId="4E1246E9" w14:textId="72EE4E80" w:rsidR="000A0B8A" w:rsidRDefault="000A0B8A" w:rsidP="000A0B8A">
            <w:pPr>
              <w:pStyle w:val="ListParagraph"/>
              <w:numPr>
                <w:ilvl w:val="0"/>
                <w:numId w:val="12"/>
              </w:numPr>
            </w:pPr>
            <w:r>
              <w:t>Any costs relating to the incumbent Ekco environment that will be retired</w:t>
            </w:r>
          </w:p>
          <w:p w14:paraId="19810F3A" w14:textId="1F1B3C8A" w:rsidR="000A0B8A" w:rsidRDefault="000A0B8A" w:rsidP="000A0B8A">
            <w:pPr>
              <w:pStyle w:val="ListParagraph"/>
              <w:numPr>
                <w:ilvl w:val="0"/>
                <w:numId w:val="12"/>
              </w:numPr>
            </w:pPr>
            <w:r>
              <w:t>Optional future work outside the defined phases (Appendix 1, Section 1.11)</w:t>
            </w:r>
          </w:p>
          <w:p w14:paraId="40CD8A6A" w14:textId="0731DDEB" w:rsidR="00616F7D" w:rsidRPr="002E126E" w:rsidRDefault="000A0B8A" w:rsidP="000A0B8A">
            <w:r>
              <w:t>Tenderers should ensure all included costs are complete and aligned with the Pricing Schedule.</w:t>
            </w:r>
          </w:p>
        </w:tc>
      </w:tr>
      <w:tr w:rsidR="00866817" w14:paraId="4EF89B1E" w14:textId="77777777" w:rsidTr="7D7BB893">
        <w:tc>
          <w:tcPr>
            <w:tcW w:w="760" w:type="dxa"/>
          </w:tcPr>
          <w:p w14:paraId="4B6EA68D" w14:textId="63EBBE9A" w:rsidR="00866817" w:rsidRDefault="00866817" w:rsidP="00866817">
            <w:r>
              <w:lastRenderedPageBreak/>
              <w:t>6</w:t>
            </w:r>
          </w:p>
        </w:tc>
        <w:tc>
          <w:tcPr>
            <w:tcW w:w="6988" w:type="dxa"/>
          </w:tcPr>
          <w:p w14:paraId="6EF841CB" w14:textId="0EBF9ECC" w:rsidR="00866817" w:rsidRPr="002E126E" w:rsidRDefault="00866817" w:rsidP="00866817">
            <w:r w:rsidRPr="003E228E">
              <w:t>Can you please clarify the “on</w:t>
            </w:r>
            <w:r w:rsidRPr="003E228E">
              <w:rPr>
                <w:rFonts w:ascii="Cambria Math" w:hAnsi="Cambria Math" w:cs="Cambria Math"/>
              </w:rPr>
              <w:t>‑</w:t>
            </w:r>
            <w:r w:rsidRPr="003E228E">
              <w:t>site managed services</w:t>
            </w:r>
            <w:r w:rsidRPr="003E228E">
              <w:rPr>
                <w:rFonts w:ascii="Aptos" w:hAnsi="Aptos" w:cs="Aptos"/>
              </w:rPr>
              <w:t>”</w:t>
            </w:r>
            <w:r w:rsidRPr="003E228E">
              <w:t xml:space="preserve"> mentioned in the documents </w:t>
            </w:r>
            <w:r w:rsidRPr="003E228E">
              <w:rPr>
                <w:rFonts w:ascii="Aptos" w:hAnsi="Aptos" w:cs="Aptos"/>
              </w:rPr>
              <w:t>–</w:t>
            </w:r>
            <w:r w:rsidRPr="003E228E">
              <w:t xml:space="preserve"> is there a need for a physical presence or is a mostly remote support model acceptable? If on</w:t>
            </w:r>
            <w:r w:rsidRPr="003E228E">
              <w:rPr>
                <w:rFonts w:ascii="Cambria Math" w:hAnsi="Cambria Math" w:cs="Cambria Math"/>
              </w:rPr>
              <w:t>‑</w:t>
            </w:r>
            <w:r w:rsidRPr="003E228E">
              <w:t>site support is required, could that be agreed and scheduled in advance? What is included in the on</w:t>
            </w:r>
            <w:r w:rsidRPr="003E228E">
              <w:rPr>
                <w:rFonts w:ascii="Cambria Math" w:hAnsi="Cambria Math" w:cs="Cambria Math"/>
              </w:rPr>
              <w:t>‑</w:t>
            </w:r>
            <w:r w:rsidRPr="003E228E">
              <w:t>site services you are currently receiving, and is that what is shown in your 2025 pricing shared with us?</w:t>
            </w:r>
          </w:p>
        </w:tc>
        <w:tc>
          <w:tcPr>
            <w:tcW w:w="6989" w:type="dxa"/>
          </w:tcPr>
          <w:p w14:paraId="4500E907" w14:textId="683BA0B8" w:rsidR="00866817" w:rsidRPr="002E126E" w:rsidRDefault="00866817" w:rsidP="00866817">
            <w:r w:rsidRPr="003E228E">
              <w:t>AsIAm operates a hybrid support model. Appendix 1, Section 0.3.3 states that support is delivered through a hybrid model combining remote support with onsite attendance as required. As clarified in the previous RFT (Clarification No. 6), onsite support is rarely required but tenderers must be capable of providing onsite resources within response times commensurate with the severity of the issue. On</w:t>
            </w:r>
            <w:r w:rsidRPr="003E228E">
              <w:rPr>
                <w:rFonts w:ascii="Cambria Math" w:hAnsi="Cambria Math" w:cs="Cambria Math"/>
              </w:rPr>
              <w:t>‑</w:t>
            </w:r>
            <w:r w:rsidRPr="003E228E">
              <w:t xml:space="preserve">site visits can normally be scheduled in advance except where emergency attendance is required. The </w:t>
            </w:r>
            <w:r w:rsidRPr="003E228E">
              <w:rPr>
                <w:rFonts w:ascii="Aptos" w:hAnsi="Aptos" w:cs="Aptos"/>
              </w:rPr>
              <w:t>“</w:t>
            </w:r>
            <w:r w:rsidRPr="003E228E">
              <w:t>On</w:t>
            </w:r>
            <w:r w:rsidRPr="003E228E">
              <w:rPr>
                <w:rFonts w:ascii="Cambria Math" w:hAnsi="Cambria Math" w:cs="Cambria Math"/>
              </w:rPr>
              <w:t>‑</w:t>
            </w:r>
            <w:r w:rsidRPr="003E228E">
              <w:t>site managed services</w:t>
            </w:r>
            <w:r w:rsidRPr="003E228E">
              <w:rPr>
                <w:rFonts w:ascii="Aptos" w:hAnsi="Aptos" w:cs="Aptos"/>
              </w:rPr>
              <w:t>”</w:t>
            </w:r>
            <w:r w:rsidRPr="003E228E">
              <w:t xml:space="preserve"> line in the 2025 cost table refers to the onsite component of the current MSP</w:t>
            </w:r>
            <w:r w:rsidRPr="003E228E">
              <w:rPr>
                <w:rFonts w:ascii="Aptos" w:hAnsi="Aptos" w:cs="Aptos"/>
              </w:rPr>
              <w:t>’</w:t>
            </w:r>
            <w:r w:rsidRPr="003E228E">
              <w:t>s service.</w:t>
            </w:r>
          </w:p>
        </w:tc>
      </w:tr>
      <w:tr w:rsidR="000A0B8A" w14:paraId="7D32B44C" w14:textId="77777777" w:rsidTr="7D7BB893">
        <w:tc>
          <w:tcPr>
            <w:tcW w:w="760" w:type="dxa"/>
          </w:tcPr>
          <w:p w14:paraId="56833332" w14:textId="65FC0A7C" w:rsidR="000A0B8A" w:rsidRDefault="000A0B8A" w:rsidP="000A0B8A">
            <w:r>
              <w:lastRenderedPageBreak/>
              <w:t>7</w:t>
            </w:r>
          </w:p>
        </w:tc>
        <w:tc>
          <w:tcPr>
            <w:tcW w:w="6988" w:type="dxa"/>
          </w:tcPr>
          <w:p w14:paraId="024FD916" w14:textId="0B18F038" w:rsidR="000A0B8A" w:rsidRPr="002E126E" w:rsidRDefault="000A0B8A" w:rsidP="000A0B8A">
            <w:r w:rsidRPr="00C31F12">
              <w:t>Can AsIAm provide details of any business applications, workflows, integrations or operational dependencies that currently require use of the Remote Desktop environment, and which must be accommodated within the future</w:t>
            </w:r>
            <w:r w:rsidRPr="00C31F12">
              <w:rPr>
                <w:rFonts w:ascii="Cambria Math" w:hAnsi="Cambria Math" w:cs="Cambria Math"/>
              </w:rPr>
              <w:t>‑</w:t>
            </w:r>
            <w:r w:rsidRPr="00C31F12">
              <w:t>state solution?</w:t>
            </w:r>
          </w:p>
        </w:tc>
        <w:tc>
          <w:tcPr>
            <w:tcW w:w="6989" w:type="dxa"/>
          </w:tcPr>
          <w:p w14:paraId="7C23269E" w14:textId="77777777" w:rsidR="000A0B8A" w:rsidRDefault="000A0B8A" w:rsidP="000A0B8A">
            <w:r w:rsidRPr="00C31F12">
              <w:t xml:space="preserve">There </w:t>
            </w:r>
            <w:proofErr w:type="gramStart"/>
            <w:r w:rsidRPr="00C31F12">
              <w:t>are</w:t>
            </w:r>
            <w:proofErr w:type="gramEnd"/>
            <w:r w:rsidRPr="00C31F12">
              <w:t xml:space="preserve"> no significant business applications tied to the Remote Desktop environment. As clarified in the previous RFT (Clarification No. 16), the RDS server primarily uses the Microsoft 365 suite and all other applications are browser</w:t>
            </w:r>
            <w:r w:rsidRPr="00C31F12">
              <w:rPr>
                <w:rFonts w:ascii="Cambria Math" w:hAnsi="Cambria Math" w:cs="Cambria Math"/>
              </w:rPr>
              <w:t>‑</w:t>
            </w:r>
            <w:r w:rsidRPr="00C31F12">
              <w:t xml:space="preserve">based. The RDS is used mainly to access the S: Drive and U: Drive, both of which will be migrated under the Implementation Programme (Appendix 1, Section 3). </w:t>
            </w:r>
          </w:p>
          <w:p w14:paraId="4C47E540" w14:textId="30C12131" w:rsidR="000A0B8A" w:rsidRPr="002E126E" w:rsidRDefault="000A0B8A" w:rsidP="000A0B8A">
            <w:r w:rsidRPr="00C31F12">
              <w:t>Tenderers should assume that the future</w:t>
            </w:r>
            <w:r w:rsidRPr="00C31F12">
              <w:rPr>
                <w:rFonts w:ascii="Cambria Math" w:hAnsi="Cambria Math" w:cs="Cambria Math"/>
              </w:rPr>
              <w:t>‑</w:t>
            </w:r>
            <w:r w:rsidRPr="00C31F12">
              <w:t>state Microsoft 365 workspace must accommodate all current data stored on the RDS, but no specialised legacy applications.</w:t>
            </w:r>
          </w:p>
        </w:tc>
      </w:tr>
      <w:tr w:rsidR="000A0B8A" w14:paraId="53602606" w14:textId="77777777" w:rsidTr="7D7BB893">
        <w:tc>
          <w:tcPr>
            <w:tcW w:w="760" w:type="dxa"/>
          </w:tcPr>
          <w:p w14:paraId="6B728163" w14:textId="112B3082" w:rsidR="000A0B8A" w:rsidRDefault="000A0B8A" w:rsidP="000A0B8A">
            <w:r>
              <w:t>8</w:t>
            </w:r>
          </w:p>
        </w:tc>
        <w:tc>
          <w:tcPr>
            <w:tcW w:w="6988" w:type="dxa"/>
          </w:tcPr>
          <w:p w14:paraId="22DAB0D9" w14:textId="2416F5F2" w:rsidR="000A0B8A" w:rsidRPr="002E126E" w:rsidRDefault="000A0B8A" w:rsidP="000A0B8A">
            <w:r w:rsidRPr="002E1DC4">
              <w:t>Can AsIAm provide further information regarding the current S: Drive structure, including the number of major departmental repositories, permissions groups and any known areas of particularly complex access control?</w:t>
            </w:r>
          </w:p>
        </w:tc>
        <w:tc>
          <w:tcPr>
            <w:tcW w:w="6989" w:type="dxa"/>
          </w:tcPr>
          <w:p w14:paraId="118EDD01" w14:textId="77777777" w:rsidR="000A0B8A" w:rsidRDefault="000A0B8A" w:rsidP="000A0B8A">
            <w:r w:rsidRPr="002E1DC4">
              <w:t xml:space="preserve">A detailed breakdown is not available. As clarified previously (Clarification No. 18), this information would require a full audit of the data held and tenderers should assume that no data can be archived. The S: Drive contains multiple departmental folders with varied permissions. </w:t>
            </w:r>
          </w:p>
          <w:p w14:paraId="3ABF2E4D" w14:textId="2C714C75" w:rsidR="000A0B8A" w:rsidRPr="002E126E" w:rsidRDefault="000A0B8A" w:rsidP="000A0B8A">
            <w:r w:rsidRPr="002E1DC4">
              <w:t>The precise structure and complexity will be established during Phase 1 (Discovery), as described in Appendix 1, Section 3.1. Tenderers should assume a full redesign of folder structure and role</w:t>
            </w:r>
            <w:r w:rsidRPr="002E1DC4">
              <w:rPr>
                <w:rFonts w:ascii="Cambria Math" w:hAnsi="Cambria Math" w:cs="Cambria Math"/>
              </w:rPr>
              <w:t>‑</w:t>
            </w:r>
            <w:r w:rsidRPr="002E1DC4">
              <w:t>based access as required under Appendix 1, Section 1.7.</w:t>
            </w:r>
          </w:p>
        </w:tc>
      </w:tr>
      <w:tr w:rsidR="000A0B8A" w14:paraId="5BC495EF" w14:textId="77777777" w:rsidTr="7D7BB893">
        <w:tc>
          <w:tcPr>
            <w:tcW w:w="760" w:type="dxa"/>
          </w:tcPr>
          <w:p w14:paraId="369532A8" w14:textId="40F0AF90" w:rsidR="000A0B8A" w:rsidRDefault="000A0B8A" w:rsidP="000A0B8A">
            <w:r>
              <w:t>9</w:t>
            </w:r>
          </w:p>
        </w:tc>
        <w:tc>
          <w:tcPr>
            <w:tcW w:w="6988" w:type="dxa"/>
          </w:tcPr>
          <w:p w14:paraId="14C53452" w14:textId="39A02D76" w:rsidR="000A0B8A" w:rsidRPr="002E126E" w:rsidRDefault="000A0B8A" w:rsidP="000A0B8A">
            <w:r w:rsidRPr="003D1E60">
              <w:t>Can AsIAm confirm that implementation activities not expressly identified during tender preparation but subsequently identified (during discovery perhaps) cannot be included within the fixed implementation pricing – and should likely be funded using the provided rate card and effort estimates to be mutually agreed?</w:t>
            </w:r>
          </w:p>
        </w:tc>
        <w:tc>
          <w:tcPr>
            <w:tcW w:w="6989" w:type="dxa"/>
          </w:tcPr>
          <w:p w14:paraId="57666C21" w14:textId="2F03C273" w:rsidR="0096437B" w:rsidRDefault="0096437B" w:rsidP="0096437B">
            <w:r>
              <w:t>The fixed implementation pricing must cover all activities required to deliver the phases described in Appendix 1, Section 3. However, AsIAm recognises that tenderers may identify material gaps, omissions or dependencies during tender preparation that could reasonably impact delivery of the implementation programme.</w:t>
            </w:r>
          </w:p>
          <w:p w14:paraId="6A1691B5" w14:textId="3C47F160" w:rsidR="0096437B" w:rsidRDefault="0096437B" w:rsidP="0096437B">
            <w:r>
              <w:t>Where a tenderer identifies such a gap, the tenderer is expected to:</w:t>
            </w:r>
          </w:p>
          <w:p w14:paraId="0C2A3DF8" w14:textId="113F1652" w:rsidR="0096437B" w:rsidRDefault="0096437B" w:rsidP="0096437B">
            <w:pPr>
              <w:pStyle w:val="ListParagraph"/>
              <w:numPr>
                <w:ilvl w:val="0"/>
                <w:numId w:val="13"/>
              </w:numPr>
            </w:pPr>
            <w:r>
              <w:t>Explicitly identify the perceived gap in their response;</w:t>
            </w:r>
          </w:p>
          <w:p w14:paraId="2593BA6F" w14:textId="08BE8D4A" w:rsidR="0096437B" w:rsidRDefault="0096437B" w:rsidP="0096437B">
            <w:pPr>
              <w:pStyle w:val="ListParagraph"/>
              <w:numPr>
                <w:ilvl w:val="0"/>
                <w:numId w:val="13"/>
              </w:numPr>
            </w:pPr>
            <w:r>
              <w:lastRenderedPageBreak/>
              <w:t>Explain the impact on delivery, cost or risk;</w:t>
            </w:r>
          </w:p>
          <w:p w14:paraId="27DA2879" w14:textId="497AD808" w:rsidR="0096437B" w:rsidRDefault="0096437B" w:rsidP="0096437B">
            <w:pPr>
              <w:pStyle w:val="ListParagraph"/>
              <w:numPr>
                <w:ilvl w:val="0"/>
                <w:numId w:val="13"/>
              </w:numPr>
            </w:pPr>
            <w:r>
              <w:t>State any assumptions made to address the gap; and</w:t>
            </w:r>
          </w:p>
          <w:p w14:paraId="3D669E7A" w14:textId="514E7211" w:rsidR="0096437B" w:rsidRDefault="0096437B" w:rsidP="0096437B">
            <w:pPr>
              <w:pStyle w:val="ListParagraph"/>
              <w:numPr>
                <w:ilvl w:val="0"/>
                <w:numId w:val="13"/>
              </w:numPr>
            </w:pPr>
            <w:r>
              <w:t>Include the associated cost within their implementation pricing.</w:t>
            </w:r>
          </w:p>
          <w:p w14:paraId="24DA7A60" w14:textId="77777777" w:rsidR="0096437B" w:rsidRDefault="0096437B" w:rsidP="0096437B">
            <w:r>
              <w:t>This ensures that tenderers do not omit necessary cost elements or under</w:t>
            </w:r>
            <w:r>
              <w:rPr>
                <w:rFonts w:ascii="Cambria Math" w:hAnsi="Cambria Math" w:cs="Cambria Math"/>
              </w:rPr>
              <w:t>‑</w:t>
            </w:r>
            <w:r>
              <w:t>scope their solution.</w:t>
            </w:r>
          </w:p>
          <w:p w14:paraId="3CEA9E2F" w14:textId="518E0B25" w:rsidR="0096437B" w:rsidRDefault="0096437B" w:rsidP="0096437B">
            <w:r>
              <w:t>Where a tenderer provides a clear, justified and evidence</w:t>
            </w:r>
            <w:r>
              <w:rPr>
                <w:rFonts w:ascii="Cambria Math" w:hAnsi="Cambria Math" w:cs="Cambria Math"/>
              </w:rPr>
              <w:t>‑</w:t>
            </w:r>
            <w:r>
              <w:t>based explanation of such gaps, this will be reflected positively in scoring, provided the rationale is appropriate and consistent with the RFT.</w:t>
            </w:r>
          </w:p>
          <w:p w14:paraId="6C74E6BB" w14:textId="0FC3472C" w:rsidR="000A0B8A" w:rsidRPr="002E126E" w:rsidRDefault="0096437B" w:rsidP="0096437B">
            <w:r>
              <w:t>Activities that fall outside the defined scope of the implementation phases, and which are not reasonably foreseeable at tender stage, may be delivered through Optional / Drawdown Services at agreed day rates (Appendix 1, Section 1.11).</w:t>
            </w:r>
          </w:p>
        </w:tc>
      </w:tr>
      <w:tr w:rsidR="000A0B8A" w14:paraId="3BD41796" w14:textId="77777777" w:rsidTr="7D7BB893">
        <w:tc>
          <w:tcPr>
            <w:tcW w:w="760" w:type="dxa"/>
          </w:tcPr>
          <w:p w14:paraId="23ABD555" w14:textId="501B1D9A" w:rsidR="000A0B8A" w:rsidRDefault="000A0B8A" w:rsidP="000A0B8A">
            <w:r>
              <w:lastRenderedPageBreak/>
              <w:t>10</w:t>
            </w:r>
          </w:p>
        </w:tc>
        <w:tc>
          <w:tcPr>
            <w:tcW w:w="6988" w:type="dxa"/>
          </w:tcPr>
          <w:p w14:paraId="1223EA89" w14:textId="456F92E0" w:rsidR="000A0B8A" w:rsidRPr="002E126E" w:rsidRDefault="000A0B8A" w:rsidP="000A0B8A">
            <w:r w:rsidRPr="005766AE">
              <w:t>Can AsIAm confirm whether the successful supplier is expected to migrate all user data currently residing within the Remote Desktop environment into the future Microsoft 365</w:t>
            </w:r>
            <w:r w:rsidRPr="005766AE">
              <w:rPr>
                <w:rFonts w:ascii="Cambria Math" w:hAnsi="Cambria Math" w:cs="Cambria Math"/>
              </w:rPr>
              <w:t>‑</w:t>
            </w:r>
            <w:r w:rsidRPr="005766AE">
              <w:t>based workspace, or whether some data is expected to remain outside the Microsoft 365 platform?</w:t>
            </w:r>
          </w:p>
        </w:tc>
        <w:tc>
          <w:tcPr>
            <w:tcW w:w="6989" w:type="dxa"/>
          </w:tcPr>
          <w:p w14:paraId="35051AC4" w14:textId="77777777" w:rsidR="0096437B" w:rsidRDefault="000A0B8A" w:rsidP="000A0B8A">
            <w:r w:rsidRPr="005766AE">
              <w:t>All data must be migrated. Appendix 1, Section 0.3.4 states that tenderers should assume that no existing data can be archived or excluded from migration and that all data must be accounted for in the proposed file storage architecture. This includes all S: Drive, U: Drive and RDS</w:t>
            </w:r>
            <w:r w:rsidRPr="005766AE">
              <w:rPr>
                <w:rFonts w:ascii="Cambria Math" w:hAnsi="Cambria Math" w:cs="Cambria Math"/>
              </w:rPr>
              <w:t>‑</w:t>
            </w:r>
            <w:r w:rsidRPr="005766AE">
              <w:t xml:space="preserve">hosted user data. </w:t>
            </w:r>
          </w:p>
          <w:p w14:paraId="06E93648" w14:textId="0F39BC9A" w:rsidR="000A0B8A" w:rsidRPr="002E126E" w:rsidRDefault="000A0B8A" w:rsidP="000A0B8A">
            <w:r w:rsidRPr="005766AE">
              <w:t>No data is expected to remain outside Microsoft 365 following completion of the Implementation Programme.</w:t>
            </w:r>
          </w:p>
        </w:tc>
      </w:tr>
      <w:tr w:rsidR="000A0B8A" w14:paraId="3F0A53B2" w14:textId="77777777" w:rsidTr="7D7BB893">
        <w:tc>
          <w:tcPr>
            <w:tcW w:w="760" w:type="dxa"/>
          </w:tcPr>
          <w:p w14:paraId="4176BCC3" w14:textId="352DCB64" w:rsidR="000A0B8A" w:rsidRDefault="000A0B8A" w:rsidP="000A0B8A">
            <w:r>
              <w:t>11</w:t>
            </w:r>
          </w:p>
        </w:tc>
        <w:tc>
          <w:tcPr>
            <w:tcW w:w="6988" w:type="dxa"/>
          </w:tcPr>
          <w:p w14:paraId="03345910" w14:textId="551B2396" w:rsidR="000A0B8A" w:rsidRPr="002E126E" w:rsidRDefault="000A0B8A" w:rsidP="000A0B8A">
            <w:r w:rsidRPr="00C5420C">
              <w:t>Can AsIAm confirm whether any business applications are currently hosted within the Ekco</w:t>
            </w:r>
            <w:r w:rsidRPr="00C5420C">
              <w:rPr>
                <w:rFonts w:ascii="Cambria Math" w:hAnsi="Cambria Math" w:cs="Cambria Math"/>
              </w:rPr>
              <w:t>‑</w:t>
            </w:r>
            <w:r w:rsidRPr="00C5420C">
              <w:t>managed server estate and, if so, whether these form part of the implementation programme and future support scope?</w:t>
            </w:r>
          </w:p>
        </w:tc>
        <w:tc>
          <w:tcPr>
            <w:tcW w:w="6989" w:type="dxa"/>
          </w:tcPr>
          <w:p w14:paraId="06B011F6" w14:textId="77777777" w:rsidR="0096437B" w:rsidRDefault="000A0B8A" w:rsidP="000A0B8A">
            <w:r w:rsidRPr="00C5420C">
              <w:t>No business applications are hosted on the Ekco</w:t>
            </w:r>
            <w:r w:rsidRPr="00C5420C">
              <w:rPr>
                <w:rFonts w:ascii="Cambria Math" w:hAnsi="Cambria Math" w:cs="Cambria Math"/>
              </w:rPr>
              <w:t>‑</w:t>
            </w:r>
            <w:r w:rsidRPr="00C5420C">
              <w:t>managed servers beyond the Windows Server roles described in Appendix 1, Section 0.4. As clarified previously (Clarification No. 16), the RDS server primarily uses the Microsoft 365 suite and all other applications are browser</w:t>
            </w:r>
            <w:r w:rsidRPr="00C5420C">
              <w:rPr>
                <w:rFonts w:ascii="Cambria Math" w:hAnsi="Cambria Math" w:cs="Cambria Math"/>
              </w:rPr>
              <w:t>‑</w:t>
            </w:r>
            <w:r w:rsidRPr="00C5420C">
              <w:t xml:space="preserve">based. </w:t>
            </w:r>
          </w:p>
          <w:p w14:paraId="0A497496" w14:textId="1FE09B3C" w:rsidR="000A0B8A" w:rsidRPr="002E126E" w:rsidRDefault="000A0B8A" w:rsidP="000A0B8A">
            <w:r w:rsidRPr="00C5420C">
              <w:lastRenderedPageBreak/>
              <w:t>The Ekco servers host the Domain Controller, S: Drive, Remote Desktop Server and U: Drive. These components are in scope for discovery, migration and decommissioning under the Implementation Programme (Appendix 1, Section 3).</w:t>
            </w:r>
          </w:p>
        </w:tc>
      </w:tr>
      <w:tr w:rsidR="00DA66C2" w14:paraId="76D67649" w14:textId="77777777" w:rsidTr="00DA66C2">
        <w:tc>
          <w:tcPr>
            <w:tcW w:w="760" w:type="dxa"/>
          </w:tcPr>
          <w:p w14:paraId="4CEF982B" w14:textId="3145C041" w:rsidR="00DA66C2" w:rsidRPr="00DA66C2" w:rsidRDefault="00DA66C2" w:rsidP="00DA66C2">
            <w:pPr>
              <w:rPr>
                <w:lang w:val="en-GB"/>
              </w:rPr>
            </w:pPr>
            <w:r w:rsidRPr="00DA66C2">
              <w:rPr>
                <w:rStyle w:val="Strong"/>
                <w:b w:val="0"/>
                <w:bCs w:val="0"/>
              </w:rPr>
              <w:lastRenderedPageBreak/>
              <w:t>12</w:t>
            </w:r>
          </w:p>
        </w:tc>
        <w:tc>
          <w:tcPr>
            <w:tcW w:w="6988" w:type="dxa"/>
          </w:tcPr>
          <w:p w14:paraId="1EAD87BC" w14:textId="03714663" w:rsidR="00DA66C2" w:rsidRPr="00DA66C2" w:rsidRDefault="00DA66C2" w:rsidP="00DA66C2">
            <w:r w:rsidRPr="00DA66C2">
              <w:t>Microsoft Intune Environment: Please confirm the current maturity of the Microsoft Intune environment, including the number of enrolled devices, operating systems supported, device enrolment model, and whether Microsoft Intune is expected to remain the strategic endpoint management platform under the new contract.</w:t>
            </w:r>
          </w:p>
        </w:tc>
        <w:tc>
          <w:tcPr>
            <w:tcW w:w="6989" w:type="dxa"/>
          </w:tcPr>
          <w:p w14:paraId="023CF02C" w14:textId="6D095C0A" w:rsidR="00DA66C2" w:rsidRPr="00DA66C2" w:rsidRDefault="00DA66C2" w:rsidP="00DA66C2">
            <w:r w:rsidRPr="00DA66C2">
              <w:t>The majority of devices are Azure AD</w:t>
            </w:r>
            <w:r w:rsidRPr="00DA66C2">
              <w:noBreakHyphen/>
              <w:t>joined with Intune device management in place, as noted in Appendix 1, Section 0.3.4. A small number of devices remain AD</w:t>
            </w:r>
            <w:r w:rsidRPr="00DA66C2">
              <w:noBreakHyphen/>
              <w:t xml:space="preserve">joined or unjoined. Intune is expected to remain the strategic endpoint management platform under the new contract with the </w:t>
            </w:r>
            <w:r>
              <w:t>s</w:t>
            </w:r>
            <w:r w:rsidRPr="00DA66C2">
              <w:t>uccessful Tenderer responsible for standardising enrolment, ensuring full compliance and completing any required remediation.</w:t>
            </w:r>
          </w:p>
        </w:tc>
      </w:tr>
      <w:tr w:rsidR="00DA66C2" w14:paraId="020A58AC" w14:textId="77777777" w:rsidTr="00DA66C2">
        <w:tc>
          <w:tcPr>
            <w:tcW w:w="760" w:type="dxa"/>
          </w:tcPr>
          <w:p w14:paraId="1FF28402" w14:textId="3C23E499" w:rsidR="00DA66C2" w:rsidRPr="00DA66C2" w:rsidRDefault="00DA66C2" w:rsidP="00DA66C2">
            <w:r w:rsidRPr="00DA66C2">
              <w:rPr>
                <w:rStyle w:val="Strong"/>
                <w:b w:val="0"/>
                <w:bCs w:val="0"/>
              </w:rPr>
              <w:t>13</w:t>
            </w:r>
          </w:p>
        </w:tc>
        <w:tc>
          <w:tcPr>
            <w:tcW w:w="6988" w:type="dxa"/>
          </w:tcPr>
          <w:p w14:paraId="35BF0EF4" w14:textId="57A0FBC8" w:rsidR="00DA66C2" w:rsidRPr="00DA66C2" w:rsidRDefault="00DA66C2" w:rsidP="00DA66C2">
            <w:r w:rsidRPr="00DA66C2">
              <w:t>Existing / Legacy Backup: Please confirm whether the successful Tenderer is required to maintain access to, retain, or migrate any existing backup repositories or historical backup data currently held by the incumbent provider.</w:t>
            </w:r>
          </w:p>
        </w:tc>
        <w:tc>
          <w:tcPr>
            <w:tcW w:w="6989" w:type="dxa"/>
          </w:tcPr>
          <w:p w14:paraId="70291CFF" w14:textId="77777777" w:rsidR="00292C1F" w:rsidRDefault="00DA66C2" w:rsidP="00DA66C2">
            <w:r w:rsidRPr="00DA66C2">
              <w:t xml:space="preserve">AsIAm does not require retention of legacy backup repositories beyond what is necessary to complete the migration and ensure continuity. Tenderers should assume that all live data must be migrated (Appendix 1, Section 0.3.4). </w:t>
            </w:r>
          </w:p>
          <w:p w14:paraId="7DAD7264" w14:textId="27CFF650" w:rsidR="00DA66C2" w:rsidRPr="00DA66C2" w:rsidRDefault="00DA66C2" w:rsidP="00DA66C2">
            <w:r w:rsidRPr="00DA66C2">
              <w:t xml:space="preserve">Legacy backup retention requirements will be confirmed during Phase 1 discovery; however, </w:t>
            </w:r>
            <w:proofErr w:type="gramStart"/>
            <w:r w:rsidRPr="00DA66C2">
              <w:t>no</w:t>
            </w:r>
            <w:proofErr w:type="gramEnd"/>
            <w:r w:rsidRPr="00DA66C2">
              <w:t xml:space="preserve"> long</w:t>
            </w:r>
            <w:r w:rsidRPr="00DA66C2">
              <w:noBreakHyphen/>
              <w:t>term reliance on incumbent backup systems is expected.</w:t>
            </w:r>
          </w:p>
        </w:tc>
      </w:tr>
      <w:tr w:rsidR="00DA66C2" w14:paraId="71265E60" w14:textId="77777777" w:rsidTr="00DA66C2">
        <w:tc>
          <w:tcPr>
            <w:tcW w:w="760" w:type="dxa"/>
          </w:tcPr>
          <w:p w14:paraId="0EE2312C" w14:textId="174B50E3" w:rsidR="00DA66C2" w:rsidRPr="00DA66C2" w:rsidRDefault="00DA66C2" w:rsidP="00DA66C2">
            <w:r w:rsidRPr="00DA66C2">
              <w:rPr>
                <w:rStyle w:val="Strong"/>
                <w:b w:val="0"/>
                <w:bCs w:val="0"/>
              </w:rPr>
              <w:t>14</w:t>
            </w:r>
          </w:p>
        </w:tc>
        <w:tc>
          <w:tcPr>
            <w:tcW w:w="6988" w:type="dxa"/>
          </w:tcPr>
          <w:p w14:paraId="16851265" w14:textId="5F89CA7D" w:rsidR="00DA66C2" w:rsidRPr="00DA66C2" w:rsidRDefault="00DA66C2" w:rsidP="00DA66C2">
            <w:r w:rsidRPr="00DA66C2">
              <w:t>Business Applications: Please provide a high-level inventory of principal business applications and browser-based platforms, excluding Microsoft 365, for which the successful Tenderer will have any support or liaison responsibility.</w:t>
            </w:r>
          </w:p>
        </w:tc>
        <w:tc>
          <w:tcPr>
            <w:tcW w:w="6989" w:type="dxa"/>
          </w:tcPr>
          <w:p w14:paraId="0F4010C4" w14:textId="77777777" w:rsidR="00292C1F" w:rsidRDefault="00DA66C2" w:rsidP="00DA66C2">
            <w:r w:rsidRPr="00DA66C2">
              <w:t>As clarified previously, the RDS environment hosts only Microsoft 365 and a PDF reader. All other applications are browser</w:t>
            </w:r>
            <w:r w:rsidRPr="00DA66C2">
              <w:noBreakHyphen/>
              <w:t>based. These include CRM, HR, training and case</w:t>
            </w:r>
            <w:r w:rsidRPr="00DA66C2">
              <w:noBreakHyphen/>
              <w:t xml:space="preserve">management platforms used by AsIAm. </w:t>
            </w:r>
          </w:p>
          <w:p w14:paraId="0A1F6305" w14:textId="2AA17631" w:rsidR="00DA66C2" w:rsidRPr="00DA66C2" w:rsidRDefault="00DA66C2" w:rsidP="00DA66C2">
            <w:r w:rsidRPr="00DA66C2">
              <w:t>The MSP’s responsibility is limited to device access, identity integration and vendor liaison where required. Application support remains with the respective vendors.</w:t>
            </w:r>
          </w:p>
        </w:tc>
      </w:tr>
      <w:tr w:rsidR="00DA66C2" w14:paraId="4F0DE6B1" w14:textId="77777777" w:rsidTr="00DA66C2">
        <w:tc>
          <w:tcPr>
            <w:tcW w:w="760" w:type="dxa"/>
          </w:tcPr>
          <w:p w14:paraId="3CB5E926" w14:textId="00B5C102" w:rsidR="00DA66C2" w:rsidRPr="00DA66C2" w:rsidRDefault="00DA66C2" w:rsidP="00DA66C2">
            <w:r w:rsidRPr="00DA66C2">
              <w:rPr>
                <w:rStyle w:val="Strong"/>
                <w:b w:val="0"/>
                <w:bCs w:val="0"/>
              </w:rPr>
              <w:lastRenderedPageBreak/>
              <w:t>15</w:t>
            </w:r>
          </w:p>
        </w:tc>
        <w:tc>
          <w:tcPr>
            <w:tcW w:w="6988" w:type="dxa"/>
          </w:tcPr>
          <w:p w14:paraId="29BE3285" w14:textId="3839C689" w:rsidR="00DA66C2" w:rsidRPr="00DA66C2" w:rsidRDefault="00DA66C2" w:rsidP="00DA66C2">
            <w:r w:rsidRPr="00DA66C2">
              <w:t>Data Volumes: Please provide an inventory of current Microsoft 365 data volumes.</w:t>
            </w:r>
          </w:p>
        </w:tc>
        <w:tc>
          <w:tcPr>
            <w:tcW w:w="6989" w:type="dxa"/>
          </w:tcPr>
          <w:p w14:paraId="00A4D862" w14:textId="1B824559" w:rsidR="00DA66C2" w:rsidRPr="00DA66C2" w:rsidRDefault="00DA66C2" w:rsidP="00DA66C2">
            <w:r w:rsidRPr="00DA66C2">
              <w:t>AsIAm does not maintain a detailed breakdown of Microsoft 365 storage volumes. Tenderers should size migration and backup services based on the requirement that all data in the S: Drive, U: Drive and user profiles must be migrated (Appendix 1, Section 0.3.4). Actual volumes will be confirmed during Phase 1 discovery.</w:t>
            </w:r>
          </w:p>
        </w:tc>
      </w:tr>
      <w:tr w:rsidR="00DA66C2" w14:paraId="124FC18F" w14:textId="77777777" w:rsidTr="00DA66C2">
        <w:tc>
          <w:tcPr>
            <w:tcW w:w="760" w:type="dxa"/>
          </w:tcPr>
          <w:p w14:paraId="75C0E57D" w14:textId="1A3B82DA" w:rsidR="00DA66C2" w:rsidRPr="00DA66C2" w:rsidRDefault="00DA66C2" w:rsidP="00DA66C2">
            <w:r w:rsidRPr="00DA66C2">
              <w:rPr>
                <w:rStyle w:val="Strong"/>
                <w:b w:val="0"/>
                <w:bCs w:val="0"/>
              </w:rPr>
              <w:t>16</w:t>
            </w:r>
          </w:p>
        </w:tc>
        <w:tc>
          <w:tcPr>
            <w:tcW w:w="6988" w:type="dxa"/>
          </w:tcPr>
          <w:p w14:paraId="0430E80C" w14:textId="11A08F57" w:rsidR="00DA66C2" w:rsidRPr="00DA66C2" w:rsidRDefault="00DA66C2" w:rsidP="00DA66C2">
            <w:r w:rsidRPr="00DA66C2">
              <w:t>Migration Responsibilities: During implementation, who is responsible for validating migrated data and confirming business acceptance before legacy systems are decommissioned?</w:t>
            </w:r>
          </w:p>
        </w:tc>
        <w:tc>
          <w:tcPr>
            <w:tcW w:w="6989" w:type="dxa"/>
          </w:tcPr>
          <w:p w14:paraId="6342BCBE" w14:textId="57A7BDDE" w:rsidR="00DA66C2" w:rsidRPr="00DA66C2" w:rsidRDefault="00DA66C2" w:rsidP="00DA66C2">
            <w:r w:rsidRPr="00DA66C2">
              <w:t>The MSP is responsible for performing migration, reconciliation and technical validation. AsIAm will perform business acceptance testing and sign</w:t>
            </w:r>
            <w:r w:rsidRPr="00DA66C2">
              <w:noBreakHyphen/>
              <w:t>off prior to decommissioning legacy systems. This will be coordinated jointly during Phase 3 of the Implementation Programme.</w:t>
            </w:r>
          </w:p>
        </w:tc>
      </w:tr>
      <w:tr w:rsidR="00DA66C2" w14:paraId="015827F0" w14:textId="77777777" w:rsidTr="00DA66C2">
        <w:tc>
          <w:tcPr>
            <w:tcW w:w="760" w:type="dxa"/>
          </w:tcPr>
          <w:p w14:paraId="1B456FF9" w14:textId="3C76CE16" w:rsidR="00DA66C2" w:rsidRPr="00DA66C2" w:rsidRDefault="00DA66C2" w:rsidP="00DA66C2">
            <w:r w:rsidRPr="00DA66C2">
              <w:rPr>
                <w:rStyle w:val="Strong"/>
                <w:b w:val="0"/>
                <w:bCs w:val="0"/>
              </w:rPr>
              <w:t>17</w:t>
            </w:r>
          </w:p>
        </w:tc>
        <w:tc>
          <w:tcPr>
            <w:tcW w:w="6988" w:type="dxa"/>
          </w:tcPr>
          <w:p w14:paraId="51E55549" w14:textId="00C46A40" w:rsidR="00DA66C2" w:rsidRPr="00DA66C2" w:rsidRDefault="00DA66C2" w:rsidP="00DA66C2">
            <w:r w:rsidRPr="00DA66C2">
              <w:t>Tenant Ownership: Please confirm the Microsoft 365 tenant is fully owned by AsIAm and that Global Administrator access will be provided to the successful Tenderer.</w:t>
            </w:r>
          </w:p>
        </w:tc>
        <w:tc>
          <w:tcPr>
            <w:tcW w:w="6989" w:type="dxa"/>
          </w:tcPr>
          <w:p w14:paraId="6605A357" w14:textId="3D799A8B" w:rsidR="00DA66C2" w:rsidRPr="00DA66C2" w:rsidRDefault="00DA66C2" w:rsidP="00DA66C2">
            <w:r w:rsidRPr="00DA66C2">
              <w:t>Yes. AsIAm fully owns its Microsoft 365 tenant and all associated licences (Appendix 1, Sections 0.3.5–0.3.7). Global Administrator access will be granted to the successful Tenderer at commencement subject to appropriate controls.</w:t>
            </w:r>
          </w:p>
        </w:tc>
      </w:tr>
      <w:tr w:rsidR="00DA66C2" w14:paraId="23706829" w14:textId="77777777" w:rsidTr="00DA66C2">
        <w:tc>
          <w:tcPr>
            <w:tcW w:w="760" w:type="dxa"/>
          </w:tcPr>
          <w:p w14:paraId="0DF66E60" w14:textId="387859F2" w:rsidR="00DA66C2" w:rsidRPr="00DA66C2" w:rsidRDefault="00DA66C2" w:rsidP="00DA66C2">
            <w:r w:rsidRPr="00DA66C2">
              <w:rPr>
                <w:rStyle w:val="Strong"/>
                <w:b w:val="0"/>
                <w:bCs w:val="0"/>
              </w:rPr>
              <w:t>18</w:t>
            </w:r>
          </w:p>
        </w:tc>
        <w:tc>
          <w:tcPr>
            <w:tcW w:w="6988" w:type="dxa"/>
          </w:tcPr>
          <w:p w14:paraId="41F521DB" w14:textId="35AF86BC" w:rsidR="00DA66C2" w:rsidRPr="00DA66C2" w:rsidRDefault="00DA66C2" w:rsidP="00DA66C2">
            <w:r w:rsidRPr="00DA66C2">
              <w:t>Summary of the current Microsoft 365 tenant: Please provide a high-level summary of user accounts, shared mailboxes, groups, etc.</w:t>
            </w:r>
          </w:p>
        </w:tc>
        <w:tc>
          <w:tcPr>
            <w:tcW w:w="6989" w:type="dxa"/>
          </w:tcPr>
          <w:p w14:paraId="7420A53F" w14:textId="29D0A2E7" w:rsidR="00DA66C2" w:rsidRPr="00DA66C2" w:rsidRDefault="00DA66C2" w:rsidP="00DA66C2">
            <w:r w:rsidRPr="00DA66C2">
              <w:t>AsIAm operates approximately 67 active user accounts, with additional shared mailboxes, distribution lists and security groups. Exact numbers will be confirmed during Phase 1 discovery. Tenderers should assume a standard Microsoft 365 Business Premium tenant with typical organisational structures.</w:t>
            </w:r>
          </w:p>
        </w:tc>
      </w:tr>
      <w:tr w:rsidR="00DA66C2" w14:paraId="6AE30910" w14:textId="77777777" w:rsidTr="00DA66C2">
        <w:tc>
          <w:tcPr>
            <w:tcW w:w="760" w:type="dxa"/>
          </w:tcPr>
          <w:p w14:paraId="55CFC95D" w14:textId="5D376B25" w:rsidR="00DA66C2" w:rsidRPr="00DA66C2" w:rsidRDefault="00DA66C2" w:rsidP="00DA66C2">
            <w:r w:rsidRPr="00DA66C2">
              <w:rPr>
                <w:rStyle w:val="Strong"/>
                <w:b w:val="0"/>
                <w:bCs w:val="0"/>
              </w:rPr>
              <w:t>19</w:t>
            </w:r>
          </w:p>
        </w:tc>
        <w:tc>
          <w:tcPr>
            <w:tcW w:w="6988" w:type="dxa"/>
          </w:tcPr>
          <w:p w14:paraId="1F6CD3B9" w14:textId="4189B081" w:rsidR="00DA66C2" w:rsidRPr="00DA66C2" w:rsidRDefault="00DA66C2" w:rsidP="00DA66C2">
            <w:r w:rsidRPr="00DA66C2">
              <w:t>Domain Ownership: Please confirm ownership and registrar details for all Microsoft 365 domains and DNS records.</w:t>
            </w:r>
          </w:p>
        </w:tc>
        <w:tc>
          <w:tcPr>
            <w:tcW w:w="6989" w:type="dxa"/>
          </w:tcPr>
          <w:p w14:paraId="2D031901" w14:textId="7D2AA61A" w:rsidR="00DA66C2" w:rsidRPr="00DA66C2" w:rsidRDefault="00DA66C2" w:rsidP="00DA66C2">
            <w:r w:rsidRPr="00DA66C2">
              <w:t>All primary domains and DNS records are owned by AsIAm. Registrar access is controlled by AsIAm with the incumbent MSP providing administrative support. Full access will be provided to the successful Tenderer at transition.</w:t>
            </w:r>
          </w:p>
        </w:tc>
      </w:tr>
      <w:tr w:rsidR="00DA66C2" w14:paraId="26C92989" w14:textId="77777777" w:rsidTr="00DA66C2">
        <w:tc>
          <w:tcPr>
            <w:tcW w:w="760" w:type="dxa"/>
          </w:tcPr>
          <w:p w14:paraId="2FF84086" w14:textId="1FC41C1A" w:rsidR="00DA66C2" w:rsidRPr="00DA66C2" w:rsidRDefault="00DA66C2" w:rsidP="00DA66C2">
            <w:r w:rsidRPr="00DA66C2">
              <w:rPr>
                <w:rStyle w:val="Strong"/>
                <w:b w:val="0"/>
                <w:bCs w:val="0"/>
              </w:rPr>
              <w:lastRenderedPageBreak/>
              <w:t>20</w:t>
            </w:r>
          </w:p>
        </w:tc>
        <w:tc>
          <w:tcPr>
            <w:tcW w:w="6988" w:type="dxa"/>
          </w:tcPr>
          <w:p w14:paraId="61D02F0B" w14:textId="1EC650EE" w:rsidR="00DA66C2" w:rsidRPr="00DA66C2" w:rsidRDefault="00DA66C2" w:rsidP="00DA66C2">
            <w:r w:rsidRPr="00DA66C2">
              <w:t>Certificates &amp; MFA: Are there any third-party certificates, MFA platforms or authentication services currently managed by the incumbent?</w:t>
            </w:r>
          </w:p>
        </w:tc>
        <w:tc>
          <w:tcPr>
            <w:tcW w:w="6989" w:type="dxa"/>
          </w:tcPr>
          <w:p w14:paraId="0AA99516" w14:textId="391B6C24" w:rsidR="00DA66C2" w:rsidRPr="00DA66C2" w:rsidRDefault="00DA66C2" w:rsidP="00DA66C2">
            <w:r w:rsidRPr="00DA66C2">
              <w:t>No third</w:t>
            </w:r>
            <w:r w:rsidRPr="00DA66C2">
              <w:noBreakHyphen/>
              <w:t>party MFA platforms are in use. MFA is provided through Microsoft Entra ID. Any certificates currently managed by the incumbent will be documented and transferred during Phase 1 discovery.</w:t>
            </w:r>
          </w:p>
        </w:tc>
      </w:tr>
      <w:tr w:rsidR="00DA66C2" w14:paraId="0B29EB27" w14:textId="77777777" w:rsidTr="00DA66C2">
        <w:tc>
          <w:tcPr>
            <w:tcW w:w="760" w:type="dxa"/>
          </w:tcPr>
          <w:p w14:paraId="639DE463" w14:textId="048A221E" w:rsidR="00DA66C2" w:rsidRPr="00DA66C2" w:rsidRDefault="00DA66C2" w:rsidP="00DA66C2">
            <w:r w:rsidRPr="00DA66C2">
              <w:rPr>
                <w:rStyle w:val="Strong"/>
                <w:b w:val="0"/>
                <w:bCs w:val="0"/>
              </w:rPr>
              <w:t>21</w:t>
            </w:r>
          </w:p>
        </w:tc>
        <w:tc>
          <w:tcPr>
            <w:tcW w:w="6988" w:type="dxa"/>
          </w:tcPr>
          <w:p w14:paraId="3B4FA3A6" w14:textId="4BFE20EF" w:rsidR="00DA66C2" w:rsidRPr="00DA66C2" w:rsidRDefault="00DA66C2" w:rsidP="00DA66C2">
            <w:r w:rsidRPr="00DA66C2">
              <w:t>Internet Connectivity: Are ISP contracts remaining with AsIAm, or is the MSP expected to procure and manage connectivity?</w:t>
            </w:r>
          </w:p>
        </w:tc>
        <w:tc>
          <w:tcPr>
            <w:tcW w:w="6989" w:type="dxa"/>
          </w:tcPr>
          <w:p w14:paraId="7945F08B" w14:textId="6F425C7E" w:rsidR="00DA66C2" w:rsidRPr="00DA66C2" w:rsidRDefault="00DA66C2" w:rsidP="00DA66C2">
            <w:r w:rsidRPr="00DA66C2">
              <w:t>ISP contracts remain with AsIAm. The MSP will be responsible for vendor liaison and troubleshooting connectivity issues but will not procure ISP services.</w:t>
            </w:r>
          </w:p>
        </w:tc>
      </w:tr>
      <w:tr w:rsidR="00DA66C2" w14:paraId="3A9DF69F" w14:textId="77777777" w:rsidTr="00DA66C2">
        <w:tc>
          <w:tcPr>
            <w:tcW w:w="760" w:type="dxa"/>
          </w:tcPr>
          <w:p w14:paraId="0FBFE96A" w14:textId="66D6963C" w:rsidR="00DA66C2" w:rsidRPr="00DA66C2" w:rsidRDefault="00DA66C2" w:rsidP="00DA66C2">
            <w:r w:rsidRPr="00DA66C2">
              <w:rPr>
                <w:rStyle w:val="Strong"/>
                <w:b w:val="0"/>
                <w:bCs w:val="0"/>
              </w:rPr>
              <w:t>22</w:t>
            </w:r>
          </w:p>
        </w:tc>
        <w:tc>
          <w:tcPr>
            <w:tcW w:w="6988" w:type="dxa"/>
          </w:tcPr>
          <w:p w14:paraId="506A525C" w14:textId="2E4D2054" w:rsidR="00DA66C2" w:rsidRPr="00DA66C2" w:rsidRDefault="00DA66C2" w:rsidP="00DA66C2">
            <w:r w:rsidRPr="00DA66C2">
              <w:t>Server Decommissioning: Following migration, is secure decommissioning of the existing Ekco infrastructure included within the implementation programme?</w:t>
            </w:r>
          </w:p>
        </w:tc>
        <w:tc>
          <w:tcPr>
            <w:tcW w:w="6989" w:type="dxa"/>
          </w:tcPr>
          <w:p w14:paraId="75EBF3E6" w14:textId="77777777" w:rsidR="00292C1F" w:rsidRDefault="00292C1F" w:rsidP="00DA66C2">
            <w:r w:rsidRPr="00292C1F">
              <w:t>Secure decommissioning of the Ekco</w:t>
            </w:r>
            <w:r w:rsidRPr="00292C1F">
              <w:rPr>
                <w:rFonts w:ascii="Cambria Math" w:hAnsi="Cambria Math" w:cs="Cambria Math"/>
              </w:rPr>
              <w:t>‑</w:t>
            </w:r>
            <w:r w:rsidRPr="00292C1F">
              <w:t xml:space="preserve">hosted infrastructure will be carried out by Ekco, as the incumbent provider and operator of the datacentre environment. </w:t>
            </w:r>
          </w:p>
          <w:p w14:paraId="559E07E3" w14:textId="77777777" w:rsidR="00292C1F" w:rsidRDefault="00292C1F" w:rsidP="00DA66C2">
            <w:r w:rsidRPr="00292C1F">
              <w:t xml:space="preserve">The successful Tenderer will be responsible for coordinating with Ekco, validating that all data has been successfully migrated and confirming that decommissioning can proceed once business acceptance has been completed. </w:t>
            </w:r>
          </w:p>
          <w:p w14:paraId="19E67EDF" w14:textId="5746E3CD" w:rsidR="00DA66C2" w:rsidRPr="00DA66C2" w:rsidRDefault="00292C1F" w:rsidP="00DA66C2">
            <w:pPr>
              <w:rPr>
                <w:highlight w:val="yellow"/>
              </w:rPr>
            </w:pPr>
            <w:r w:rsidRPr="00292C1F">
              <w:t>Ekco will perform the technical decommissioning activities, including secure data removal, in line with its own data</w:t>
            </w:r>
            <w:r>
              <w:t xml:space="preserve"> </w:t>
            </w:r>
            <w:r w:rsidRPr="00292C1F">
              <w:t>centre processes and obligations.</w:t>
            </w:r>
          </w:p>
        </w:tc>
      </w:tr>
      <w:tr w:rsidR="00DA66C2" w14:paraId="1AB7F60E" w14:textId="77777777" w:rsidTr="00DA66C2">
        <w:tc>
          <w:tcPr>
            <w:tcW w:w="760" w:type="dxa"/>
          </w:tcPr>
          <w:p w14:paraId="4C55BB0C" w14:textId="4954308E" w:rsidR="00DA66C2" w:rsidRPr="00DA66C2" w:rsidRDefault="00DA66C2" w:rsidP="00DA66C2">
            <w:r w:rsidRPr="00DA66C2">
              <w:rPr>
                <w:rStyle w:val="Strong"/>
                <w:b w:val="0"/>
                <w:bCs w:val="0"/>
              </w:rPr>
              <w:t>23</w:t>
            </w:r>
          </w:p>
        </w:tc>
        <w:tc>
          <w:tcPr>
            <w:tcW w:w="6988" w:type="dxa"/>
          </w:tcPr>
          <w:p w14:paraId="0FF58817" w14:textId="452E201F" w:rsidR="00DA66C2" w:rsidRPr="00DA66C2" w:rsidRDefault="00DA66C2" w:rsidP="00DA66C2">
            <w:r w:rsidRPr="00DA66C2">
              <w:t>Data Classification: Does AsIAm currently operate any formal information classification or retention schedule?</w:t>
            </w:r>
          </w:p>
        </w:tc>
        <w:tc>
          <w:tcPr>
            <w:tcW w:w="6989" w:type="dxa"/>
          </w:tcPr>
          <w:p w14:paraId="59728DD4" w14:textId="1593179C" w:rsidR="00DA66C2" w:rsidRPr="00DA66C2" w:rsidRDefault="00DA66C2" w:rsidP="00DA66C2">
            <w:r w:rsidRPr="00DA66C2">
              <w:t>AsIAm does not operate a formal classification scheme. The MSP must design a SharePoint structure that supports GDPR</w:t>
            </w:r>
            <w:r w:rsidRPr="00DA66C2">
              <w:noBreakHyphen/>
              <w:t>aligned retention, access control and data minimisation (Appendix 1, Section 1.7).</w:t>
            </w:r>
          </w:p>
        </w:tc>
      </w:tr>
      <w:tr w:rsidR="00DA66C2" w14:paraId="741AFF95" w14:textId="77777777" w:rsidTr="00DA66C2">
        <w:tc>
          <w:tcPr>
            <w:tcW w:w="760" w:type="dxa"/>
          </w:tcPr>
          <w:p w14:paraId="4857AF45" w14:textId="100FEA00" w:rsidR="00DA66C2" w:rsidRPr="00DA66C2" w:rsidRDefault="00DA66C2" w:rsidP="00DA66C2">
            <w:r w:rsidRPr="00DA66C2">
              <w:rPr>
                <w:rStyle w:val="Strong"/>
                <w:b w:val="0"/>
                <w:bCs w:val="0"/>
              </w:rPr>
              <w:t>24</w:t>
            </w:r>
          </w:p>
        </w:tc>
        <w:tc>
          <w:tcPr>
            <w:tcW w:w="6988" w:type="dxa"/>
          </w:tcPr>
          <w:p w14:paraId="66EBD1EA" w14:textId="0732CD3A" w:rsidR="00DA66C2" w:rsidRPr="00DA66C2" w:rsidRDefault="00DA66C2" w:rsidP="00DA66C2">
            <w:r w:rsidRPr="00DA66C2">
              <w:t>Security Tooling: Please confirm the status of Bitdefender and Barracuda licences.</w:t>
            </w:r>
          </w:p>
        </w:tc>
        <w:tc>
          <w:tcPr>
            <w:tcW w:w="6989" w:type="dxa"/>
          </w:tcPr>
          <w:p w14:paraId="7FE0F4C4" w14:textId="42F7D2D5" w:rsidR="00DA66C2" w:rsidRPr="00DA66C2" w:rsidRDefault="00DA66C2" w:rsidP="00DA66C2">
            <w:r w:rsidRPr="00DA66C2">
              <w:t xml:space="preserve">Bitdefender and Barracuda licences are active and renewed annually. Tenderers may propose replacement security tooling if it provides </w:t>
            </w:r>
            <w:r w:rsidRPr="00DA66C2">
              <w:lastRenderedPageBreak/>
              <w:t>improved capability or cost</w:t>
            </w:r>
            <w:r w:rsidRPr="00DA66C2">
              <w:noBreakHyphen/>
              <w:t>efficiency. Any proposed replacement must be fully costed.</w:t>
            </w:r>
          </w:p>
        </w:tc>
      </w:tr>
      <w:tr w:rsidR="00DA66C2" w14:paraId="667B5CC4" w14:textId="77777777" w:rsidTr="00DA66C2">
        <w:tc>
          <w:tcPr>
            <w:tcW w:w="760" w:type="dxa"/>
          </w:tcPr>
          <w:p w14:paraId="45FC70AD" w14:textId="43C298AA" w:rsidR="00DA66C2" w:rsidRPr="00DA66C2" w:rsidRDefault="00DA66C2" w:rsidP="00DA66C2">
            <w:r w:rsidRPr="00DA66C2">
              <w:rPr>
                <w:rStyle w:val="Strong"/>
                <w:b w:val="0"/>
                <w:bCs w:val="0"/>
              </w:rPr>
              <w:lastRenderedPageBreak/>
              <w:t>25</w:t>
            </w:r>
          </w:p>
        </w:tc>
        <w:tc>
          <w:tcPr>
            <w:tcW w:w="6988" w:type="dxa"/>
          </w:tcPr>
          <w:p w14:paraId="007B7844" w14:textId="5720B56E" w:rsidR="00DA66C2" w:rsidRPr="00DA66C2" w:rsidRDefault="00DA66C2" w:rsidP="00DA66C2">
            <w:r w:rsidRPr="00DA66C2">
              <w:t>Training Expectations: Is there an expectation for classroom training, virtual sessions or train</w:t>
            </w:r>
            <w:r w:rsidRPr="00DA66C2">
              <w:noBreakHyphen/>
              <w:t>the</w:t>
            </w:r>
            <w:r w:rsidRPr="00DA66C2">
              <w:noBreakHyphen/>
              <w:t>trainer delivery?</w:t>
            </w:r>
          </w:p>
        </w:tc>
        <w:tc>
          <w:tcPr>
            <w:tcW w:w="6989" w:type="dxa"/>
          </w:tcPr>
          <w:p w14:paraId="1BC16CE5" w14:textId="1CDD2257" w:rsidR="00DA66C2" w:rsidRPr="00DA66C2" w:rsidRDefault="00DA66C2" w:rsidP="00DA66C2">
            <w:r w:rsidRPr="00DA66C2">
              <w:t>Training expectations include virtual sessions, user guidance materials and train</w:t>
            </w:r>
            <w:r w:rsidRPr="00DA66C2">
              <w:noBreakHyphen/>
              <w:t>the</w:t>
            </w:r>
            <w:r w:rsidRPr="00DA66C2">
              <w:noBreakHyphen/>
              <w:t>trainer delivery. Classroom training may be required for specific groups and should be included as an optional cost.</w:t>
            </w:r>
          </w:p>
        </w:tc>
      </w:tr>
      <w:tr w:rsidR="00DA66C2" w14:paraId="6BEDF7B3" w14:textId="77777777" w:rsidTr="00DA66C2">
        <w:tc>
          <w:tcPr>
            <w:tcW w:w="760" w:type="dxa"/>
          </w:tcPr>
          <w:p w14:paraId="7BD9AED1" w14:textId="6EB3BAA1" w:rsidR="00DA66C2" w:rsidRPr="00DA66C2" w:rsidRDefault="00DA66C2" w:rsidP="00DA66C2">
            <w:r w:rsidRPr="00DA66C2">
              <w:rPr>
                <w:rStyle w:val="Strong"/>
                <w:b w:val="0"/>
                <w:bCs w:val="0"/>
              </w:rPr>
              <w:t>26</w:t>
            </w:r>
          </w:p>
        </w:tc>
        <w:tc>
          <w:tcPr>
            <w:tcW w:w="6988" w:type="dxa"/>
          </w:tcPr>
          <w:p w14:paraId="69149457" w14:textId="138F7FFF" w:rsidR="00DA66C2" w:rsidRPr="00DA66C2" w:rsidRDefault="00DA66C2" w:rsidP="00DA66C2">
            <w:r w:rsidRPr="00DA66C2">
              <w:t>36 VoIP users over the contract term: Please confirm whether this reflects anticipated telephony requirements.</w:t>
            </w:r>
          </w:p>
        </w:tc>
        <w:tc>
          <w:tcPr>
            <w:tcW w:w="6989" w:type="dxa"/>
          </w:tcPr>
          <w:p w14:paraId="558BB6BB" w14:textId="032E14D6" w:rsidR="00DA66C2" w:rsidRPr="00DA66C2" w:rsidRDefault="00DA66C2" w:rsidP="00DA66C2">
            <w:r w:rsidRPr="00DA66C2">
              <w:t>Yes. The projected increase to 36 VoIP users reflects anticipated organisational growth (Appendix 1, Section 0.6.3). No additional telephony expansion is currently planned.</w:t>
            </w:r>
          </w:p>
        </w:tc>
      </w:tr>
      <w:tr w:rsidR="00DA66C2" w14:paraId="01525C83" w14:textId="77777777" w:rsidTr="00DA66C2">
        <w:tc>
          <w:tcPr>
            <w:tcW w:w="760" w:type="dxa"/>
          </w:tcPr>
          <w:p w14:paraId="4933A7C5" w14:textId="5BB64357" w:rsidR="00DA66C2" w:rsidRPr="00DA66C2" w:rsidRDefault="00DA66C2" w:rsidP="00DA66C2">
            <w:r w:rsidRPr="00DA66C2">
              <w:rPr>
                <w:rStyle w:val="Strong"/>
                <w:b w:val="0"/>
                <w:bCs w:val="0"/>
              </w:rPr>
              <w:t>27</w:t>
            </w:r>
          </w:p>
        </w:tc>
        <w:tc>
          <w:tcPr>
            <w:tcW w:w="6988" w:type="dxa"/>
          </w:tcPr>
          <w:p w14:paraId="5DB7FB58" w14:textId="0CA2DC63" w:rsidR="00DA66C2" w:rsidRPr="00DA66C2" w:rsidRDefault="00DA66C2" w:rsidP="00DA66C2">
            <w:r w:rsidRPr="00DA66C2">
              <w:t>SharePoint Guest Access: Please confirm the number of external guest users, monthly request volumes, and approval responsibilities.</w:t>
            </w:r>
          </w:p>
        </w:tc>
        <w:tc>
          <w:tcPr>
            <w:tcW w:w="6989" w:type="dxa"/>
          </w:tcPr>
          <w:p w14:paraId="76324372" w14:textId="5EED810E" w:rsidR="00DA66C2" w:rsidRPr="00DA66C2" w:rsidRDefault="00DA66C2" w:rsidP="00DA66C2">
            <w:r w:rsidRPr="00DA66C2">
              <w:t>AsIAm maintains a small number of external guest users. Guest access requests typically fall within the average monthly service request volumes. Approvals are managed by AsIAm; administration is performed by the MSP. Exact numbers will be confirmed during Phase 1 discovery.</w:t>
            </w:r>
          </w:p>
        </w:tc>
      </w:tr>
      <w:tr w:rsidR="00DA66C2" w14:paraId="5C74D640" w14:textId="77777777" w:rsidTr="00DA66C2">
        <w:tc>
          <w:tcPr>
            <w:tcW w:w="760" w:type="dxa"/>
          </w:tcPr>
          <w:p w14:paraId="01B57993" w14:textId="5B30568E" w:rsidR="00DA66C2" w:rsidRPr="00DA66C2" w:rsidRDefault="00DA66C2" w:rsidP="00DA66C2">
            <w:r w:rsidRPr="00DA66C2">
              <w:rPr>
                <w:rStyle w:val="Strong"/>
                <w:b w:val="0"/>
                <w:bCs w:val="0"/>
              </w:rPr>
              <w:t>28</w:t>
            </w:r>
          </w:p>
        </w:tc>
        <w:tc>
          <w:tcPr>
            <w:tcW w:w="6988" w:type="dxa"/>
          </w:tcPr>
          <w:p w14:paraId="2A05A3BE" w14:textId="46EB4CA6" w:rsidR="00DA66C2" w:rsidRPr="00DA66C2" w:rsidRDefault="00DA66C2" w:rsidP="00DA66C2">
            <w:r w:rsidRPr="00DA66C2">
              <w:t>SharePoint Guest Access: Will the existing guest access model be retained or redesigned?</w:t>
            </w:r>
          </w:p>
        </w:tc>
        <w:tc>
          <w:tcPr>
            <w:tcW w:w="6989" w:type="dxa"/>
          </w:tcPr>
          <w:p w14:paraId="3567715D" w14:textId="4BE85E3C" w:rsidR="00DA66C2" w:rsidRPr="00DA66C2" w:rsidRDefault="00DA66C2" w:rsidP="00DA66C2">
            <w:r w:rsidRPr="00DA66C2">
              <w:t>The guest access model will be reviewed and may be redesigned as part of the SharePoint migration (Appendix 1, Section 1.7). Tenderers should assume simplification and standardisation.</w:t>
            </w:r>
          </w:p>
        </w:tc>
      </w:tr>
      <w:tr w:rsidR="00DA66C2" w14:paraId="7672C7EA" w14:textId="77777777" w:rsidTr="00DA66C2">
        <w:tc>
          <w:tcPr>
            <w:tcW w:w="760" w:type="dxa"/>
          </w:tcPr>
          <w:p w14:paraId="20EDB27B" w14:textId="7D6CC124" w:rsidR="00DA66C2" w:rsidRPr="00DA66C2" w:rsidRDefault="00DA66C2" w:rsidP="00DA66C2">
            <w:r w:rsidRPr="00DA66C2">
              <w:rPr>
                <w:rStyle w:val="Strong"/>
                <w:b w:val="0"/>
                <w:bCs w:val="0"/>
              </w:rPr>
              <w:t>29</w:t>
            </w:r>
          </w:p>
        </w:tc>
        <w:tc>
          <w:tcPr>
            <w:tcW w:w="6988" w:type="dxa"/>
          </w:tcPr>
          <w:p w14:paraId="59E4D899" w14:textId="7B292D1D" w:rsidR="00DA66C2" w:rsidRPr="00DA66C2" w:rsidRDefault="00DA66C2" w:rsidP="00DA66C2">
            <w:r w:rsidRPr="00DA66C2">
              <w:t>SharePoint Guest Access: Are guest access requests and third</w:t>
            </w:r>
            <w:r w:rsidRPr="00DA66C2">
              <w:noBreakHyphen/>
              <w:t>party liaison included within the average monthly workload of 40 tickets?</w:t>
            </w:r>
          </w:p>
        </w:tc>
        <w:tc>
          <w:tcPr>
            <w:tcW w:w="6989" w:type="dxa"/>
          </w:tcPr>
          <w:p w14:paraId="3B563D19" w14:textId="75B4A838" w:rsidR="00DA66C2" w:rsidRPr="00DA66C2" w:rsidRDefault="00DA66C2" w:rsidP="00DA66C2">
            <w:r w:rsidRPr="00DA66C2">
              <w:t>Yes. Guest access requests and third</w:t>
            </w:r>
            <w:r w:rsidRPr="00DA66C2">
              <w:noBreakHyphen/>
              <w:t>party supplier liaison activities are included within the average monthly operational workload.</w:t>
            </w:r>
          </w:p>
        </w:tc>
      </w:tr>
      <w:tr w:rsidR="00DA66C2" w14:paraId="42E4796D" w14:textId="77777777" w:rsidTr="00DA66C2">
        <w:tc>
          <w:tcPr>
            <w:tcW w:w="760" w:type="dxa"/>
          </w:tcPr>
          <w:p w14:paraId="425AB5AC" w14:textId="6EA7E148" w:rsidR="00DA66C2" w:rsidRPr="00DA66C2" w:rsidRDefault="00DA66C2" w:rsidP="00DA66C2">
            <w:r w:rsidRPr="00DA66C2">
              <w:rPr>
                <w:rStyle w:val="Strong"/>
                <w:b w:val="0"/>
                <w:bCs w:val="0"/>
              </w:rPr>
              <w:t>30</w:t>
            </w:r>
          </w:p>
        </w:tc>
        <w:tc>
          <w:tcPr>
            <w:tcW w:w="6988" w:type="dxa"/>
          </w:tcPr>
          <w:p w14:paraId="2CF85569" w14:textId="40011B3B" w:rsidR="00DA66C2" w:rsidRPr="00DA66C2" w:rsidRDefault="00DA66C2" w:rsidP="00DA66C2">
            <w:r w:rsidRPr="00DA66C2">
              <w:t>TUPE: Please confirm whether TUPE is expected to apply.</w:t>
            </w:r>
          </w:p>
        </w:tc>
        <w:tc>
          <w:tcPr>
            <w:tcW w:w="6989" w:type="dxa"/>
          </w:tcPr>
          <w:p w14:paraId="4DF17363" w14:textId="057E726A" w:rsidR="00DA66C2" w:rsidRPr="00DA66C2" w:rsidRDefault="00DA66C2" w:rsidP="00DA66C2">
            <w:r w:rsidRPr="00DA66C2">
              <w:t>Neither AsIAm nor the incumbent anticipates that TUPE will apply. No employee liability information is expected to be required.</w:t>
            </w:r>
          </w:p>
        </w:tc>
      </w:tr>
      <w:tr w:rsidR="00DA66C2" w14:paraId="7F7C229C" w14:textId="77777777" w:rsidTr="00DA66C2">
        <w:tc>
          <w:tcPr>
            <w:tcW w:w="760" w:type="dxa"/>
          </w:tcPr>
          <w:p w14:paraId="2163A0CB" w14:textId="2A7CDF35" w:rsidR="00DA66C2" w:rsidRPr="00DA66C2" w:rsidRDefault="00DA66C2" w:rsidP="00DA66C2">
            <w:r w:rsidRPr="00DA66C2">
              <w:rPr>
                <w:rStyle w:val="Strong"/>
                <w:b w:val="0"/>
                <w:bCs w:val="0"/>
              </w:rPr>
              <w:t>31</w:t>
            </w:r>
          </w:p>
        </w:tc>
        <w:tc>
          <w:tcPr>
            <w:tcW w:w="6988" w:type="dxa"/>
          </w:tcPr>
          <w:p w14:paraId="061C5F72" w14:textId="6C326C0F" w:rsidR="00DA66C2" w:rsidRPr="00DA66C2" w:rsidRDefault="00DA66C2" w:rsidP="00DA66C2">
            <w:r w:rsidRPr="00DA66C2">
              <w:t>Remote Workers: Please confirm the approximate split of office</w:t>
            </w:r>
            <w:r w:rsidRPr="00DA66C2">
              <w:noBreakHyphen/>
              <w:t>based, hybrid and remote workers.</w:t>
            </w:r>
          </w:p>
        </w:tc>
        <w:tc>
          <w:tcPr>
            <w:tcW w:w="6989" w:type="dxa"/>
          </w:tcPr>
          <w:p w14:paraId="098647C6" w14:textId="65687774" w:rsidR="00DA66C2" w:rsidRPr="00DA66C2" w:rsidRDefault="00DA66C2" w:rsidP="00DA66C2">
            <w:r w:rsidRPr="00DA66C2">
              <w:t>AsIAm operates a predominantly hybrid workforce. Approximately 51 users are HQ</w:t>
            </w:r>
            <w:r w:rsidRPr="00DA66C2">
              <w:noBreakHyphen/>
              <w:t>based with hybrid patterns; 16 users are site</w:t>
            </w:r>
            <w:r w:rsidRPr="00DA66C2">
              <w:noBreakHyphen/>
              <w:t xml:space="preserve">based </w:t>
            </w:r>
            <w:r w:rsidRPr="00DA66C2">
              <w:lastRenderedPageBreak/>
              <w:t>across Galway and Dublin 8. Exact remote</w:t>
            </w:r>
            <w:r w:rsidRPr="00DA66C2">
              <w:noBreakHyphen/>
              <w:t>working patterns vary and will be confirmed during Phase 1 discovery.</w:t>
            </w:r>
          </w:p>
        </w:tc>
      </w:tr>
      <w:tr w:rsidR="00DA66C2" w14:paraId="153CA628" w14:textId="77777777" w:rsidTr="00DA66C2">
        <w:tc>
          <w:tcPr>
            <w:tcW w:w="760" w:type="dxa"/>
          </w:tcPr>
          <w:p w14:paraId="15F81B2A" w14:textId="702A1D0B" w:rsidR="00DA66C2" w:rsidRPr="00DA66C2" w:rsidRDefault="00DA66C2" w:rsidP="00DA66C2">
            <w:r w:rsidRPr="00DA66C2">
              <w:rPr>
                <w:rStyle w:val="Strong"/>
                <w:b w:val="0"/>
                <w:bCs w:val="0"/>
              </w:rPr>
              <w:lastRenderedPageBreak/>
              <w:t>32</w:t>
            </w:r>
          </w:p>
        </w:tc>
        <w:tc>
          <w:tcPr>
            <w:tcW w:w="6988" w:type="dxa"/>
          </w:tcPr>
          <w:p w14:paraId="6A36C929" w14:textId="7D5CA3FC" w:rsidR="00DA66C2" w:rsidRPr="00DA66C2" w:rsidRDefault="00DA66C2" w:rsidP="00DA66C2">
            <w:r w:rsidRPr="00DA66C2">
              <w:t>Remote Workers: Will the MSP be expected to troubleshoot domestic broadband or home Wi</w:t>
            </w:r>
            <w:r w:rsidRPr="00DA66C2">
              <w:noBreakHyphen/>
              <w:t>Fi issues?</w:t>
            </w:r>
          </w:p>
        </w:tc>
        <w:tc>
          <w:tcPr>
            <w:tcW w:w="6989" w:type="dxa"/>
          </w:tcPr>
          <w:p w14:paraId="52D01EDB" w14:textId="660BFC8C" w:rsidR="00DA66C2" w:rsidRPr="00DA66C2" w:rsidRDefault="00DA66C2" w:rsidP="00DA66C2">
            <w:r w:rsidRPr="00DA66C2">
              <w:t>The MSP is responsible for supporting AsIAm</w:t>
            </w:r>
            <w:r w:rsidRPr="00DA66C2">
              <w:noBreakHyphen/>
              <w:t>managed devices and services. Troubleshooting domestic broadband or personal networking equipment is limited to best</w:t>
            </w:r>
            <w:r w:rsidRPr="00DA66C2">
              <w:noBreakHyphen/>
              <w:t>effort guidance.</w:t>
            </w:r>
          </w:p>
        </w:tc>
      </w:tr>
      <w:tr w:rsidR="00DA66C2" w14:paraId="09BF9059" w14:textId="77777777" w:rsidTr="00DA66C2">
        <w:tc>
          <w:tcPr>
            <w:tcW w:w="760" w:type="dxa"/>
          </w:tcPr>
          <w:p w14:paraId="7110162E" w14:textId="63E412F8" w:rsidR="00DA66C2" w:rsidRPr="00DA66C2" w:rsidRDefault="00DA66C2" w:rsidP="00DA66C2">
            <w:r w:rsidRPr="00DA66C2">
              <w:rPr>
                <w:rStyle w:val="Strong"/>
                <w:b w:val="0"/>
                <w:bCs w:val="0"/>
              </w:rPr>
              <w:t>33</w:t>
            </w:r>
          </w:p>
        </w:tc>
        <w:tc>
          <w:tcPr>
            <w:tcW w:w="6988" w:type="dxa"/>
          </w:tcPr>
          <w:p w14:paraId="112FDD86" w14:textId="7938FADE" w:rsidR="00DA66C2" w:rsidRPr="00DA66C2" w:rsidRDefault="00DA66C2" w:rsidP="00DA66C2">
            <w:r w:rsidRPr="00DA66C2">
              <w:t>User lifecycle management: Please provide the approximate average number of Joiners and Leavers per annum.</w:t>
            </w:r>
          </w:p>
        </w:tc>
        <w:tc>
          <w:tcPr>
            <w:tcW w:w="6989" w:type="dxa"/>
          </w:tcPr>
          <w:p w14:paraId="74520610" w14:textId="19FD1042" w:rsidR="00DA66C2" w:rsidRPr="00DA66C2" w:rsidRDefault="00DA66C2" w:rsidP="00DA66C2">
            <w:r w:rsidRPr="00DA66C2">
              <w:t>AsIAm typically processes 15–20 Joiners and 10–15 Leavers per annum. Tenderers should assume similar volumes for sizing purposes.</w:t>
            </w:r>
          </w:p>
        </w:tc>
      </w:tr>
      <w:tr w:rsidR="00DA66C2" w14:paraId="037DF4D1" w14:textId="77777777" w:rsidTr="00DA66C2">
        <w:tc>
          <w:tcPr>
            <w:tcW w:w="760" w:type="dxa"/>
          </w:tcPr>
          <w:p w14:paraId="4E99294A" w14:textId="2A1ACE1B" w:rsidR="00DA66C2" w:rsidRPr="00DA66C2" w:rsidRDefault="00DA66C2" w:rsidP="00DA66C2">
            <w:r w:rsidRPr="00DA66C2">
              <w:rPr>
                <w:rStyle w:val="Strong"/>
                <w:b w:val="0"/>
                <w:bCs w:val="0"/>
              </w:rPr>
              <w:t>34</w:t>
            </w:r>
          </w:p>
        </w:tc>
        <w:tc>
          <w:tcPr>
            <w:tcW w:w="6988" w:type="dxa"/>
          </w:tcPr>
          <w:p w14:paraId="64D1CD07" w14:textId="7DDEE987" w:rsidR="00DA66C2" w:rsidRPr="00DA66C2" w:rsidRDefault="00DA66C2" w:rsidP="00DA66C2">
            <w:r w:rsidRPr="00DA66C2">
              <w:t>Hardware lifecycle management: Please confirm annual procurement volumes, warranty coverage and break</w:t>
            </w:r>
            <w:r w:rsidRPr="00DA66C2">
              <w:noBreakHyphen/>
              <w:t>fix expectations.</w:t>
            </w:r>
          </w:p>
        </w:tc>
        <w:tc>
          <w:tcPr>
            <w:tcW w:w="6989" w:type="dxa"/>
          </w:tcPr>
          <w:p w14:paraId="5FB37AE1" w14:textId="6BB1D5E7" w:rsidR="00DA66C2" w:rsidRPr="00DA66C2" w:rsidRDefault="00DA66C2" w:rsidP="00DA66C2">
            <w:r w:rsidRPr="00DA66C2">
              <w:t>AsIAm procures approximately 15–20 laptops per annum. A proportion of the estate remains under manufacturer warranty. The MSP will be expected to provide break</w:t>
            </w:r>
            <w:r w:rsidRPr="00DA66C2">
              <w:noBreakHyphen/>
              <w:t>fix support for out</w:t>
            </w:r>
            <w:r w:rsidRPr="00DA66C2">
              <w:noBreakHyphen/>
              <w:t>of</w:t>
            </w:r>
            <w:r w:rsidRPr="00DA66C2">
              <w:noBreakHyphen/>
              <w:t>warranty devices. No major refresh programme is currently planned.</w:t>
            </w:r>
          </w:p>
        </w:tc>
      </w:tr>
      <w:tr w:rsidR="00DA66C2" w14:paraId="6A93E0DC" w14:textId="77777777" w:rsidTr="00DA66C2">
        <w:tc>
          <w:tcPr>
            <w:tcW w:w="760" w:type="dxa"/>
          </w:tcPr>
          <w:p w14:paraId="31AD2565" w14:textId="7949B070" w:rsidR="00DA66C2" w:rsidRPr="00DA66C2" w:rsidRDefault="00DA66C2" w:rsidP="00DA66C2">
            <w:r w:rsidRPr="00DA66C2">
              <w:rPr>
                <w:rStyle w:val="Strong"/>
                <w:b w:val="0"/>
                <w:bCs w:val="0"/>
              </w:rPr>
              <w:t>35</w:t>
            </w:r>
          </w:p>
        </w:tc>
        <w:tc>
          <w:tcPr>
            <w:tcW w:w="6988" w:type="dxa"/>
          </w:tcPr>
          <w:p w14:paraId="5A807180" w14:textId="4F1AEC5F" w:rsidR="00DA66C2" w:rsidRPr="00DA66C2" w:rsidRDefault="00DA66C2" w:rsidP="00DA66C2">
            <w:r w:rsidRPr="00DA66C2">
              <w:t>Hardware lifecycle management: Please confirm whether service levels apply to procurement, replacement or warranty repairs.</w:t>
            </w:r>
          </w:p>
        </w:tc>
        <w:tc>
          <w:tcPr>
            <w:tcW w:w="6989" w:type="dxa"/>
          </w:tcPr>
          <w:p w14:paraId="0C8F253A" w14:textId="68332AF4" w:rsidR="00DA66C2" w:rsidRPr="00DA66C2" w:rsidRDefault="00DA66C2" w:rsidP="00DA66C2">
            <w:r w:rsidRPr="00DA66C2">
              <w:t>No formal SLAs currently apply. Tenderers may propose appropriate SLAs for procurement, replacement and warranty coordination including provision of loan devices where required.</w:t>
            </w:r>
          </w:p>
        </w:tc>
      </w:tr>
      <w:tr w:rsidR="00DA66C2" w14:paraId="0BC2B937" w14:textId="77777777" w:rsidTr="00DA66C2">
        <w:tc>
          <w:tcPr>
            <w:tcW w:w="760" w:type="dxa"/>
          </w:tcPr>
          <w:p w14:paraId="1E5002B7" w14:textId="4F1A9B94" w:rsidR="00DA66C2" w:rsidRPr="00DA66C2" w:rsidRDefault="00DA66C2" w:rsidP="00DA66C2">
            <w:r w:rsidRPr="00DA66C2">
              <w:rPr>
                <w:rStyle w:val="Strong"/>
                <w:b w:val="0"/>
                <w:bCs w:val="0"/>
              </w:rPr>
              <w:t>36</w:t>
            </w:r>
          </w:p>
        </w:tc>
        <w:tc>
          <w:tcPr>
            <w:tcW w:w="6988" w:type="dxa"/>
          </w:tcPr>
          <w:p w14:paraId="7E84EEA2" w14:textId="1E55E9D0" w:rsidR="00DA66C2" w:rsidRPr="00DA66C2" w:rsidRDefault="00DA66C2" w:rsidP="00DA66C2">
            <w:r w:rsidRPr="00DA66C2">
              <w:t>Microsoft Cloud Application Security: Please confirm whether Defender for Cloud Apps or equivalent CASB tooling is currently in use.</w:t>
            </w:r>
          </w:p>
        </w:tc>
        <w:tc>
          <w:tcPr>
            <w:tcW w:w="6989" w:type="dxa"/>
          </w:tcPr>
          <w:p w14:paraId="4CC3B9FB" w14:textId="0E03C80E" w:rsidR="00DA66C2" w:rsidRPr="00DA66C2" w:rsidRDefault="00DA66C2" w:rsidP="00DA66C2">
            <w:r w:rsidRPr="00DA66C2">
              <w:t>AsIAm does not currently operate Defender for Cloud Apps or equivalent CASB tooling. Tenderers may propose such tooling as part of their security architecture with associated costs included.</w:t>
            </w:r>
          </w:p>
        </w:tc>
      </w:tr>
      <w:tr w:rsidR="00DA66C2" w14:paraId="0ABBF02A" w14:textId="77777777" w:rsidTr="00DA66C2">
        <w:tc>
          <w:tcPr>
            <w:tcW w:w="760" w:type="dxa"/>
          </w:tcPr>
          <w:p w14:paraId="4064080B" w14:textId="77777777" w:rsidR="00DA66C2" w:rsidRPr="00DA66C2" w:rsidRDefault="00DA66C2" w:rsidP="00DA66C2">
            <w:pPr>
              <w:rPr>
                <w:rStyle w:val="Strong"/>
                <w:b w:val="0"/>
                <w:bCs w:val="0"/>
              </w:rPr>
            </w:pPr>
          </w:p>
        </w:tc>
        <w:tc>
          <w:tcPr>
            <w:tcW w:w="6988" w:type="dxa"/>
          </w:tcPr>
          <w:p w14:paraId="589564E9" w14:textId="77777777" w:rsidR="00DA66C2" w:rsidRPr="00DA66C2" w:rsidRDefault="00DA66C2" w:rsidP="00DA66C2"/>
        </w:tc>
        <w:tc>
          <w:tcPr>
            <w:tcW w:w="6989" w:type="dxa"/>
          </w:tcPr>
          <w:p w14:paraId="764D3374" w14:textId="77777777" w:rsidR="00DA66C2" w:rsidRPr="00DA66C2" w:rsidRDefault="00DA66C2" w:rsidP="00DA66C2"/>
        </w:tc>
      </w:tr>
    </w:tbl>
    <w:p w14:paraId="50C956C7" w14:textId="77777777" w:rsidR="00F467A3" w:rsidRPr="002D52C9" w:rsidRDefault="00F467A3" w:rsidP="004C5807"/>
    <w:sectPr w:rsidR="00F467A3" w:rsidRPr="002D52C9" w:rsidSect="00171078">
      <w:headerReference w:type="default" r:id="rId9"/>
      <w:footerReference w:type="default" r:id="rId10"/>
      <w:pgSz w:w="16833" w:h="11908" w:orient="landscape"/>
      <w:pgMar w:top="1134" w:right="851" w:bottom="1276" w:left="851" w:header="794" w:footer="79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79F8E" w14:textId="77777777" w:rsidR="00D61410" w:rsidRDefault="00D61410" w:rsidP="004C5807">
      <w:r>
        <w:separator/>
      </w:r>
    </w:p>
  </w:endnote>
  <w:endnote w:type="continuationSeparator" w:id="0">
    <w:p w14:paraId="20326D31" w14:textId="77777777" w:rsidR="00D61410" w:rsidRDefault="00D61410" w:rsidP="004C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01BC" w14:textId="303E7A1F" w:rsidR="00575EF4" w:rsidRDefault="00575EF4" w:rsidP="000F2830">
    <w:pPr>
      <w:pStyle w:val="Footer"/>
      <w:tabs>
        <w:tab w:val="clear" w:pos="4680"/>
        <w:tab w:val="clear" w:pos="9360"/>
        <w:tab w:val="center" w:pos="7230"/>
      </w:tabs>
    </w:pPr>
    <w:r>
      <w:tab/>
      <w:t xml:space="preserve">Page </w:t>
    </w:r>
    <w:r>
      <w:fldChar w:fldCharType="begin"/>
    </w:r>
    <w:r>
      <w:instrText>PAGE   \* MERGEFORMAT</w:instrText>
    </w:r>
    <w:r>
      <w:fldChar w:fldCharType="separate"/>
    </w:r>
    <w:r>
      <w:rPr>
        <w:lang w:val="en-GB"/>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F78B" w14:textId="77777777" w:rsidR="00D61410" w:rsidRDefault="00D61410" w:rsidP="004C5807">
      <w:r>
        <w:separator/>
      </w:r>
    </w:p>
  </w:footnote>
  <w:footnote w:type="continuationSeparator" w:id="0">
    <w:p w14:paraId="56F3968D" w14:textId="77777777" w:rsidR="00D61410" w:rsidRDefault="00D61410" w:rsidP="004C5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7AD0" w14:textId="7ACA4364" w:rsidR="00575EF4" w:rsidRPr="00575EF4" w:rsidRDefault="0081314B" w:rsidP="000F2830">
    <w:pPr>
      <w:pStyle w:val="Header"/>
      <w:tabs>
        <w:tab w:val="clear" w:pos="9360"/>
        <w:tab w:val="right" w:pos="14317"/>
      </w:tabs>
      <w:rPr>
        <w:i/>
        <w:iCs/>
      </w:rPr>
    </w:pPr>
    <w:r>
      <w:t>AsIAm</w:t>
    </w:r>
    <w:r w:rsidR="002E126E">
      <w:t xml:space="preserve">: ICT </w:t>
    </w:r>
    <w:r w:rsidR="00425513">
      <w:t xml:space="preserve">Managed </w:t>
    </w:r>
    <w:r w:rsidR="002E126E">
      <w:t>Service RFT</w:t>
    </w:r>
    <w:r w:rsidR="00575EF4">
      <w:tab/>
    </w:r>
    <w:r w:rsidR="00575EF4">
      <w:tab/>
    </w:r>
    <w:r w:rsidR="00575EF4" w:rsidRPr="00575EF4">
      <w:rPr>
        <w:i/>
        <w:iCs/>
      </w:rPr>
      <w:t>Clarifications</w:t>
    </w:r>
  </w:p>
  <w:p w14:paraId="73A93346" w14:textId="77777777" w:rsidR="00575EF4" w:rsidRDefault="00575EF4" w:rsidP="004C5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5EEF"/>
    <w:multiLevelType w:val="hybridMultilevel"/>
    <w:tmpl w:val="728251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A11508"/>
    <w:multiLevelType w:val="hybridMultilevel"/>
    <w:tmpl w:val="0EF65F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94D300A"/>
    <w:multiLevelType w:val="hybridMultilevel"/>
    <w:tmpl w:val="5BE02DF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E9B22A2"/>
    <w:multiLevelType w:val="hybridMultilevel"/>
    <w:tmpl w:val="B62C260A"/>
    <w:lvl w:ilvl="0" w:tplc="A2ECDF36">
      <w:start w:val="1"/>
      <w:numFmt w:val="decimal"/>
      <w:pStyle w:val="ACLetter"/>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971C55"/>
    <w:multiLevelType w:val="hybridMultilevel"/>
    <w:tmpl w:val="393876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32C56328"/>
    <w:multiLevelType w:val="hybridMultilevel"/>
    <w:tmpl w:val="9F0891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352169E8"/>
    <w:multiLevelType w:val="hybridMultilevel"/>
    <w:tmpl w:val="70B8B4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54CE340E"/>
    <w:multiLevelType w:val="hybridMultilevel"/>
    <w:tmpl w:val="7B500C30"/>
    <w:lvl w:ilvl="0" w:tplc="1E0C006A">
      <w:start w:val="1"/>
      <w:numFmt w:val="lowerLetter"/>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7DA126A"/>
    <w:multiLevelType w:val="hybridMultilevel"/>
    <w:tmpl w:val="4C1C220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99456D8"/>
    <w:multiLevelType w:val="hybridMultilevel"/>
    <w:tmpl w:val="342037FE"/>
    <w:lvl w:ilvl="0" w:tplc="1E0C006A">
      <w:start w:val="1"/>
      <w:numFmt w:val="lowerLetter"/>
      <w:lvlText w:val="(%1)"/>
      <w:lvlJc w:val="left"/>
      <w:pPr>
        <w:ind w:left="360" w:hanging="360"/>
      </w:pPr>
      <w:rPr>
        <w:rFonts w:hint="default"/>
        <w:b w:val="0"/>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3A03934"/>
    <w:multiLevelType w:val="hybridMultilevel"/>
    <w:tmpl w:val="D4DA592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75B14B1A"/>
    <w:multiLevelType w:val="hybridMultilevel"/>
    <w:tmpl w:val="DF684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D84E2D"/>
    <w:multiLevelType w:val="hybridMultilevel"/>
    <w:tmpl w:val="B74C76B4"/>
    <w:lvl w:ilvl="0" w:tplc="1E0C006A">
      <w:start w:val="1"/>
      <w:numFmt w:val="lowerLetter"/>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395393272">
    <w:abstractNumId w:val="3"/>
  </w:num>
  <w:num w:numId="2" w16cid:durableId="385760903">
    <w:abstractNumId w:val="12"/>
  </w:num>
  <w:num w:numId="3" w16cid:durableId="202136884">
    <w:abstractNumId w:val="7"/>
  </w:num>
  <w:num w:numId="4" w16cid:durableId="1636906241">
    <w:abstractNumId w:val="4"/>
  </w:num>
  <w:num w:numId="5" w16cid:durableId="307516151">
    <w:abstractNumId w:val="1"/>
  </w:num>
  <w:num w:numId="6" w16cid:durableId="281349805">
    <w:abstractNumId w:val="5"/>
  </w:num>
  <w:num w:numId="7" w16cid:durableId="1571039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499388">
    <w:abstractNumId w:val="0"/>
  </w:num>
  <w:num w:numId="9" w16cid:durableId="1398437272">
    <w:abstractNumId w:val="9"/>
  </w:num>
  <w:num w:numId="10" w16cid:durableId="947349125">
    <w:abstractNumId w:val="8"/>
  </w:num>
  <w:num w:numId="11" w16cid:durableId="51125500">
    <w:abstractNumId w:val="2"/>
  </w:num>
  <w:num w:numId="12" w16cid:durableId="1145390339">
    <w:abstractNumId w:val="6"/>
  </w:num>
  <w:num w:numId="13" w16cid:durableId="115379128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0" w:nlCheck="1" w:checkStyle="0"/>
  <w:activeWritingStyle w:appName="MSWord" w:lang="en-IE"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6B8"/>
    <w:rsid w:val="00001EDA"/>
    <w:rsid w:val="000042E1"/>
    <w:rsid w:val="00004F42"/>
    <w:rsid w:val="00007750"/>
    <w:rsid w:val="00015054"/>
    <w:rsid w:val="000203ED"/>
    <w:rsid w:val="00025452"/>
    <w:rsid w:val="000266A4"/>
    <w:rsid w:val="00040B87"/>
    <w:rsid w:val="00055331"/>
    <w:rsid w:val="00060FB5"/>
    <w:rsid w:val="00062698"/>
    <w:rsid w:val="00066F93"/>
    <w:rsid w:val="00066FED"/>
    <w:rsid w:val="00067054"/>
    <w:rsid w:val="00071333"/>
    <w:rsid w:val="00075F9E"/>
    <w:rsid w:val="00081B5C"/>
    <w:rsid w:val="00083BC9"/>
    <w:rsid w:val="00086229"/>
    <w:rsid w:val="000905B2"/>
    <w:rsid w:val="000919E3"/>
    <w:rsid w:val="000A0B8A"/>
    <w:rsid w:val="000A4998"/>
    <w:rsid w:val="000A4E07"/>
    <w:rsid w:val="000D0B3A"/>
    <w:rsid w:val="000D4EA9"/>
    <w:rsid w:val="000F1B52"/>
    <w:rsid w:val="000F1E2B"/>
    <w:rsid w:val="000F2830"/>
    <w:rsid w:val="000F52CA"/>
    <w:rsid w:val="000F57B5"/>
    <w:rsid w:val="000F6BEC"/>
    <w:rsid w:val="00103182"/>
    <w:rsid w:val="00107B6C"/>
    <w:rsid w:val="001175D2"/>
    <w:rsid w:val="00120D69"/>
    <w:rsid w:val="001358B8"/>
    <w:rsid w:val="00136CD5"/>
    <w:rsid w:val="00143142"/>
    <w:rsid w:val="001553FB"/>
    <w:rsid w:val="001636B3"/>
    <w:rsid w:val="001637C1"/>
    <w:rsid w:val="00167000"/>
    <w:rsid w:val="00171078"/>
    <w:rsid w:val="00171C47"/>
    <w:rsid w:val="00177EF1"/>
    <w:rsid w:val="001820FE"/>
    <w:rsid w:val="00182DC1"/>
    <w:rsid w:val="001834E6"/>
    <w:rsid w:val="00190B7A"/>
    <w:rsid w:val="001A28C9"/>
    <w:rsid w:val="001A55B3"/>
    <w:rsid w:val="001C2526"/>
    <w:rsid w:val="001C2A4E"/>
    <w:rsid w:val="001D1B47"/>
    <w:rsid w:val="001D2256"/>
    <w:rsid w:val="001D4533"/>
    <w:rsid w:val="001E217A"/>
    <w:rsid w:val="001E788A"/>
    <w:rsid w:val="0020228F"/>
    <w:rsid w:val="00212EFC"/>
    <w:rsid w:val="002161EA"/>
    <w:rsid w:val="00221D0C"/>
    <w:rsid w:val="0024008A"/>
    <w:rsid w:val="00240382"/>
    <w:rsid w:val="002442DA"/>
    <w:rsid w:val="002576B8"/>
    <w:rsid w:val="00266F84"/>
    <w:rsid w:val="00267862"/>
    <w:rsid w:val="00270521"/>
    <w:rsid w:val="00270CAF"/>
    <w:rsid w:val="00273349"/>
    <w:rsid w:val="00273A6C"/>
    <w:rsid w:val="00282A0D"/>
    <w:rsid w:val="0029015F"/>
    <w:rsid w:val="00292C1F"/>
    <w:rsid w:val="0029405E"/>
    <w:rsid w:val="002A18C2"/>
    <w:rsid w:val="002A6391"/>
    <w:rsid w:val="002B0222"/>
    <w:rsid w:val="002B0522"/>
    <w:rsid w:val="002B31D8"/>
    <w:rsid w:val="002B667B"/>
    <w:rsid w:val="002C67EC"/>
    <w:rsid w:val="002C7211"/>
    <w:rsid w:val="002D001D"/>
    <w:rsid w:val="002D52C9"/>
    <w:rsid w:val="002E0875"/>
    <w:rsid w:val="002E126E"/>
    <w:rsid w:val="002F077F"/>
    <w:rsid w:val="002F10F6"/>
    <w:rsid w:val="002F552F"/>
    <w:rsid w:val="00302D85"/>
    <w:rsid w:val="003063D6"/>
    <w:rsid w:val="00307412"/>
    <w:rsid w:val="003077DD"/>
    <w:rsid w:val="0032493A"/>
    <w:rsid w:val="0033063B"/>
    <w:rsid w:val="003316D7"/>
    <w:rsid w:val="00333C8D"/>
    <w:rsid w:val="00337F30"/>
    <w:rsid w:val="00346923"/>
    <w:rsid w:val="00362A6C"/>
    <w:rsid w:val="00367507"/>
    <w:rsid w:val="00372EBC"/>
    <w:rsid w:val="00374391"/>
    <w:rsid w:val="00375F3E"/>
    <w:rsid w:val="003900DB"/>
    <w:rsid w:val="00391873"/>
    <w:rsid w:val="003971D4"/>
    <w:rsid w:val="003A252C"/>
    <w:rsid w:val="003A39D9"/>
    <w:rsid w:val="003B2B3A"/>
    <w:rsid w:val="003B3E21"/>
    <w:rsid w:val="003C2E81"/>
    <w:rsid w:val="003D31EF"/>
    <w:rsid w:val="003D3BA9"/>
    <w:rsid w:val="003D5E38"/>
    <w:rsid w:val="003D6C7A"/>
    <w:rsid w:val="003E4CE4"/>
    <w:rsid w:val="003F06AF"/>
    <w:rsid w:val="00401A6F"/>
    <w:rsid w:val="004022CC"/>
    <w:rsid w:val="004058D7"/>
    <w:rsid w:val="00407A8A"/>
    <w:rsid w:val="00410C0B"/>
    <w:rsid w:val="004158D6"/>
    <w:rsid w:val="004167AB"/>
    <w:rsid w:val="00420ABE"/>
    <w:rsid w:val="00425513"/>
    <w:rsid w:val="00425C22"/>
    <w:rsid w:val="00431BBE"/>
    <w:rsid w:val="00442CFA"/>
    <w:rsid w:val="00455009"/>
    <w:rsid w:val="004626F8"/>
    <w:rsid w:val="004641D4"/>
    <w:rsid w:val="00466010"/>
    <w:rsid w:val="004701FD"/>
    <w:rsid w:val="00477D9B"/>
    <w:rsid w:val="00480964"/>
    <w:rsid w:val="0048144E"/>
    <w:rsid w:val="0048530C"/>
    <w:rsid w:val="0048580E"/>
    <w:rsid w:val="0049168B"/>
    <w:rsid w:val="004A3D08"/>
    <w:rsid w:val="004A4B5E"/>
    <w:rsid w:val="004B0F07"/>
    <w:rsid w:val="004B1BAF"/>
    <w:rsid w:val="004B7186"/>
    <w:rsid w:val="004B7CC8"/>
    <w:rsid w:val="004C1F09"/>
    <w:rsid w:val="004C303D"/>
    <w:rsid w:val="004C43DD"/>
    <w:rsid w:val="004C5807"/>
    <w:rsid w:val="004C5E16"/>
    <w:rsid w:val="004D6220"/>
    <w:rsid w:val="004D7F5C"/>
    <w:rsid w:val="004E065A"/>
    <w:rsid w:val="004E1580"/>
    <w:rsid w:val="004E3225"/>
    <w:rsid w:val="004F02AC"/>
    <w:rsid w:val="004F2689"/>
    <w:rsid w:val="004F4C88"/>
    <w:rsid w:val="005016B2"/>
    <w:rsid w:val="00503FD3"/>
    <w:rsid w:val="00504AA3"/>
    <w:rsid w:val="00505ECB"/>
    <w:rsid w:val="00505F8F"/>
    <w:rsid w:val="0050683A"/>
    <w:rsid w:val="00511D62"/>
    <w:rsid w:val="0051509D"/>
    <w:rsid w:val="00520A3C"/>
    <w:rsid w:val="005245ED"/>
    <w:rsid w:val="00531E4D"/>
    <w:rsid w:val="00533A2E"/>
    <w:rsid w:val="00540EF4"/>
    <w:rsid w:val="00541F0B"/>
    <w:rsid w:val="005421B2"/>
    <w:rsid w:val="00544006"/>
    <w:rsid w:val="0054466F"/>
    <w:rsid w:val="00550961"/>
    <w:rsid w:val="00560251"/>
    <w:rsid w:val="00561C4E"/>
    <w:rsid w:val="005660DF"/>
    <w:rsid w:val="00571468"/>
    <w:rsid w:val="005716ED"/>
    <w:rsid w:val="00575EF4"/>
    <w:rsid w:val="005905AF"/>
    <w:rsid w:val="00590A29"/>
    <w:rsid w:val="00594008"/>
    <w:rsid w:val="005A12C6"/>
    <w:rsid w:val="005B114C"/>
    <w:rsid w:val="005B119C"/>
    <w:rsid w:val="005B43A8"/>
    <w:rsid w:val="005B4697"/>
    <w:rsid w:val="005B57BE"/>
    <w:rsid w:val="005C1A22"/>
    <w:rsid w:val="005C3659"/>
    <w:rsid w:val="005C4D3F"/>
    <w:rsid w:val="005C6B06"/>
    <w:rsid w:val="005D12CB"/>
    <w:rsid w:val="005D404B"/>
    <w:rsid w:val="005E3E5A"/>
    <w:rsid w:val="005E7F8E"/>
    <w:rsid w:val="005EBB69"/>
    <w:rsid w:val="005F01CE"/>
    <w:rsid w:val="00601D3D"/>
    <w:rsid w:val="006031C5"/>
    <w:rsid w:val="0061325E"/>
    <w:rsid w:val="006149FA"/>
    <w:rsid w:val="00616F7D"/>
    <w:rsid w:val="00626610"/>
    <w:rsid w:val="00634B52"/>
    <w:rsid w:val="006426F1"/>
    <w:rsid w:val="00643DD4"/>
    <w:rsid w:val="006442A2"/>
    <w:rsid w:val="00644BA1"/>
    <w:rsid w:val="00652153"/>
    <w:rsid w:val="00661AF2"/>
    <w:rsid w:val="006628B8"/>
    <w:rsid w:val="006632A5"/>
    <w:rsid w:val="006726E8"/>
    <w:rsid w:val="006761E9"/>
    <w:rsid w:val="0067705F"/>
    <w:rsid w:val="00683E09"/>
    <w:rsid w:val="00687961"/>
    <w:rsid w:val="00690FC6"/>
    <w:rsid w:val="006A093B"/>
    <w:rsid w:val="006A1B55"/>
    <w:rsid w:val="006A7931"/>
    <w:rsid w:val="006B4EC3"/>
    <w:rsid w:val="006C1A3D"/>
    <w:rsid w:val="006C44F5"/>
    <w:rsid w:val="006D30EF"/>
    <w:rsid w:val="006D6EBE"/>
    <w:rsid w:val="006E0748"/>
    <w:rsid w:val="006E3FC5"/>
    <w:rsid w:val="006E5043"/>
    <w:rsid w:val="006F0DC2"/>
    <w:rsid w:val="006F0E31"/>
    <w:rsid w:val="007016EC"/>
    <w:rsid w:val="0070633C"/>
    <w:rsid w:val="0070762B"/>
    <w:rsid w:val="00707F9D"/>
    <w:rsid w:val="00711231"/>
    <w:rsid w:val="00716E3E"/>
    <w:rsid w:val="0072777B"/>
    <w:rsid w:val="007377D1"/>
    <w:rsid w:val="0074042D"/>
    <w:rsid w:val="00742C12"/>
    <w:rsid w:val="007454E5"/>
    <w:rsid w:val="0074766A"/>
    <w:rsid w:val="0074797F"/>
    <w:rsid w:val="00752CC9"/>
    <w:rsid w:val="007610AE"/>
    <w:rsid w:val="00771DDB"/>
    <w:rsid w:val="00774080"/>
    <w:rsid w:val="00782896"/>
    <w:rsid w:val="0078308E"/>
    <w:rsid w:val="007907D7"/>
    <w:rsid w:val="0079798B"/>
    <w:rsid w:val="007A6764"/>
    <w:rsid w:val="007A67E0"/>
    <w:rsid w:val="007B4BD5"/>
    <w:rsid w:val="007D205C"/>
    <w:rsid w:val="007E2A8A"/>
    <w:rsid w:val="007F35DC"/>
    <w:rsid w:val="008074C3"/>
    <w:rsid w:val="0081314B"/>
    <w:rsid w:val="008314A0"/>
    <w:rsid w:val="008316EC"/>
    <w:rsid w:val="008325F7"/>
    <w:rsid w:val="00833522"/>
    <w:rsid w:val="00835BE7"/>
    <w:rsid w:val="00835F03"/>
    <w:rsid w:val="0085146D"/>
    <w:rsid w:val="008523E8"/>
    <w:rsid w:val="00863566"/>
    <w:rsid w:val="00865106"/>
    <w:rsid w:val="00866817"/>
    <w:rsid w:val="00872264"/>
    <w:rsid w:val="00873763"/>
    <w:rsid w:val="00873F38"/>
    <w:rsid w:val="00890DD4"/>
    <w:rsid w:val="0089216B"/>
    <w:rsid w:val="00894345"/>
    <w:rsid w:val="008A7312"/>
    <w:rsid w:val="008B1C4E"/>
    <w:rsid w:val="008D7BA0"/>
    <w:rsid w:val="008E0AD1"/>
    <w:rsid w:val="008E5818"/>
    <w:rsid w:val="008F1156"/>
    <w:rsid w:val="008F6585"/>
    <w:rsid w:val="00910D17"/>
    <w:rsid w:val="0091165C"/>
    <w:rsid w:val="00916F69"/>
    <w:rsid w:val="009176FD"/>
    <w:rsid w:val="00920364"/>
    <w:rsid w:val="009226EE"/>
    <w:rsid w:val="00925717"/>
    <w:rsid w:val="00925E30"/>
    <w:rsid w:val="00930304"/>
    <w:rsid w:val="00934BDE"/>
    <w:rsid w:val="00944157"/>
    <w:rsid w:val="0094685A"/>
    <w:rsid w:val="00953F67"/>
    <w:rsid w:val="00960D6D"/>
    <w:rsid w:val="0096437B"/>
    <w:rsid w:val="009651DF"/>
    <w:rsid w:val="00967E16"/>
    <w:rsid w:val="00972331"/>
    <w:rsid w:val="009733ED"/>
    <w:rsid w:val="00975306"/>
    <w:rsid w:val="0098504E"/>
    <w:rsid w:val="009877C6"/>
    <w:rsid w:val="0099301C"/>
    <w:rsid w:val="009A2AD3"/>
    <w:rsid w:val="009B0A3E"/>
    <w:rsid w:val="009B345F"/>
    <w:rsid w:val="009B3536"/>
    <w:rsid w:val="009B41D3"/>
    <w:rsid w:val="009B4344"/>
    <w:rsid w:val="009B66D0"/>
    <w:rsid w:val="009C1525"/>
    <w:rsid w:val="009C32DC"/>
    <w:rsid w:val="009C3DA9"/>
    <w:rsid w:val="009C465F"/>
    <w:rsid w:val="009C692E"/>
    <w:rsid w:val="009D655C"/>
    <w:rsid w:val="009E42AE"/>
    <w:rsid w:val="009E4D68"/>
    <w:rsid w:val="009E63AB"/>
    <w:rsid w:val="009E7298"/>
    <w:rsid w:val="009F3A6C"/>
    <w:rsid w:val="00A0666C"/>
    <w:rsid w:val="00A11B36"/>
    <w:rsid w:val="00A13F7F"/>
    <w:rsid w:val="00A172B5"/>
    <w:rsid w:val="00A23424"/>
    <w:rsid w:val="00A264CB"/>
    <w:rsid w:val="00A2688A"/>
    <w:rsid w:val="00A30E74"/>
    <w:rsid w:val="00A350B2"/>
    <w:rsid w:val="00A35CBB"/>
    <w:rsid w:val="00A37640"/>
    <w:rsid w:val="00A53F1E"/>
    <w:rsid w:val="00A61469"/>
    <w:rsid w:val="00A6259E"/>
    <w:rsid w:val="00A6407B"/>
    <w:rsid w:val="00A8750D"/>
    <w:rsid w:val="00A90677"/>
    <w:rsid w:val="00A92432"/>
    <w:rsid w:val="00A93DAD"/>
    <w:rsid w:val="00AA1FF1"/>
    <w:rsid w:val="00AB1ABF"/>
    <w:rsid w:val="00AC156A"/>
    <w:rsid w:val="00AC7439"/>
    <w:rsid w:val="00AE3587"/>
    <w:rsid w:val="00AE728F"/>
    <w:rsid w:val="00AF1B64"/>
    <w:rsid w:val="00AF1F24"/>
    <w:rsid w:val="00AF2326"/>
    <w:rsid w:val="00B0317A"/>
    <w:rsid w:val="00B05CE4"/>
    <w:rsid w:val="00B142DE"/>
    <w:rsid w:val="00B15AA8"/>
    <w:rsid w:val="00B17656"/>
    <w:rsid w:val="00B17928"/>
    <w:rsid w:val="00B22676"/>
    <w:rsid w:val="00B36580"/>
    <w:rsid w:val="00B407A4"/>
    <w:rsid w:val="00B40F63"/>
    <w:rsid w:val="00B51C9A"/>
    <w:rsid w:val="00B55205"/>
    <w:rsid w:val="00B574EF"/>
    <w:rsid w:val="00B57963"/>
    <w:rsid w:val="00B6093E"/>
    <w:rsid w:val="00B60D4B"/>
    <w:rsid w:val="00B85804"/>
    <w:rsid w:val="00B94A72"/>
    <w:rsid w:val="00B96EDE"/>
    <w:rsid w:val="00BA3B18"/>
    <w:rsid w:val="00BA7494"/>
    <w:rsid w:val="00BB0834"/>
    <w:rsid w:val="00BB32FE"/>
    <w:rsid w:val="00BB3757"/>
    <w:rsid w:val="00BC1CC3"/>
    <w:rsid w:val="00BC278D"/>
    <w:rsid w:val="00BC4B41"/>
    <w:rsid w:val="00BD1C8D"/>
    <w:rsid w:val="00BE1232"/>
    <w:rsid w:val="00BE1E71"/>
    <w:rsid w:val="00BE39DD"/>
    <w:rsid w:val="00BE577E"/>
    <w:rsid w:val="00BF1204"/>
    <w:rsid w:val="00BF430A"/>
    <w:rsid w:val="00BF7DD2"/>
    <w:rsid w:val="00C00251"/>
    <w:rsid w:val="00C108A6"/>
    <w:rsid w:val="00C11CE4"/>
    <w:rsid w:val="00C17F3C"/>
    <w:rsid w:val="00C3318E"/>
    <w:rsid w:val="00C467BA"/>
    <w:rsid w:val="00C50D13"/>
    <w:rsid w:val="00C544CB"/>
    <w:rsid w:val="00C65972"/>
    <w:rsid w:val="00C65F27"/>
    <w:rsid w:val="00C77847"/>
    <w:rsid w:val="00C81347"/>
    <w:rsid w:val="00C82B41"/>
    <w:rsid w:val="00C82C31"/>
    <w:rsid w:val="00C849AF"/>
    <w:rsid w:val="00C86022"/>
    <w:rsid w:val="00C86A4C"/>
    <w:rsid w:val="00C87F8D"/>
    <w:rsid w:val="00C94FDA"/>
    <w:rsid w:val="00CA0EAD"/>
    <w:rsid w:val="00CA3185"/>
    <w:rsid w:val="00CA5306"/>
    <w:rsid w:val="00CA6D75"/>
    <w:rsid w:val="00CB6784"/>
    <w:rsid w:val="00CC492C"/>
    <w:rsid w:val="00CC5E6B"/>
    <w:rsid w:val="00CD498E"/>
    <w:rsid w:val="00CD644E"/>
    <w:rsid w:val="00CD66EB"/>
    <w:rsid w:val="00CD732F"/>
    <w:rsid w:val="00CE089A"/>
    <w:rsid w:val="00CE2E61"/>
    <w:rsid w:val="00D01614"/>
    <w:rsid w:val="00D07C22"/>
    <w:rsid w:val="00D10D54"/>
    <w:rsid w:val="00D145EB"/>
    <w:rsid w:val="00D166DF"/>
    <w:rsid w:val="00D21D72"/>
    <w:rsid w:val="00D23F76"/>
    <w:rsid w:val="00D24C8D"/>
    <w:rsid w:val="00D25D0D"/>
    <w:rsid w:val="00D35CC3"/>
    <w:rsid w:val="00D35FA6"/>
    <w:rsid w:val="00D36A12"/>
    <w:rsid w:val="00D4362E"/>
    <w:rsid w:val="00D45922"/>
    <w:rsid w:val="00D4739E"/>
    <w:rsid w:val="00D47530"/>
    <w:rsid w:val="00D540AE"/>
    <w:rsid w:val="00D6046E"/>
    <w:rsid w:val="00D61410"/>
    <w:rsid w:val="00D61D13"/>
    <w:rsid w:val="00D650D1"/>
    <w:rsid w:val="00D65812"/>
    <w:rsid w:val="00D73422"/>
    <w:rsid w:val="00D747E8"/>
    <w:rsid w:val="00D85487"/>
    <w:rsid w:val="00D913DB"/>
    <w:rsid w:val="00D91429"/>
    <w:rsid w:val="00D970B6"/>
    <w:rsid w:val="00DA544A"/>
    <w:rsid w:val="00DA66C2"/>
    <w:rsid w:val="00DB19E7"/>
    <w:rsid w:val="00DB6BD6"/>
    <w:rsid w:val="00DB7751"/>
    <w:rsid w:val="00DD2D05"/>
    <w:rsid w:val="00DD4EDC"/>
    <w:rsid w:val="00DE4A9F"/>
    <w:rsid w:val="00DF4D8B"/>
    <w:rsid w:val="00E036EE"/>
    <w:rsid w:val="00E05557"/>
    <w:rsid w:val="00E14841"/>
    <w:rsid w:val="00E15B24"/>
    <w:rsid w:val="00E236F5"/>
    <w:rsid w:val="00E30B0E"/>
    <w:rsid w:val="00E37D55"/>
    <w:rsid w:val="00E6246A"/>
    <w:rsid w:val="00E67257"/>
    <w:rsid w:val="00E75EA4"/>
    <w:rsid w:val="00E76CAD"/>
    <w:rsid w:val="00E7737F"/>
    <w:rsid w:val="00E82927"/>
    <w:rsid w:val="00E84E31"/>
    <w:rsid w:val="00E86A0F"/>
    <w:rsid w:val="00E86D00"/>
    <w:rsid w:val="00E90576"/>
    <w:rsid w:val="00E9136B"/>
    <w:rsid w:val="00E92C3B"/>
    <w:rsid w:val="00E9746A"/>
    <w:rsid w:val="00EB0B42"/>
    <w:rsid w:val="00EB19F4"/>
    <w:rsid w:val="00EB1C00"/>
    <w:rsid w:val="00EB45ED"/>
    <w:rsid w:val="00EB58DD"/>
    <w:rsid w:val="00EC2931"/>
    <w:rsid w:val="00ED0A47"/>
    <w:rsid w:val="00ED31B2"/>
    <w:rsid w:val="00ED6CC8"/>
    <w:rsid w:val="00EE38CD"/>
    <w:rsid w:val="00EE5182"/>
    <w:rsid w:val="00EE7FEF"/>
    <w:rsid w:val="00EF388C"/>
    <w:rsid w:val="00EF3A0E"/>
    <w:rsid w:val="00EF7F59"/>
    <w:rsid w:val="00F05153"/>
    <w:rsid w:val="00F210A4"/>
    <w:rsid w:val="00F23D16"/>
    <w:rsid w:val="00F24D49"/>
    <w:rsid w:val="00F25749"/>
    <w:rsid w:val="00F2691F"/>
    <w:rsid w:val="00F33D2B"/>
    <w:rsid w:val="00F4002C"/>
    <w:rsid w:val="00F40910"/>
    <w:rsid w:val="00F411C9"/>
    <w:rsid w:val="00F459E4"/>
    <w:rsid w:val="00F467A3"/>
    <w:rsid w:val="00F50208"/>
    <w:rsid w:val="00F5341A"/>
    <w:rsid w:val="00F57E2E"/>
    <w:rsid w:val="00F61C4C"/>
    <w:rsid w:val="00F626AE"/>
    <w:rsid w:val="00F65FED"/>
    <w:rsid w:val="00F70749"/>
    <w:rsid w:val="00F80E8B"/>
    <w:rsid w:val="00F860F4"/>
    <w:rsid w:val="00F92469"/>
    <w:rsid w:val="00F96B80"/>
    <w:rsid w:val="00F96DC4"/>
    <w:rsid w:val="00FA1570"/>
    <w:rsid w:val="00FA6BFD"/>
    <w:rsid w:val="00FB5B4A"/>
    <w:rsid w:val="00FB79E5"/>
    <w:rsid w:val="00FC48B1"/>
    <w:rsid w:val="00FD17CB"/>
    <w:rsid w:val="00FD261D"/>
    <w:rsid w:val="00FD4970"/>
    <w:rsid w:val="00FF08C9"/>
    <w:rsid w:val="00FF1843"/>
    <w:rsid w:val="00FF6636"/>
    <w:rsid w:val="00FF6898"/>
    <w:rsid w:val="00FF73B9"/>
    <w:rsid w:val="0163405D"/>
    <w:rsid w:val="01C49787"/>
    <w:rsid w:val="028304BE"/>
    <w:rsid w:val="04BFD5F9"/>
    <w:rsid w:val="051D4C8A"/>
    <w:rsid w:val="060237B4"/>
    <w:rsid w:val="072EADD6"/>
    <w:rsid w:val="08C05328"/>
    <w:rsid w:val="0A8F7BAE"/>
    <w:rsid w:val="0ADCAF3B"/>
    <w:rsid w:val="0D5C6178"/>
    <w:rsid w:val="0E015446"/>
    <w:rsid w:val="0E114891"/>
    <w:rsid w:val="0E163839"/>
    <w:rsid w:val="0E27B9C4"/>
    <w:rsid w:val="0E596E82"/>
    <w:rsid w:val="0FACB374"/>
    <w:rsid w:val="110A1301"/>
    <w:rsid w:val="113E0B3C"/>
    <w:rsid w:val="119C96E4"/>
    <w:rsid w:val="150D3376"/>
    <w:rsid w:val="15C2B743"/>
    <w:rsid w:val="1773905E"/>
    <w:rsid w:val="1777286E"/>
    <w:rsid w:val="17EC2899"/>
    <w:rsid w:val="18B4B8FD"/>
    <w:rsid w:val="19746EAE"/>
    <w:rsid w:val="1D0D3E60"/>
    <w:rsid w:val="1FFCD698"/>
    <w:rsid w:val="203E904F"/>
    <w:rsid w:val="2058E250"/>
    <w:rsid w:val="25D9A268"/>
    <w:rsid w:val="27657EF7"/>
    <w:rsid w:val="27D7B9FD"/>
    <w:rsid w:val="282960BE"/>
    <w:rsid w:val="2A24F1E5"/>
    <w:rsid w:val="2BC89C74"/>
    <w:rsid w:val="2E213B2E"/>
    <w:rsid w:val="2E747847"/>
    <w:rsid w:val="318E26E4"/>
    <w:rsid w:val="3195629A"/>
    <w:rsid w:val="33409F37"/>
    <w:rsid w:val="34FF1774"/>
    <w:rsid w:val="35E99640"/>
    <w:rsid w:val="360F72A8"/>
    <w:rsid w:val="3752C5AD"/>
    <w:rsid w:val="37BACBF4"/>
    <w:rsid w:val="3AEF9A7E"/>
    <w:rsid w:val="3BF615C6"/>
    <w:rsid w:val="40385968"/>
    <w:rsid w:val="41D573BB"/>
    <w:rsid w:val="4204542B"/>
    <w:rsid w:val="4237043B"/>
    <w:rsid w:val="43022A42"/>
    <w:rsid w:val="436BA89A"/>
    <w:rsid w:val="4457CCC0"/>
    <w:rsid w:val="4558C5F1"/>
    <w:rsid w:val="466A8E0E"/>
    <w:rsid w:val="477E3FDA"/>
    <w:rsid w:val="482B55FC"/>
    <w:rsid w:val="49744E4A"/>
    <w:rsid w:val="499BBB4A"/>
    <w:rsid w:val="4A65092B"/>
    <w:rsid w:val="4CB82262"/>
    <w:rsid w:val="4F91F7DC"/>
    <w:rsid w:val="505A9D46"/>
    <w:rsid w:val="5091A758"/>
    <w:rsid w:val="50D030A7"/>
    <w:rsid w:val="51339C02"/>
    <w:rsid w:val="514EE8FF"/>
    <w:rsid w:val="51B76BDD"/>
    <w:rsid w:val="52CE52A6"/>
    <w:rsid w:val="53B69B5F"/>
    <w:rsid w:val="55083C6E"/>
    <w:rsid w:val="56DC7675"/>
    <w:rsid w:val="58F7ED10"/>
    <w:rsid w:val="5B527F98"/>
    <w:rsid w:val="5C29B86B"/>
    <w:rsid w:val="5C935A01"/>
    <w:rsid w:val="5CEE2655"/>
    <w:rsid w:val="611DB141"/>
    <w:rsid w:val="619F2AE7"/>
    <w:rsid w:val="61ADBCF9"/>
    <w:rsid w:val="66813130"/>
    <w:rsid w:val="66E720C2"/>
    <w:rsid w:val="66F5AF66"/>
    <w:rsid w:val="67EB7F82"/>
    <w:rsid w:val="67F96543"/>
    <w:rsid w:val="687104B9"/>
    <w:rsid w:val="69AAB69C"/>
    <w:rsid w:val="6A0AD5A6"/>
    <w:rsid w:val="6A9CCDDB"/>
    <w:rsid w:val="6B3A36BA"/>
    <w:rsid w:val="6B3DECFB"/>
    <w:rsid w:val="6B4A0366"/>
    <w:rsid w:val="6CAAF2CA"/>
    <w:rsid w:val="6DE8C0F0"/>
    <w:rsid w:val="6E7ECB60"/>
    <w:rsid w:val="701D06E4"/>
    <w:rsid w:val="730D0298"/>
    <w:rsid w:val="755C78D9"/>
    <w:rsid w:val="75DA2C0A"/>
    <w:rsid w:val="75F92F4D"/>
    <w:rsid w:val="77671E6D"/>
    <w:rsid w:val="776FFA24"/>
    <w:rsid w:val="77BCF6B7"/>
    <w:rsid w:val="78A2C7A9"/>
    <w:rsid w:val="79C27EB6"/>
    <w:rsid w:val="7C810DA0"/>
    <w:rsid w:val="7D7BB893"/>
    <w:rsid w:val="7E1C1601"/>
    <w:rsid w:val="7F96CE6A"/>
    <w:rsid w:val="7FB6B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A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07"/>
    <w:pPr>
      <w:spacing w:after="120" w:line="240" w:lineRule="auto"/>
    </w:pPr>
    <w:rPr>
      <w:sz w:val="24"/>
      <w:szCs w:val="24"/>
      <w:lang w:val="en-IE"/>
    </w:rPr>
  </w:style>
  <w:style w:type="paragraph" w:styleId="Heading1">
    <w:name w:val="heading 1"/>
    <w:basedOn w:val="Normal"/>
    <w:next w:val="Normal"/>
    <w:link w:val="Heading1Char"/>
    <w:uiPriority w:val="9"/>
    <w:qFormat/>
    <w:rsid w:val="00E14841"/>
    <w:pPr>
      <w:keepNext/>
      <w:keepLines/>
      <w:spacing w:after="0" w:line="480" w:lineRule="auto"/>
      <w:jc w:val="center"/>
      <w:outlineLvl w:val="0"/>
    </w:pPr>
    <w:rPr>
      <w:rFonts w:eastAsiaTheme="majorEastAsia" w:cstheme="minorHAnsi"/>
      <w:b/>
      <w:bCs/>
      <w:color w:val="365F91" w:themeColor="accent1" w:themeShade="BF"/>
    </w:rPr>
  </w:style>
  <w:style w:type="paragraph" w:styleId="Heading4">
    <w:name w:val="heading 4"/>
    <w:basedOn w:val="Normal"/>
    <w:next w:val="Normal"/>
    <w:link w:val="Heading4Char"/>
    <w:qFormat/>
    <w:rsid w:val="002576B8"/>
    <w:pPr>
      <w:keepNext/>
      <w:spacing w:after="0"/>
      <w:ind w:left="360"/>
      <w:jc w:val="center"/>
      <w:outlineLvl w:val="3"/>
    </w:pPr>
    <w:rPr>
      <w:rFonts w:ascii="Arial" w:eastAsia="Times New Roman" w:hAnsi="Arial" w:cs="Arial"/>
      <w:b/>
      <w:bCs/>
      <w:u w:val="single"/>
    </w:rPr>
  </w:style>
  <w:style w:type="paragraph" w:styleId="Heading6">
    <w:name w:val="heading 6"/>
    <w:basedOn w:val="Normal"/>
    <w:next w:val="Normal"/>
    <w:link w:val="Heading6Char"/>
    <w:qFormat/>
    <w:rsid w:val="002576B8"/>
    <w:pPr>
      <w:keepNext/>
      <w:spacing w:after="0"/>
      <w:ind w:left="240"/>
      <w:jc w:val="center"/>
      <w:outlineLvl w:val="5"/>
    </w:pPr>
    <w:rPr>
      <w:rFonts w:ascii="Arial" w:eastAsia="Times New Roman" w:hAnsi="Arial" w:cs="Arial"/>
      <w:b/>
      <w:bCs/>
      <w:sz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7D1"/>
    <w:pPr>
      <w:tabs>
        <w:tab w:val="center" w:pos="4680"/>
        <w:tab w:val="right" w:pos="9360"/>
      </w:tabs>
      <w:spacing w:after="0"/>
    </w:pPr>
  </w:style>
  <w:style w:type="character" w:customStyle="1" w:styleId="HeaderChar">
    <w:name w:val="Header Char"/>
    <w:basedOn w:val="DefaultParagraphFont"/>
    <w:link w:val="Header"/>
    <w:uiPriority w:val="99"/>
    <w:rsid w:val="007377D1"/>
    <w:rPr>
      <w:lang w:val="en-IE"/>
    </w:rPr>
  </w:style>
  <w:style w:type="paragraph" w:styleId="Footer">
    <w:name w:val="footer"/>
    <w:basedOn w:val="Normal"/>
    <w:link w:val="FooterChar"/>
    <w:uiPriority w:val="99"/>
    <w:unhideWhenUsed/>
    <w:rsid w:val="007377D1"/>
    <w:pPr>
      <w:tabs>
        <w:tab w:val="center" w:pos="4680"/>
        <w:tab w:val="right" w:pos="9360"/>
      </w:tabs>
      <w:spacing w:after="0"/>
    </w:pPr>
  </w:style>
  <w:style w:type="character" w:customStyle="1" w:styleId="FooterChar">
    <w:name w:val="Footer Char"/>
    <w:basedOn w:val="DefaultParagraphFont"/>
    <w:link w:val="Footer"/>
    <w:uiPriority w:val="99"/>
    <w:rsid w:val="007377D1"/>
    <w:rPr>
      <w:lang w:val="en-IE"/>
    </w:rPr>
  </w:style>
  <w:style w:type="paragraph" w:styleId="BodyText">
    <w:name w:val="Body Text"/>
    <w:basedOn w:val="Normal"/>
    <w:link w:val="BodyTextChar"/>
    <w:rsid w:val="007377D1"/>
    <w:pPr>
      <w:autoSpaceDE w:val="0"/>
      <w:autoSpaceDN w:val="0"/>
      <w:adjustRightInd w:val="0"/>
      <w:spacing w:after="0"/>
    </w:pPr>
    <w:rPr>
      <w:rFonts w:ascii="Times New Roman" w:eastAsia="Times New Roman" w:hAnsi="Times New Roman" w:cs="Times New Roman"/>
      <w:color w:val="000000"/>
      <w:sz w:val="20"/>
      <w:lang w:val="en-US"/>
    </w:rPr>
  </w:style>
  <w:style w:type="character" w:customStyle="1" w:styleId="BodyTextChar">
    <w:name w:val="Body Text Char"/>
    <w:basedOn w:val="DefaultParagraphFont"/>
    <w:link w:val="BodyText"/>
    <w:rsid w:val="007377D1"/>
    <w:rPr>
      <w:rFonts w:ascii="Times New Roman" w:eastAsia="Times New Roman" w:hAnsi="Times New Roman" w:cs="Times New Roman"/>
      <w:color w:val="000000"/>
      <w:sz w:val="20"/>
      <w:szCs w:val="24"/>
    </w:rPr>
  </w:style>
  <w:style w:type="character" w:styleId="Hyperlink">
    <w:name w:val="Hyperlink"/>
    <w:basedOn w:val="DefaultParagraphFont"/>
    <w:rsid w:val="007377D1"/>
    <w:rPr>
      <w:color w:val="0000FF"/>
      <w:u w:val="single"/>
    </w:rPr>
  </w:style>
  <w:style w:type="character" w:customStyle="1" w:styleId="Heading4Char">
    <w:name w:val="Heading 4 Char"/>
    <w:basedOn w:val="DefaultParagraphFont"/>
    <w:link w:val="Heading4"/>
    <w:rsid w:val="002576B8"/>
    <w:rPr>
      <w:rFonts w:ascii="Arial" w:eastAsia="Times New Roman" w:hAnsi="Arial" w:cs="Arial"/>
      <w:b/>
      <w:bCs/>
      <w:sz w:val="24"/>
      <w:szCs w:val="24"/>
      <w:u w:val="single"/>
      <w:lang w:val="en-IE"/>
    </w:rPr>
  </w:style>
  <w:style w:type="character" w:customStyle="1" w:styleId="Heading6Char">
    <w:name w:val="Heading 6 Char"/>
    <w:basedOn w:val="DefaultParagraphFont"/>
    <w:link w:val="Heading6"/>
    <w:rsid w:val="002576B8"/>
    <w:rPr>
      <w:rFonts w:ascii="Arial" w:eastAsia="Times New Roman" w:hAnsi="Arial" w:cs="Arial"/>
      <w:b/>
      <w:bCs/>
      <w:sz w:val="20"/>
      <w:szCs w:val="24"/>
      <w:u w:val="single"/>
      <w:lang w:val="en-GB"/>
    </w:rPr>
  </w:style>
  <w:style w:type="paragraph" w:styleId="BodyTextIndent2">
    <w:name w:val="Body Text Indent 2"/>
    <w:basedOn w:val="Normal"/>
    <w:link w:val="BodyTextIndent2Char"/>
    <w:rsid w:val="002576B8"/>
    <w:pPr>
      <w:spacing w:line="480" w:lineRule="auto"/>
      <w:ind w:left="283"/>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576B8"/>
    <w:rPr>
      <w:rFonts w:ascii="Times New Roman" w:eastAsia="Times New Roman" w:hAnsi="Times New Roman" w:cs="Times New Roman"/>
      <w:sz w:val="24"/>
      <w:szCs w:val="24"/>
      <w:lang w:val="en-IE"/>
    </w:rPr>
  </w:style>
  <w:style w:type="paragraph" w:styleId="ListParagraph">
    <w:name w:val="List Paragraph"/>
    <w:basedOn w:val="Normal"/>
    <w:uiPriority w:val="34"/>
    <w:qFormat/>
    <w:rsid w:val="002576B8"/>
    <w:pPr>
      <w:ind w:left="720"/>
      <w:contextualSpacing/>
    </w:pPr>
  </w:style>
  <w:style w:type="paragraph" w:styleId="Title">
    <w:name w:val="Title"/>
    <w:basedOn w:val="Normal"/>
    <w:link w:val="TitleChar"/>
    <w:uiPriority w:val="99"/>
    <w:qFormat/>
    <w:rsid w:val="00477D9B"/>
    <w:pPr>
      <w:spacing w:after="0"/>
      <w:jc w:val="center"/>
    </w:pPr>
    <w:rPr>
      <w:rFonts w:ascii="Times New Roman" w:eastAsia="Times New Roman" w:hAnsi="Times New Roman" w:cs="Times New Roman"/>
      <w:b/>
      <w:color w:val="000000"/>
      <w:sz w:val="28"/>
      <w:szCs w:val="20"/>
      <w:u w:val="single"/>
      <w:lang w:val="en-US"/>
    </w:rPr>
  </w:style>
  <w:style w:type="character" w:customStyle="1" w:styleId="TitleChar">
    <w:name w:val="Title Char"/>
    <w:basedOn w:val="DefaultParagraphFont"/>
    <w:link w:val="Title"/>
    <w:uiPriority w:val="99"/>
    <w:rsid w:val="00477D9B"/>
    <w:rPr>
      <w:rFonts w:ascii="Times New Roman" w:eastAsia="Times New Roman" w:hAnsi="Times New Roman" w:cs="Times New Roman"/>
      <w:b/>
      <w:color w:val="000000"/>
      <w:sz w:val="28"/>
      <w:szCs w:val="20"/>
      <w:u w:val="single"/>
    </w:rPr>
  </w:style>
  <w:style w:type="paragraph" w:styleId="BodyText2">
    <w:name w:val="Body Text 2"/>
    <w:basedOn w:val="Normal"/>
    <w:link w:val="BodyText2Char"/>
    <w:uiPriority w:val="99"/>
    <w:rsid w:val="00477D9B"/>
    <w:pPr>
      <w:spacing w:line="480" w:lineRule="auto"/>
    </w:pPr>
    <w:rPr>
      <w:rFonts w:ascii="Times New Roman" w:eastAsia="Times New Roman" w:hAnsi="Times New Roman" w:cs="Times New Roman"/>
      <w:lang w:val="en-GB"/>
    </w:rPr>
  </w:style>
  <w:style w:type="character" w:customStyle="1" w:styleId="BodyText2Char">
    <w:name w:val="Body Text 2 Char"/>
    <w:basedOn w:val="DefaultParagraphFont"/>
    <w:link w:val="BodyText2"/>
    <w:uiPriority w:val="99"/>
    <w:rsid w:val="00477D9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F08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8C9"/>
    <w:rPr>
      <w:rFonts w:ascii="Segoe UI" w:hAnsi="Segoe UI" w:cs="Segoe UI"/>
      <w:sz w:val="18"/>
      <w:szCs w:val="18"/>
      <w:lang w:val="en-IE"/>
    </w:rPr>
  </w:style>
  <w:style w:type="table" w:styleId="TableGrid">
    <w:name w:val="Table Grid"/>
    <w:basedOn w:val="TableNormal"/>
    <w:rsid w:val="00FF08C9"/>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etter">
    <w:name w:val="AC Letter"/>
    <w:basedOn w:val="Normal"/>
    <w:link w:val="ACLetterChar"/>
    <w:qFormat/>
    <w:rsid w:val="00D10D54"/>
    <w:pPr>
      <w:numPr>
        <w:numId w:val="1"/>
      </w:numPr>
      <w:autoSpaceDE w:val="0"/>
      <w:autoSpaceDN w:val="0"/>
      <w:adjustRightInd w:val="0"/>
      <w:spacing w:after="240"/>
      <w:jc w:val="both"/>
    </w:pPr>
    <w:rPr>
      <w:rFonts w:ascii="Arial" w:eastAsia="Times New Roman" w:hAnsi="Arial" w:cs="Arial"/>
      <w:bCs/>
      <w:color w:val="000000"/>
    </w:rPr>
  </w:style>
  <w:style w:type="character" w:customStyle="1" w:styleId="ACLetterChar">
    <w:name w:val="AC Letter Char"/>
    <w:link w:val="ACLetter"/>
    <w:rsid w:val="00D10D54"/>
    <w:rPr>
      <w:rFonts w:ascii="Arial" w:eastAsia="Times New Roman" w:hAnsi="Arial" w:cs="Arial"/>
      <w:bCs/>
      <w:color w:val="000000"/>
      <w:sz w:val="24"/>
      <w:szCs w:val="24"/>
      <w:lang w:val="en-IE"/>
    </w:rPr>
  </w:style>
  <w:style w:type="character" w:styleId="CommentReference">
    <w:name w:val="annotation reference"/>
    <w:basedOn w:val="DefaultParagraphFont"/>
    <w:uiPriority w:val="99"/>
    <w:semiHidden/>
    <w:unhideWhenUsed/>
    <w:rsid w:val="00CE2E61"/>
    <w:rPr>
      <w:sz w:val="16"/>
      <w:szCs w:val="16"/>
    </w:rPr>
  </w:style>
  <w:style w:type="paragraph" w:styleId="CommentText">
    <w:name w:val="annotation text"/>
    <w:basedOn w:val="Normal"/>
    <w:link w:val="CommentTextChar"/>
    <w:uiPriority w:val="99"/>
    <w:unhideWhenUsed/>
    <w:rsid w:val="00CE2E61"/>
    <w:rPr>
      <w:sz w:val="20"/>
      <w:szCs w:val="20"/>
    </w:rPr>
  </w:style>
  <w:style w:type="character" w:customStyle="1" w:styleId="CommentTextChar">
    <w:name w:val="Comment Text Char"/>
    <w:basedOn w:val="DefaultParagraphFont"/>
    <w:link w:val="CommentText"/>
    <w:uiPriority w:val="99"/>
    <w:rsid w:val="00CE2E61"/>
    <w:rPr>
      <w:sz w:val="20"/>
      <w:szCs w:val="20"/>
      <w:lang w:val="en-IE"/>
    </w:rPr>
  </w:style>
  <w:style w:type="paragraph" w:styleId="CommentSubject">
    <w:name w:val="annotation subject"/>
    <w:basedOn w:val="CommentText"/>
    <w:next w:val="CommentText"/>
    <w:link w:val="CommentSubjectChar"/>
    <w:uiPriority w:val="99"/>
    <w:semiHidden/>
    <w:unhideWhenUsed/>
    <w:rsid w:val="00CE2E61"/>
    <w:rPr>
      <w:b/>
      <w:bCs/>
    </w:rPr>
  </w:style>
  <w:style w:type="character" w:customStyle="1" w:styleId="CommentSubjectChar">
    <w:name w:val="Comment Subject Char"/>
    <w:basedOn w:val="CommentTextChar"/>
    <w:link w:val="CommentSubject"/>
    <w:uiPriority w:val="99"/>
    <w:semiHidden/>
    <w:rsid w:val="00CE2E61"/>
    <w:rPr>
      <w:b/>
      <w:bCs/>
      <w:sz w:val="20"/>
      <w:szCs w:val="20"/>
      <w:lang w:val="en-IE"/>
    </w:rPr>
  </w:style>
  <w:style w:type="paragraph" w:styleId="Revision">
    <w:name w:val="Revision"/>
    <w:hidden/>
    <w:uiPriority w:val="99"/>
    <w:semiHidden/>
    <w:rsid w:val="004E3225"/>
    <w:pPr>
      <w:spacing w:after="0" w:line="240" w:lineRule="auto"/>
    </w:pPr>
    <w:rPr>
      <w:lang w:val="en-IE"/>
    </w:rPr>
  </w:style>
  <w:style w:type="character" w:customStyle="1" w:styleId="Heading1Char">
    <w:name w:val="Heading 1 Char"/>
    <w:basedOn w:val="DefaultParagraphFont"/>
    <w:link w:val="Heading1"/>
    <w:uiPriority w:val="9"/>
    <w:rsid w:val="00E14841"/>
    <w:rPr>
      <w:rFonts w:eastAsiaTheme="majorEastAsia" w:cstheme="minorHAnsi"/>
      <w:b/>
      <w:bCs/>
      <w:color w:val="365F91" w:themeColor="accent1" w:themeShade="BF"/>
      <w:sz w:val="24"/>
      <w:szCs w:val="24"/>
      <w:lang w:val="en-IE"/>
    </w:rPr>
  </w:style>
  <w:style w:type="paragraph" w:customStyle="1" w:styleId="Default">
    <w:name w:val="Default"/>
    <w:rsid w:val="00F57E2E"/>
    <w:pPr>
      <w:autoSpaceDE w:val="0"/>
      <w:autoSpaceDN w:val="0"/>
      <w:adjustRightInd w:val="0"/>
      <w:spacing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571468"/>
    <w:rPr>
      <w:color w:val="605E5C"/>
      <w:shd w:val="clear" w:color="auto" w:fill="E1DFDD"/>
    </w:rPr>
  </w:style>
  <w:style w:type="character" w:styleId="Strong">
    <w:name w:val="Strong"/>
    <w:basedOn w:val="DefaultParagraphFont"/>
    <w:uiPriority w:val="22"/>
    <w:qFormat/>
    <w:rsid w:val="00DA66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785157">
      <w:bodyDiv w:val="1"/>
      <w:marLeft w:val="0"/>
      <w:marRight w:val="0"/>
      <w:marTop w:val="0"/>
      <w:marBottom w:val="0"/>
      <w:divBdr>
        <w:top w:val="none" w:sz="0" w:space="0" w:color="auto"/>
        <w:left w:val="none" w:sz="0" w:space="0" w:color="auto"/>
        <w:bottom w:val="none" w:sz="0" w:space="0" w:color="auto"/>
        <w:right w:val="none" w:sz="0" w:space="0" w:color="auto"/>
      </w:divBdr>
      <w:divsChild>
        <w:div w:id="128399826">
          <w:marLeft w:val="360"/>
          <w:marRight w:val="0"/>
          <w:marTop w:val="0"/>
          <w:marBottom w:val="0"/>
          <w:divBdr>
            <w:top w:val="none" w:sz="0" w:space="0" w:color="auto"/>
            <w:left w:val="none" w:sz="0" w:space="0" w:color="auto"/>
            <w:bottom w:val="none" w:sz="0" w:space="0" w:color="auto"/>
            <w:right w:val="none" w:sz="0" w:space="0" w:color="auto"/>
          </w:divBdr>
        </w:div>
        <w:div w:id="830483163">
          <w:marLeft w:val="360"/>
          <w:marRight w:val="0"/>
          <w:marTop w:val="0"/>
          <w:marBottom w:val="0"/>
          <w:divBdr>
            <w:top w:val="none" w:sz="0" w:space="0" w:color="auto"/>
            <w:left w:val="none" w:sz="0" w:space="0" w:color="auto"/>
            <w:bottom w:val="none" w:sz="0" w:space="0" w:color="auto"/>
            <w:right w:val="none" w:sz="0" w:space="0" w:color="auto"/>
          </w:divBdr>
        </w:div>
        <w:div w:id="867572947">
          <w:marLeft w:val="360"/>
          <w:marRight w:val="0"/>
          <w:marTop w:val="0"/>
          <w:marBottom w:val="0"/>
          <w:divBdr>
            <w:top w:val="none" w:sz="0" w:space="0" w:color="auto"/>
            <w:left w:val="none" w:sz="0" w:space="0" w:color="auto"/>
            <w:bottom w:val="none" w:sz="0" w:space="0" w:color="auto"/>
            <w:right w:val="none" w:sz="0" w:space="0" w:color="auto"/>
          </w:divBdr>
        </w:div>
        <w:div w:id="1077898989">
          <w:marLeft w:val="360"/>
          <w:marRight w:val="0"/>
          <w:marTop w:val="0"/>
          <w:marBottom w:val="0"/>
          <w:divBdr>
            <w:top w:val="none" w:sz="0" w:space="0" w:color="auto"/>
            <w:left w:val="none" w:sz="0" w:space="0" w:color="auto"/>
            <w:bottom w:val="none" w:sz="0" w:space="0" w:color="auto"/>
            <w:right w:val="none" w:sz="0" w:space="0" w:color="auto"/>
          </w:divBdr>
        </w:div>
        <w:div w:id="1211923341">
          <w:marLeft w:val="360"/>
          <w:marRight w:val="0"/>
          <w:marTop w:val="0"/>
          <w:marBottom w:val="0"/>
          <w:divBdr>
            <w:top w:val="none" w:sz="0" w:space="0" w:color="auto"/>
            <w:left w:val="none" w:sz="0" w:space="0" w:color="auto"/>
            <w:bottom w:val="none" w:sz="0" w:space="0" w:color="auto"/>
            <w:right w:val="none" w:sz="0" w:space="0" w:color="auto"/>
          </w:divBdr>
        </w:div>
        <w:div w:id="1236624329">
          <w:marLeft w:val="360"/>
          <w:marRight w:val="0"/>
          <w:marTop w:val="0"/>
          <w:marBottom w:val="0"/>
          <w:divBdr>
            <w:top w:val="none" w:sz="0" w:space="0" w:color="auto"/>
            <w:left w:val="none" w:sz="0" w:space="0" w:color="auto"/>
            <w:bottom w:val="none" w:sz="0" w:space="0" w:color="auto"/>
            <w:right w:val="none" w:sz="0" w:space="0" w:color="auto"/>
          </w:divBdr>
        </w:div>
        <w:div w:id="1742755003">
          <w:marLeft w:val="360"/>
          <w:marRight w:val="0"/>
          <w:marTop w:val="0"/>
          <w:marBottom w:val="0"/>
          <w:divBdr>
            <w:top w:val="none" w:sz="0" w:space="0" w:color="auto"/>
            <w:left w:val="none" w:sz="0" w:space="0" w:color="auto"/>
            <w:bottom w:val="none" w:sz="0" w:space="0" w:color="auto"/>
            <w:right w:val="none" w:sz="0" w:space="0" w:color="auto"/>
          </w:divBdr>
        </w:div>
        <w:div w:id="1799832087">
          <w:marLeft w:val="360"/>
          <w:marRight w:val="0"/>
          <w:marTop w:val="0"/>
          <w:marBottom w:val="0"/>
          <w:divBdr>
            <w:top w:val="none" w:sz="0" w:space="0" w:color="auto"/>
            <w:left w:val="none" w:sz="0" w:space="0" w:color="auto"/>
            <w:bottom w:val="none" w:sz="0" w:space="0" w:color="auto"/>
            <w:right w:val="none" w:sz="0" w:space="0" w:color="auto"/>
          </w:divBdr>
        </w:div>
      </w:divsChild>
    </w:div>
    <w:div w:id="1061900536">
      <w:bodyDiv w:val="1"/>
      <w:marLeft w:val="0"/>
      <w:marRight w:val="0"/>
      <w:marTop w:val="0"/>
      <w:marBottom w:val="0"/>
      <w:divBdr>
        <w:top w:val="none" w:sz="0" w:space="0" w:color="auto"/>
        <w:left w:val="none" w:sz="0" w:space="0" w:color="auto"/>
        <w:bottom w:val="none" w:sz="0" w:space="0" w:color="auto"/>
        <w:right w:val="none" w:sz="0" w:space="0" w:color="auto"/>
      </w:divBdr>
      <w:divsChild>
        <w:div w:id="430509045">
          <w:marLeft w:val="0"/>
          <w:marRight w:val="0"/>
          <w:marTop w:val="0"/>
          <w:marBottom w:val="0"/>
          <w:divBdr>
            <w:top w:val="none" w:sz="0" w:space="0" w:color="auto"/>
            <w:left w:val="none" w:sz="0" w:space="0" w:color="auto"/>
            <w:bottom w:val="none" w:sz="0" w:space="0" w:color="auto"/>
            <w:right w:val="none" w:sz="0" w:space="0" w:color="auto"/>
          </w:divBdr>
        </w:div>
        <w:div w:id="1130441870">
          <w:marLeft w:val="0"/>
          <w:marRight w:val="0"/>
          <w:marTop w:val="0"/>
          <w:marBottom w:val="0"/>
          <w:divBdr>
            <w:top w:val="none" w:sz="0" w:space="0" w:color="auto"/>
            <w:left w:val="none" w:sz="0" w:space="0" w:color="auto"/>
            <w:bottom w:val="none" w:sz="0" w:space="0" w:color="auto"/>
            <w:right w:val="none" w:sz="0" w:space="0" w:color="auto"/>
          </w:divBdr>
        </w:div>
        <w:div w:id="1203008842">
          <w:marLeft w:val="0"/>
          <w:marRight w:val="0"/>
          <w:marTop w:val="0"/>
          <w:marBottom w:val="0"/>
          <w:divBdr>
            <w:top w:val="none" w:sz="0" w:space="0" w:color="auto"/>
            <w:left w:val="none" w:sz="0" w:space="0" w:color="auto"/>
            <w:bottom w:val="none" w:sz="0" w:space="0" w:color="auto"/>
            <w:right w:val="none" w:sz="0" w:space="0" w:color="auto"/>
          </w:divBdr>
        </w:div>
        <w:div w:id="1216507351">
          <w:marLeft w:val="0"/>
          <w:marRight w:val="0"/>
          <w:marTop w:val="0"/>
          <w:marBottom w:val="0"/>
          <w:divBdr>
            <w:top w:val="none" w:sz="0" w:space="0" w:color="auto"/>
            <w:left w:val="none" w:sz="0" w:space="0" w:color="auto"/>
            <w:bottom w:val="none" w:sz="0" w:space="0" w:color="auto"/>
            <w:right w:val="none" w:sz="0" w:space="0" w:color="auto"/>
          </w:divBdr>
        </w:div>
        <w:div w:id="1414551681">
          <w:marLeft w:val="0"/>
          <w:marRight w:val="0"/>
          <w:marTop w:val="0"/>
          <w:marBottom w:val="0"/>
          <w:divBdr>
            <w:top w:val="none" w:sz="0" w:space="0" w:color="auto"/>
            <w:left w:val="none" w:sz="0" w:space="0" w:color="auto"/>
            <w:bottom w:val="none" w:sz="0" w:space="0" w:color="auto"/>
            <w:right w:val="none" w:sz="0" w:space="0" w:color="auto"/>
          </w:divBdr>
        </w:div>
        <w:div w:id="1792550263">
          <w:marLeft w:val="0"/>
          <w:marRight w:val="0"/>
          <w:marTop w:val="0"/>
          <w:marBottom w:val="0"/>
          <w:divBdr>
            <w:top w:val="none" w:sz="0" w:space="0" w:color="auto"/>
            <w:left w:val="none" w:sz="0" w:space="0" w:color="auto"/>
            <w:bottom w:val="none" w:sz="0" w:space="0" w:color="auto"/>
            <w:right w:val="none" w:sz="0" w:space="0" w:color="auto"/>
          </w:divBdr>
        </w:div>
        <w:div w:id="2126804779">
          <w:marLeft w:val="0"/>
          <w:marRight w:val="0"/>
          <w:marTop w:val="0"/>
          <w:marBottom w:val="0"/>
          <w:divBdr>
            <w:top w:val="none" w:sz="0" w:space="0" w:color="auto"/>
            <w:left w:val="none" w:sz="0" w:space="0" w:color="auto"/>
            <w:bottom w:val="none" w:sz="0" w:space="0" w:color="auto"/>
            <w:right w:val="none" w:sz="0" w:space="0" w:color="auto"/>
          </w:divBdr>
        </w:div>
      </w:divsChild>
    </w:div>
    <w:div w:id="139535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NAT07</b:Tag>
    <b:SourceType>Report</b:SourceType>
    <b:Guid>{37AEA498-84E8-47E6-9E05-6DBCE34800C3}</b:Guid>
    <b:Author>
      <b:Author>
        <b:Corporate>NATO</b:Corporate>
      </b:Author>
    </b:Author>
    <b:Title>Recruiting and Retention of Military Personnel</b:Title>
    <b:Year>2007</b:Year>
    <b:RefOrder>5</b:RefOrder>
  </b:Source>
</b:Sources>
</file>

<file path=customXml/itemProps1.xml><?xml version="1.0" encoding="utf-8"?>
<ds:datastoreItem xmlns:ds="http://schemas.openxmlformats.org/officeDocument/2006/customXml" ds:itemID="{DC9B932A-9948-44CC-8126-8F9F1DDD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3106</Words>
  <Characters>17708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2026-07-22T10:46:00Z</dcterms:created>
  <dcterms:modified xsi:type="dcterms:W3CDTF">2026-07-22T10:58:00Z</dcterms:modified>
</cp:coreProperties>
</file>