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5E45B" w14:textId="77777777" w:rsidR="008A2C93" w:rsidRPr="009B7B6C" w:rsidRDefault="00000000" w:rsidP="009B7B6C">
      <w:pPr>
        <w:pStyle w:val="Title"/>
        <w:rPr>
          <w:rFonts w:ascii="Calibri" w:hAnsi="Calibri" w:cs="Calibri"/>
          <w:sz w:val="44"/>
          <w:szCs w:val="44"/>
        </w:rPr>
      </w:pPr>
      <w:r w:rsidRPr="009B7B6C">
        <w:rPr>
          <w:rFonts w:ascii="Calibri" w:hAnsi="Calibri" w:cs="Calibri"/>
          <w:sz w:val="44"/>
          <w:szCs w:val="44"/>
        </w:rPr>
        <w:t>TEN-IT-2026 — Managed IT Support Services</w:t>
      </w:r>
    </w:p>
    <w:p w14:paraId="06CBE7FF" w14:textId="77777777" w:rsidR="009B7B6C" w:rsidRDefault="009B7B6C">
      <w:pPr>
        <w:pStyle w:val="Heading1"/>
        <w:jc w:val="center"/>
        <w:rPr>
          <w:rFonts w:ascii="Calibri" w:hAnsi="Calibri" w:cs="Calibri"/>
          <w:sz w:val="24"/>
          <w:szCs w:val="24"/>
        </w:rPr>
      </w:pPr>
    </w:p>
    <w:p w14:paraId="49365DC9" w14:textId="15AF7298" w:rsidR="008A2C93" w:rsidRPr="009B7B6C" w:rsidRDefault="00000000">
      <w:pPr>
        <w:pStyle w:val="Heading1"/>
        <w:jc w:val="center"/>
        <w:rPr>
          <w:rFonts w:ascii="Calibri" w:hAnsi="Calibri" w:cs="Calibri"/>
          <w:sz w:val="24"/>
          <w:szCs w:val="24"/>
        </w:rPr>
      </w:pPr>
      <w:r w:rsidRPr="009B7B6C">
        <w:rPr>
          <w:rFonts w:ascii="Calibri" w:hAnsi="Calibri" w:cs="Calibri"/>
          <w:sz w:val="24"/>
          <w:szCs w:val="24"/>
        </w:rPr>
        <w:t>Clarifications Log</w:t>
      </w:r>
    </w:p>
    <w:p w14:paraId="45B8C30F" w14:textId="77777777" w:rsidR="008A2C93" w:rsidRPr="009B7B6C" w:rsidRDefault="00000000">
      <w:pPr>
        <w:jc w:val="center"/>
        <w:rPr>
          <w:rFonts w:ascii="Calibri" w:hAnsi="Calibri" w:cs="Calibri"/>
          <w:sz w:val="24"/>
          <w:szCs w:val="24"/>
        </w:rPr>
      </w:pPr>
      <w:r w:rsidRPr="009B7B6C">
        <w:rPr>
          <w:rFonts w:ascii="Calibri" w:hAnsi="Calibri" w:cs="Calibri"/>
          <w:i/>
          <w:iCs/>
          <w:sz w:val="24"/>
          <w:szCs w:val="24"/>
        </w:rPr>
        <w:t>Northside Partnership</w:t>
      </w:r>
    </w:p>
    <w:p w14:paraId="5C1FE486" w14:textId="77777777" w:rsidR="008A2C93" w:rsidRPr="009B7B6C" w:rsidRDefault="008A2C93">
      <w:pPr>
        <w:rPr>
          <w:rFonts w:ascii="Calibri" w:hAnsi="Calibri" w:cs="Calibri"/>
          <w:sz w:val="24"/>
          <w:szCs w:val="24"/>
        </w:rPr>
      </w:pPr>
    </w:p>
    <w:p w14:paraId="4E8ECCDC" w14:textId="77777777" w:rsidR="008A2C93" w:rsidRPr="009B7B6C" w:rsidRDefault="00000000">
      <w:pPr>
        <w:rPr>
          <w:rFonts w:ascii="Calibri" w:hAnsi="Calibri" w:cs="Calibri"/>
          <w:sz w:val="24"/>
          <w:szCs w:val="24"/>
        </w:rPr>
      </w:pPr>
      <w:r w:rsidRPr="009B7B6C">
        <w:rPr>
          <w:rFonts w:ascii="Calibri" w:hAnsi="Calibri" w:cs="Calibri"/>
          <w:sz w:val="24"/>
          <w:szCs w:val="24"/>
        </w:rPr>
        <w:t xml:space="preserve">This document records clarification questions received via </w:t>
      </w:r>
      <w:proofErr w:type="spellStart"/>
      <w:r w:rsidRPr="009B7B6C">
        <w:rPr>
          <w:rFonts w:ascii="Calibri" w:hAnsi="Calibri" w:cs="Calibri"/>
          <w:sz w:val="24"/>
          <w:szCs w:val="24"/>
        </w:rPr>
        <w:t>eTenders</w:t>
      </w:r>
      <w:proofErr w:type="spellEnd"/>
      <w:r w:rsidRPr="009B7B6C">
        <w:rPr>
          <w:rFonts w:ascii="Calibri" w:hAnsi="Calibri" w:cs="Calibri"/>
          <w:sz w:val="24"/>
          <w:szCs w:val="24"/>
        </w:rPr>
        <w:t xml:space="preserve"> regarding TEN-IT-2026 and the Contracting Authority's responses. It will be updated as further clarifications are issued and republished prior to the clarification deadline of 12:00 Noon, 24 July 2026. Questions are not attributed to the candidate who raised them.</w:t>
      </w:r>
    </w:p>
    <w:p w14:paraId="5755E824" w14:textId="77777777" w:rsidR="008A2C93" w:rsidRPr="009B7B6C" w:rsidRDefault="008A2C93">
      <w:pPr>
        <w:rPr>
          <w:rFonts w:ascii="Calibri" w:hAnsi="Calibri" w:cs="Calibri"/>
          <w:sz w:val="24"/>
          <w:szCs w:val="24"/>
        </w:rPr>
      </w:pPr>
    </w:p>
    <w:p w14:paraId="15B78D37" w14:textId="77777777" w:rsidR="008A2C93" w:rsidRPr="009B7B6C" w:rsidRDefault="00000000">
      <w:pPr>
        <w:rPr>
          <w:rFonts w:ascii="Calibri" w:hAnsi="Calibri" w:cs="Calibri"/>
          <w:sz w:val="24"/>
          <w:szCs w:val="24"/>
        </w:rPr>
      </w:pPr>
      <w:r w:rsidRPr="009B7B6C">
        <w:rPr>
          <w:rFonts w:ascii="Calibri" w:hAnsi="Calibri" w:cs="Calibri"/>
          <w:b/>
          <w:bCs/>
          <w:sz w:val="24"/>
          <w:szCs w:val="24"/>
        </w:rPr>
        <w:t>Last updated: 23 July 2026</w:t>
      </w:r>
    </w:p>
    <w:p w14:paraId="3DB12C2E" w14:textId="77777777" w:rsidR="008A2C93" w:rsidRPr="009B7B6C" w:rsidRDefault="008A2C93">
      <w:pPr>
        <w:rPr>
          <w:rFonts w:ascii="Calibri" w:hAnsi="Calibri" w:cs="Calibri"/>
          <w:sz w:val="24"/>
          <w:szCs w:val="24"/>
        </w:rPr>
      </w:pPr>
    </w:p>
    <w:p w14:paraId="50F8B933"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Q1. Historical Service Desk Volumes</w:t>
      </w:r>
    </w:p>
    <w:p w14:paraId="70E5C738"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NSP's IT Service Desk logs an average of approximately 38 tickets per month with the current managed service provider. This reflects issues requiring MSP support; an additional proportion of day-to-day issues are resolved directly by NSP staff through internal knowledge before requiring escalation. A breakdown by priority (P1 to P4) is not currently available.</w:t>
      </w:r>
    </w:p>
    <w:p w14:paraId="3A18AC8D"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Q2. Existing Backup and Disaster Recovery Solution</w:t>
      </w:r>
    </w:p>
    <w:p w14:paraId="5FA064C7"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The successful provider will be required to establish and maintain a documented Business Continuity and Disaster Recovery Plan, with agreed Recovery Point and Recovery Time Objectives, covering all NSP infrastructure and SaaS data, in line with ITT Section 5.9. There is no requirement to continue using any specific existing backup or DR tool.</w:t>
      </w:r>
    </w:p>
    <w:p w14:paraId="2747120B"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Q3. Infrastructure Estate</w:t>
      </w:r>
    </w:p>
    <w:p w14:paraId="6C8BEB1D"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NSP's Azure environment includes a virtual machine supporting the finance system, and a Power BI Gateway VM enabling reporting integration, hosted under Microsoft's nonprofit Azure Sponsorship credit. Managed print services infrastructure also runs on Azure. The device estate totals approximately 101 devices (87 laptops, 12 desktops, 2 servers). Network infrastructure is as set out in ITT Section 4.2.</w:t>
      </w:r>
    </w:p>
    <w:p w14:paraId="4EC79D70"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Q4. Microsoft Licensing</w:t>
      </w:r>
    </w:p>
    <w:p w14:paraId="5AEFACB9"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Microsoft 365 Business Premium is NSP's standard licence, assigned to approximately 100 users. A small number of supplementary licences are held for specific functional needs (e.g. Power BI), assigned selectively rather than as standard. Azure resources operate under Microsoft's nonprofit Azure Sponsorship credit.</w:t>
      </w:r>
    </w:p>
    <w:p w14:paraId="37C229A5"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Q5. Microsoft 365 Licensing — Billing and Proposal Inclusion</w:t>
      </w:r>
    </w:p>
    <w:p w14:paraId="2EC4831F"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Microsoft 365 licensing is billed monthly, paid by NSP directly to Microsoft. Licensing costs are not required to be included in your Charges Schedule submission — this remains a separate NSP-held arrangement.</w:t>
      </w:r>
    </w:p>
    <w:p w14:paraId="43E7107B"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Q6. Microsoft 365 Licence Numbers</w:t>
      </w:r>
    </w:p>
    <w:p w14:paraId="12701ED2"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lastRenderedPageBreak/>
        <w:t>For sizing and pricing purposes, please use approximately 100 Microsoft 365 Business Premium licences as the reference figure.</w:t>
      </w:r>
    </w:p>
    <w:p w14:paraId="725B137C"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Q7. Existing Helpdesk/Ticketing Platform</w:t>
      </w:r>
    </w:p>
    <w:p w14:paraId="2B077AE7"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NSP does not require continuity of a specific ticketing platform. The incoming provider is expected to provide and operate their own service desk and ticketing platform, meeting the requirements set out in ITT Section 5.2 (defined logging channel, client portal, real-time ticket visibility). NSP separately operates its own in-house ticket triaging system for internal use.</w:t>
      </w:r>
    </w:p>
    <w:p w14:paraId="5902B753"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Q8. Preferred Hardware Vendor or Leasing Partner</w:t>
      </w:r>
    </w:p>
    <w:p w14:paraId="583FC8F6"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NSP has no preferred hardware vendor or leasing partner. Leasing may be an acceptable procurement model (ITT Section 6.4), but candidates are free to propose their own approach. Per ITT Section 8, NSP asks only that any vendor relationships that could reasonably shape a recommendation are disclosed openly.</w:t>
      </w:r>
    </w:p>
    <w:p w14:paraId="220D6F18"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Q9. Security Audit Standard</w:t>
      </w:r>
    </w:p>
    <w:p w14:paraId="786BAA81"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No specific external security standard (e.g. ISO 27001, NCSC) is currently mandated. NSP holds the QMark quality standard and is pursuing ISO 9001 accreditation; IT governance and security audit activity is integrated into NSP's QMS Audit Schedule (ITT Section 9.3), and an annual IT security audit with formal written report is a required deliverable (ITT Section 5.4).</w:t>
      </w:r>
    </w:p>
    <w:p w14:paraId="55791F4F"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Q10. Power Platform Migration Scale</w:t>
      </w:r>
    </w:p>
    <w:p w14:paraId="22B2EAB3"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ITT Section 6.1 lists eleven live business applications, currently built and maintained on Caspio Bridge, as candidates for migration. Advisory input on approach, including how Power Platform capabilities might shape this migration, forms part of the core advisory relationship; delivery of the migration itself is quoted and approved separately as project work. No fixed timeline or priority order has been set at this stage — this will be developed collaboratively with the successful candidate.</w:t>
      </w:r>
    </w:p>
    <w:p w14:paraId="44E29611"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Q11. SonicWALL/VPN Architecture</w:t>
      </w:r>
    </w:p>
    <w:p w14:paraId="43A3D721"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NSP is open to the incoming provider reviewing and advising on the current network security architecture, including whether existing hardware firewalls remain the right fit given NSP's cloud-first direction. Recommendations for simplification, including software-based or virtual firewall alternatives where appropriate, are welcome as part of the transition advisory work described in ITT Section 6.6.</w:t>
      </w:r>
    </w:p>
    <w:p w14:paraId="7F80D55E"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Q12. SonicWALL Makes/Models and VPN Tunnels per Location</w:t>
      </w:r>
    </w:p>
    <w:p w14:paraId="0C8662D3"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NSP operates three SonicWALL Next Generation Firewalls: Bunratty Drive (NSA2700), Darndale (TZ470), and Kish House (TZ670), with approximately one site-to-site VPN tunnel per location. As noted above, NSP is open to the incoming provider reviewing whether this configuration remains necessary.</w:t>
      </w:r>
    </w:p>
    <w:p w14:paraId="1A89ECE1"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Q13. Number of Virtual Servers</w:t>
      </w:r>
    </w:p>
    <w:p w14:paraId="38513E5E"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NSP currently operates two virtual servers in Azure: a VM supporting the finance system, and a Power BI Gateway VM enabling reporting integration.</w:t>
      </w:r>
    </w:p>
    <w:p w14:paraId="1FD272B1"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lastRenderedPageBreak/>
        <w:t>Q14. Network Encryption Software</w:t>
      </w:r>
    </w:p>
    <w:p w14:paraId="6786C245"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Yes, BitLocker is the encryption software in use.</w:t>
      </w:r>
    </w:p>
    <w:p w14:paraId="37D7C654"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Q15. Current Annual Contract Value and Incumbent Identity</w:t>
      </w:r>
    </w:p>
    <w:p w14:paraId="6BE0689E"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This information is not being disclosed as part of this tender process. Candidates should base their proposals on the scope, volumes, and requirements set out in the ITT and this clarifications log.</w:t>
      </w:r>
    </w:p>
    <w:p w14:paraId="1B1A6904"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Q16. Windows 10 Laptop Count (October 2026 ESU Deadline)</w:t>
      </w:r>
    </w:p>
    <w:p w14:paraId="5F3B7C6B"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An exact device count is not being published at this time, as NSP's own OS-reporting data requires reconciliation before it can be relied upon publicly. What can be confirmed: not all devices will be replaced ahead of the October 2026 Windows 10 end-of-support deadline, and Extended Security Updates (ESU) will be required for a portion of the estate in the interim. NSP wants to work collaboratively with the incoming provider to develop the right hardware refresh and ESU strategy going forward.</w:t>
      </w:r>
    </w:p>
    <w:p w14:paraId="0820F708"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Q17. Caspio Bridge / Power Platform Migration: Delivery vs. Advisory-Only</w:t>
      </w:r>
    </w:p>
    <w:p w14:paraId="73B19F6E"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 xml:space="preserve">The incoming provider is expected to both </w:t>
      </w:r>
      <w:proofErr w:type="gramStart"/>
      <w:r w:rsidRPr="009B7B6C">
        <w:rPr>
          <w:rFonts w:ascii="Calibri" w:hAnsi="Calibri" w:cs="Calibri"/>
          <w:sz w:val="24"/>
          <w:szCs w:val="24"/>
        </w:rPr>
        <w:t>advise</w:t>
      </w:r>
      <w:proofErr w:type="gramEnd"/>
      <w:r w:rsidRPr="009B7B6C">
        <w:rPr>
          <w:rFonts w:ascii="Calibri" w:hAnsi="Calibri" w:cs="Calibri"/>
          <w:sz w:val="24"/>
          <w:szCs w:val="24"/>
        </w:rPr>
        <w:t xml:space="preserve"> on approach and deliver the migration. Strategic advisory input forms part of the core contract; delivery of the migration itself is quoted separately, approved by NSP, and delivered as project work. Candidates are expected to demonstrate genuine Power Platform migration or application development capability as part of their submission — this is not an advisory-only engagement with NSP's Digital Operations and Technology Manager leading the build.</w:t>
      </w:r>
    </w:p>
    <w:p w14:paraId="003E41A4"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Q18. Budget Envelope / Indicative Value for Core Managed IT Support Services</w:t>
      </w:r>
    </w:p>
    <w:p w14:paraId="6F68DBA9"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No specific budget envelope or indicative value range is being disclosed as part of this tender process. Candidates should price based on the scope, volumes, and requirements set out in the ITT and this clarifications log.</w:t>
      </w:r>
    </w:p>
    <w:p w14:paraId="24BFCD3F"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Q19. Chromebook Option (ITT Section 6.4): Prior Trial or Exploratory?</w:t>
      </w:r>
    </w:p>
    <w:p w14:paraId="6D31AC7F"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 xml:space="preserve">This is an exploratory option. NSP has not previously trialled or deployed Chromebooks; candidates proposing a mixed Chromebook/Windows 11 fleet should address it as a new option, including identity management in a Microsoft Entra ID environment and </w:t>
      </w:r>
      <w:proofErr w:type="spellStart"/>
      <w:r w:rsidRPr="009B7B6C">
        <w:rPr>
          <w:rFonts w:ascii="Calibri" w:hAnsi="Calibri" w:cs="Calibri"/>
          <w:sz w:val="24"/>
          <w:szCs w:val="24"/>
        </w:rPr>
        <w:t>PaperCut</w:t>
      </w:r>
      <w:proofErr w:type="spellEnd"/>
      <w:r w:rsidRPr="009B7B6C">
        <w:rPr>
          <w:rFonts w:ascii="Calibri" w:hAnsi="Calibri" w:cs="Calibri"/>
          <w:sz w:val="24"/>
          <w:szCs w:val="24"/>
        </w:rPr>
        <w:t xml:space="preserve"> Mobility Print configuration, per ITT Section 6.4.</w:t>
      </w:r>
    </w:p>
    <w:p w14:paraId="25B37056"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Q20. Continuity of NSP's Digital Operations and Technology Manager</w:t>
      </w:r>
    </w:p>
    <w:p w14:paraId="6FE951CE"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Yes.</w:t>
      </w:r>
    </w:p>
    <w:p w14:paraId="64F43F60"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Q21. Mobile Phone Estate: iOS vs. Android</w:t>
      </w:r>
    </w:p>
    <w:p w14:paraId="09302350"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All approximately 78 mobile phones are Android devices, managed through Microsoft Intune.</w:t>
      </w:r>
    </w:p>
    <w:p w14:paraId="16C77AF3"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Q22. Sage: Local Install or Cloud-Hosted</w:t>
      </w:r>
    </w:p>
    <w:p w14:paraId="7DC4694E"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 xml:space="preserve">Sage is </w:t>
      </w:r>
      <w:proofErr w:type="gramStart"/>
      <w:r w:rsidRPr="009B7B6C">
        <w:rPr>
          <w:rFonts w:ascii="Calibri" w:hAnsi="Calibri" w:cs="Calibri"/>
          <w:sz w:val="24"/>
          <w:szCs w:val="24"/>
        </w:rPr>
        <w:t>cloud-hosted</w:t>
      </w:r>
      <w:proofErr w:type="gramEnd"/>
      <w:r w:rsidRPr="009B7B6C">
        <w:rPr>
          <w:rFonts w:ascii="Calibri" w:hAnsi="Calibri" w:cs="Calibri"/>
          <w:sz w:val="24"/>
          <w:szCs w:val="24"/>
        </w:rPr>
        <w:t>.</w:t>
      </w:r>
    </w:p>
    <w:p w14:paraId="7308DBE8"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Q23. Fourth Site: What's in Place Given Only Three Firewalls</w:t>
      </w:r>
    </w:p>
    <w:p w14:paraId="35E935D0"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lastRenderedPageBreak/>
        <w:t>NSP operates from four locations: Coolock Development Centre (Bunratty Drive), Kish House, Bell Building (Darndale), and Foley Street. Three of these — Bunratty Drive, Kish House, and Bell Building — have NSP-managed SonicWALL firewalls, as previously confirmed. Foley Street is a shared-tenancy site where a small number of NSP staff work within a host organisation's IT infrastructure; NSP does not maintain independent network infrastructure, including a firewall, at that location.</w:t>
      </w:r>
    </w:p>
    <w:p w14:paraId="4EC24102"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Q24. Geographic Restriction on Remote Helpdesk Support Location</w:t>
      </w:r>
    </w:p>
    <w:p w14:paraId="0D44B868"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NSP is seeking an ongoing partnership relationship with the successful provider, not a transactional break-fix service — this includes continuity of support staff, English-language service delivery, and active participation in the service reviews described in ITT Section 5.3. Given the sensitivity of the participant data NSP holds, including health-related information, NSP expects remote helpdesk support to be delivered from within the EU/EEA. Candidates proposing a different delivery model should demonstrate how it meets these requirements equally.</w:t>
      </w:r>
    </w:p>
    <w:p w14:paraId="2063169F" w14:textId="77777777" w:rsidR="008A2C93" w:rsidRPr="009B7B6C" w:rsidRDefault="00000000">
      <w:pPr>
        <w:pStyle w:val="Heading2"/>
        <w:spacing w:before="240" w:after="80"/>
        <w:rPr>
          <w:rFonts w:ascii="Calibri" w:hAnsi="Calibri" w:cs="Calibri"/>
          <w:sz w:val="24"/>
          <w:szCs w:val="24"/>
        </w:rPr>
      </w:pPr>
      <w:r w:rsidRPr="009B7B6C">
        <w:rPr>
          <w:rFonts w:ascii="Calibri" w:hAnsi="Calibri" w:cs="Calibri"/>
          <w:b/>
          <w:bCs/>
          <w:sz w:val="24"/>
          <w:szCs w:val="24"/>
        </w:rPr>
        <w:t>Q25. Expected Volume of New Laptops/Chromebooks (ITT Section 6.4)</w:t>
      </w:r>
    </w:p>
    <w:p w14:paraId="14678504" w14:textId="77777777" w:rsidR="008A2C93" w:rsidRPr="009B7B6C" w:rsidRDefault="00000000">
      <w:pPr>
        <w:spacing w:after="120"/>
        <w:rPr>
          <w:rFonts w:ascii="Calibri" w:hAnsi="Calibri" w:cs="Calibri"/>
          <w:sz w:val="24"/>
          <w:szCs w:val="24"/>
        </w:rPr>
      </w:pPr>
      <w:r w:rsidRPr="009B7B6C">
        <w:rPr>
          <w:rFonts w:ascii="Calibri" w:hAnsi="Calibri" w:cs="Calibri"/>
          <w:sz w:val="24"/>
          <w:szCs w:val="24"/>
        </w:rPr>
        <w:t>For pricing purposes, please base indicative unit costings on the existing estate as previously confirmed: approximately 87 laptops. NSP does not currently operate a formal device lifecycle strategy — all staff, whether office-based or field-based, are issued the same device specification regardless of role. Rather than treat this as a one-off procurement transaction, NSP wants to build a device lifecycle strategy collaboratively with the successful provider over the life of the contract, in the same spirit as our responses to Q11 (network architecture) and Q16 (Windows 10/ESU). Final volumes, phasing, and any Chromebook/Windows 11 split will be developed jointly post-award.</w:t>
      </w:r>
    </w:p>
    <w:sectPr w:rsidR="008A2C93" w:rsidRPr="009B7B6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7DADD" w14:textId="77777777" w:rsidR="00F273D9" w:rsidRDefault="00F273D9" w:rsidP="009B7B6C">
      <w:r>
        <w:separator/>
      </w:r>
    </w:p>
  </w:endnote>
  <w:endnote w:type="continuationSeparator" w:id="0">
    <w:p w14:paraId="3D94C267" w14:textId="77777777" w:rsidR="00F273D9" w:rsidRDefault="00F273D9" w:rsidP="009B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E3607" w14:textId="77777777" w:rsidR="009B7B6C" w:rsidRDefault="009B7B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977929"/>
      <w:docPartObj>
        <w:docPartGallery w:val="Page Numbers (Bottom of Page)"/>
        <w:docPartUnique/>
      </w:docPartObj>
    </w:sdtPr>
    <w:sdtEndPr>
      <w:rPr>
        <w:color w:val="7F7F7F" w:themeColor="background1" w:themeShade="7F"/>
        <w:spacing w:val="60"/>
      </w:rPr>
    </w:sdtEndPr>
    <w:sdtContent>
      <w:p w14:paraId="75F963C5" w14:textId="490BD6EA" w:rsidR="009B7B6C" w:rsidRDefault="009B7B6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F4F1F2D" w14:textId="77777777" w:rsidR="009B7B6C" w:rsidRDefault="009B7B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CCE0B" w14:textId="77777777" w:rsidR="009B7B6C" w:rsidRDefault="009B7B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44466" w14:textId="77777777" w:rsidR="00F273D9" w:rsidRDefault="00F273D9" w:rsidP="009B7B6C">
      <w:r>
        <w:separator/>
      </w:r>
    </w:p>
  </w:footnote>
  <w:footnote w:type="continuationSeparator" w:id="0">
    <w:p w14:paraId="479986A0" w14:textId="77777777" w:rsidR="00F273D9" w:rsidRDefault="00F273D9" w:rsidP="009B7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E713" w14:textId="77777777" w:rsidR="009B7B6C" w:rsidRDefault="009B7B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E8461" w14:textId="77777777" w:rsidR="009B7B6C" w:rsidRDefault="009B7B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3DFD2" w14:textId="77777777" w:rsidR="009B7B6C" w:rsidRDefault="009B7B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E3B1F"/>
    <w:multiLevelType w:val="hybridMultilevel"/>
    <w:tmpl w:val="9AF0817C"/>
    <w:lvl w:ilvl="0" w:tplc="FC26CF0A">
      <w:start w:val="1"/>
      <w:numFmt w:val="bullet"/>
      <w:lvlText w:val="●"/>
      <w:lvlJc w:val="left"/>
      <w:pPr>
        <w:ind w:left="720" w:hanging="360"/>
      </w:pPr>
    </w:lvl>
    <w:lvl w:ilvl="1" w:tplc="71C0590E">
      <w:start w:val="1"/>
      <w:numFmt w:val="bullet"/>
      <w:lvlText w:val="○"/>
      <w:lvlJc w:val="left"/>
      <w:pPr>
        <w:ind w:left="1440" w:hanging="360"/>
      </w:pPr>
    </w:lvl>
    <w:lvl w:ilvl="2" w:tplc="F4F272A6">
      <w:start w:val="1"/>
      <w:numFmt w:val="bullet"/>
      <w:lvlText w:val="■"/>
      <w:lvlJc w:val="left"/>
      <w:pPr>
        <w:ind w:left="2160" w:hanging="360"/>
      </w:pPr>
    </w:lvl>
    <w:lvl w:ilvl="3" w:tplc="AE14B85C">
      <w:start w:val="1"/>
      <w:numFmt w:val="bullet"/>
      <w:lvlText w:val="●"/>
      <w:lvlJc w:val="left"/>
      <w:pPr>
        <w:ind w:left="2880" w:hanging="360"/>
      </w:pPr>
    </w:lvl>
    <w:lvl w:ilvl="4" w:tplc="5AE0A770">
      <w:start w:val="1"/>
      <w:numFmt w:val="bullet"/>
      <w:lvlText w:val="○"/>
      <w:lvlJc w:val="left"/>
      <w:pPr>
        <w:ind w:left="3600" w:hanging="360"/>
      </w:pPr>
    </w:lvl>
    <w:lvl w:ilvl="5" w:tplc="03845D16">
      <w:start w:val="1"/>
      <w:numFmt w:val="bullet"/>
      <w:lvlText w:val="■"/>
      <w:lvlJc w:val="left"/>
      <w:pPr>
        <w:ind w:left="4320" w:hanging="360"/>
      </w:pPr>
    </w:lvl>
    <w:lvl w:ilvl="6" w:tplc="6C8E1E0E">
      <w:start w:val="1"/>
      <w:numFmt w:val="bullet"/>
      <w:lvlText w:val="●"/>
      <w:lvlJc w:val="left"/>
      <w:pPr>
        <w:ind w:left="5040" w:hanging="360"/>
      </w:pPr>
    </w:lvl>
    <w:lvl w:ilvl="7" w:tplc="48E6139C">
      <w:start w:val="1"/>
      <w:numFmt w:val="bullet"/>
      <w:lvlText w:val="●"/>
      <w:lvlJc w:val="left"/>
      <w:pPr>
        <w:ind w:left="5760" w:hanging="360"/>
      </w:pPr>
    </w:lvl>
    <w:lvl w:ilvl="8" w:tplc="B03EEA2E">
      <w:start w:val="1"/>
      <w:numFmt w:val="bullet"/>
      <w:lvlText w:val="●"/>
      <w:lvlJc w:val="left"/>
      <w:pPr>
        <w:ind w:left="6480" w:hanging="360"/>
      </w:pPr>
    </w:lvl>
  </w:abstractNum>
  <w:num w:numId="1" w16cid:durableId="9850113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C93"/>
    <w:rsid w:val="002D0142"/>
    <w:rsid w:val="008A2C93"/>
    <w:rsid w:val="009B7B6C"/>
    <w:rsid w:val="00F273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9B11A64"/>
  <w15:docId w15:val="{6FBE8EF7-5D3B-4EC9-84CF-EC71A514E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B7B6C"/>
    <w:pPr>
      <w:tabs>
        <w:tab w:val="center" w:pos="4513"/>
        <w:tab w:val="right" w:pos="9026"/>
      </w:tabs>
    </w:pPr>
  </w:style>
  <w:style w:type="character" w:customStyle="1" w:styleId="HeaderChar">
    <w:name w:val="Header Char"/>
    <w:basedOn w:val="DefaultParagraphFont"/>
    <w:link w:val="Header"/>
    <w:uiPriority w:val="99"/>
    <w:rsid w:val="009B7B6C"/>
  </w:style>
  <w:style w:type="paragraph" w:styleId="Footer">
    <w:name w:val="footer"/>
    <w:basedOn w:val="Normal"/>
    <w:link w:val="FooterChar"/>
    <w:uiPriority w:val="99"/>
    <w:unhideWhenUsed/>
    <w:rsid w:val="009B7B6C"/>
    <w:pPr>
      <w:tabs>
        <w:tab w:val="center" w:pos="4513"/>
        <w:tab w:val="right" w:pos="9026"/>
      </w:tabs>
    </w:pPr>
  </w:style>
  <w:style w:type="character" w:customStyle="1" w:styleId="FooterChar">
    <w:name w:val="Footer Char"/>
    <w:basedOn w:val="DefaultParagraphFont"/>
    <w:link w:val="Footer"/>
    <w:uiPriority w:val="99"/>
    <w:rsid w:val="009B7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1410</Words>
  <Characters>8040</Characters>
  <Application>Microsoft Office Word</Application>
  <DocSecurity>0</DocSecurity>
  <Lines>67</Lines>
  <Paragraphs>18</Paragraphs>
  <ScaleCrop>false</ScaleCrop>
  <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Stephen Myall</cp:lastModifiedBy>
  <cp:revision>2</cp:revision>
  <dcterms:created xsi:type="dcterms:W3CDTF">2026-07-23T11:44:00Z</dcterms:created>
  <dcterms:modified xsi:type="dcterms:W3CDTF">2026-07-23T11:49:00Z</dcterms:modified>
</cp:coreProperties>
</file>