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ADB3F" w14:textId="77777777" w:rsidR="00275ECD" w:rsidRPr="00F631DA" w:rsidRDefault="00000000">
      <w:pPr>
        <w:pStyle w:val="Title"/>
        <w:jc w:val="center"/>
        <w:rPr>
          <w:rFonts w:ascii="Calibri" w:hAnsi="Calibri" w:cs="Calibri"/>
          <w:sz w:val="44"/>
          <w:szCs w:val="44"/>
        </w:rPr>
      </w:pPr>
      <w:r w:rsidRPr="00F631DA">
        <w:rPr>
          <w:rFonts w:ascii="Calibri" w:hAnsi="Calibri" w:cs="Calibri"/>
          <w:sz w:val="44"/>
          <w:szCs w:val="44"/>
        </w:rPr>
        <w:t>TEN-IT-2026 — Managed IT Support Services</w:t>
      </w:r>
    </w:p>
    <w:p w14:paraId="07543594" w14:textId="77777777" w:rsidR="00F631DA" w:rsidRPr="00F631DA" w:rsidRDefault="00F631DA">
      <w:pPr>
        <w:pStyle w:val="Heading1"/>
        <w:jc w:val="center"/>
        <w:rPr>
          <w:rFonts w:ascii="Calibri" w:hAnsi="Calibri" w:cs="Calibri"/>
        </w:rPr>
      </w:pPr>
    </w:p>
    <w:p w14:paraId="6009E437" w14:textId="77941771" w:rsidR="00275ECD" w:rsidRPr="00F631DA" w:rsidRDefault="00000000">
      <w:pPr>
        <w:pStyle w:val="Heading1"/>
        <w:jc w:val="center"/>
        <w:rPr>
          <w:rFonts w:ascii="Calibri" w:hAnsi="Calibri" w:cs="Calibri"/>
        </w:rPr>
      </w:pPr>
      <w:r w:rsidRPr="00F631DA">
        <w:rPr>
          <w:rFonts w:ascii="Calibri" w:hAnsi="Calibri" w:cs="Calibri"/>
        </w:rPr>
        <w:t>Clarifications Log</w:t>
      </w:r>
    </w:p>
    <w:p w14:paraId="7684F435" w14:textId="77777777" w:rsidR="00275ECD" w:rsidRPr="00F631DA" w:rsidRDefault="00000000">
      <w:pPr>
        <w:jc w:val="center"/>
        <w:rPr>
          <w:rFonts w:ascii="Calibri" w:hAnsi="Calibri" w:cs="Calibri"/>
        </w:rPr>
      </w:pPr>
      <w:r w:rsidRPr="00F631DA">
        <w:rPr>
          <w:rFonts w:ascii="Calibri" w:hAnsi="Calibri" w:cs="Calibri"/>
          <w:i/>
          <w:iCs/>
        </w:rPr>
        <w:t>Northside Partnership</w:t>
      </w:r>
    </w:p>
    <w:p w14:paraId="65999A79" w14:textId="77777777" w:rsidR="00275ECD" w:rsidRPr="00F631DA" w:rsidRDefault="00275ECD">
      <w:pPr>
        <w:rPr>
          <w:rFonts w:ascii="Calibri" w:hAnsi="Calibri" w:cs="Calibri"/>
        </w:rPr>
      </w:pPr>
    </w:p>
    <w:p w14:paraId="50C812A9" w14:textId="77777777" w:rsidR="00275ECD" w:rsidRPr="00F631DA" w:rsidRDefault="00000000">
      <w:pPr>
        <w:rPr>
          <w:rFonts w:ascii="Calibri" w:hAnsi="Calibri" w:cs="Calibri"/>
        </w:rPr>
      </w:pPr>
      <w:r w:rsidRPr="00F631DA">
        <w:rPr>
          <w:rFonts w:ascii="Calibri" w:hAnsi="Calibri" w:cs="Calibri"/>
        </w:rPr>
        <w:t xml:space="preserve">This document records clarification questions received via </w:t>
      </w:r>
      <w:proofErr w:type="spellStart"/>
      <w:r w:rsidRPr="00F631DA">
        <w:rPr>
          <w:rFonts w:ascii="Calibri" w:hAnsi="Calibri" w:cs="Calibri"/>
        </w:rPr>
        <w:t>eTenders</w:t>
      </w:r>
      <w:proofErr w:type="spellEnd"/>
      <w:r w:rsidRPr="00F631DA">
        <w:rPr>
          <w:rFonts w:ascii="Calibri" w:hAnsi="Calibri" w:cs="Calibri"/>
        </w:rPr>
        <w:t xml:space="preserve"> regarding TEN-IT-2026 and the Contracting Authority's responses. It will be updated as further clarifications are issued and republished prior to the clarification deadline of 12:00 Noon, 24 July 2026. Questions are not attributed to the candidate who raised them.</w:t>
      </w:r>
    </w:p>
    <w:p w14:paraId="2680BD28" w14:textId="77777777" w:rsidR="00275ECD" w:rsidRPr="00F631DA" w:rsidRDefault="00275ECD">
      <w:pPr>
        <w:rPr>
          <w:rFonts w:ascii="Calibri" w:hAnsi="Calibri" w:cs="Calibri"/>
        </w:rPr>
      </w:pPr>
    </w:p>
    <w:p w14:paraId="33E56041" w14:textId="77777777" w:rsidR="00275ECD" w:rsidRPr="00F631DA" w:rsidRDefault="00000000">
      <w:pPr>
        <w:rPr>
          <w:rFonts w:ascii="Calibri" w:hAnsi="Calibri" w:cs="Calibri"/>
        </w:rPr>
      </w:pPr>
      <w:r w:rsidRPr="00F631DA">
        <w:rPr>
          <w:rFonts w:ascii="Calibri" w:hAnsi="Calibri" w:cs="Calibri"/>
          <w:b/>
          <w:bCs/>
        </w:rPr>
        <w:t>Last updated: 21 July 2026</w:t>
      </w:r>
    </w:p>
    <w:p w14:paraId="01AA645A" w14:textId="77777777" w:rsidR="00275ECD" w:rsidRPr="00F631DA" w:rsidRDefault="00275ECD">
      <w:pPr>
        <w:rPr>
          <w:rFonts w:ascii="Calibri" w:hAnsi="Calibri" w:cs="Calibri"/>
        </w:rPr>
      </w:pPr>
    </w:p>
    <w:p w14:paraId="00D86FCB" w14:textId="77777777" w:rsidR="00275ECD" w:rsidRPr="00F631DA" w:rsidRDefault="00000000">
      <w:pPr>
        <w:pStyle w:val="Heading2"/>
        <w:spacing w:before="240" w:after="80"/>
        <w:rPr>
          <w:rFonts w:ascii="Calibri" w:hAnsi="Calibri" w:cs="Calibri"/>
        </w:rPr>
      </w:pPr>
      <w:r w:rsidRPr="00F631DA">
        <w:rPr>
          <w:rFonts w:ascii="Calibri" w:hAnsi="Calibri" w:cs="Calibri"/>
          <w:b/>
          <w:bCs/>
        </w:rPr>
        <w:t>Q1. Historical Service Desk Volumes</w:t>
      </w:r>
    </w:p>
    <w:p w14:paraId="0A4580D7" w14:textId="77777777" w:rsidR="00275ECD" w:rsidRPr="00F631DA" w:rsidRDefault="00000000">
      <w:pPr>
        <w:spacing w:after="120"/>
        <w:rPr>
          <w:rFonts w:ascii="Calibri" w:hAnsi="Calibri" w:cs="Calibri"/>
        </w:rPr>
      </w:pPr>
      <w:r w:rsidRPr="00F631DA">
        <w:rPr>
          <w:rFonts w:ascii="Calibri" w:hAnsi="Calibri" w:cs="Calibri"/>
        </w:rPr>
        <w:t>NSP's IT Service Desk logs an average of approximately 38 tickets per month with the current managed service provider. This reflects issues requiring MSP support; an additional proportion of day-to-day issues are resolved directly by NSP staff through internal knowledge before requiring escalation. A breakdown by priority (P1 to P4) is not currently available.</w:t>
      </w:r>
    </w:p>
    <w:p w14:paraId="276C6429" w14:textId="77777777" w:rsidR="00275ECD" w:rsidRPr="00F631DA" w:rsidRDefault="00000000">
      <w:pPr>
        <w:pStyle w:val="Heading2"/>
        <w:spacing w:before="240" w:after="80"/>
        <w:rPr>
          <w:rFonts w:ascii="Calibri" w:hAnsi="Calibri" w:cs="Calibri"/>
        </w:rPr>
      </w:pPr>
      <w:r w:rsidRPr="00F631DA">
        <w:rPr>
          <w:rFonts w:ascii="Calibri" w:hAnsi="Calibri" w:cs="Calibri"/>
          <w:b/>
          <w:bCs/>
        </w:rPr>
        <w:t>Q2. Existing Backup and Disaster Recovery Solution</w:t>
      </w:r>
    </w:p>
    <w:p w14:paraId="044B381F" w14:textId="77777777" w:rsidR="00275ECD" w:rsidRPr="00F631DA" w:rsidRDefault="00000000">
      <w:pPr>
        <w:spacing w:after="120"/>
        <w:rPr>
          <w:rFonts w:ascii="Calibri" w:hAnsi="Calibri" w:cs="Calibri"/>
        </w:rPr>
      </w:pPr>
      <w:r w:rsidRPr="00F631DA">
        <w:rPr>
          <w:rFonts w:ascii="Calibri" w:hAnsi="Calibri" w:cs="Calibri"/>
        </w:rPr>
        <w:t>The successful provider will be required to establish and maintain a documented Business Continuity and Disaster Recovery Plan, with agreed Recovery Point and Recovery Time Objectives, covering all NSP infrastructure and SaaS data, in line with ITT Section 5.9. There is no requirement to continue using any specific existing backup or DR tool.</w:t>
      </w:r>
    </w:p>
    <w:p w14:paraId="54B49DEE" w14:textId="77777777" w:rsidR="00275ECD" w:rsidRPr="00F631DA" w:rsidRDefault="00000000">
      <w:pPr>
        <w:pStyle w:val="Heading2"/>
        <w:spacing w:before="240" w:after="80"/>
        <w:rPr>
          <w:rFonts w:ascii="Calibri" w:hAnsi="Calibri" w:cs="Calibri"/>
        </w:rPr>
      </w:pPr>
      <w:r w:rsidRPr="00F631DA">
        <w:rPr>
          <w:rFonts w:ascii="Calibri" w:hAnsi="Calibri" w:cs="Calibri"/>
          <w:b/>
          <w:bCs/>
        </w:rPr>
        <w:t>Q3. Infrastructure Estate</w:t>
      </w:r>
    </w:p>
    <w:p w14:paraId="301B94CB" w14:textId="77777777" w:rsidR="00275ECD" w:rsidRPr="00F631DA" w:rsidRDefault="00000000">
      <w:pPr>
        <w:spacing w:after="120"/>
        <w:rPr>
          <w:rFonts w:ascii="Calibri" w:hAnsi="Calibri" w:cs="Calibri"/>
        </w:rPr>
      </w:pPr>
      <w:r w:rsidRPr="00F631DA">
        <w:rPr>
          <w:rFonts w:ascii="Calibri" w:hAnsi="Calibri" w:cs="Calibri"/>
        </w:rPr>
        <w:t>NSP's Azure environment includes a virtual machine supporting the finance system, and a Power BI Gateway VM enabling reporting integration, hosted under Microsoft's nonprofit Azure Sponsorship credit. Managed print services infrastructure also runs on Azure. The device estate totals approximately 101 devices (87 laptops, 12 desktops, 2 servers). Network infrastructure is as set out in ITT Section 4.2.</w:t>
      </w:r>
    </w:p>
    <w:p w14:paraId="2D2807B7" w14:textId="77777777" w:rsidR="00275ECD" w:rsidRPr="00F631DA" w:rsidRDefault="00000000">
      <w:pPr>
        <w:pStyle w:val="Heading2"/>
        <w:spacing w:before="240" w:after="80"/>
        <w:rPr>
          <w:rFonts w:ascii="Calibri" w:hAnsi="Calibri" w:cs="Calibri"/>
        </w:rPr>
      </w:pPr>
      <w:r w:rsidRPr="00F631DA">
        <w:rPr>
          <w:rFonts w:ascii="Calibri" w:hAnsi="Calibri" w:cs="Calibri"/>
          <w:b/>
          <w:bCs/>
        </w:rPr>
        <w:t>Q4. Microsoft Licensing</w:t>
      </w:r>
    </w:p>
    <w:p w14:paraId="73BCB465" w14:textId="77777777" w:rsidR="00275ECD" w:rsidRPr="00F631DA" w:rsidRDefault="00000000">
      <w:pPr>
        <w:spacing w:after="120"/>
        <w:rPr>
          <w:rFonts w:ascii="Calibri" w:hAnsi="Calibri" w:cs="Calibri"/>
        </w:rPr>
      </w:pPr>
      <w:r w:rsidRPr="00F631DA">
        <w:rPr>
          <w:rFonts w:ascii="Calibri" w:hAnsi="Calibri" w:cs="Calibri"/>
        </w:rPr>
        <w:t>Microsoft 365 Business Premium is NSP's standard licence, assigned to approximately 100 users. A small number of supplementary licences are held for specific functional needs (e.g. Power BI), assigned selectively rather than as standard. Azure resources operate under Microsoft's nonprofit Azure Sponsorship credit.</w:t>
      </w:r>
    </w:p>
    <w:p w14:paraId="29617A62" w14:textId="77777777" w:rsidR="00275ECD" w:rsidRPr="00F631DA" w:rsidRDefault="00000000">
      <w:pPr>
        <w:pStyle w:val="Heading2"/>
        <w:spacing w:before="240" w:after="80"/>
        <w:rPr>
          <w:rFonts w:ascii="Calibri" w:hAnsi="Calibri" w:cs="Calibri"/>
        </w:rPr>
      </w:pPr>
      <w:r w:rsidRPr="00F631DA">
        <w:rPr>
          <w:rFonts w:ascii="Calibri" w:hAnsi="Calibri" w:cs="Calibri"/>
          <w:b/>
          <w:bCs/>
        </w:rPr>
        <w:t>Q5. Microsoft 365 Licensing — Billing and Proposal Inclusion</w:t>
      </w:r>
    </w:p>
    <w:p w14:paraId="1BA0C677" w14:textId="77777777" w:rsidR="00275ECD" w:rsidRPr="00F631DA" w:rsidRDefault="00000000">
      <w:pPr>
        <w:spacing w:after="120"/>
        <w:rPr>
          <w:rFonts w:ascii="Calibri" w:hAnsi="Calibri" w:cs="Calibri"/>
        </w:rPr>
      </w:pPr>
      <w:r w:rsidRPr="00F631DA">
        <w:rPr>
          <w:rFonts w:ascii="Calibri" w:hAnsi="Calibri" w:cs="Calibri"/>
        </w:rPr>
        <w:t>Microsoft 365 licensing is billed monthly, paid by NSP directly to Microsoft. Licensing costs are not required to be included in your Charges Schedule submission — this remains a separate NSP-held arrangement.</w:t>
      </w:r>
    </w:p>
    <w:p w14:paraId="01EA73F0" w14:textId="77777777" w:rsidR="00275ECD" w:rsidRPr="00F631DA" w:rsidRDefault="00000000">
      <w:pPr>
        <w:pStyle w:val="Heading2"/>
        <w:spacing w:before="240" w:after="80"/>
        <w:rPr>
          <w:rFonts w:ascii="Calibri" w:hAnsi="Calibri" w:cs="Calibri"/>
        </w:rPr>
      </w:pPr>
      <w:r w:rsidRPr="00F631DA">
        <w:rPr>
          <w:rFonts w:ascii="Calibri" w:hAnsi="Calibri" w:cs="Calibri"/>
          <w:b/>
          <w:bCs/>
        </w:rPr>
        <w:t>Q6. Microsoft 365 Licence Numbers</w:t>
      </w:r>
    </w:p>
    <w:p w14:paraId="1A6E7437" w14:textId="77777777" w:rsidR="00275ECD" w:rsidRPr="00F631DA" w:rsidRDefault="00000000">
      <w:pPr>
        <w:spacing w:after="120"/>
        <w:rPr>
          <w:rFonts w:ascii="Calibri" w:hAnsi="Calibri" w:cs="Calibri"/>
        </w:rPr>
      </w:pPr>
      <w:r w:rsidRPr="00F631DA">
        <w:rPr>
          <w:rFonts w:ascii="Calibri" w:hAnsi="Calibri" w:cs="Calibri"/>
        </w:rPr>
        <w:t>For sizing and pricing purposes, please use approximately 100 Microsoft 365 Business Premium licences as the reference figure.</w:t>
      </w:r>
    </w:p>
    <w:p w14:paraId="1A6D140A" w14:textId="77777777" w:rsidR="00275ECD" w:rsidRPr="00F631DA" w:rsidRDefault="00000000">
      <w:pPr>
        <w:pStyle w:val="Heading2"/>
        <w:spacing w:before="240" w:after="80"/>
        <w:rPr>
          <w:rFonts w:ascii="Calibri" w:hAnsi="Calibri" w:cs="Calibri"/>
        </w:rPr>
      </w:pPr>
      <w:r w:rsidRPr="00F631DA">
        <w:rPr>
          <w:rFonts w:ascii="Calibri" w:hAnsi="Calibri" w:cs="Calibri"/>
          <w:b/>
          <w:bCs/>
        </w:rPr>
        <w:t>Q7. Existing Helpdesk/Ticketing Platform</w:t>
      </w:r>
    </w:p>
    <w:p w14:paraId="65A674A2" w14:textId="77777777" w:rsidR="00275ECD" w:rsidRPr="00F631DA" w:rsidRDefault="00000000">
      <w:pPr>
        <w:spacing w:after="120"/>
        <w:rPr>
          <w:rFonts w:ascii="Calibri" w:hAnsi="Calibri" w:cs="Calibri"/>
        </w:rPr>
      </w:pPr>
      <w:r w:rsidRPr="00F631DA">
        <w:rPr>
          <w:rFonts w:ascii="Calibri" w:hAnsi="Calibri" w:cs="Calibri"/>
        </w:rPr>
        <w:t>NSP does not require continuity of a specific ticketing platform. The incoming provider is expected to provide and operate their own service desk and ticketing platform, meeting the requirements set out in ITT Section 5.2 (defined logging channel, client portal, real-time ticket visibility). NSP separately operates its own in-house ticket triaging system for internal use.</w:t>
      </w:r>
    </w:p>
    <w:p w14:paraId="3DD5631D" w14:textId="77777777" w:rsidR="00275ECD" w:rsidRPr="00F631DA" w:rsidRDefault="00000000">
      <w:pPr>
        <w:pStyle w:val="Heading2"/>
        <w:spacing w:before="240" w:after="80"/>
        <w:rPr>
          <w:rFonts w:ascii="Calibri" w:hAnsi="Calibri" w:cs="Calibri"/>
        </w:rPr>
      </w:pPr>
      <w:r w:rsidRPr="00F631DA">
        <w:rPr>
          <w:rFonts w:ascii="Calibri" w:hAnsi="Calibri" w:cs="Calibri"/>
          <w:b/>
          <w:bCs/>
        </w:rPr>
        <w:lastRenderedPageBreak/>
        <w:t>Q8. Preferred Hardware Vendor or Leasing Partner</w:t>
      </w:r>
    </w:p>
    <w:p w14:paraId="3E481777" w14:textId="77777777" w:rsidR="00275ECD" w:rsidRPr="00F631DA" w:rsidRDefault="00000000">
      <w:pPr>
        <w:spacing w:after="120"/>
        <w:rPr>
          <w:rFonts w:ascii="Calibri" w:hAnsi="Calibri" w:cs="Calibri"/>
        </w:rPr>
      </w:pPr>
      <w:r w:rsidRPr="00F631DA">
        <w:rPr>
          <w:rFonts w:ascii="Calibri" w:hAnsi="Calibri" w:cs="Calibri"/>
        </w:rPr>
        <w:t>NSP has no preferred hardware vendor or leasing partner. Leasing may be an acceptable procurement model (ITT Section 6.4), but candidates are free to propose their own approach. Per ITT Section 8, NSP asks only that any vendor relationships that could reasonably shape a recommendation are disclosed openly.</w:t>
      </w:r>
    </w:p>
    <w:p w14:paraId="6EB91874" w14:textId="77777777" w:rsidR="00275ECD" w:rsidRPr="00F631DA" w:rsidRDefault="00000000">
      <w:pPr>
        <w:pStyle w:val="Heading2"/>
        <w:spacing w:before="240" w:after="80"/>
        <w:rPr>
          <w:rFonts w:ascii="Calibri" w:hAnsi="Calibri" w:cs="Calibri"/>
        </w:rPr>
      </w:pPr>
      <w:r w:rsidRPr="00F631DA">
        <w:rPr>
          <w:rFonts w:ascii="Calibri" w:hAnsi="Calibri" w:cs="Calibri"/>
          <w:b/>
          <w:bCs/>
        </w:rPr>
        <w:t>Q9. Security Audit Standard</w:t>
      </w:r>
    </w:p>
    <w:p w14:paraId="4DEC0D61" w14:textId="77777777" w:rsidR="00275ECD" w:rsidRPr="00F631DA" w:rsidRDefault="00000000">
      <w:pPr>
        <w:spacing w:after="120"/>
        <w:rPr>
          <w:rFonts w:ascii="Calibri" w:hAnsi="Calibri" w:cs="Calibri"/>
        </w:rPr>
      </w:pPr>
      <w:r w:rsidRPr="00F631DA">
        <w:rPr>
          <w:rFonts w:ascii="Calibri" w:hAnsi="Calibri" w:cs="Calibri"/>
        </w:rPr>
        <w:t>No specific external security standard (e.g. ISO 27001, NCSC) is currently mandated. NSP holds the QMark quality standard and is pursuing ISO 9001 accreditation; IT governance and security audit activity is integrated into NSP's QMS Audit Schedule (ITT Section 9.3), and an annual IT security audit with formal written report is a required deliverable (ITT Section 5.4).</w:t>
      </w:r>
    </w:p>
    <w:p w14:paraId="73CA2A29" w14:textId="77777777" w:rsidR="00275ECD" w:rsidRPr="00F631DA" w:rsidRDefault="00000000">
      <w:pPr>
        <w:pStyle w:val="Heading2"/>
        <w:spacing w:before="240" w:after="80"/>
        <w:rPr>
          <w:rFonts w:ascii="Calibri" w:hAnsi="Calibri" w:cs="Calibri"/>
        </w:rPr>
      </w:pPr>
      <w:r w:rsidRPr="00F631DA">
        <w:rPr>
          <w:rFonts w:ascii="Calibri" w:hAnsi="Calibri" w:cs="Calibri"/>
          <w:b/>
          <w:bCs/>
        </w:rPr>
        <w:t>Q10. Power Platform Migration Scale</w:t>
      </w:r>
    </w:p>
    <w:p w14:paraId="2DC064A0" w14:textId="77777777" w:rsidR="00275ECD" w:rsidRPr="00F631DA" w:rsidRDefault="00000000">
      <w:pPr>
        <w:spacing w:after="120"/>
        <w:rPr>
          <w:rFonts w:ascii="Calibri" w:hAnsi="Calibri" w:cs="Calibri"/>
        </w:rPr>
      </w:pPr>
      <w:r w:rsidRPr="00F631DA">
        <w:rPr>
          <w:rFonts w:ascii="Calibri" w:hAnsi="Calibri" w:cs="Calibri"/>
        </w:rPr>
        <w:t>ITT Section 6.1 lists eleven live business applications, currently built and maintained on Caspio Bridge, as candidates for migration. Advisory input on approach, including how Power Platform capabilities might shape this migration, forms part of the core advisory relationship; delivery of the migration itself is quoted and approved separately as project work. No fixed timeline or priority order has been set at this stage — this will be developed collaboratively with the successful candidate.</w:t>
      </w:r>
    </w:p>
    <w:p w14:paraId="48E1202C" w14:textId="77777777" w:rsidR="00275ECD" w:rsidRPr="00F631DA" w:rsidRDefault="00000000">
      <w:pPr>
        <w:pStyle w:val="Heading2"/>
        <w:spacing w:before="240" w:after="80"/>
        <w:rPr>
          <w:rFonts w:ascii="Calibri" w:hAnsi="Calibri" w:cs="Calibri"/>
        </w:rPr>
      </w:pPr>
      <w:r w:rsidRPr="00F631DA">
        <w:rPr>
          <w:rFonts w:ascii="Calibri" w:hAnsi="Calibri" w:cs="Calibri"/>
          <w:b/>
          <w:bCs/>
        </w:rPr>
        <w:t>Q11. SonicWALL/VPN Architecture</w:t>
      </w:r>
    </w:p>
    <w:p w14:paraId="7F9C0DD9" w14:textId="77777777" w:rsidR="00275ECD" w:rsidRPr="00F631DA" w:rsidRDefault="00000000">
      <w:pPr>
        <w:spacing w:after="120"/>
        <w:rPr>
          <w:rFonts w:ascii="Calibri" w:hAnsi="Calibri" w:cs="Calibri"/>
        </w:rPr>
      </w:pPr>
      <w:r w:rsidRPr="00F631DA">
        <w:rPr>
          <w:rFonts w:ascii="Calibri" w:hAnsi="Calibri" w:cs="Calibri"/>
        </w:rPr>
        <w:t>NSP is open to the incoming provider reviewing and advising on the current network security architecture, including whether existing hardware firewalls remain the right fit given NSP's cloud-first direction. Recommendations for simplification, including software-based or virtual firewall alternatives where appropriate, are welcome as part of the transition advisory work described in ITT Section 6.6.</w:t>
      </w:r>
    </w:p>
    <w:p w14:paraId="20CC442E" w14:textId="77777777" w:rsidR="00275ECD" w:rsidRPr="00F631DA" w:rsidRDefault="00000000">
      <w:pPr>
        <w:pStyle w:val="Heading2"/>
        <w:spacing w:before="240" w:after="80"/>
        <w:rPr>
          <w:rFonts w:ascii="Calibri" w:hAnsi="Calibri" w:cs="Calibri"/>
        </w:rPr>
      </w:pPr>
      <w:r w:rsidRPr="00F631DA">
        <w:rPr>
          <w:rFonts w:ascii="Calibri" w:hAnsi="Calibri" w:cs="Calibri"/>
          <w:b/>
          <w:bCs/>
        </w:rPr>
        <w:t>Q12. SonicWALL Makes/Models and VPN Tunnels per Location</w:t>
      </w:r>
    </w:p>
    <w:p w14:paraId="57606669" w14:textId="77777777" w:rsidR="00275ECD" w:rsidRPr="00F631DA" w:rsidRDefault="00000000">
      <w:pPr>
        <w:spacing w:after="120"/>
        <w:rPr>
          <w:rFonts w:ascii="Calibri" w:hAnsi="Calibri" w:cs="Calibri"/>
        </w:rPr>
      </w:pPr>
      <w:r w:rsidRPr="00F631DA">
        <w:rPr>
          <w:rFonts w:ascii="Calibri" w:hAnsi="Calibri" w:cs="Calibri"/>
        </w:rPr>
        <w:t>NSP operates three SonicWALL Next Generation Firewalls: Bunratty Drive (NSA2700), Darndale (TZ470), and Kish House (TZ670), with approximately one site-to-site VPN tunnel per location. As noted above, NSP is open to the incoming provider reviewing whether this configuration remains necessary.</w:t>
      </w:r>
    </w:p>
    <w:p w14:paraId="2845B1D9" w14:textId="77777777" w:rsidR="00275ECD" w:rsidRPr="00F631DA" w:rsidRDefault="00000000">
      <w:pPr>
        <w:pStyle w:val="Heading2"/>
        <w:spacing w:before="240" w:after="80"/>
        <w:rPr>
          <w:rFonts w:ascii="Calibri" w:hAnsi="Calibri" w:cs="Calibri"/>
        </w:rPr>
      </w:pPr>
      <w:r w:rsidRPr="00F631DA">
        <w:rPr>
          <w:rFonts w:ascii="Calibri" w:hAnsi="Calibri" w:cs="Calibri"/>
          <w:b/>
          <w:bCs/>
        </w:rPr>
        <w:t>Q13. Number of Virtual Servers</w:t>
      </w:r>
    </w:p>
    <w:p w14:paraId="14C4944C" w14:textId="77777777" w:rsidR="00275ECD" w:rsidRPr="00F631DA" w:rsidRDefault="00000000">
      <w:pPr>
        <w:spacing w:after="120"/>
        <w:rPr>
          <w:rFonts w:ascii="Calibri" w:hAnsi="Calibri" w:cs="Calibri"/>
        </w:rPr>
      </w:pPr>
      <w:r w:rsidRPr="00F631DA">
        <w:rPr>
          <w:rFonts w:ascii="Calibri" w:hAnsi="Calibri" w:cs="Calibri"/>
        </w:rPr>
        <w:t>NSP currently operates two virtual servers in Azure: a VM supporting the finance system, and a Power BI Gateway VM enabling reporting integration.</w:t>
      </w:r>
    </w:p>
    <w:p w14:paraId="5479DF81" w14:textId="77777777" w:rsidR="00275ECD" w:rsidRPr="00F631DA" w:rsidRDefault="00000000">
      <w:pPr>
        <w:pStyle w:val="Heading2"/>
        <w:spacing w:before="240" w:after="80"/>
        <w:rPr>
          <w:rFonts w:ascii="Calibri" w:hAnsi="Calibri" w:cs="Calibri"/>
        </w:rPr>
      </w:pPr>
      <w:r w:rsidRPr="00F631DA">
        <w:rPr>
          <w:rFonts w:ascii="Calibri" w:hAnsi="Calibri" w:cs="Calibri"/>
          <w:b/>
          <w:bCs/>
        </w:rPr>
        <w:t>Q14. Network Encryption Software</w:t>
      </w:r>
    </w:p>
    <w:p w14:paraId="62804508" w14:textId="77777777" w:rsidR="00275ECD" w:rsidRPr="00F631DA" w:rsidRDefault="00000000">
      <w:pPr>
        <w:spacing w:after="120"/>
        <w:rPr>
          <w:rFonts w:ascii="Calibri" w:hAnsi="Calibri" w:cs="Calibri"/>
        </w:rPr>
      </w:pPr>
      <w:r w:rsidRPr="00F631DA">
        <w:rPr>
          <w:rFonts w:ascii="Calibri" w:hAnsi="Calibri" w:cs="Calibri"/>
        </w:rPr>
        <w:t>Yes, BitLocker is the encryption software in use.</w:t>
      </w:r>
    </w:p>
    <w:p w14:paraId="6DE536B2" w14:textId="77777777" w:rsidR="00275ECD" w:rsidRPr="00F631DA" w:rsidRDefault="00000000">
      <w:pPr>
        <w:pStyle w:val="Heading2"/>
        <w:spacing w:before="240" w:after="80"/>
        <w:rPr>
          <w:rFonts w:ascii="Calibri" w:hAnsi="Calibri" w:cs="Calibri"/>
        </w:rPr>
      </w:pPr>
      <w:r w:rsidRPr="00F631DA">
        <w:rPr>
          <w:rFonts w:ascii="Calibri" w:hAnsi="Calibri" w:cs="Calibri"/>
          <w:b/>
          <w:bCs/>
        </w:rPr>
        <w:t>Q15. Current Annual Contract Value and Incumbent Identity</w:t>
      </w:r>
    </w:p>
    <w:p w14:paraId="0D702EFF" w14:textId="77777777" w:rsidR="00275ECD" w:rsidRPr="00F631DA" w:rsidRDefault="00000000">
      <w:pPr>
        <w:spacing w:after="120"/>
        <w:rPr>
          <w:rFonts w:ascii="Calibri" w:hAnsi="Calibri" w:cs="Calibri"/>
        </w:rPr>
      </w:pPr>
      <w:r w:rsidRPr="00F631DA">
        <w:rPr>
          <w:rFonts w:ascii="Calibri" w:hAnsi="Calibri" w:cs="Calibri"/>
        </w:rPr>
        <w:t>This information is not being disclosed as part of this tender process. Candidates should base their proposals on the scope, volumes, and requirements set out in the ITT and this clarifications log.</w:t>
      </w:r>
    </w:p>
    <w:p w14:paraId="23C7A882" w14:textId="77777777" w:rsidR="00275ECD" w:rsidRPr="00F631DA" w:rsidRDefault="00000000">
      <w:pPr>
        <w:pStyle w:val="Heading2"/>
        <w:spacing w:before="240" w:after="80"/>
        <w:rPr>
          <w:rFonts w:ascii="Calibri" w:hAnsi="Calibri" w:cs="Calibri"/>
        </w:rPr>
      </w:pPr>
      <w:r w:rsidRPr="00F631DA">
        <w:rPr>
          <w:rFonts w:ascii="Calibri" w:hAnsi="Calibri" w:cs="Calibri"/>
          <w:b/>
          <w:bCs/>
        </w:rPr>
        <w:t>Q16. Windows 10 Laptop Count (October 2026 ESU Deadline)</w:t>
      </w:r>
    </w:p>
    <w:p w14:paraId="3D983BB9" w14:textId="77777777" w:rsidR="00275ECD" w:rsidRPr="00F631DA" w:rsidRDefault="00000000">
      <w:pPr>
        <w:spacing w:after="120"/>
        <w:rPr>
          <w:rFonts w:ascii="Calibri" w:hAnsi="Calibri" w:cs="Calibri"/>
        </w:rPr>
      </w:pPr>
      <w:r w:rsidRPr="00F631DA">
        <w:rPr>
          <w:rFonts w:ascii="Calibri" w:hAnsi="Calibri" w:cs="Calibri"/>
        </w:rPr>
        <w:t>An exact device count is not being published at this time, as NSP's own OS-reporting data requires reconciliation before it can be relied upon publicly. What can be confirmed: not all devices will be replaced ahead of the October 2026 Windows 10 end-of-support deadline, and Extended Security Updates (ESU) will be required for a portion of the estate in the interim. NSP wants to work collaboratively with the incoming provider to develop the right hardware refresh and ESU strategy going forward.</w:t>
      </w:r>
    </w:p>
    <w:p w14:paraId="14380067" w14:textId="77777777" w:rsidR="00275ECD" w:rsidRPr="00F631DA" w:rsidRDefault="00000000">
      <w:pPr>
        <w:pStyle w:val="Heading2"/>
        <w:spacing w:before="240" w:after="80"/>
        <w:rPr>
          <w:rFonts w:ascii="Calibri" w:hAnsi="Calibri" w:cs="Calibri"/>
        </w:rPr>
      </w:pPr>
      <w:r w:rsidRPr="00F631DA">
        <w:rPr>
          <w:rFonts w:ascii="Calibri" w:hAnsi="Calibri" w:cs="Calibri"/>
          <w:b/>
          <w:bCs/>
        </w:rPr>
        <w:t>Q17. Caspio Bridge / Power Platform Migration: Delivery vs. Advisory-Only</w:t>
      </w:r>
    </w:p>
    <w:p w14:paraId="43741AE0" w14:textId="77777777" w:rsidR="00275ECD" w:rsidRPr="00F631DA" w:rsidRDefault="00000000">
      <w:pPr>
        <w:spacing w:after="120"/>
        <w:rPr>
          <w:rFonts w:ascii="Calibri" w:hAnsi="Calibri" w:cs="Calibri"/>
        </w:rPr>
      </w:pPr>
      <w:r w:rsidRPr="00F631DA">
        <w:rPr>
          <w:rFonts w:ascii="Calibri" w:hAnsi="Calibri" w:cs="Calibri"/>
        </w:rPr>
        <w:t xml:space="preserve">The incoming provider is expected to both </w:t>
      </w:r>
      <w:proofErr w:type="gramStart"/>
      <w:r w:rsidRPr="00F631DA">
        <w:rPr>
          <w:rFonts w:ascii="Calibri" w:hAnsi="Calibri" w:cs="Calibri"/>
        </w:rPr>
        <w:t>advise</w:t>
      </w:r>
      <w:proofErr w:type="gramEnd"/>
      <w:r w:rsidRPr="00F631DA">
        <w:rPr>
          <w:rFonts w:ascii="Calibri" w:hAnsi="Calibri" w:cs="Calibri"/>
        </w:rPr>
        <w:t xml:space="preserve"> on approach and deliver the migration. Strategic advisory input forms part of the core contract; delivery of the migration itself is quoted separately, approved by NSP, and delivered as project work. Candidates are expected to demonstrate genuine Power Platform migration or </w:t>
      </w:r>
      <w:r w:rsidRPr="00F631DA">
        <w:rPr>
          <w:rFonts w:ascii="Calibri" w:hAnsi="Calibri" w:cs="Calibri"/>
        </w:rPr>
        <w:lastRenderedPageBreak/>
        <w:t>application development capability as part of their submission — this is not an advisory-only engagement with NSP's Digital Operations and Technology Manager leading the build.</w:t>
      </w:r>
    </w:p>
    <w:p w14:paraId="5837EAB3" w14:textId="77777777" w:rsidR="00275ECD" w:rsidRPr="00F631DA" w:rsidRDefault="00000000">
      <w:pPr>
        <w:pStyle w:val="Heading2"/>
        <w:spacing w:before="240" w:after="80"/>
        <w:rPr>
          <w:rFonts w:ascii="Calibri" w:hAnsi="Calibri" w:cs="Calibri"/>
        </w:rPr>
      </w:pPr>
      <w:r w:rsidRPr="00F631DA">
        <w:rPr>
          <w:rFonts w:ascii="Calibri" w:hAnsi="Calibri" w:cs="Calibri"/>
          <w:b/>
          <w:bCs/>
        </w:rPr>
        <w:t>Q18. Budget Envelope / Indicative Value for Core Managed IT Support Services</w:t>
      </w:r>
    </w:p>
    <w:p w14:paraId="7433C15F" w14:textId="77777777" w:rsidR="00275ECD" w:rsidRPr="00F631DA" w:rsidRDefault="00000000">
      <w:pPr>
        <w:spacing w:after="120"/>
        <w:rPr>
          <w:rFonts w:ascii="Calibri" w:hAnsi="Calibri" w:cs="Calibri"/>
        </w:rPr>
      </w:pPr>
      <w:r w:rsidRPr="00F631DA">
        <w:rPr>
          <w:rFonts w:ascii="Calibri" w:hAnsi="Calibri" w:cs="Calibri"/>
        </w:rPr>
        <w:t>No specific budget envelope or indicative value range is being disclosed as part of this tender process. Candidates should price based on the scope, volumes, and requirements set out in the ITT and this clarifications log.</w:t>
      </w:r>
    </w:p>
    <w:p w14:paraId="008E4C62" w14:textId="77777777" w:rsidR="00275ECD" w:rsidRPr="00F631DA" w:rsidRDefault="00000000">
      <w:pPr>
        <w:pStyle w:val="Heading2"/>
        <w:spacing w:before="240" w:after="80"/>
        <w:rPr>
          <w:rFonts w:ascii="Calibri" w:hAnsi="Calibri" w:cs="Calibri"/>
        </w:rPr>
      </w:pPr>
      <w:r w:rsidRPr="00F631DA">
        <w:rPr>
          <w:rFonts w:ascii="Calibri" w:hAnsi="Calibri" w:cs="Calibri"/>
          <w:b/>
          <w:bCs/>
        </w:rPr>
        <w:t>Q19. Chromebook Option (ITT Section 6.4): Prior Trial or Exploratory?</w:t>
      </w:r>
    </w:p>
    <w:p w14:paraId="6E14EA3F" w14:textId="77777777" w:rsidR="00275ECD" w:rsidRPr="00F631DA" w:rsidRDefault="00000000">
      <w:pPr>
        <w:spacing w:after="120"/>
        <w:rPr>
          <w:rFonts w:ascii="Calibri" w:hAnsi="Calibri" w:cs="Calibri"/>
        </w:rPr>
      </w:pPr>
      <w:r w:rsidRPr="00F631DA">
        <w:rPr>
          <w:rFonts w:ascii="Calibri" w:hAnsi="Calibri" w:cs="Calibri"/>
        </w:rPr>
        <w:t xml:space="preserve">This is an exploratory option. NSP has not previously trialled or deployed Chromebooks; candidates proposing a mixed Chromebook/Windows 11 fleet should address it as a new option, including identity management in a Microsoft Entra ID environment and </w:t>
      </w:r>
      <w:proofErr w:type="spellStart"/>
      <w:r w:rsidRPr="00F631DA">
        <w:rPr>
          <w:rFonts w:ascii="Calibri" w:hAnsi="Calibri" w:cs="Calibri"/>
        </w:rPr>
        <w:t>PaperCut</w:t>
      </w:r>
      <w:proofErr w:type="spellEnd"/>
      <w:r w:rsidRPr="00F631DA">
        <w:rPr>
          <w:rFonts w:ascii="Calibri" w:hAnsi="Calibri" w:cs="Calibri"/>
        </w:rPr>
        <w:t xml:space="preserve"> Mobility Print configuration, per ITT Section 6.4.</w:t>
      </w:r>
    </w:p>
    <w:p w14:paraId="336B57E4" w14:textId="77777777" w:rsidR="00275ECD" w:rsidRPr="00F631DA" w:rsidRDefault="00000000">
      <w:pPr>
        <w:pStyle w:val="Heading2"/>
        <w:spacing w:before="240" w:after="80"/>
        <w:rPr>
          <w:rFonts w:ascii="Calibri" w:hAnsi="Calibri" w:cs="Calibri"/>
        </w:rPr>
      </w:pPr>
      <w:r w:rsidRPr="00F631DA">
        <w:rPr>
          <w:rFonts w:ascii="Calibri" w:hAnsi="Calibri" w:cs="Calibri"/>
          <w:b/>
          <w:bCs/>
        </w:rPr>
        <w:t>Q20. Continuity of NSP's Digital Operations and Technology Manager</w:t>
      </w:r>
    </w:p>
    <w:p w14:paraId="3817A583" w14:textId="77777777" w:rsidR="00275ECD" w:rsidRPr="00F631DA" w:rsidRDefault="00000000">
      <w:pPr>
        <w:spacing w:after="120"/>
        <w:rPr>
          <w:rFonts w:ascii="Calibri" w:hAnsi="Calibri" w:cs="Calibri"/>
        </w:rPr>
      </w:pPr>
      <w:r w:rsidRPr="00F631DA">
        <w:rPr>
          <w:rFonts w:ascii="Calibri" w:hAnsi="Calibri" w:cs="Calibri"/>
        </w:rPr>
        <w:t>Yes.</w:t>
      </w:r>
    </w:p>
    <w:p w14:paraId="7E356AB4" w14:textId="77777777" w:rsidR="00275ECD" w:rsidRPr="00F631DA" w:rsidRDefault="00000000">
      <w:pPr>
        <w:pStyle w:val="Heading2"/>
        <w:spacing w:before="240" w:after="80"/>
        <w:rPr>
          <w:rFonts w:ascii="Calibri" w:hAnsi="Calibri" w:cs="Calibri"/>
        </w:rPr>
      </w:pPr>
      <w:r w:rsidRPr="00F631DA">
        <w:rPr>
          <w:rFonts w:ascii="Calibri" w:hAnsi="Calibri" w:cs="Calibri"/>
          <w:b/>
          <w:bCs/>
        </w:rPr>
        <w:t>Q21. Mobile Phone Estate: iOS vs. Android</w:t>
      </w:r>
    </w:p>
    <w:p w14:paraId="624B6C9B" w14:textId="77777777" w:rsidR="00275ECD" w:rsidRPr="00F631DA" w:rsidRDefault="00000000">
      <w:pPr>
        <w:spacing w:after="120"/>
        <w:rPr>
          <w:rFonts w:ascii="Calibri" w:hAnsi="Calibri" w:cs="Calibri"/>
        </w:rPr>
      </w:pPr>
      <w:r w:rsidRPr="00F631DA">
        <w:rPr>
          <w:rFonts w:ascii="Calibri" w:hAnsi="Calibri" w:cs="Calibri"/>
        </w:rPr>
        <w:t>All approximately 78 mobile phones are Android devices, managed through Microsoft Intune.</w:t>
      </w:r>
    </w:p>
    <w:p w14:paraId="029261D6" w14:textId="77777777" w:rsidR="00275ECD" w:rsidRPr="00F631DA" w:rsidRDefault="00000000">
      <w:pPr>
        <w:pStyle w:val="Heading2"/>
        <w:spacing w:before="240" w:after="80"/>
        <w:rPr>
          <w:rFonts w:ascii="Calibri" w:hAnsi="Calibri" w:cs="Calibri"/>
        </w:rPr>
      </w:pPr>
      <w:r w:rsidRPr="00F631DA">
        <w:rPr>
          <w:rFonts w:ascii="Calibri" w:hAnsi="Calibri" w:cs="Calibri"/>
          <w:b/>
          <w:bCs/>
        </w:rPr>
        <w:t>Q22. Sage: Local Install or Cloud-Hosted</w:t>
      </w:r>
    </w:p>
    <w:p w14:paraId="44BFF4F5" w14:textId="77777777" w:rsidR="00275ECD" w:rsidRPr="00F631DA" w:rsidRDefault="00000000">
      <w:pPr>
        <w:spacing w:after="120"/>
        <w:rPr>
          <w:rFonts w:ascii="Calibri" w:hAnsi="Calibri" w:cs="Calibri"/>
        </w:rPr>
      </w:pPr>
      <w:r w:rsidRPr="00F631DA">
        <w:rPr>
          <w:rFonts w:ascii="Calibri" w:hAnsi="Calibri" w:cs="Calibri"/>
        </w:rPr>
        <w:t xml:space="preserve">Sage is </w:t>
      </w:r>
      <w:proofErr w:type="gramStart"/>
      <w:r w:rsidRPr="00F631DA">
        <w:rPr>
          <w:rFonts w:ascii="Calibri" w:hAnsi="Calibri" w:cs="Calibri"/>
        </w:rPr>
        <w:t>cloud-hosted</w:t>
      </w:r>
      <w:proofErr w:type="gramEnd"/>
      <w:r w:rsidRPr="00F631DA">
        <w:rPr>
          <w:rFonts w:ascii="Calibri" w:hAnsi="Calibri" w:cs="Calibri"/>
        </w:rPr>
        <w:t>.</w:t>
      </w:r>
    </w:p>
    <w:p w14:paraId="132526E9" w14:textId="77777777" w:rsidR="00275ECD" w:rsidRPr="00F631DA" w:rsidRDefault="00000000">
      <w:pPr>
        <w:pStyle w:val="Heading2"/>
        <w:spacing w:before="240" w:after="80"/>
        <w:rPr>
          <w:rFonts w:ascii="Calibri" w:hAnsi="Calibri" w:cs="Calibri"/>
        </w:rPr>
      </w:pPr>
      <w:r w:rsidRPr="00F631DA">
        <w:rPr>
          <w:rFonts w:ascii="Calibri" w:hAnsi="Calibri" w:cs="Calibri"/>
          <w:b/>
          <w:bCs/>
        </w:rPr>
        <w:t>Q23. Fourth Site: What's in Place Given Only Three Firewalls</w:t>
      </w:r>
    </w:p>
    <w:p w14:paraId="13528334" w14:textId="77777777" w:rsidR="00275ECD" w:rsidRPr="00F631DA" w:rsidRDefault="00000000">
      <w:pPr>
        <w:spacing w:after="120"/>
        <w:rPr>
          <w:rFonts w:ascii="Calibri" w:hAnsi="Calibri" w:cs="Calibri"/>
        </w:rPr>
      </w:pPr>
      <w:r w:rsidRPr="00F631DA">
        <w:rPr>
          <w:rFonts w:ascii="Calibri" w:hAnsi="Calibri" w:cs="Calibri"/>
        </w:rPr>
        <w:t>NSP operates from four locations: Coolock Development Centre (Bunratty Drive), Kish House, Bell Building (Darndale), and Foley Street. Three of these — Bunratty Drive, Kish House, and Bell Building — have NSP-managed SonicWALL firewalls, as previously confirmed. Foley Street is a shared-tenancy site where a small number of NSP staff work within a host organisation's IT infrastructure; NSP does not maintain independent network infrastructure, including a firewall, at that location.</w:t>
      </w:r>
    </w:p>
    <w:p w14:paraId="5F800B19" w14:textId="77777777" w:rsidR="00275ECD" w:rsidRPr="00F631DA" w:rsidRDefault="00000000">
      <w:pPr>
        <w:pStyle w:val="Heading2"/>
        <w:spacing w:before="240" w:after="80"/>
        <w:rPr>
          <w:rFonts w:ascii="Calibri" w:hAnsi="Calibri" w:cs="Calibri"/>
        </w:rPr>
      </w:pPr>
      <w:r w:rsidRPr="00F631DA">
        <w:rPr>
          <w:rFonts w:ascii="Calibri" w:hAnsi="Calibri" w:cs="Calibri"/>
          <w:b/>
          <w:bCs/>
        </w:rPr>
        <w:t>Q24. Geographic Restriction on Remote Helpdesk Support Location</w:t>
      </w:r>
    </w:p>
    <w:p w14:paraId="4E36BA8A" w14:textId="77777777" w:rsidR="00275ECD" w:rsidRPr="00F631DA" w:rsidRDefault="00000000">
      <w:pPr>
        <w:spacing w:after="120"/>
        <w:rPr>
          <w:rFonts w:ascii="Calibri" w:hAnsi="Calibri" w:cs="Calibri"/>
        </w:rPr>
      </w:pPr>
      <w:r w:rsidRPr="00F631DA">
        <w:rPr>
          <w:rFonts w:ascii="Calibri" w:hAnsi="Calibri" w:cs="Calibri"/>
        </w:rPr>
        <w:t>NSP is seeking an ongoing partnership relationship with the successful provider, not a transactional break-fix service — this includes continuity of support staff, English-language service delivery, and active participation in the service reviews described in ITT Section 5.3. Given the sensitivity of the participant data NSP holds, including health-related information, NSP expects remote helpdesk support to be delivered from within the EU/EEA. Candidates proposing a different delivery model should demonstrate how it meets these requirements equally.</w:t>
      </w:r>
    </w:p>
    <w:sectPr w:rsidR="00275ECD" w:rsidRPr="00F631D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84384" w14:textId="77777777" w:rsidR="007B3582" w:rsidRDefault="007B3582" w:rsidP="00F631DA">
      <w:r>
        <w:separator/>
      </w:r>
    </w:p>
  </w:endnote>
  <w:endnote w:type="continuationSeparator" w:id="0">
    <w:p w14:paraId="1E7CB7C4" w14:textId="77777777" w:rsidR="007B3582" w:rsidRDefault="007B3582" w:rsidP="00F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2678" w14:textId="77777777" w:rsidR="00F631DA" w:rsidRDefault="00F6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823330"/>
      <w:docPartObj>
        <w:docPartGallery w:val="Page Numbers (Bottom of Page)"/>
        <w:docPartUnique/>
      </w:docPartObj>
    </w:sdtPr>
    <w:sdtEndPr>
      <w:rPr>
        <w:color w:val="7F7F7F" w:themeColor="background1" w:themeShade="7F"/>
        <w:spacing w:val="60"/>
      </w:rPr>
    </w:sdtEndPr>
    <w:sdtContent>
      <w:p w14:paraId="3D6AFD25" w14:textId="3F1C4154" w:rsidR="00F631DA" w:rsidRDefault="00F631D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5EF7E75" w14:textId="77777777" w:rsidR="00F631DA" w:rsidRDefault="00F63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20B1" w14:textId="77777777" w:rsidR="00F631DA" w:rsidRDefault="00F6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EC0E" w14:textId="77777777" w:rsidR="007B3582" w:rsidRDefault="007B3582" w:rsidP="00F631DA">
      <w:r>
        <w:separator/>
      </w:r>
    </w:p>
  </w:footnote>
  <w:footnote w:type="continuationSeparator" w:id="0">
    <w:p w14:paraId="67A0B02B" w14:textId="77777777" w:rsidR="007B3582" w:rsidRDefault="007B3582" w:rsidP="00F631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3C714" w14:textId="77777777" w:rsidR="00F631DA" w:rsidRDefault="00F63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084C" w14:textId="77777777" w:rsidR="00F631DA" w:rsidRDefault="00F63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4886F" w14:textId="77777777" w:rsidR="00F631DA" w:rsidRDefault="00F63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C6C79"/>
    <w:multiLevelType w:val="hybridMultilevel"/>
    <w:tmpl w:val="74F43556"/>
    <w:lvl w:ilvl="0" w:tplc="7ABCE0F4">
      <w:start w:val="1"/>
      <w:numFmt w:val="bullet"/>
      <w:lvlText w:val="●"/>
      <w:lvlJc w:val="left"/>
      <w:pPr>
        <w:ind w:left="720" w:hanging="360"/>
      </w:pPr>
    </w:lvl>
    <w:lvl w:ilvl="1" w:tplc="ADAC46D4">
      <w:start w:val="1"/>
      <w:numFmt w:val="bullet"/>
      <w:lvlText w:val="○"/>
      <w:lvlJc w:val="left"/>
      <w:pPr>
        <w:ind w:left="1440" w:hanging="360"/>
      </w:pPr>
    </w:lvl>
    <w:lvl w:ilvl="2" w:tplc="CAF2312C">
      <w:start w:val="1"/>
      <w:numFmt w:val="bullet"/>
      <w:lvlText w:val="■"/>
      <w:lvlJc w:val="left"/>
      <w:pPr>
        <w:ind w:left="2160" w:hanging="360"/>
      </w:pPr>
    </w:lvl>
    <w:lvl w:ilvl="3" w:tplc="BA7241E4">
      <w:start w:val="1"/>
      <w:numFmt w:val="bullet"/>
      <w:lvlText w:val="●"/>
      <w:lvlJc w:val="left"/>
      <w:pPr>
        <w:ind w:left="2880" w:hanging="360"/>
      </w:pPr>
    </w:lvl>
    <w:lvl w:ilvl="4" w:tplc="2AC89858">
      <w:start w:val="1"/>
      <w:numFmt w:val="bullet"/>
      <w:lvlText w:val="○"/>
      <w:lvlJc w:val="left"/>
      <w:pPr>
        <w:ind w:left="3600" w:hanging="360"/>
      </w:pPr>
    </w:lvl>
    <w:lvl w:ilvl="5" w:tplc="E3BC5A14">
      <w:start w:val="1"/>
      <w:numFmt w:val="bullet"/>
      <w:lvlText w:val="■"/>
      <w:lvlJc w:val="left"/>
      <w:pPr>
        <w:ind w:left="4320" w:hanging="360"/>
      </w:pPr>
    </w:lvl>
    <w:lvl w:ilvl="6" w:tplc="2BDE295A">
      <w:start w:val="1"/>
      <w:numFmt w:val="bullet"/>
      <w:lvlText w:val="●"/>
      <w:lvlJc w:val="left"/>
      <w:pPr>
        <w:ind w:left="5040" w:hanging="360"/>
      </w:pPr>
    </w:lvl>
    <w:lvl w:ilvl="7" w:tplc="A9D03B42">
      <w:start w:val="1"/>
      <w:numFmt w:val="bullet"/>
      <w:lvlText w:val="●"/>
      <w:lvlJc w:val="left"/>
      <w:pPr>
        <w:ind w:left="5760" w:hanging="360"/>
      </w:pPr>
    </w:lvl>
    <w:lvl w:ilvl="8" w:tplc="DD0E25B2">
      <w:start w:val="1"/>
      <w:numFmt w:val="bullet"/>
      <w:lvlText w:val="●"/>
      <w:lvlJc w:val="left"/>
      <w:pPr>
        <w:ind w:left="6480" w:hanging="360"/>
      </w:pPr>
    </w:lvl>
  </w:abstractNum>
  <w:num w:numId="1" w16cid:durableId="12450714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ECD"/>
    <w:rsid w:val="00146D26"/>
    <w:rsid w:val="00275ECD"/>
    <w:rsid w:val="007B3582"/>
    <w:rsid w:val="00F63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CAF6D8"/>
  <w15:docId w15:val="{12EC971E-A274-4E73-9149-FA6915989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631DA"/>
    <w:pPr>
      <w:tabs>
        <w:tab w:val="center" w:pos="4513"/>
        <w:tab w:val="right" w:pos="9026"/>
      </w:tabs>
    </w:pPr>
  </w:style>
  <w:style w:type="character" w:customStyle="1" w:styleId="HeaderChar">
    <w:name w:val="Header Char"/>
    <w:basedOn w:val="DefaultParagraphFont"/>
    <w:link w:val="Header"/>
    <w:uiPriority w:val="99"/>
    <w:rsid w:val="00F631DA"/>
  </w:style>
  <w:style w:type="paragraph" w:styleId="Footer">
    <w:name w:val="footer"/>
    <w:basedOn w:val="Normal"/>
    <w:link w:val="FooterChar"/>
    <w:uiPriority w:val="99"/>
    <w:unhideWhenUsed/>
    <w:rsid w:val="00F631DA"/>
    <w:pPr>
      <w:tabs>
        <w:tab w:val="center" w:pos="4513"/>
        <w:tab w:val="right" w:pos="9026"/>
      </w:tabs>
    </w:pPr>
  </w:style>
  <w:style w:type="character" w:customStyle="1" w:styleId="FooterChar">
    <w:name w:val="Footer Char"/>
    <w:basedOn w:val="DefaultParagraphFont"/>
    <w:link w:val="Footer"/>
    <w:uiPriority w:val="99"/>
    <w:rsid w:val="00F63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1298</Words>
  <Characters>7402</Characters>
  <Application>Microsoft Office Word</Application>
  <DocSecurity>0</DocSecurity>
  <Lines>61</Lines>
  <Paragraphs>17</Paragraphs>
  <ScaleCrop>false</ScaleCrop>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Stephen Myall</cp:lastModifiedBy>
  <cp:revision>2</cp:revision>
  <dcterms:created xsi:type="dcterms:W3CDTF">2026-07-22T06:55:00Z</dcterms:created>
  <dcterms:modified xsi:type="dcterms:W3CDTF">2026-07-22T07:01:00Z</dcterms:modified>
</cp:coreProperties>
</file>