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671" w:rsidRPr="00A45671" w:rsidRDefault="00A45671" w:rsidP="00A45671">
      <w:pPr>
        <w:pStyle w:val="NormalWeb"/>
        <w:shd w:val="clear" w:color="auto" w:fill="FFFFFF"/>
        <w:spacing w:before="0" w:beforeAutospacing="0"/>
        <w:jc w:val="both"/>
        <w:rPr>
          <w:rFonts w:ascii="Tahoma" w:hAnsi="Tahoma" w:cs="Tahoma"/>
          <w:b/>
          <w:color w:val="00241A"/>
        </w:rPr>
      </w:pPr>
      <w:r w:rsidRPr="00A45671">
        <w:rPr>
          <w:rFonts w:ascii="Tahoma" w:hAnsi="Tahoma" w:cs="Tahoma"/>
          <w:b/>
          <w:color w:val="00241A"/>
        </w:rPr>
        <w:t>The Lot 2 services require the provider to advise on property acquisitions within an Approved Housing Body context (e.g. CAS and CALF funded-schemes). </w:t>
      </w:r>
    </w:p>
    <w:p w:rsidR="00A45671" w:rsidRPr="00A45671" w:rsidRDefault="00A45671" w:rsidP="00A45671">
      <w:pPr>
        <w:pStyle w:val="NormalWeb"/>
        <w:shd w:val="clear" w:color="auto" w:fill="FFFFFF"/>
        <w:spacing w:before="0" w:beforeAutospacing="0"/>
        <w:jc w:val="both"/>
        <w:rPr>
          <w:rFonts w:ascii="Tahoma" w:hAnsi="Tahoma" w:cs="Tahoma"/>
          <w:b/>
          <w:color w:val="00241A"/>
        </w:rPr>
      </w:pPr>
      <w:r w:rsidRPr="00A45671">
        <w:rPr>
          <w:rFonts w:ascii="Tahoma" w:hAnsi="Tahoma" w:cs="Tahoma"/>
          <w:b/>
          <w:color w:val="00241A"/>
        </w:rPr>
        <w:t>Does De Paul anticipate acquiring properties from AHBs in which case the provider experience should be on the purchaser side? If so, can De Paul clarify if the provider is required to have direct experience of acting for AHBs and funding of housing developments via the schemes mentioned, which would be more on the vendor side of property transactions? </w:t>
      </w:r>
    </w:p>
    <w:p w:rsidR="00A45671" w:rsidRPr="00A45671" w:rsidRDefault="00A45671" w:rsidP="00A45671">
      <w:pPr>
        <w:pStyle w:val="isselectedend"/>
        <w:jc w:val="both"/>
        <w:rPr>
          <w:rFonts w:ascii="Tahoma" w:hAnsi="Tahoma" w:cs="Tahoma"/>
          <w:i/>
        </w:rPr>
      </w:pPr>
      <w:proofErr w:type="spellStart"/>
      <w:r w:rsidRPr="00A45671">
        <w:rPr>
          <w:rFonts w:ascii="Tahoma" w:hAnsi="Tahoma" w:cs="Tahoma"/>
          <w:i/>
        </w:rPr>
        <w:t>Depaul</w:t>
      </w:r>
      <w:proofErr w:type="spellEnd"/>
      <w:r w:rsidRPr="00A45671">
        <w:rPr>
          <w:rFonts w:ascii="Tahoma" w:hAnsi="Tahoma" w:cs="Tahoma"/>
          <w:i/>
        </w:rPr>
        <w:t xml:space="preserve"> Housing has acquired properties through a variety of mechanisms, including stock transfers from other Approved Housing Bodies (AHBs) and open market acquisitions. To date, </w:t>
      </w:r>
      <w:proofErr w:type="spellStart"/>
      <w:r w:rsidRPr="00A45671">
        <w:rPr>
          <w:rFonts w:ascii="Tahoma" w:hAnsi="Tahoma" w:cs="Tahoma"/>
          <w:i/>
        </w:rPr>
        <w:t>Depaul</w:t>
      </w:r>
      <w:proofErr w:type="spellEnd"/>
      <w:r w:rsidRPr="00A45671">
        <w:rPr>
          <w:rFonts w:ascii="Tahoma" w:hAnsi="Tahoma" w:cs="Tahoma"/>
          <w:i/>
        </w:rPr>
        <w:t xml:space="preserve"> Housing has not disposed of any properties.</w:t>
      </w:r>
    </w:p>
    <w:p w:rsidR="00A45671" w:rsidRPr="00A45671" w:rsidRDefault="00A45671" w:rsidP="00A45671">
      <w:pPr>
        <w:pStyle w:val="isselectedend"/>
        <w:jc w:val="both"/>
        <w:rPr>
          <w:rFonts w:ascii="Tahoma" w:hAnsi="Tahoma" w:cs="Tahoma"/>
          <w:i/>
        </w:rPr>
      </w:pPr>
      <w:r w:rsidRPr="00A45671">
        <w:rPr>
          <w:rFonts w:ascii="Tahoma" w:hAnsi="Tahoma" w:cs="Tahoma"/>
          <w:i/>
        </w:rPr>
        <w:t xml:space="preserve">The primary requirement is for a provider with demonstrable knowledge and experience of acting on behalf of an AHB in property acquisitions funded through the Capital Assistance Scheme (CAS) and Payment and Availability Agreement – Capital Advance Leasing Facility (P&amp;A-CALF). The majority of the work will involve supporting property acquisitions for </w:t>
      </w:r>
      <w:proofErr w:type="spellStart"/>
      <w:r w:rsidRPr="00A45671">
        <w:rPr>
          <w:rFonts w:ascii="Tahoma" w:hAnsi="Tahoma" w:cs="Tahoma"/>
          <w:i/>
        </w:rPr>
        <w:t>Depaul</w:t>
      </w:r>
      <w:proofErr w:type="spellEnd"/>
      <w:r w:rsidRPr="00A45671">
        <w:rPr>
          <w:rFonts w:ascii="Tahoma" w:hAnsi="Tahoma" w:cs="Tahoma"/>
          <w:i/>
        </w:rPr>
        <w:t xml:space="preserve"> Housing, including liaising with the relevant Local Authorities' solicitors in relation</w:t>
      </w:r>
      <w:bookmarkStart w:id="0" w:name="_GoBack"/>
      <w:bookmarkEnd w:id="0"/>
      <w:r w:rsidRPr="00A45671">
        <w:rPr>
          <w:rFonts w:ascii="Tahoma" w:hAnsi="Tahoma" w:cs="Tahoma"/>
          <w:i/>
        </w:rPr>
        <w:t xml:space="preserve"> to the drawdown of CAS funding, as well as coordinating with the vendors' solicitors throughout the transaction.</w:t>
      </w:r>
    </w:p>
    <w:p w:rsidR="00A45671" w:rsidRPr="00A45671" w:rsidRDefault="00A45671" w:rsidP="00A45671">
      <w:pPr>
        <w:pStyle w:val="NormalWeb"/>
        <w:jc w:val="both"/>
        <w:rPr>
          <w:rFonts w:ascii="Tahoma" w:hAnsi="Tahoma" w:cs="Tahoma"/>
          <w:i/>
        </w:rPr>
      </w:pPr>
      <w:r w:rsidRPr="00A45671">
        <w:rPr>
          <w:rFonts w:ascii="Tahoma" w:hAnsi="Tahoma" w:cs="Tahoma"/>
          <w:i/>
        </w:rPr>
        <w:t>From time to time, acquisitions funded through the CALF scheme will also require engagement with the Housing Finance Agency's solicitors. While these transactions are expected to arise less frequently than CAS-funded acquisitions, experience of the CALF process would be advantageous.</w:t>
      </w:r>
    </w:p>
    <w:p w:rsidR="00A45671" w:rsidRPr="00A45671" w:rsidRDefault="00A45671" w:rsidP="00A45671">
      <w:pPr>
        <w:pStyle w:val="NormalWeb"/>
        <w:shd w:val="clear" w:color="auto" w:fill="FFFFFF"/>
        <w:spacing w:before="0" w:beforeAutospacing="0"/>
        <w:rPr>
          <w:rFonts w:ascii="Roboto" w:hAnsi="Roboto"/>
          <w:b/>
          <w:color w:val="00241A"/>
          <w:sz w:val="21"/>
          <w:szCs w:val="21"/>
        </w:rPr>
      </w:pPr>
    </w:p>
    <w:p w:rsidR="007F6E57" w:rsidRDefault="007F6E57"/>
    <w:sectPr w:rsidR="007F6E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E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71"/>
    <w:rsid w:val="007F6E57"/>
    <w:rsid w:val="00A4567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46D2C"/>
  <w15:chartTrackingRefBased/>
  <w15:docId w15:val="{7462E5B8-6B2E-4F95-A5E7-02FCF7D6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5671"/>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isselectedend">
    <w:name w:val="isselectedend"/>
    <w:basedOn w:val="Normal"/>
    <w:rsid w:val="00A45671"/>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983277">
      <w:bodyDiv w:val="1"/>
      <w:marLeft w:val="0"/>
      <w:marRight w:val="0"/>
      <w:marTop w:val="0"/>
      <w:marBottom w:val="0"/>
      <w:divBdr>
        <w:top w:val="none" w:sz="0" w:space="0" w:color="auto"/>
        <w:left w:val="none" w:sz="0" w:space="0" w:color="auto"/>
        <w:bottom w:val="none" w:sz="0" w:space="0" w:color="auto"/>
        <w:right w:val="none" w:sz="0" w:space="0" w:color="auto"/>
      </w:divBdr>
    </w:div>
    <w:div w:id="178665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1348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Craciun</dc:creator>
  <cp:keywords/>
  <dc:description/>
  <cp:lastModifiedBy>Nicoleta Craciun</cp:lastModifiedBy>
  <cp:revision>1</cp:revision>
  <dcterms:created xsi:type="dcterms:W3CDTF">2026-07-13T09:12:00Z</dcterms:created>
  <dcterms:modified xsi:type="dcterms:W3CDTF">2026-07-13T09:14:00Z</dcterms:modified>
</cp:coreProperties>
</file>