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B93C0" w14:textId="591F4834" w:rsidR="00412033" w:rsidRDefault="00E74383">
      <w:pPr>
        <w:spacing w:after="43" w:line="259" w:lineRule="auto"/>
        <w:ind w:left="18" w:firstLine="0"/>
        <w:jc w:val="center"/>
      </w:pPr>
      <w:r>
        <w:rPr>
          <w:noProof/>
          <w:color w:val="FFFFFF"/>
        </w:rPr>
        <w:drawing>
          <wp:inline distT="0" distB="0" distL="0" distR="0" wp14:anchorId="65EB2F0E" wp14:editId="001D089C">
            <wp:extent cx="3002280" cy="1181100"/>
            <wp:effectExtent l="0" t="0" r="7620" b="0"/>
            <wp:docPr id="1353704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002280" cy="1181100"/>
                    </a:xfrm>
                    <a:prstGeom prst="rect">
                      <a:avLst/>
                    </a:prstGeom>
                    <a:noFill/>
                    <a:ln>
                      <a:noFill/>
                    </a:ln>
                  </pic:spPr>
                </pic:pic>
              </a:graphicData>
            </a:graphic>
          </wp:inline>
        </w:drawing>
      </w:r>
      <w:r w:rsidR="00994BB5">
        <w:rPr>
          <w:b/>
          <w:sz w:val="37"/>
        </w:rPr>
        <w:t xml:space="preserve"> </w:t>
      </w:r>
    </w:p>
    <w:p w14:paraId="7C00011E" w14:textId="77777777" w:rsidR="00412033" w:rsidRDefault="00994BB5">
      <w:pPr>
        <w:spacing w:after="155" w:line="259" w:lineRule="auto"/>
        <w:ind w:right="50"/>
        <w:jc w:val="center"/>
      </w:pPr>
      <w:r>
        <w:rPr>
          <w:b/>
          <w:sz w:val="37"/>
        </w:rPr>
        <w:t xml:space="preserve">REQUEST FOR TENDER </w:t>
      </w:r>
    </w:p>
    <w:p w14:paraId="2737C9F8" w14:textId="77777777" w:rsidR="00412033" w:rsidRDefault="00994BB5">
      <w:pPr>
        <w:spacing w:after="0" w:line="259" w:lineRule="auto"/>
        <w:ind w:right="44"/>
        <w:jc w:val="center"/>
      </w:pPr>
      <w:r>
        <w:rPr>
          <w:b/>
          <w:sz w:val="37"/>
        </w:rPr>
        <w:t xml:space="preserve">SINGLE PARTY FRAMEWORK AGREEMENT </w:t>
      </w:r>
    </w:p>
    <w:tbl>
      <w:tblPr>
        <w:tblStyle w:val="TableGrid"/>
        <w:tblW w:w="9026" w:type="dxa"/>
        <w:tblInd w:w="2" w:type="dxa"/>
        <w:tblCellMar>
          <w:top w:w="64" w:type="dxa"/>
          <w:left w:w="110" w:type="dxa"/>
          <w:right w:w="13" w:type="dxa"/>
        </w:tblCellMar>
        <w:tblLook w:val="04A0" w:firstRow="1" w:lastRow="0" w:firstColumn="1" w:lastColumn="0" w:noHBand="0" w:noVBand="1"/>
      </w:tblPr>
      <w:tblGrid>
        <w:gridCol w:w="3539"/>
        <w:gridCol w:w="5487"/>
      </w:tblGrid>
      <w:tr w:rsidR="00412033" w14:paraId="5DFE2ED4" w14:textId="77777777">
        <w:trPr>
          <w:trHeight w:val="1364"/>
        </w:trPr>
        <w:tc>
          <w:tcPr>
            <w:tcW w:w="3539" w:type="dxa"/>
            <w:tcBorders>
              <w:top w:val="single" w:sz="6" w:space="0" w:color="000000"/>
              <w:left w:val="single" w:sz="6" w:space="0" w:color="000000"/>
              <w:bottom w:val="double" w:sz="13" w:space="0" w:color="002060"/>
              <w:right w:val="nil"/>
            </w:tcBorders>
            <w:shd w:val="clear" w:color="auto" w:fill="002060"/>
          </w:tcPr>
          <w:p w14:paraId="224C027E" w14:textId="77777777" w:rsidR="00412033" w:rsidRDefault="00994BB5">
            <w:pPr>
              <w:spacing w:after="0" w:line="259" w:lineRule="auto"/>
              <w:ind w:left="0" w:firstLine="0"/>
              <w:jc w:val="left"/>
            </w:pPr>
            <w:r>
              <w:rPr>
                <w:b/>
                <w:color w:val="FFFFFF"/>
              </w:rPr>
              <w:t xml:space="preserve">Title: </w:t>
            </w:r>
          </w:p>
        </w:tc>
        <w:tc>
          <w:tcPr>
            <w:tcW w:w="5487" w:type="dxa"/>
            <w:tcBorders>
              <w:top w:val="single" w:sz="6" w:space="0" w:color="000000"/>
              <w:left w:val="nil"/>
              <w:bottom w:val="single" w:sz="6" w:space="0" w:color="000000"/>
              <w:right w:val="single" w:sz="6" w:space="0" w:color="000000"/>
            </w:tcBorders>
            <w:vAlign w:val="center"/>
          </w:tcPr>
          <w:p w14:paraId="5908559E" w14:textId="77777777" w:rsidR="00412033" w:rsidRDefault="00994BB5">
            <w:pPr>
              <w:spacing w:after="0" w:line="259" w:lineRule="auto"/>
              <w:ind w:left="2" w:firstLine="0"/>
              <w:jc w:val="left"/>
            </w:pPr>
            <w:r>
              <w:t xml:space="preserve">Provision of the Supply and support Uninterrupted Power </w:t>
            </w:r>
          </w:p>
          <w:p w14:paraId="2FC970EE" w14:textId="041212D2" w:rsidR="00412033" w:rsidRDefault="00994BB5">
            <w:pPr>
              <w:spacing w:after="0" w:line="259" w:lineRule="auto"/>
              <w:ind w:left="2" w:right="103" w:firstLine="0"/>
            </w:pPr>
            <w:r>
              <w:t xml:space="preserve">Supply (UPS) Services and associated services to the </w:t>
            </w:r>
            <w:r w:rsidR="00DC41EB">
              <w:t>Dept. of Justice, Home Affairs and Migration</w:t>
            </w:r>
            <w:r>
              <w:t xml:space="preserve"> and other bodies under the aegis of the </w:t>
            </w:r>
            <w:r w:rsidR="00DC41EB">
              <w:t>Dept. of Justice, Home Affairs and Migration</w:t>
            </w:r>
            <w:r>
              <w:t xml:space="preserve"> including but not limited to the Irish Prison Services </w:t>
            </w:r>
          </w:p>
        </w:tc>
      </w:tr>
      <w:tr w:rsidR="00412033" w14:paraId="0BB48A4E" w14:textId="77777777">
        <w:trPr>
          <w:trHeight w:val="577"/>
        </w:trPr>
        <w:tc>
          <w:tcPr>
            <w:tcW w:w="3539" w:type="dxa"/>
            <w:tcBorders>
              <w:top w:val="double" w:sz="13" w:space="0" w:color="002060"/>
              <w:left w:val="single" w:sz="6" w:space="0" w:color="000000"/>
              <w:bottom w:val="double" w:sz="13" w:space="0" w:color="002060"/>
              <w:right w:val="nil"/>
            </w:tcBorders>
            <w:shd w:val="clear" w:color="auto" w:fill="002060"/>
            <w:vAlign w:val="center"/>
          </w:tcPr>
          <w:p w14:paraId="7B576915" w14:textId="77777777" w:rsidR="00412033" w:rsidRDefault="00994BB5">
            <w:pPr>
              <w:spacing w:after="0" w:line="259" w:lineRule="auto"/>
              <w:ind w:left="0" w:firstLine="0"/>
              <w:jc w:val="left"/>
            </w:pPr>
            <w:r>
              <w:rPr>
                <w:b/>
                <w:color w:val="FFFFFF"/>
              </w:rPr>
              <w:t xml:space="preserve">Procedure: </w:t>
            </w:r>
          </w:p>
        </w:tc>
        <w:tc>
          <w:tcPr>
            <w:tcW w:w="5487" w:type="dxa"/>
            <w:tcBorders>
              <w:top w:val="single" w:sz="6" w:space="0" w:color="000000"/>
              <w:left w:val="nil"/>
              <w:bottom w:val="single" w:sz="6" w:space="0" w:color="000000"/>
              <w:right w:val="single" w:sz="6" w:space="0" w:color="000000"/>
            </w:tcBorders>
            <w:vAlign w:val="center"/>
          </w:tcPr>
          <w:p w14:paraId="63674450" w14:textId="77777777" w:rsidR="00412033" w:rsidRDefault="00994BB5">
            <w:pPr>
              <w:spacing w:after="0" w:line="259" w:lineRule="auto"/>
              <w:ind w:left="2" w:firstLine="0"/>
              <w:jc w:val="left"/>
            </w:pPr>
            <w:r>
              <w:t xml:space="preserve">Open </w:t>
            </w:r>
          </w:p>
        </w:tc>
      </w:tr>
      <w:tr w:rsidR="00412033" w14:paraId="533AE87D" w14:textId="77777777">
        <w:trPr>
          <w:trHeight w:val="577"/>
        </w:trPr>
        <w:tc>
          <w:tcPr>
            <w:tcW w:w="3539" w:type="dxa"/>
            <w:tcBorders>
              <w:top w:val="double" w:sz="13" w:space="0" w:color="002060"/>
              <w:left w:val="single" w:sz="6" w:space="0" w:color="000000"/>
              <w:bottom w:val="double" w:sz="13" w:space="0" w:color="002060"/>
              <w:right w:val="nil"/>
            </w:tcBorders>
            <w:shd w:val="clear" w:color="auto" w:fill="002060"/>
            <w:vAlign w:val="center"/>
          </w:tcPr>
          <w:p w14:paraId="282A92A0" w14:textId="77777777" w:rsidR="00412033" w:rsidRDefault="00994BB5">
            <w:pPr>
              <w:spacing w:after="0" w:line="259" w:lineRule="auto"/>
              <w:ind w:left="0" w:firstLine="0"/>
              <w:jc w:val="left"/>
            </w:pPr>
            <w:proofErr w:type="spellStart"/>
            <w:r>
              <w:rPr>
                <w:b/>
                <w:color w:val="FFFFFF"/>
              </w:rPr>
              <w:t>eTenders</w:t>
            </w:r>
            <w:proofErr w:type="spellEnd"/>
            <w:r>
              <w:rPr>
                <w:b/>
                <w:color w:val="FFFFFF"/>
              </w:rPr>
              <w:t xml:space="preserve"> reference </w:t>
            </w:r>
          </w:p>
        </w:tc>
        <w:tc>
          <w:tcPr>
            <w:tcW w:w="5487" w:type="dxa"/>
            <w:tcBorders>
              <w:top w:val="single" w:sz="6" w:space="0" w:color="000000"/>
              <w:left w:val="nil"/>
              <w:bottom w:val="single" w:sz="6" w:space="0" w:color="000000"/>
              <w:right w:val="single" w:sz="6" w:space="0" w:color="000000"/>
            </w:tcBorders>
            <w:vAlign w:val="center"/>
          </w:tcPr>
          <w:p w14:paraId="0447D820" w14:textId="6F833DDB" w:rsidR="00412033" w:rsidRDefault="00412033">
            <w:pPr>
              <w:spacing w:after="0" w:line="259" w:lineRule="auto"/>
              <w:ind w:left="2" w:firstLine="0"/>
              <w:jc w:val="left"/>
            </w:pPr>
          </w:p>
        </w:tc>
      </w:tr>
      <w:tr w:rsidR="00412033" w14:paraId="66AD4791" w14:textId="77777777">
        <w:trPr>
          <w:trHeight w:val="576"/>
        </w:trPr>
        <w:tc>
          <w:tcPr>
            <w:tcW w:w="3539" w:type="dxa"/>
            <w:tcBorders>
              <w:top w:val="double" w:sz="13" w:space="0" w:color="002060"/>
              <w:left w:val="single" w:sz="6" w:space="0" w:color="000000"/>
              <w:bottom w:val="double" w:sz="13" w:space="0" w:color="002060"/>
              <w:right w:val="nil"/>
            </w:tcBorders>
            <w:shd w:val="clear" w:color="auto" w:fill="002060"/>
            <w:vAlign w:val="center"/>
          </w:tcPr>
          <w:p w14:paraId="15F5EB57" w14:textId="77777777" w:rsidR="00412033" w:rsidRDefault="00994BB5">
            <w:pPr>
              <w:spacing w:after="0" w:line="259" w:lineRule="auto"/>
              <w:ind w:left="0" w:firstLine="0"/>
              <w:jc w:val="left"/>
            </w:pPr>
            <w:r>
              <w:rPr>
                <w:b/>
                <w:color w:val="FFFFFF"/>
              </w:rPr>
              <w:t xml:space="preserve">Issue Date: </w:t>
            </w:r>
          </w:p>
        </w:tc>
        <w:tc>
          <w:tcPr>
            <w:tcW w:w="5487" w:type="dxa"/>
            <w:tcBorders>
              <w:top w:val="single" w:sz="6" w:space="0" w:color="000000"/>
              <w:left w:val="nil"/>
              <w:bottom w:val="single" w:sz="6" w:space="0" w:color="000000"/>
              <w:right w:val="single" w:sz="6" w:space="0" w:color="000000"/>
            </w:tcBorders>
            <w:vAlign w:val="center"/>
          </w:tcPr>
          <w:p w14:paraId="1652199D" w14:textId="69946EB7" w:rsidR="00412033" w:rsidRDefault="006B0016">
            <w:pPr>
              <w:spacing w:after="0" w:line="259" w:lineRule="auto"/>
              <w:ind w:left="2" w:firstLine="0"/>
              <w:jc w:val="left"/>
            </w:pPr>
            <w:r>
              <w:t>10/07/2026</w:t>
            </w:r>
          </w:p>
        </w:tc>
      </w:tr>
      <w:tr w:rsidR="00412033" w14:paraId="0D0DEBAB" w14:textId="77777777">
        <w:trPr>
          <w:trHeight w:val="577"/>
        </w:trPr>
        <w:tc>
          <w:tcPr>
            <w:tcW w:w="3539" w:type="dxa"/>
            <w:tcBorders>
              <w:top w:val="double" w:sz="13" w:space="0" w:color="002060"/>
              <w:left w:val="single" w:sz="6" w:space="0" w:color="000000"/>
              <w:bottom w:val="double" w:sz="13" w:space="0" w:color="002060"/>
              <w:right w:val="nil"/>
            </w:tcBorders>
            <w:shd w:val="clear" w:color="auto" w:fill="002060"/>
            <w:vAlign w:val="center"/>
          </w:tcPr>
          <w:p w14:paraId="209F73F9" w14:textId="77777777" w:rsidR="00412033" w:rsidRDefault="00994BB5">
            <w:pPr>
              <w:spacing w:after="0" w:line="259" w:lineRule="auto"/>
              <w:ind w:left="0" w:firstLine="0"/>
              <w:jc w:val="left"/>
            </w:pPr>
            <w:r>
              <w:rPr>
                <w:b/>
                <w:color w:val="FFFFFF"/>
              </w:rPr>
              <w:t xml:space="preserve">Closing Date for Queries: </w:t>
            </w:r>
          </w:p>
        </w:tc>
        <w:tc>
          <w:tcPr>
            <w:tcW w:w="5487" w:type="dxa"/>
            <w:tcBorders>
              <w:top w:val="single" w:sz="6" w:space="0" w:color="000000"/>
              <w:left w:val="nil"/>
              <w:bottom w:val="single" w:sz="6" w:space="0" w:color="000000"/>
              <w:right w:val="single" w:sz="6" w:space="0" w:color="000000"/>
            </w:tcBorders>
            <w:vAlign w:val="center"/>
          </w:tcPr>
          <w:p w14:paraId="2030D952" w14:textId="6982969D" w:rsidR="00412033" w:rsidRDefault="006B0016">
            <w:pPr>
              <w:spacing w:after="0" w:line="259" w:lineRule="auto"/>
              <w:ind w:left="2" w:firstLine="0"/>
              <w:jc w:val="left"/>
            </w:pPr>
            <w:r>
              <w:t>24/07/2026</w:t>
            </w:r>
          </w:p>
        </w:tc>
      </w:tr>
      <w:tr w:rsidR="00412033" w14:paraId="3FD1ABAB" w14:textId="77777777">
        <w:trPr>
          <w:trHeight w:val="577"/>
        </w:trPr>
        <w:tc>
          <w:tcPr>
            <w:tcW w:w="3539" w:type="dxa"/>
            <w:tcBorders>
              <w:top w:val="double" w:sz="13" w:space="0" w:color="002060"/>
              <w:left w:val="single" w:sz="6" w:space="0" w:color="000000"/>
              <w:bottom w:val="double" w:sz="13" w:space="0" w:color="002060"/>
              <w:right w:val="nil"/>
            </w:tcBorders>
            <w:shd w:val="clear" w:color="auto" w:fill="002060"/>
            <w:vAlign w:val="center"/>
          </w:tcPr>
          <w:p w14:paraId="6A16C088" w14:textId="77777777" w:rsidR="00412033" w:rsidRDefault="00994BB5">
            <w:pPr>
              <w:spacing w:after="0" w:line="259" w:lineRule="auto"/>
              <w:ind w:left="0" w:firstLine="0"/>
              <w:jc w:val="left"/>
            </w:pPr>
            <w:r>
              <w:rPr>
                <w:b/>
                <w:color w:val="FFFFFF"/>
              </w:rPr>
              <w:t xml:space="preserve">Closing Date for Tender Submission: </w:t>
            </w:r>
          </w:p>
        </w:tc>
        <w:tc>
          <w:tcPr>
            <w:tcW w:w="5487" w:type="dxa"/>
            <w:tcBorders>
              <w:top w:val="single" w:sz="6" w:space="0" w:color="000000"/>
              <w:left w:val="nil"/>
              <w:bottom w:val="single" w:sz="6" w:space="0" w:color="000000"/>
              <w:right w:val="single" w:sz="6" w:space="0" w:color="000000"/>
            </w:tcBorders>
            <w:vAlign w:val="center"/>
          </w:tcPr>
          <w:p w14:paraId="05E51134" w14:textId="5FFC0B66" w:rsidR="00412033" w:rsidRDefault="006B0016">
            <w:pPr>
              <w:spacing w:after="0" w:line="259" w:lineRule="auto"/>
              <w:ind w:left="2" w:firstLine="0"/>
              <w:jc w:val="left"/>
            </w:pPr>
            <w:r>
              <w:t>21/08/2026</w:t>
            </w:r>
          </w:p>
        </w:tc>
      </w:tr>
      <w:tr w:rsidR="00412033" w14:paraId="16D24540" w14:textId="77777777">
        <w:trPr>
          <w:trHeight w:val="577"/>
        </w:trPr>
        <w:tc>
          <w:tcPr>
            <w:tcW w:w="3539" w:type="dxa"/>
            <w:tcBorders>
              <w:top w:val="double" w:sz="13" w:space="0" w:color="002060"/>
              <w:left w:val="single" w:sz="6" w:space="0" w:color="000000"/>
              <w:bottom w:val="double" w:sz="13" w:space="0" w:color="002060"/>
              <w:right w:val="nil"/>
            </w:tcBorders>
            <w:shd w:val="clear" w:color="auto" w:fill="002060"/>
            <w:vAlign w:val="center"/>
          </w:tcPr>
          <w:p w14:paraId="69B3864D" w14:textId="77777777" w:rsidR="00412033" w:rsidRPr="00AF6110" w:rsidRDefault="00994BB5">
            <w:pPr>
              <w:spacing w:after="0" w:line="259" w:lineRule="auto"/>
              <w:ind w:left="0" w:firstLine="0"/>
              <w:jc w:val="left"/>
            </w:pPr>
            <w:r w:rsidRPr="00AF6110">
              <w:rPr>
                <w:b/>
                <w:color w:val="FFFFFF"/>
              </w:rPr>
              <w:t xml:space="preserve">Estimated Max Value of Framework  </w:t>
            </w:r>
          </w:p>
        </w:tc>
        <w:tc>
          <w:tcPr>
            <w:tcW w:w="5487" w:type="dxa"/>
            <w:tcBorders>
              <w:top w:val="single" w:sz="6" w:space="0" w:color="000000"/>
              <w:left w:val="nil"/>
              <w:bottom w:val="single" w:sz="6" w:space="0" w:color="000000"/>
              <w:right w:val="single" w:sz="6" w:space="0" w:color="000000"/>
            </w:tcBorders>
            <w:vAlign w:val="center"/>
          </w:tcPr>
          <w:p w14:paraId="2734273E" w14:textId="0CB6B053" w:rsidR="00412033" w:rsidRPr="00AF6110" w:rsidRDefault="00994BB5">
            <w:pPr>
              <w:spacing w:after="0" w:line="259" w:lineRule="auto"/>
              <w:ind w:left="2" w:firstLine="0"/>
              <w:jc w:val="left"/>
            </w:pPr>
            <w:r w:rsidRPr="00AF6110">
              <w:t>€</w:t>
            </w:r>
            <w:r w:rsidR="00AF6110">
              <w:t>800k</w:t>
            </w:r>
          </w:p>
        </w:tc>
      </w:tr>
      <w:tr w:rsidR="00412033" w14:paraId="3343F1CF" w14:textId="77777777">
        <w:trPr>
          <w:trHeight w:val="1105"/>
        </w:trPr>
        <w:tc>
          <w:tcPr>
            <w:tcW w:w="3539" w:type="dxa"/>
            <w:tcBorders>
              <w:top w:val="double" w:sz="13" w:space="0" w:color="002060"/>
              <w:left w:val="single" w:sz="6" w:space="0" w:color="000000"/>
              <w:bottom w:val="double" w:sz="13" w:space="0" w:color="002060"/>
              <w:right w:val="nil"/>
            </w:tcBorders>
            <w:shd w:val="clear" w:color="auto" w:fill="002060"/>
          </w:tcPr>
          <w:p w14:paraId="1BB765EB" w14:textId="77777777" w:rsidR="00412033" w:rsidRDefault="00994BB5">
            <w:pPr>
              <w:spacing w:after="0" w:line="259" w:lineRule="auto"/>
              <w:ind w:left="0" w:firstLine="0"/>
              <w:jc w:val="left"/>
            </w:pPr>
            <w:r>
              <w:rPr>
                <w:b/>
                <w:color w:val="FFFFFF"/>
              </w:rPr>
              <w:t xml:space="preserve">Submissions and Queries via: </w:t>
            </w:r>
          </w:p>
        </w:tc>
        <w:tc>
          <w:tcPr>
            <w:tcW w:w="5487" w:type="dxa"/>
            <w:tcBorders>
              <w:top w:val="single" w:sz="6" w:space="0" w:color="000000"/>
              <w:left w:val="nil"/>
              <w:bottom w:val="single" w:sz="6" w:space="0" w:color="000000"/>
              <w:right w:val="single" w:sz="6" w:space="0" w:color="000000"/>
            </w:tcBorders>
          </w:tcPr>
          <w:p w14:paraId="65CDAEA7" w14:textId="77777777" w:rsidR="00412033" w:rsidRDefault="00994BB5">
            <w:pPr>
              <w:spacing w:after="89" w:line="259" w:lineRule="auto"/>
              <w:ind w:left="0" w:right="85" w:firstLine="0"/>
              <w:jc w:val="center"/>
            </w:pPr>
            <w:proofErr w:type="spellStart"/>
            <w:r>
              <w:t>eTenders</w:t>
            </w:r>
            <w:proofErr w:type="spellEnd"/>
            <w:r>
              <w:t xml:space="preserve"> only  </w:t>
            </w:r>
          </w:p>
          <w:p w14:paraId="1EB2250C" w14:textId="77777777" w:rsidR="00412033" w:rsidRDefault="00994BB5">
            <w:pPr>
              <w:spacing w:after="0" w:line="259" w:lineRule="auto"/>
              <w:ind w:left="2" w:firstLine="0"/>
            </w:pPr>
            <w:r>
              <w:t xml:space="preserve">Please upload your response as a </w:t>
            </w:r>
            <w:r>
              <w:rPr>
                <w:b/>
              </w:rPr>
              <w:t>ZIP FILE</w:t>
            </w:r>
            <w:r>
              <w:t xml:space="preserve"> to protect the integrity of the file names </w:t>
            </w:r>
          </w:p>
        </w:tc>
      </w:tr>
      <w:tr w:rsidR="00412033" w14:paraId="1DEA326B" w14:textId="77777777">
        <w:trPr>
          <w:trHeight w:val="324"/>
        </w:trPr>
        <w:tc>
          <w:tcPr>
            <w:tcW w:w="3539" w:type="dxa"/>
            <w:tcBorders>
              <w:top w:val="double" w:sz="13" w:space="0" w:color="002060"/>
              <w:left w:val="single" w:sz="6" w:space="0" w:color="000000"/>
              <w:bottom w:val="single" w:sz="6" w:space="0" w:color="FFFFFF"/>
              <w:right w:val="nil"/>
            </w:tcBorders>
            <w:shd w:val="clear" w:color="auto" w:fill="002060"/>
          </w:tcPr>
          <w:p w14:paraId="50A071BB" w14:textId="77777777" w:rsidR="00412033" w:rsidRDefault="00994BB5">
            <w:pPr>
              <w:spacing w:after="0" w:line="259" w:lineRule="auto"/>
              <w:ind w:left="0" w:firstLine="0"/>
              <w:jc w:val="left"/>
            </w:pPr>
            <w:r>
              <w:rPr>
                <w:b/>
                <w:color w:val="FFFFFF"/>
              </w:rPr>
              <w:t xml:space="preserve"> </w:t>
            </w:r>
          </w:p>
        </w:tc>
        <w:tc>
          <w:tcPr>
            <w:tcW w:w="5487" w:type="dxa"/>
            <w:tcBorders>
              <w:top w:val="single" w:sz="6" w:space="0" w:color="000000"/>
              <w:left w:val="nil"/>
              <w:bottom w:val="single" w:sz="6" w:space="0" w:color="000000"/>
              <w:right w:val="single" w:sz="6" w:space="0" w:color="000000"/>
            </w:tcBorders>
          </w:tcPr>
          <w:p w14:paraId="3638037A" w14:textId="77777777" w:rsidR="00412033" w:rsidRDefault="00994BB5">
            <w:pPr>
              <w:spacing w:after="0" w:line="259" w:lineRule="auto"/>
              <w:ind w:left="0" w:right="53" w:firstLine="0"/>
              <w:jc w:val="center"/>
            </w:pPr>
            <w:r>
              <w:t xml:space="preserve"> </w:t>
            </w:r>
          </w:p>
        </w:tc>
      </w:tr>
    </w:tbl>
    <w:p w14:paraId="126451DC" w14:textId="77777777" w:rsidR="00EB320E" w:rsidRDefault="00EB320E">
      <w:pPr>
        <w:spacing w:after="168" w:line="259" w:lineRule="auto"/>
        <w:ind w:left="48" w:firstLine="0"/>
        <w:jc w:val="center"/>
      </w:pPr>
    </w:p>
    <w:p w14:paraId="32D0C547" w14:textId="0E2D0798" w:rsidR="00EB320E" w:rsidRDefault="00EB320E">
      <w:pPr>
        <w:spacing w:after="160" w:line="278" w:lineRule="auto"/>
        <w:ind w:left="0" w:firstLine="0"/>
        <w:jc w:val="left"/>
      </w:pPr>
    </w:p>
    <w:p w14:paraId="41FDA1C7" w14:textId="77777777" w:rsidR="00EB320E" w:rsidRDefault="00994BB5" w:rsidP="00EB320E">
      <w:pPr>
        <w:spacing w:after="168" w:line="259" w:lineRule="auto"/>
        <w:ind w:left="0" w:firstLine="0"/>
      </w:pPr>
      <w:r>
        <w:t xml:space="preserve">  </w:t>
      </w:r>
    </w:p>
    <w:p w14:paraId="00A751AC" w14:textId="77777777" w:rsidR="00EB320E" w:rsidRDefault="00EB320E">
      <w:pPr>
        <w:spacing w:after="160" w:line="278" w:lineRule="auto"/>
        <w:ind w:left="0" w:firstLine="0"/>
        <w:jc w:val="left"/>
      </w:pPr>
      <w:r>
        <w:br w:type="page"/>
      </w:r>
    </w:p>
    <w:p w14:paraId="6CC478E7" w14:textId="3A343A24" w:rsidR="00412033" w:rsidRDefault="00994BB5" w:rsidP="00EB320E">
      <w:pPr>
        <w:spacing w:after="168" w:line="259" w:lineRule="auto"/>
        <w:ind w:left="0" w:firstLine="0"/>
      </w:pPr>
      <w:r>
        <w:lastRenderedPageBreak/>
        <w:t xml:space="preserve"> </w:t>
      </w:r>
      <w:r>
        <w:tab/>
        <w:t xml:space="preserve"> </w:t>
      </w:r>
    </w:p>
    <w:p w14:paraId="485F2F27" w14:textId="77777777" w:rsidR="00412033" w:rsidRDefault="00994BB5">
      <w:pPr>
        <w:tabs>
          <w:tab w:val="center" w:pos="1279"/>
        </w:tabs>
        <w:spacing w:after="59" w:line="259" w:lineRule="auto"/>
        <w:ind w:left="0" w:firstLine="0"/>
        <w:jc w:val="left"/>
      </w:pPr>
      <w:r>
        <w:rPr>
          <w:color w:val="2F5496"/>
          <w:sz w:val="32"/>
        </w:rPr>
        <w:t>1.</w:t>
      </w:r>
      <w:r>
        <w:rPr>
          <w:rFonts w:ascii="Arial" w:eastAsia="Arial" w:hAnsi="Arial" w:cs="Arial"/>
          <w:b/>
          <w:color w:val="2F5496"/>
          <w:sz w:val="32"/>
        </w:rPr>
        <w:t xml:space="preserve"> </w:t>
      </w:r>
      <w:r>
        <w:rPr>
          <w:rFonts w:ascii="Arial" w:eastAsia="Arial" w:hAnsi="Arial" w:cs="Arial"/>
          <w:b/>
          <w:color w:val="2F5496"/>
          <w:sz w:val="32"/>
        </w:rPr>
        <w:tab/>
      </w:r>
      <w:r>
        <w:rPr>
          <w:color w:val="2F5496"/>
          <w:sz w:val="32"/>
        </w:rPr>
        <w:t xml:space="preserve">Contents </w:t>
      </w:r>
    </w:p>
    <w:p w14:paraId="06A0C11D" w14:textId="77777777" w:rsidR="00412033" w:rsidRDefault="00994BB5">
      <w:pPr>
        <w:spacing w:after="115"/>
        <w:ind w:left="11" w:right="22"/>
      </w:pPr>
      <w:r>
        <w:t xml:space="preserve">Note ................................................................................................................................... 5 </w:t>
      </w:r>
    </w:p>
    <w:p w14:paraId="601D361F" w14:textId="77777777" w:rsidR="00412033" w:rsidRDefault="00994BB5">
      <w:pPr>
        <w:numPr>
          <w:ilvl w:val="0"/>
          <w:numId w:val="1"/>
        </w:numPr>
        <w:spacing w:after="99"/>
        <w:ind w:left="450" w:right="22" w:hanging="449"/>
      </w:pPr>
      <w:r>
        <w:t xml:space="preserve">About the Contracting Authority ...................................................................................... 1 </w:t>
      </w:r>
    </w:p>
    <w:p w14:paraId="5BB23321" w14:textId="77777777" w:rsidR="00412033" w:rsidRDefault="00994BB5">
      <w:pPr>
        <w:numPr>
          <w:ilvl w:val="1"/>
          <w:numId w:val="1"/>
        </w:numPr>
        <w:spacing w:after="99"/>
        <w:ind w:right="22" w:hanging="657"/>
      </w:pPr>
      <w:r>
        <w:t xml:space="preserve">The Contracting Authority ........................................................................................ 1 </w:t>
      </w:r>
    </w:p>
    <w:p w14:paraId="5E605A18" w14:textId="77777777" w:rsidR="00412033" w:rsidRDefault="00994BB5">
      <w:pPr>
        <w:numPr>
          <w:ilvl w:val="1"/>
          <w:numId w:val="1"/>
        </w:numPr>
        <w:spacing w:after="115"/>
        <w:ind w:right="22" w:hanging="657"/>
      </w:pPr>
      <w:r>
        <w:t xml:space="preserve">Small and Medium Enterprise participation ................................................................ 1 </w:t>
      </w:r>
    </w:p>
    <w:p w14:paraId="316D3425" w14:textId="77777777" w:rsidR="00412033" w:rsidRDefault="00994BB5">
      <w:pPr>
        <w:numPr>
          <w:ilvl w:val="0"/>
          <w:numId w:val="1"/>
        </w:numPr>
        <w:spacing w:after="99"/>
        <w:ind w:left="450" w:right="22" w:hanging="449"/>
      </w:pPr>
      <w:r>
        <w:t xml:space="preserve">Scope of the Framework Agreement................................................................................. 2 </w:t>
      </w:r>
    </w:p>
    <w:p w14:paraId="457638B9" w14:textId="77777777" w:rsidR="00412033" w:rsidRDefault="00994BB5">
      <w:pPr>
        <w:numPr>
          <w:ilvl w:val="1"/>
          <w:numId w:val="1"/>
        </w:numPr>
        <w:spacing w:after="115"/>
        <w:ind w:right="22" w:hanging="657"/>
      </w:pPr>
      <w:r>
        <w:t xml:space="preserve">Type of Framework ................................................................................................. 2 </w:t>
      </w:r>
    </w:p>
    <w:p w14:paraId="636ADD68" w14:textId="77777777" w:rsidR="00412033" w:rsidRDefault="00994BB5">
      <w:pPr>
        <w:numPr>
          <w:ilvl w:val="1"/>
          <w:numId w:val="1"/>
        </w:numPr>
        <w:spacing w:after="98"/>
        <w:ind w:right="22" w:hanging="657"/>
      </w:pPr>
      <w:r>
        <w:t xml:space="preserve">Scope of Requirements under the Framework............................................................. 2 </w:t>
      </w:r>
    </w:p>
    <w:p w14:paraId="15BCD492" w14:textId="77777777" w:rsidR="00412033" w:rsidRDefault="00994BB5">
      <w:pPr>
        <w:numPr>
          <w:ilvl w:val="2"/>
          <w:numId w:val="2"/>
        </w:numPr>
        <w:spacing w:after="99"/>
        <w:ind w:right="22" w:hanging="881"/>
      </w:pPr>
      <w:r>
        <w:t xml:space="preserve">The Scope of the Framework ............................................................................. 2 </w:t>
      </w:r>
    </w:p>
    <w:p w14:paraId="0833AD33" w14:textId="77777777" w:rsidR="00412033" w:rsidRDefault="00994BB5">
      <w:pPr>
        <w:numPr>
          <w:ilvl w:val="2"/>
          <w:numId w:val="2"/>
        </w:numPr>
        <w:spacing w:after="115"/>
        <w:ind w:right="22" w:hanging="881"/>
      </w:pPr>
      <w:r>
        <w:t xml:space="preserve">The Initial Contract........................................................................................... 2 </w:t>
      </w:r>
    </w:p>
    <w:p w14:paraId="41882DEE" w14:textId="77777777" w:rsidR="00412033" w:rsidRDefault="00994BB5">
      <w:pPr>
        <w:numPr>
          <w:ilvl w:val="1"/>
          <w:numId w:val="1"/>
        </w:numPr>
        <w:spacing w:after="99"/>
        <w:ind w:right="22" w:hanging="657"/>
      </w:pPr>
      <w:r>
        <w:t xml:space="preserve">Anticipated Timeline ............................................................................................... 2 </w:t>
      </w:r>
    </w:p>
    <w:p w14:paraId="2056EA57" w14:textId="77777777" w:rsidR="00412033" w:rsidRDefault="00994BB5">
      <w:pPr>
        <w:numPr>
          <w:ilvl w:val="1"/>
          <w:numId w:val="1"/>
        </w:numPr>
        <w:spacing w:after="99"/>
        <w:ind w:right="22" w:hanging="657"/>
      </w:pPr>
      <w:r>
        <w:t xml:space="preserve">Numbers admitted to the Framework ........................................................................ 2 </w:t>
      </w:r>
    </w:p>
    <w:p w14:paraId="4168CE24" w14:textId="77777777" w:rsidR="00412033" w:rsidRDefault="00994BB5">
      <w:pPr>
        <w:numPr>
          <w:ilvl w:val="1"/>
          <w:numId w:val="1"/>
        </w:numPr>
        <w:spacing w:after="115"/>
        <w:ind w:right="22" w:hanging="657"/>
      </w:pPr>
      <w:r>
        <w:t xml:space="preserve">Duration of the Framework Agreement ...................................................................... 3 </w:t>
      </w:r>
    </w:p>
    <w:p w14:paraId="6CB9204E" w14:textId="77777777" w:rsidR="00412033" w:rsidRDefault="00994BB5">
      <w:pPr>
        <w:numPr>
          <w:ilvl w:val="1"/>
          <w:numId w:val="1"/>
        </w:numPr>
        <w:spacing w:after="99"/>
        <w:ind w:right="22" w:hanging="657"/>
      </w:pPr>
      <w:r>
        <w:t xml:space="preserve">Estimated Value for the Framework Agreement .......................................................... 3 </w:t>
      </w:r>
    </w:p>
    <w:p w14:paraId="15193963" w14:textId="77777777" w:rsidR="00412033" w:rsidRDefault="00994BB5">
      <w:pPr>
        <w:numPr>
          <w:ilvl w:val="1"/>
          <w:numId w:val="1"/>
        </w:numPr>
        <w:spacing w:after="99"/>
        <w:ind w:right="22" w:hanging="657"/>
      </w:pPr>
      <w:r>
        <w:t xml:space="preserve">Awarding Contracts under the Framework Agreement ................................................. 3 </w:t>
      </w:r>
    </w:p>
    <w:p w14:paraId="03BB57EC" w14:textId="77777777" w:rsidR="00412033" w:rsidRDefault="00994BB5">
      <w:pPr>
        <w:numPr>
          <w:ilvl w:val="1"/>
          <w:numId w:val="1"/>
        </w:numPr>
        <w:spacing w:after="115"/>
        <w:ind w:right="22" w:hanging="657"/>
      </w:pPr>
      <w:r>
        <w:t xml:space="preserve">Right to tender outside of the Framework .................................................................. 3 </w:t>
      </w:r>
    </w:p>
    <w:p w14:paraId="45289AC0" w14:textId="77777777" w:rsidR="00412033" w:rsidRDefault="00994BB5">
      <w:pPr>
        <w:numPr>
          <w:ilvl w:val="1"/>
          <w:numId w:val="1"/>
        </w:numPr>
        <w:spacing w:after="99"/>
        <w:ind w:right="22" w:hanging="657"/>
      </w:pPr>
      <w:r>
        <w:t xml:space="preserve">Compliance with the Terms and Conditions of the Framework Agreement ...................... 3 </w:t>
      </w:r>
    </w:p>
    <w:p w14:paraId="41C5A36C" w14:textId="77777777" w:rsidR="00412033" w:rsidRDefault="00994BB5">
      <w:pPr>
        <w:numPr>
          <w:ilvl w:val="1"/>
          <w:numId w:val="1"/>
        </w:numPr>
        <w:spacing w:after="115"/>
        <w:ind w:right="22" w:hanging="657"/>
      </w:pPr>
      <w:r>
        <w:t xml:space="preserve">Award to Runner Up ................................................................................................ 3 </w:t>
      </w:r>
    </w:p>
    <w:p w14:paraId="561B40BF" w14:textId="77777777" w:rsidR="00412033" w:rsidRDefault="00994BB5">
      <w:pPr>
        <w:numPr>
          <w:ilvl w:val="0"/>
          <w:numId w:val="1"/>
        </w:numPr>
        <w:spacing w:after="99"/>
        <w:ind w:left="450" w:right="22" w:hanging="449"/>
      </w:pPr>
      <w:r>
        <w:t xml:space="preserve">Specification of Requirements ......................................................................................... 5 </w:t>
      </w:r>
    </w:p>
    <w:p w14:paraId="6E8FC968" w14:textId="77777777" w:rsidR="00412033" w:rsidRDefault="00994BB5">
      <w:pPr>
        <w:numPr>
          <w:ilvl w:val="1"/>
          <w:numId w:val="1"/>
        </w:numPr>
        <w:spacing w:after="0"/>
        <w:ind w:right="22" w:hanging="657"/>
      </w:pPr>
      <w:r>
        <w:t xml:space="preserve">Scope of Requirement for the Initial Contract and Requirements under the Framework </w:t>
      </w:r>
    </w:p>
    <w:p w14:paraId="1D2E9BCF" w14:textId="77777777" w:rsidR="00412033" w:rsidRDefault="00994BB5">
      <w:pPr>
        <w:spacing w:after="99"/>
        <w:ind w:left="234" w:right="22"/>
      </w:pPr>
      <w:r>
        <w:t xml:space="preserve">Agreement ....................................................................................................................... 5 </w:t>
      </w:r>
    </w:p>
    <w:p w14:paraId="201C25F3" w14:textId="77777777" w:rsidR="00412033" w:rsidRDefault="00994BB5">
      <w:pPr>
        <w:numPr>
          <w:ilvl w:val="2"/>
          <w:numId w:val="1"/>
        </w:numPr>
        <w:spacing w:after="115"/>
        <w:ind w:right="22" w:hanging="881"/>
      </w:pPr>
      <w:r>
        <w:t xml:space="preserve">Existing UPS Infrastructure ................................................................................ 5 </w:t>
      </w:r>
    </w:p>
    <w:p w14:paraId="72E89545" w14:textId="77777777" w:rsidR="00412033" w:rsidRDefault="00994BB5">
      <w:pPr>
        <w:numPr>
          <w:ilvl w:val="2"/>
          <w:numId w:val="1"/>
        </w:numPr>
        <w:spacing w:after="99"/>
        <w:ind w:right="22" w:hanging="881"/>
      </w:pPr>
      <w:r>
        <w:t xml:space="preserve">Support Service Delivery ................................................................................... 5 </w:t>
      </w:r>
    </w:p>
    <w:p w14:paraId="5FB36888" w14:textId="77777777" w:rsidR="00412033" w:rsidRDefault="00994BB5">
      <w:pPr>
        <w:numPr>
          <w:ilvl w:val="2"/>
          <w:numId w:val="1"/>
        </w:numPr>
        <w:spacing w:after="99"/>
        <w:ind w:right="22" w:hanging="881"/>
      </w:pPr>
      <w:r>
        <w:t xml:space="preserve">Level and Quality of Support.............................................................................. 6 </w:t>
      </w:r>
    </w:p>
    <w:p w14:paraId="00BE1BFA" w14:textId="77777777" w:rsidR="00412033" w:rsidRDefault="00994BB5">
      <w:pPr>
        <w:numPr>
          <w:ilvl w:val="2"/>
          <w:numId w:val="1"/>
        </w:numPr>
        <w:spacing w:after="115"/>
        <w:ind w:right="22" w:hanging="881"/>
      </w:pPr>
      <w:r>
        <w:t xml:space="preserve">Pricing ............................................................................................................ 7 </w:t>
      </w:r>
    </w:p>
    <w:p w14:paraId="1843EEE2" w14:textId="77777777" w:rsidR="00412033" w:rsidRDefault="00994BB5">
      <w:pPr>
        <w:numPr>
          <w:ilvl w:val="2"/>
          <w:numId w:val="1"/>
        </w:numPr>
        <w:spacing w:after="99"/>
        <w:ind w:right="22" w:hanging="881"/>
      </w:pPr>
      <w:r>
        <w:t xml:space="preserve">Other requirements ......................................................................................... 9 </w:t>
      </w:r>
    </w:p>
    <w:p w14:paraId="01301C43" w14:textId="77777777" w:rsidR="00412033" w:rsidRDefault="00994BB5">
      <w:pPr>
        <w:numPr>
          <w:ilvl w:val="2"/>
          <w:numId w:val="1"/>
        </w:numPr>
        <w:spacing w:after="115"/>
        <w:ind w:right="22" w:hanging="881"/>
      </w:pPr>
      <w:r>
        <w:t xml:space="preserve">Sustainability requirements ............................................................................... 9 </w:t>
      </w:r>
    </w:p>
    <w:p w14:paraId="2DB8F23F" w14:textId="77777777" w:rsidR="00412033" w:rsidRDefault="00994BB5">
      <w:pPr>
        <w:numPr>
          <w:ilvl w:val="1"/>
          <w:numId w:val="1"/>
        </w:numPr>
        <w:spacing w:after="99"/>
        <w:ind w:right="22" w:hanging="657"/>
      </w:pPr>
      <w:r>
        <w:t xml:space="preserve">Details of Contracts arising over the life of the Framework Agreement ..........................12 </w:t>
      </w:r>
    </w:p>
    <w:p w14:paraId="2B322A0D" w14:textId="77777777" w:rsidR="00412033" w:rsidRDefault="00994BB5">
      <w:pPr>
        <w:numPr>
          <w:ilvl w:val="1"/>
          <w:numId w:val="1"/>
        </w:numPr>
        <w:spacing w:after="99"/>
        <w:ind w:right="22" w:hanging="657"/>
      </w:pPr>
      <w:r>
        <w:t xml:space="preserve">Account / Contract Management .............................................................................12 </w:t>
      </w:r>
    </w:p>
    <w:p w14:paraId="3E84032C" w14:textId="77777777" w:rsidR="00412033" w:rsidRDefault="00994BB5">
      <w:pPr>
        <w:numPr>
          <w:ilvl w:val="0"/>
          <w:numId w:val="1"/>
        </w:numPr>
        <w:spacing w:after="115"/>
        <w:ind w:left="450" w:right="22" w:hanging="449"/>
      </w:pPr>
      <w:r>
        <w:t xml:space="preserve">Selection Criteria ..........................................................................................................13 </w:t>
      </w:r>
    </w:p>
    <w:p w14:paraId="697A8FA4" w14:textId="77777777" w:rsidR="00412033" w:rsidRDefault="00994BB5">
      <w:pPr>
        <w:numPr>
          <w:ilvl w:val="1"/>
          <w:numId w:val="3"/>
        </w:numPr>
        <w:spacing w:after="99"/>
        <w:ind w:right="22" w:hanging="657"/>
      </w:pPr>
      <w:r>
        <w:t xml:space="preserve">Use of the European Single Procurement Document ...................................................13 </w:t>
      </w:r>
    </w:p>
    <w:p w14:paraId="1DE56C8F" w14:textId="77777777" w:rsidR="00412033" w:rsidRDefault="00994BB5">
      <w:pPr>
        <w:numPr>
          <w:ilvl w:val="1"/>
          <w:numId w:val="3"/>
        </w:numPr>
        <w:spacing w:after="99"/>
        <w:ind w:right="22" w:hanging="657"/>
      </w:pPr>
      <w:r>
        <w:t xml:space="preserve">Relying on the standing of other Entities ...................................................................13 </w:t>
      </w:r>
    </w:p>
    <w:p w14:paraId="05826599" w14:textId="77777777" w:rsidR="00412033" w:rsidRDefault="00994BB5">
      <w:pPr>
        <w:numPr>
          <w:ilvl w:val="1"/>
          <w:numId w:val="3"/>
        </w:numPr>
        <w:spacing w:after="115"/>
        <w:ind w:right="22" w:hanging="657"/>
      </w:pPr>
      <w:r>
        <w:t xml:space="preserve">General Declarations and Financial Capacity Requirements ..........................................14 </w:t>
      </w:r>
    </w:p>
    <w:p w14:paraId="7680422C" w14:textId="77777777" w:rsidR="00412033" w:rsidRDefault="00994BB5">
      <w:pPr>
        <w:numPr>
          <w:ilvl w:val="1"/>
          <w:numId w:val="3"/>
        </w:numPr>
        <w:spacing w:after="99"/>
        <w:ind w:right="22" w:hanging="657"/>
      </w:pPr>
      <w:r>
        <w:t xml:space="preserve">Technical Capacity Requirements .............................................................................17 </w:t>
      </w:r>
    </w:p>
    <w:p w14:paraId="3177768A" w14:textId="77777777" w:rsidR="00412033" w:rsidRDefault="00994BB5">
      <w:pPr>
        <w:numPr>
          <w:ilvl w:val="0"/>
          <w:numId w:val="1"/>
        </w:numPr>
        <w:spacing w:after="501"/>
        <w:ind w:left="450" w:right="22" w:hanging="449"/>
      </w:pPr>
      <w:r>
        <w:lastRenderedPageBreak/>
        <w:t xml:space="preserve">Award Criteria ..............................................................................................................18 </w:t>
      </w:r>
    </w:p>
    <w:p w14:paraId="4F0B5CFB" w14:textId="77777777" w:rsidR="00412033" w:rsidRDefault="00994BB5">
      <w:pPr>
        <w:spacing w:after="0" w:line="259" w:lineRule="auto"/>
        <w:ind w:left="0" w:firstLine="0"/>
        <w:jc w:val="right"/>
      </w:pPr>
      <w:r>
        <w:t xml:space="preserve"> </w:t>
      </w:r>
    </w:p>
    <w:p w14:paraId="01FAE2A7" w14:textId="77777777" w:rsidR="00412033" w:rsidRDefault="00994BB5">
      <w:pPr>
        <w:spacing w:after="0" w:line="259" w:lineRule="auto"/>
        <w:ind w:left="0" w:firstLine="0"/>
        <w:jc w:val="left"/>
      </w:pPr>
      <w:r>
        <w:t xml:space="preserve"> </w:t>
      </w:r>
    </w:p>
    <w:p w14:paraId="10D5CF80" w14:textId="77777777" w:rsidR="00412033" w:rsidRDefault="00994BB5">
      <w:pPr>
        <w:numPr>
          <w:ilvl w:val="1"/>
          <w:numId w:val="1"/>
        </w:numPr>
        <w:spacing w:after="99"/>
        <w:ind w:right="22" w:hanging="657"/>
      </w:pPr>
      <w:r>
        <w:t xml:space="preserve">The Award Criteria for Evaluation Purposes ...............................................................18 </w:t>
      </w:r>
    </w:p>
    <w:p w14:paraId="75862921" w14:textId="77777777" w:rsidR="00412033" w:rsidRDefault="00994BB5">
      <w:pPr>
        <w:numPr>
          <w:ilvl w:val="1"/>
          <w:numId w:val="1"/>
        </w:numPr>
        <w:spacing w:after="115"/>
        <w:ind w:right="22" w:hanging="657"/>
      </w:pPr>
      <w:r>
        <w:t xml:space="preserve">Methodology for calculating the Cost Score ...............................................................20 </w:t>
      </w:r>
    </w:p>
    <w:p w14:paraId="36E4E0B5" w14:textId="77777777" w:rsidR="00412033" w:rsidRDefault="00994BB5">
      <w:pPr>
        <w:numPr>
          <w:ilvl w:val="1"/>
          <w:numId w:val="1"/>
        </w:numPr>
        <w:spacing w:after="99"/>
        <w:ind w:right="22" w:hanging="657"/>
      </w:pPr>
      <w:r>
        <w:t xml:space="preserve">Methodology for scoring Qualitative Criteria..............................................................21 </w:t>
      </w:r>
    </w:p>
    <w:p w14:paraId="058D5434" w14:textId="77777777" w:rsidR="00412033" w:rsidRDefault="00994BB5">
      <w:pPr>
        <w:numPr>
          <w:ilvl w:val="1"/>
          <w:numId w:val="1"/>
        </w:numPr>
        <w:spacing w:after="99"/>
        <w:ind w:right="22" w:hanging="657"/>
      </w:pPr>
      <w:r>
        <w:t xml:space="preserve">Post Tender Clarification .........................................................................................21 </w:t>
      </w:r>
    </w:p>
    <w:p w14:paraId="19E3F734" w14:textId="77777777" w:rsidR="00412033" w:rsidRDefault="00994BB5">
      <w:pPr>
        <w:numPr>
          <w:ilvl w:val="1"/>
          <w:numId w:val="1"/>
        </w:numPr>
        <w:spacing w:after="115"/>
        <w:ind w:right="22" w:hanging="657"/>
      </w:pPr>
      <w:r>
        <w:t xml:space="preserve">Verification ...........................................................................................................21 </w:t>
      </w:r>
    </w:p>
    <w:p w14:paraId="598F5517" w14:textId="77777777" w:rsidR="00412033" w:rsidRDefault="00994BB5">
      <w:pPr>
        <w:numPr>
          <w:ilvl w:val="1"/>
          <w:numId w:val="1"/>
        </w:numPr>
        <w:spacing w:after="99"/>
        <w:ind w:right="22" w:hanging="657"/>
      </w:pPr>
      <w:r>
        <w:t xml:space="preserve">Clarification of Abnormally Low Tenders....................................................................21 </w:t>
      </w:r>
    </w:p>
    <w:p w14:paraId="6AC02CF8" w14:textId="77777777" w:rsidR="00412033" w:rsidRDefault="00994BB5">
      <w:pPr>
        <w:numPr>
          <w:ilvl w:val="1"/>
          <w:numId w:val="1"/>
        </w:numPr>
        <w:spacing w:after="115"/>
        <w:ind w:right="22" w:hanging="657"/>
      </w:pPr>
      <w:r>
        <w:t xml:space="preserve">Right to Confirm Suitability ......................................................................................22 </w:t>
      </w:r>
    </w:p>
    <w:p w14:paraId="698A0939" w14:textId="77777777" w:rsidR="00412033" w:rsidRDefault="00994BB5">
      <w:pPr>
        <w:numPr>
          <w:ilvl w:val="0"/>
          <w:numId w:val="1"/>
        </w:numPr>
        <w:spacing w:after="99"/>
        <w:ind w:left="450" w:right="22" w:hanging="449"/>
      </w:pPr>
      <w:r>
        <w:t xml:space="preserve">Instructions for Tenderers ..............................................................................................23 </w:t>
      </w:r>
    </w:p>
    <w:p w14:paraId="6F90B575" w14:textId="77777777" w:rsidR="00412033" w:rsidRDefault="00994BB5">
      <w:pPr>
        <w:numPr>
          <w:ilvl w:val="1"/>
          <w:numId w:val="1"/>
        </w:numPr>
        <w:spacing w:after="99"/>
        <w:ind w:right="22" w:hanging="657"/>
      </w:pPr>
      <w:r>
        <w:t xml:space="preserve">Closing Date for Tenders .........................................................................................23 </w:t>
      </w:r>
    </w:p>
    <w:p w14:paraId="1D8E3CF9" w14:textId="77777777" w:rsidR="00412033" w:rsidRDefault="00994BB5">
      <w:pPr>
        <w:numPr>
          <w:ilvl w:val="1"/>
          <w:numId w:val="1"/>
        </w:numPr>
        <w:spacing w:after="115"/>
        <w:ind w:right="22" w:hanging="657"/>
      </w:pPr>
      <w:r>
        <w:t xml:space="preserve">Submission of Tenders ............................................................................................23 </w:t>
      </w:r>
    </w:p>
    <w:p w14:paraId="74C5CC7C" w14:textId="77777777" w:rsidR="00412033" w:rsidRDefault="00994BB5">
      <w:pPr>
        <w:numPr>
          <w:ilvl w:val="2"/>
          <w:numId w:val="1"/>
        </w:numPr>
        <w:spacing w:after="104" w:line="259" w:lineRule="auto"/>
        <w:ind w:right="22" w:hanging="881"/>
      </w:pPr>
      <w:r>
        <w:t xml:space="preserve">Accessing Documents ......................................................................................23 </w:t>
      </w:r>
    </w:p>
    <w:p w14:paraId="63429B71" w14:textId="77777777" w:rsidR="00412033" w:rsidRDefault="00994BB5">
      <w:pPr>
        <w:numPr>
          <w:ilvl w:val="2"/>
          <w:numId w:val="1"/>
        </w:numPr>
        <w:spacing w:after="104" w:line="259" w:lineRule="auto"/>
        <w:ind w:right="22" w:hanging="881"/>
      </w:pPr>
      <w:r>
        <w:t xml:space="preserve">Submitting your Response ................................................................................24 </w:t>
      </w:r>
    </w:p>
    <w:p w14:paraId="0D523B8F" w14:textId="77777777" w:rsidR="00412033" w:rsidRDefault="00994BB5">
      <w:pPr>
        <w:numPr>
          <w:ilvl w:val="1"/>
          <w:numId w:val="1"/>
        </w:numPr>
        <w:spacing w:after="115"/>
        <w:ind w:right="22" w:hanging="657"/>
      </w:pPr>
      <w:r>
        <w:t xml:space="preserve">Queries.................................................................................................................24 </w:t>
      </w:r>
    </w:p>
    <w:p w14:paraId="26C399F1" w14:textId="77777777" w:rsidR="00412033" w:rsidRDefault="00994BB5">
      <w:pPr>
        <w:numPr>
          <w:ilvl w:val="1"/>
          <w:numId w:val="1"/>
        </w:numPr>
        <w:spacing w:after="99"/>
        <w:ind w:right="22" w:hanging="657"/>
      </w:pPr>
      <w:r>
        <w:t xml:space="preserve">Extension of the Tender Deadline .............................................................................24 </w:t>
      </w:r>
    </w:p>
    <w:p w14:paraId="38F586D9" w14:textId="77777777" w:rsidR="00412033" w:rsidRDefault="00994BB5">
      <w:pPr>
        <w:numPr>
          <w:ilvl w:val="1"/>
          <w:numId w:val="1"/>
        </w:numPr>
        <w:spacing w:after="99"/>
        <w:ind w:right="22" w:hanging="657"/>
      </w:pPr>
      <w:r>
        <w:t xml:space="preserve">Tender Validity Period ............................................................................................24 </w:t>
      </w:r>
    </w:p>
    <w:p w14:paraId="3E42F392" w14:textId="77777777" w:rsidR="00412033" w:rsidRDefault="00994BB5">
      <w:pPr>
        <w:numPr>
          <w:ilvl w:val="1"/>
          <w:numId w:val="1"/>
        </w:numPr>
        <w:spacing w:after="115"/>
        <w:ind w:right="22" w:hanging="657"/>
      </w:pPr>
      <w:r>
        <w:t xml:space="preserve">Discrepancies between Documents ..........................................................................25 </w:t>
      </w:r>
    </w:p>
    <w:p w14:paraId="2986FF7B" w14:textId="77777777" w:rsidR="00412033" w:rsidRDefault="00994BB5">
      <w:pPr>
        <w:numPr>
          <w:ilvl w:val="1"/>
          <w:numId w:val="1"/>
        </w:numPr>
        <w:spacing w:after="99"/>
        <w:ind w:right="22" w:hanging="657"/>
      </w:pPr>
      <w:r>
        <w:t xml:space="preserve">Formatting of Tenders / Amending Tender Documents................................................25 </w:t>
      </w:r>
    </w:p>
    <w:p w14:paraId="3B03EA8D" w14:textId="77777777" w:rsidR="00412033" w:rsidRDefault="00994BB5">
      <w:pPr>
        <w:numPr>
          <w:ilvl w:val="1"/>
          <w:numId w:val="1"/>
        </w:numPr>
        <w:spacing w:after="115"/>
        <w:ind w:right="22" w:hanging="657"/>
      </w:pPr>
      <w:r>
        <w:t xml:space="preserve">Collusive Tendering ................................................................................................25 </w:t>
      </w:r>
    </w:p>
    <w:p w14:paraId="2049E709" w14:textId="77777777" w:rsidR="00412033" w:rsidRDefault="00994BB5">
      <w:pPr>
        <w:numPr>
          <w:ilvl w:val="1"/>
          <w:numId w:val="1"/>
        </w:numPr>
        <w:spacing w:after="99"/>
        <w:ind w:right="22" w:hanging="657"/>
      </w:pPr>
      <w:r>
        <w:t xml:space="preserve">Confidentiality .......................................................................................................25 </w:t>
      </w:r>
    </w:p>
    <w:p w14:paraId="4E310681" w14:textId="77777777" w:rsidR="00412033" w:rsidRDefault="00994BB5">
      <w:pPr>
        <w:numPr>
          <w:ilvl w:val="1"/>
          <w:numId w:val="1"/>
        </w:numPr>
        <w:spacing w:after="99"/>
        <w:ind w:right="22" w:hanging="657"/>
      </w:pPr>
      <w:r>
        <w:t xml:space="preserve">Clarification of Tenders ...........................................................................................25 </w:t>
      </w:r>
    </w:p>
    <w:p w14:paraId="49D37295" w14:textId="77777777" w:rsidR="00412033" w:rsidRDefault="00994BB5">
      <w:pPr>
        <w:numPr>
          <w:ilvl w:val="1"/>
          <w:numId w:val="1"/>
        </w:numPr>
        <w:spacing w:after="115"/>
        <w:ind w:right="22" w:hanging="657"/>
      </w:pPr>
      <w:r>
        <w:t xml:space="preserve">Correction of errors................................................................................................26 </w:t>
      </w:r>
    </w:p>
    <w:p w14:paraId="4FDF914C" w14:textId="77777777" w:rsidR="00412033" w:rsidRDefault="00994BB5">
      <w:pPr>
        <w:numPr>
          <w:ilvl w:val="1"/>
          <w:numId w:val="1"/>
        </w:numPr>
        <w:spacing w:after="99"/>
        <w:ind w:right="22" w:hanging="657"/>
      </w:pPr>
      <w:r>
        <w:t xml:space="preserve">Change in the composition of a Tender .....................................................................26 </w:t>
      </w:r>
    </w:p>
    <w:p w14:paraId="4ED60246" w14:textId="77777777" w:rsidR="00412033" w:rsidRDefault="00994BB5">
      <w:pPr>
        <w:numPr>
          <w:ilvl w:val="1"/>
          <w:numId w:val="1"/>
        </w:numPr>
        <w:spacing w:after="99"/>
        <w:ind w:right="22" w:hanging="657"/>
      </w:pPr>
      <w:r>
        <w:t xml:space="preserve">Interference and Inducement to Purchase .................................................................26 </w:t>
      </w:r>
    </w:p>
    <w:p w14:paraId="03222654" w14:textId="77777777" w:rsidR="00412033" w:rsidRDefault="00994BB5">
      <w:pPr>
        <w:numPr>
          <w:ilvl w:val="1"/>
          <w:numId w:val="1"/>
        </w:numPr>
        <w:spacing w:after="115"/>
        <w:ind w:right="22" w:hanging="657"/>
      </w:pPr>
      <w:r>
        <w:t xml:space="preserve">Conflict of Interest .................................................................................................26 </w:t>
      </w:r>
    </w:p>
    <w:p w14:paraId="50251166" w14:textId="77777777" w:rsidR="00412033" w:rsidRDefault="00994BB5">
      <w:pPr>
        <w:numPr>
          <w:ilvl w:val="1"/>
          <w:numId w:val="1"/>
        </w:numPr>
        <w:spacing w:after="99"/>
        <w:ind w:right="22" w:hanging="657"/>
      </w:pPr>
      <w:r>
        <w:t xml:space="preserve">Publicity ...............................................................................................................26 </w:t>
      </w:r>
    </w:p>
    <w:p w14:paraId="39194854" w14:textId="77777777" w:rsidR="00412033" w:rsidRDefault="00994BB5">
      <w:pPr>
        <w:numPr>
          <w:ilvl w:val="1"/>
          <w:numId w:val="1"/>
        </w:numPr>
        <w:spacing w:after="99"/>
        <w:ind w:right="22" w:hanging="657"/>
      </w:pPr>
      <w:r>
        <w:t xml:space="preserve">Right Not to Award.................................................................................................27 </w:t>
      </w:r>
    </w:p>
    <w:p w14:paraId="19F899EE" w14:textId="77777777" w:rsidR="00412033" w:rsidRDefault="00994BB5">
      <w:pPr>
        <w:numPr>
          <w:ilvl w:val="1"/>
          <w:numId w:val="1"/>
        </w:numPr>
        <w:spacing w:after="115"/>
        <w:ind w:right="22" w:hanging="657"/>
      </w:pPr>
      <w:r>
        <w:t xml:space="preserve">Notification of Tender Evaluations ............................................................................27 </w:t>
      </w:r>
    </w:p>
    <w:p w14:paraId="71360A03" w14:textId="77777777" w:rsidR="00412033" w:rsidRDefault="00994BB5">
      <w:pPr>
        <w:numPr>
          <w:ilvl w:val="1"/>
          <w:numId w:val="1"/>
        </w:numPr>
        <w:spacing w:after="99"/>
        <w:ind w:right="22" w:hanging="657"/>
      </w:pPr>
      <w:r>
        <w:t xml:space="preserve">Award Notices .......................................................................................................27 </w:t>
      </w:r>
    </w:p>
    <w:p w14:paraId="412B0B07" w14:textId="77777777" w:rsidR="00412033" w:rsidRDefault="00994BB5">
      <w:pPr>
        <w:numPr>
          <w:ilvl w:val="1"/>
          <w:numId w:val="1"/>
        </w:numPr>
        <w:spacing w:after="115"/>
        <w:ind w:right="22" w:hanging="657"/>
      </w:pPr>
      <w:r>
        <w:t xml:space="preserve">Policy on Personal Debriefings .................................................................................27 </w:t>
      </w:r>
    </w:p>
    <w:p w14:paraId="2B52E1C9" w14:textId="77777777" w:rsidR="00412033" w:rsidRDefault="00994BB5">
      <w:pPr>
        <w:numPr>
          <w:ilvl w:val="1"/>
          <w:numId w:val="1"/>
        </w:numPr>
        <w:spacing w:after="99"/>
        <w:ind w:right="22" w:hanging="657"/>
      </w:pPr>
      <w:r>
        <w:t xml:space="preserve">Copyright ..............................................................................................................28 </w:t>
      </w:r>
    </w:p>
    <w:p w14:paraId="25ACB87C" w14:textId="77777777" w:rsidR="00412033" w:rsidRDefault="00994BB5">
      <w:pPr>
        <w:numPr>
          <w:ilvl w:val="1"/>
          <w:numId w:val="1"/>
        </w:numPr>
        <w:spacing w:after="99"/>
        <w:ind w:right="22" w:hanging="657"/>
      </w:pPr>
      <w:r>
        <w:t xml:space="preserve">Brand Names, etc. ..................................................................................................28 </w:t>
      </w:r>
    </w:p>
    <w:p w14:paraId="6E2E2611" w14:textId="77777777" w:rsidR="00412033" w:rsidRDefault="00994BB5">
      <w:pPr>
        <w:numPr>
          <w:ilvl w:val="1"/>
          <w:numId w:val="1"/>
        </w:numPr>
        <w:spacing w:after="115"/>
        <w:ind w:right="22" w:hanging="657"/>
      </w:pPr>
      <w:r>
        <w:t xml:space="preserve">Environmental Aspects ...........................................................................................28 </w:t>
      </w:r>
    </w:p>
    <w:p w14:paraId="7B773CC7" w14:textId="77777777" w:rsidR="00412033" w:rsidRDefault="00994BB5">
      <w:pPr>
        <w:numPr>
          <w:ilvl w:val="1"/>
          <w:numId w:val="1"/>
        </w:numPr>
        <w:spacing w:after="98"/>
        <w:ind w:right="22" w:hanging="657"/>
      </w:pPr>
      <w:r>
        <w:lastRenderedPageBreak/>
        <w:t xml:space="preserve">Knowledge and Skills Transfer ..................................................................................28 </w:t>
      </w:r>
    </w:p>
    <w:p w14:paraId="28639FFF" w14:textId="77777777" w:rsidR="00412033" w:rsidRDefault="00994BB5">
      <w:pPr>
        <w:numPr>
          <w:ilvl w:val="1"/>
          <w:numId w:val="1"/>
        </w:numPr>
        <w:spacing w:after="99"/>
        <w:ind w:right="22" w:hanging="657"/>
      </w:pPr>
      <w:r>
        <w:t xml:space="preserve">Currency and Payments ..........................................................................................28 </w:t>
      </w:r>
    </w:p>
    <w:p w14:paraId="10FDBD4D" w14:textId="77777777" w:rsidR="00412033" w:rsidRDefault="00994BB5">
      <w:pPr>
        <w:numPr>
          <w:ilvl w:val="1"/>
          <w:numId w:val="1"/>
        </w:numPr>
        <w:spacing w:after="115"/>
        <w:ind w:right="22" w:hanging="657"/>
      </w:pPr>
      <w:r>
        <w:t xml:space="preserve">Irish Legislation and Law .........................................................................................28 </w:t>
      </w:r>
    </w:p>
    <w:p w14:paraId="7153E745" w14:textId="77777777" w:rsidR="00412033" w:rsidRDefault="00994BB5">
      <w:pPr>
        <w:numPr>
          <w:ilvl w:val="1"/>
          <w:numId w:val="1"/>
        </w:numPr>
        <w:spacing w:after="0"/>
        <w:ind w:right="22" w:hanging="657"/>
      </w:pPr>
      <w:r>
        <w:t xml:space="preserve">Anti-Competitive Conduct .......................................................................................28 </w:t>
      </w:r>
    </w:p>
    <w:p w14:paraId="3ADC3A07" w14:textId="77777777" w:rsidR="00412033" w:rsidRDefault="00994BB5">
      <w:pPr>
        <w:numPr>
          <w:ilvl w:val="1"/>
          <w:numId w:val="1"/>
        </w:numPr>
        <w:spacing w:after="99"/>
        <w:ind w:right="22" w:hanging="657"/>
      </w:pPr>
      <w:r>
        <w:t xml:space="preserve">Accessibility / Dignity at Work..................................................................................29 </w:t>
      </w:r>
    </w:p>
    <w:p w14:paraId="2DAAF10A" w14:textId="77777777" w:rsidR="00412033" w:rsidRDefault="00994BB5">
      <w:pPr>
        <w:numPr>
          <w:ilvl w:val="1"/>
          <w:numId w:val="1"/>
        </w:numPr>
        <w:spacing w:after="115"/>
        <w:ind w:right="22" w:hanging="657"/>
      </w:pPr>
      <w:r>
        <w:t xml:space="preserve">Withholding Tax.....................................................................................................29 </w:t>
      </w:r>
    </w:p>
    <w:p w14:paraId="11EDE5F3" w14:textId="77777777" w:rsidR="00412033" w:rsidRDefault="00994BB5">
      <w:pPr>
        <w:numPr>
          <w:ilvl w:val="1"/>
          <w:numId w:val="1"/>
        </w:numPr>
        <w:spacing w:after="99"/>
        <w:ind w:right="22" w:hanging="657"/>
      </w:pPr>
      <w:r>
        <w:t xml:space="preserve">Freedom of Information..........................................................................................29 </w:t>
      </w:r>
    </w:p>
    <w:p w14:paraId="6E9B6288" w14:textId="77777777" w:rsidR="00412033" w:rsidRDefault="00994BB5">
      <w:pPr>
        <w:numPr>
          <w:ilvl w:val="1"/>
          <w:numId w:val="1"/>
        </w:numPr>
        <w:spacing w:after="99"/>
        <w:ind w:right="22" w:hanging="657"/>
      </w:pPr>
      <w:r>
        <w:t xml:space="preserve">Late Payment ........................................................................................................29 </w:t>
      </w:r>
    </w:p>
    <w:p w14:paraId="5A1FF1A4" w14:textId="77777777" w:rsidR="00412033" w:rsidRDefault="00994BB5">
      <w:pPr>
        <w:numPr>
          <w:ilvl w:val="1"/>
          <w:numId w:val="1"/>
        </w:numPr>
        <w:spacing w:after="115"/>
        <w:ind w:right="22" w:hanging="657"/>
      </w:pPr>
      <w:r>
        <w:t xml:space="preserve">Data Protection .....................................................................................................29 </w:t>
      </w:r>
    </w:p>
    <w:p w14:paraId="168612B2" w14:textId="77777777" w:rsidR="00412033" w:rsidRDefault="00994BB5">
      <w:pPr>
        <w:numPr>
          <w:ilvl w:val="1"/>
          <w:numId w:val="1"/>
        </w:numPr>
        <w:spacing w:after="99"/>
        <w:ind w:right="22" w:hanging="657"/>
      </w:pPr>
      <w:r>
        <w:t xml:space="preserve">Responsibility of Successful Party .............................................................................30 </w:t>
      </w:r>
    </w:p>
    <w:p w14:paraId="308802A5" w14:textId="77777777" w:rsidR="00412033" w:rsidRDefault="00994BB5">
      <w:pPr>
        <w:numPr>
          <w:ilvl w:val="0"/>
          <w:numId w:val="1"/>
        </w:numPr>
        <w:spacing w:after="100"/>
        <w:ind w:left="450" w:right="22" w:hanging="449"/>
      </w:pPr>
      <w:r>
        <w:t xml:space="preserve">Appendix 1 – Current UPS set up.....................................................................................31 </w:t>
      </w:r>
    </w:p>
    <w:p w14:paraId="6CDA2E75" w14:textId="77777777" w:rsidR="00412033" w:rsidRDefault="00994BB5">
      <w:pPr>
        <w:spacing w:after="270" w:line="259" w:lineRule="auto"/>
        <w:ind w:left="0" w:firstLine="0"/>
        <w:jc w:val="left"/>
      </w:pPr>
      <w:r>
        <w:t xml:space="preserve"> </w:t>
      </w:r>
    </w:p>
    <w:p w14:paraId="09353964" w14:textId="77777777" w:rsidR="00412033" w:rsidRDefault="00994BB5">
      <w:pPr>
        <w:spacing w:after="0" w:line="259" w:lineRule="auto"/>
        <w:ind w:left="0" w:firstLine="0"/>
        <w:jc w:val="left"/>
      </w:pPr>
      <w:r>
        <w:rPr>
          <w:sz w:val="32"/>
        </w:rPr>
        <w:t xml:space="preserve"> </w:t>
      </w:r>
      <w:r>
        <w:rPr>
          <w:sz w:val="32"/>
        </w:rPr>
        <w:tab/>
        <w:t xml:space="preserve"> </w:t>
      </w:r>
      <w:r>
        <w:br w:type="page"/>
      </w:r>
    </w:p>
    <w:p w14:paraId="59E7609B" w14:textId="77777777" w:rsidR="00412033" w:rsidRDefault="00994BB5">
      <w:pPr>
        <w:pStyle w:val="Heading1"/>
        <w:spacing w:after="58"/>
      </w:pPr>
      <w:r>
        <w:lastRenderedPageBreak/>
        <w:t xml:space="preserve">Disclaimer  </w:t>
      </w:r>
    </w:p>
    <w:p w14:paraId="1C720BC1" w14:textId="77777777" w:rsidR="00412033" w:rsidRDefault="00994BB5">
      <w:pPr>
        <w:spacing w:after="170" w:line="260" w:lineRule="auto"/>
        <w:ind w:left="11"/>
        <w:jc w:val="left"/>
      </w:pPr>
      <w:r>
        <w:t xml:space="preserve">This document issued herewith (“the Document”) is for information only and does not constitute, and shall not be interpreted as, an offer for sale, prospectus, or the basis of a contract. </w:t>
      </w:r>
    </w:p>
    <w:p w14:paraId="5E399EBD" w14:textId="77777777" w:rsidR="00412033" w:rsidRDefault="00994BB5">
      <w:pPr>
        <w:ind w:left="11" w:right="22"/>
      </w:pPr>
      <w:r>
        <w:t xml:space="preserve">Tenderers are recommended to read the documents thoroughly. While all reasonable steps have been taken to ensure that the information set out in the Document is accurate and up to date, no representation or warranty, express or implied, is or will be made or given in relation to the accuracy or the completeness of any information contained in the Document or otherwise provided by or on behalf of the Contracting Authority (in writing or otherwise) to any interested party or its advisers. No responsibility or liability for any loss or damage arising as a result of reliance on these documents, or for the information contained in these documents or for any omission is or will be accepted by the Contracting Authority or by any of its officers, employees, agents or professional advisers. No officer, employee, agent, or professional adviser of the company has any authority to give or make any representation or warranty, express or implied, in relation to such information. The Contracting Authority’s officers, employees, agents, and professional advisers expressly disclaim any and all liability arising out of such documentation or information and any errors or omissions in or from the documents and information.  </w:t>
      </w:r>
    </w:p>
    <w:p w14:paraId="638B9844" w14:textId="77777777" w:rsidR="00412033" w:rsidRDefault="00994BB5">
      <w:pPr>
        <w:ind w:left="11" w:right="22"/>
      </w:pPr>
      <w:r>
        <w:t xml:space="preserve">The Contracting Authority reserves the right to discontinue the procurement process at any time. </w:t>
      </w:r>
    </w:p>
    <w:p w14:paraId="7D5D6036" w14:textId="77777777" w:rsidR="00412033" w:rsidRDefault="00994BB5">
      <w:pPr>
        <w:spacing w:after="249" w:line="259" w:lineRule="auto"/>
        <w:ind w:left="0" w:firstLine="0"/>
        <w:jc w:val="left"/>
      </w:pPr>
      <w:r>
        <w:t xml:space="preserve"> </w:t>
      </w:r>
    </w:p>
    <w:p w14:paraId="0240ECF6" w14:textId="77777777" w:rsidR="00412033" w:rsidRDefault="00994BB5">
      <w:pPr>
        <w:pStyle w:val="Heading1"/>
        <w:spacing w:after="74"/>
      </w:pPr>
      <w:r>
        <w:t xml:space="preserve">Note </w:t>
      </w:r>
    </w:p>
    <w:p w14:paraId="0FCF37DE" w14:textId="77777777" w:rsidR="00412033" w:rsidRDefault="00994BB5">
      <w:pPr>
        <w:ind w:left="11" w:right="22"/>
      </w:pPr>
      <w:r>
        <w:t xml:space="preserve">Please note that information relating to this Request for Tender, including clarifications and changes, will be published on the Irish Government Procurement Opportunities Portal </w:t>
      </w:r>
      <w:hyperlink r:id="rId9">
        <w:r>
          <w:rPr>
            <w:color w:val="0563C1"/>
            <w:u w:val="single" w:color="0563C1"/>
          </w:rPr>
          <w:t>www.etenders.gov.ie</w:t>
        </w:r>
      </w:hyperlink>
      <w:hyperlink r:id="rId10">
        <w:r>
          <w:t>.</w:t>
        </w:r>
      </w:hyperlink>
      <w:r>
        <w:t xml:space="preserve"> Registration is free of charge and there is no charge for documents.  </w:t>
      </w:r>
    </w:p>
    <w:p w14:paraId="1B9EF05B" w14:textId="77777777" w:rsidR="00412033" w:rsidRDefault="00994BB5">
      <w:pPr>
        <w:ind w:left="11" w:right="22"/>
      </w:pPr>
      <w:r>
        <w:t xml:space="preserve">Please note that the Contracting Authority accepts no responsibility for information relayed (or not relayed) via third parties. </w:t>
      </w:r>
    </w:p>
    <w:p w14:paraId="3B77A016" w14:textId="77777777" w:rsidR="00412033" w:rsidRDefault="00994BB5">
      <w:pPr>
        <w:ind w:left="11" w:right="22"/>
      </w:pPr>
      <w:r>
        <w:t xml:space="preserve">The Contracting Authority have provided a </w:t>
      </w:r>
      <w:r>
        <w:rPr>
          <w:b/>
        </w:rPr>
        <w:t>Tender Response Document</w:t>
      </w:r>
      <w:r>
        <w:t xml:space="preserve"> as a separate document for Tenderers to use in preparing their response to this tender. This document and format must be used.  </w:t>
      </w:r>
    </w:p>
    <w:p w14:paraId="77453B57" w14:textId="77777777" w:rsidR="00412033" w:rsidRDefault="00994BB5">
      <w:pPr>
        <w:ind w:left="11" w:right="22"/>
      </w:pPr>
      <w:r>
        <w:t xml:space="preserve">In uploading your response, please ensure you upload it as a ZIP file, in order to protect the integrity of file names. </w:t>
      </w:r>
    </w:p>
    <w:p w14:paraId="36026028" w14:textId="77777777" w:rsidR="00412033" w:rsidRDefault="00412033">
      <w:pPr>
        <w:sectPr w:rsidR="00412033">
          <w:footerReference w:type="even" r:id="rId11"/>
          <w:footerReference w:type="default" r:id="rId12"/>
          <w:footerReference w:type="first" r:id="rId13"/>
          <w:footnotePr>
            <w:numRestart w:val="eachPage"/>
          </w:footnotePr>
          <w:pgSz w:w="11904" w:h="16832"/>
          <w:pgMar w:top="1440" w:right="1375" w:bottom="693" w:left="1442" w:header="720" w:footer="720" w:gutter="0"/>
          <w:cols w:space="720"/>
          <w:titlePg/>
        </w:sectPr>
      </w:pPr>
    </w:p>
    <w:p w14:paraId="142FB992" w14:textId="77777777" w:rsidR="00412033" w:rsidRDefault="00994BB5">
      <w:pPr>
        <w:pStyle w:val="Heading1"/>
        <w:ind w:left="379"/>
      </w:pPr>
      <w:r>
        <w:lastRenderedPageBreak/>
        <w:t>1.</w:t>
      </w:r>
      <w:r>
        <w:rPr>
          <w:rFonts w:ascii="Arial" w:eastAsia="Arial" w:hAnsi="Arial" w:cs="Arial"/>
          <w:b/>
        </w:rPr>
        <w:t xml:space="preserve"> </w:t>
      </w:r>
      <w:r>
        <w:t xml:space="preserve">About the Contracting Authority </w:t>
      </w:r>
    </w:p>
    <w:p w14:paraId="05EEE41E" w14:textId="77777777" w:rsidR="00412033" w:rsidRDefault="00994BB5">
      <w:pPr>
        <w:pStyle w:val="Heading2"/>
        <w:tabs>
          <w:tab w:val="center" w:pos="1880"/>
        </w:tabs>
        <w:ind w:left="0" w:firstLine="0"/>
      </w:pPr>
      <w:r>
        <w:t>1.1</w:t>
      </w:r>
      <w:r>
        <w:rPr>
          <w:rFonts w:ascii="Arial" w:eastAsia="Arial" w:hAnsi="Arial" w:cs="Arial"/>
        </w:rPr>
        <w:t xml:space="preserve"> </w:t>
      </w:r>
      <w:r>
        <w:rPr>
          <w:rFonts w:ascii="Arial" w:eastAsia="Arial" w:hAnsi="Arial" w:cs="Arial"/>
        </w:rPr>
        <w:tab/>
      </w:r>
      <w:r>
        <w:t xml:space="preserve">The Contracting Authority </w:t>
      </w:r>
    </w:p>
    <w:p w14:paraId="38B210B7" w14:textId="78842539" w:rsidR="00412033" w:rsidRDefault="00994BB5">
      <w:pPr>
        <w:spacing w:after="135" w:line="260" w:lineRule="auto"/>
        <w:ind w:left="11"/>
        <w:jc w:val="left"/>
      </w:pPr>
      <w:r>
        <w:t xml:space="preserve">The </w:t>
      </w:r>
      <w:r w:rsidR="00C30D16">
        <w:t>Department of Justice, Home Affairs and Migration</w:t>
      </w:r>
      <w:r>
        <w:t xml:space="preserve"> (hereinafter referred to as the “Contracting Authority”) is the authority responsible for this procurement.  </w:t>
      </w:r>
    </w:p>
    <w:p w14:paraId="223810B4" w14:textId="6C66246C" w:rsidR="00412033" w:rsidRDefault="00994BB5">
      <w:pPr>
        <w:spacing w:after="131"/>
        <w:ind w:left="11" w:right="22"/>
      </w:pPr>
      <w:r>
        <w:t xml:space="preserve">The mission of the </w:t>
      </w:r>
      <w:r w:rsidR="00C30D16">
        <w:t>Department of Justice, Home Affairs and Migration</w:t>
      </w:r>
      <w:r>
        <w:t xml:space="preserve"> is to create a safe, fair and inclusive society. With responsibilities ranging from policing, prisons, immigration, equality, to access to justice and law reform, the work of the Department impacts upon all of Irish society. </w:t>
      </w:r>
    </w:p>
    <w:p w14:paraId="5BE58329" w14:textId="002B38AC" w:rsidR="00412033" w:rsidRDefault="00994BB5">
      <w:pPr>
        <w:spacing w:after="130"/>
        <w:ind w:left="11" w:right="22"/>
      </w:pPr>
      <w:r>
        <w:t xml:space="preserve">There are many Statutory and Non-Statutory bodies under the aegis of the </w:t>
      </w:r>
      <w:r w:rsidR="00C30D16">
        <w:t>Department of Justice, Home Affairs and Migration</w:t>
      </w:r>
      <w:r>
        <w:t xml:space="preserve"> including but not limited to – Courts Service; An Garda Síochána; Office of the Data Protection; Irish Prison Service; Probation Service – a full list is available at </w:t>
      </w:r>
      <w:hyperlink r:id="rId14" w:anchor="statutory-bodies">
        <w:r>
          <w:rPr>
            <w:color w:val="0563C1"/>
            <w:u w:val="single" w:color="0563C1"/>
          </w:rPr>
          <w:t xml:space="preserve">gov </w:t>
        </w:r>
      </w:hyperlink>
      <w:hyperlink r:id="rId15" w:anchor="statutory-bodies">
        <w:r>
          <w:rPr>
            <w:color w:val="0563C1"/>
            <w:u w:val="single" w:color="0563C1"/>
          </w:rPr>
          <w:t xml:space="preserve">- </w:t>
        </w:r>
      </w:hyperlink>
      <w:hyperlink r:id="rId16" w:anchor="statutory-bodies">
        <w:r>
          <w:rPr>
            <w:color w:val="0563C1"/>
            <w:u w:val="single" w:color="0563C1"/>
          </w:rPr>
          <w:t>Bodies under the aegis of the</w:t>
        </w:r>
      </w:hyperlink>
      <w:hyperlink r:id="rId17" w:anchor="statutory-bodies">
        <w:r>
          <w:rPr>
            <w:color w:val="0563C1"/>
          </w:rPr>
          <w:t xml:space="preserve"> </w:t>
        </w:r>
      </w:hyperlink>
      <w:hyperlink r:id="rId18" w:anchor="statutory-bodies">
        <w:r w:rsidR="00C30D16">
          <w:rPr>
            <w:color w:val="0563C1"/>
            <w:u w:val="single" w:color="0563C1"/>
          </w:rPr>
          <w:t>Department of Justice, Home Affairs and Migration</w:t>
        </w:r>
        <w:r>
          <w:rPr>
            <w:color w:val="0563C1"/>
            <w:u w:val="single" w:color="0563C1"/>
          </w:rPr>
          <w:t xml:space="preserve"> (www.gov.ie)</w:t>
        </w:r>
      </w:hyperlink>
      <w:hyperlink r:id="rId19" w:anchor="statutory-bodies">
        <w:r>
          <w:t>.</w:t>
        </w:r>
      </w:hyperlink>
      <w:r>
        <w:t xml:space="preserve">  Further information is available at our corporate website </w:t>
      </w:r>
      <w:hyperlink r:id="rId20">
        <w:r>
          <w:rPr>
            <w:color w:val="0563C1"/>
            <w:u w:val="single" w:color="0563C1"/>
          </w:rPr>
          <w:t>www.justice.ie</w:t>
        </w:r>
      </w:hyperlink>
      <w:hyperlink r:id="rId21">
        <w:r>
          <w:t xml:space="preserve"> </w:t>
        </w:r>
      </w:hyperlink>
      <w:r>
        <w:t xml:space="preserve"> </w:t>
      </w:r>
    </w:p>
    <w:p w14:paraId="0EE59776" w14:textId="77777777" w:rsidR="00412033" w:rsidRDefault="00994BB5">
      <w:pPr>
        <w:spacing w:after="131"/>
        <w:ind w:left="11" w:right="22"/>
      </w:pPr>
      <w:r>
        <w:t xml:space="preserve">It is the policy of the Contracting Authority to encourage participation by Small and Medium Enterprises (SMEs) in this competition.   </w:t>
      </w:r>
    </w:p>
    <w:p w14:paraId="18F03BFF" w14:textId="77777777" w:rsidR="00412033" w:rsidRDefault="00994BB5">
      <w:pPr>
        <w:spacing w:after="182"/>
        <w:ind w:left="11" w:right="22"/>
      </w:pPr>
      <w:r>
        <w:t xml:space="preserve">SMEs are encouraged to explore the possibilities of forming relationships with other SMEs or with larger enterprises to meet the financial, economic or technical capacity requirements of the competition, if required. </w:t>
      </w:r>
    </w:p>
    <w:p w14:paraId="533A6CF8" w14:textId="77777777" w:rsidR="00412033" w:rsidRDefault="00994BB5">
      <w:pPr>
        <w:pStyle w:val="Heading2"/>
        <w:tabs>
          <w:tab w:val="center" w:pos="2728"/>
        </w:tabs>
        <w:ind w:left="0" w:firstLine="0"/>
      </w:pPr>
      <w:r>
        <w:t>1.2</w:t>
      </w:r>
      <w:r>
        <w:rPr>
          <w:rFonts w:ascii="Arial" w:eastAsia="Arial" w:hAnsi="Arial" w:cs="Arial"/>
        </w:rPr>
        <w:t xml:space="preserve"> </w:t>
      </w:r>
      <w:r>
        <w:rPr>
          <w:rFonts w:ascii="Arial" w:eastAsia="Arial" w:hAnsi="Arial" w:cs="Arial"/>
        </w:rPr>
        <w:tab/>
      </w:r>
      <w:r>
        <w:t xml:space="preserve">Small and Medium Enterprise participation </w:t>
      </w:r>
    </w:p>
    <w:p w14:paraId="03733CF1" w14:textId="77777777" w:rsidR="00412033" w:rsidRDefault="00994BB5">
      <w:pPr>
        <w:ind w:left="11" w:right="22"/>
      </w:pPr>
      <w:r>
        <w:t xml:space="preserve">It is the policy of the Contracting Authority to promote participation by Small and Medium Enterprises (SMEs) on a fair and equal basis.  </w:t>
      </w:r>
    </w:p>
    <w:p w14:paraId="76F58AAB" w14:textId="77777777" w:rsidR="00412033" w:rsidRDefault="00994BB5">
      <w:pPr>
        <w:ind w:left="11" w:right="22"/>
      </w:pPr>
      <w:r>
        <w:t xml:space="preserve">SMEs are encouraged to explore the possibilities of forming relationships with other SMEs or with larger enterprises to meet the financial, economic or technical capacity requirements of the competition, if required.  </w:t>
      </w:r>
    </w:p>
    <w:p w14:paraId="44D5A6E6" w14:textId="77777777" w:rsidR="00412033" w:rsidRDefault="00994BB5">
      <w:pPr>
        <w:ind w:left="11" w:right="22"/>
      </w:pPr>
      <w:r>
        <w:t xml:space="preserve">Tenderers may include individuals, partnerships, limited companies, groupings or any combination of the foregoing with or without legal personality. However, a grouping if successful will be required to establish legal personality to enter the Framework Agreement / contract.  </w:t>
      </w:r>
    </w:p>
    <w:p w14:paraId="5370AB3B" w14:textId="77777777" w:rsidR="00412033" w:rsidRDefault="00994BB5">
      <w:pPr>
        <w:ind w:left="11" w:right="22"/>
      </w:pPr>
      <w:r>
        <w:t xml:space="preserve">Tenderers are reminded that they may rely on the resources of other entities to establish the requirements on condition that they can prove to the satisfaction of the Contracting Authority that they will have these resources at their disposal when necessary. </w:t>
      </w:r>
    </w:p>
    <w:p w14:paraId="2465E2EF" w14:textId="77777777" w:rsidR="00412033" w:rsidRDefault="00994BB5">
      <w:pPr>
        <w:ind w:left="11" w:right="22"/>
      </w:pPr>
      <w:r>
        <w:t xml:space="preserve">If the tender is from a consortium / joint venture, Tenderers must ensure that all the relevant information is provided and where necessary, provide the information requested separately for each party. Relevant information relates to where a Tenderer is relying on the resources to qualify (e.g. turnover, personnel, previous experience) and or to deliver contracts. The consortium must appoint a single point of contact who will assume overall responsibility for delivery, and who is authorised to sign the Framework Agreement / contract on behalf of all consortia members. The Contracting Authority will not act as an arbitrator between members of consortia. </w:t>
      </w:r>
    </w:p>
    <w:p w14:paraId="73BF9EE6" w14:textId="77777777" w:rsidR="00412033" w:rsidRDefault="00994BB5">
      <w:pPr>
        <w:spacing w:after="0" w:line="259" w:lineRule="auto"/>
        <w:ind w:left="16" w:firstLine="0"/>
        <w:jc w:val="left"/>
      </w:pPr>
      <w:r>
        <w:t xml:space="preserve"> </w:t>
      </w:r>
      <w:r>
        <w:tab/>
        <w:t xml:space="preserve"> </w:t>
      </w:r>
    </w:p>
    <w:p w14:paraId="193FC09D" w14:textId="77777777" w:rsidR="00412033" w:rsidRDefault="00994BB5">
      <w:pPr>
        <w:pStyle w:val="Heading1"/>
        <w:ind w:left="379"/>
      </w:pPr>
      <w:r>
        <w:lastRenderedPageBreak/>
        <w:t>2.</w:t>
      </w:r>
      <w:r>
        <w:rPr>
          <w:rFonts w:ascii="Arial" w:eastAsia="Arial" w:hAnsi="Arial" w:cs="Arial"/>
          <w:b/>
        </w:rPr>
        <w:t xml:space="preserve"> </w:t>
      </w:r>
      <w:r>
        <w:t xml:space="preserve">Scope of the Framework Agreement </w:t>
      </w:r>
    </w:p>
    <w:p w14:paraId="3DCCFF9B" w14:textId="77777777" w:rsidR="00412033" w:rsidRDefault="00994BB5">
      <w:pPr>
        <w:pStyle w:val="Heading2"/>
        <w:tabs>
          <w:tab w:val="center" w:pos="1555"/>
        </w:tabs>
        <w:ind w:left="0" w:firstLine="0"/>
      </w:pPr>
      <w:r>
        <w:t xml:space="preserve">2.1 </w:t>
      </w:r>
      <w:r>
        <w:tab/>
        <w:t xml:space="preserve">Type of Framework </w:t>
      </w:r>
    </w:p>
    <w:p w14:paraId="7C76BC77" w14:textId="77777777" w:rsidR="00412033" w:rsidRDefault="00994BB5">
      <w:pPr>
        <w:ind w:left="11" w:right="22"/>
      </w:pPr>
      <w:r>
        <w:t xml:space="preserve">The Contracting Authority proposes to engage in a competitive process for the establishment of a Framework Agreement. A Framework Agreement constitutes a means of establishing overall terms and conditions in accordance with which, for a specified duration, individual contracts may or may not be awarded. </w:t>
      </w:r>
    </w:p>
    <w:p w14:paraId="7229154B" w14:textId="77777777" w:rsidR="00412033" w:rsidRDefault="00994BB5">
      <w:pPr>
        <w:spacing w:after="181"/>
        <w:ind w:left="11" w:right="22"/>
      </w:pPr>
      <w:r>
        <w:t xml:space="preserve">This competition relates to the establishment of a single-party Framework with one Economic Operator. Thereafter that Economic Operator being entitled to be considered for all contracts within the scope of the Framework. </w:t>
      </w:r>
    </w:p>
    <w:p w14:paraId="2D22C606" w14:textId="77777777" w:rsidR="00412033" w:rsidRDefault="00994BB5">
      <w:pPr>
        <w:pStyle w:val="Heading2"/>
        <w:tabs>
          <w:tab w:val="center" w:pos="2853"/>
        </w:tabs>
        <w:spacing w:after="232"/>
        <w:ind w:left="0" w:firstLine="0"/>
      </w:pPr>
      <w:r>
        <w:t xml:space="preserve">2.2 </w:t>
      </w:r>
      <w:r>
        <w:tab/>
        <w:t xml:space="preserve">Scope of Requirements under the Framework </w:t>
      </w:r>
    </w:p>
    <w:p w14:paraId="2A139DB0" w14:textId="77777777" w:rsidR="00412033" w:rsidRDefault="00994BB5">
      <w:pPr>
        <w:pStyle w:val="Heading3"/>
        <w:tabs>
          <w:tab w:val="center" w:pos="2080"/>
        </w:tabs>
        <w:ind w:left="0" w:firstLine="0"/>
      </w:pPr>
      <w:r>
        <w:t xml:space="preserve">2.2.1 </w:t>
      </w:r>
      <w:r>
        <w:tab/>
        <w:t xml:space="preserve">The Scope of the Framework </w:t>
      </w:r>
    </w:p>
    <w:p w14:paraId="4D9523AE" w14:textId="702DFB2A" w:rsidR="00412033" w:rsidRDefault="00C30D16">
      <w:pPr>
        <w:spacing w:after="199"/>
        <w:ind w:left="11" w:right="22"/>
      </w:pPr>
      <w:r>
        <w:t>Department of Justice, Home Affairs and Migration</w:t>
      </w:r>
      <w:r w:rsidR="00994BB5">
        <w:t xml:space="preserve"> (</w:t>
      </w:r>
      <w:r>
        <w:t>DOJHAM</w:t>
      </w:r>
      <w:r w:rsidR="00994BB5">
        <w:t>) seeks to establish a single party framework agreement with a suitably qualified Tenderer for the supply, install and support of</w:t>
      </w:r>
      <w:r>
        <w:t xml:space="preserve"> UPS systems</w:t>
      </w:r>
      <w:r w:rsidR="00994BB5">
        <w:t xml:space="preserve">. The Tenderer must be capable of supporting the existing infrastructure, facilitate the expansion of UPS infrastructure, </w:t>
      </w:r>
      <w:r w:rsidR="00341608">
        <w:t>and</w:t>
      </w:r>
      <w:r w:rsidR="00994BB5">
        <w:t xml:space="preserve"> have proven capability to support </w:t>
      </w:r>
      <w:r>
        <w:t>DOJHAM</w:t>
      </w:r>
      <w:r w:rsidR="00994BB5">
        <w:t xml:space="preserve"> with possible fut</w:t>
      </w:r>
      <w:r w:rsidR="00341608">
        <w:t>ure site set-up</w:t>
      </w:r>
      <w:r w:rsidR="00994BB5">
        <w:t xml:space="preserve">. </w:t>
      </w:r>
      <w:r>
        <w:t>DOJHAM</w:t>
      </w:r>
      <w:r w:rsidR="00994BB5">
        <w:t xml:space="preserve"> invite responses from suitably qualified Tenderers to be appointed as their UPS</w:t>
      </w:r>
      <w:r>
        <w:t xml:space="preserve"> </w:t>
      </w:r>
      <w:r w:rsidR="00994BB5">
        <w:t xml:space="preserve">framework partner as per the specific requirements outlined below. </w:t>
      </w:r>
    </w:p>
    <w:p w14:paraId="6D86B3A2" w14:textId="77777777" w:rsidR="00412033" w:rsidRDefault="00994BB5">
      <w:pPr>
        <w:tabs>
          <w:tab w:val="center" w:pos="1614"/>
        </w:tabs>
        <w:spacing w:after="233" w:line="259" w:lineRule="auto"/>
        <w:ind w:left="0" w:firstLine="0"/>
        <w:jc w:val="left"/>
      </w:pPr>
      <w:r>
        <w:rPr>
          <w:b/>
        </w:rPr>
        <w:t>2.2.2</w:t>
      </w:r>
      <w:r>
        <w:rPr>
          <w:rFonts w:ascii="Arial" w:eastAsia="Arial" w:hAnsi="Arial" w:cs="Arial"/>
          <w:b/>
        </w:rPr>
        <w:t xml:space="preserve"> </w:t>
      </w:r>
      <w:r>
        <w:rPr>
          <w:rFonts w:ascii="Arial" w:eastAsia="Arial" w:hAnsi="Arial" w:cs="Arial"/>
          <w:b/>
        </w:rPr>
        <w:tab/>
      </w:r>
      <w:r>
        <w:rPr>
          <w:b/>
        </w:rPr>
        <w:t xml:space="preserve">The Initial Contract </w:t>
      </w:r>
    </w:p>
    <w:p w14:paraId="63A63D7E" w14:textId="6CFFB84F" w:rsidR="00412033" w:rsidRDefault="00994BB5">
      <w:pPr>
        <w:spacing w:after="201"/>
        <w:ind w:left="11" w:right="22"/>
      </w:pPr>
      <w:r>
        <w:t xml:space="preserve">The initial contract is to supply, install and support </w:t>
      </w:r>
      <w:r w:rsidR="00C30D16">
        <w:t>DOJHAM</w:t>
      </w:r>
      <w:r>
        <w:t xml:space="preserve"> UPS services</w:t>
      </w:r>
      <w:r w:rsidR="00341608">
        <w:t xml:space="preserve"> </w:t>
      </w:r>
      <w:r>
        <w:t xml:space="preserve">for a period of four (4) years. </w:t>
      </w:r>
    </w:p>
    <w:p w14:paraId="7B91FD7C" w14:textId="77777777" w:rsidR="00412033" w:rsidRDefault="00994BB5">
      <w:pPr>
        <w:pStyle w:val="Heading2"/>
        <w:ind w:left="10"/>
      </w:pPr>
      <w:r>
        <w:t>2.3</w:t>
      </w:r>
      <w:r>
        <w:rPr>
          <w:rFonts w:ascii="Arial" w:eastAsia="Arial" w:hAnsi="Arial" w:cs="Arial"/>
        </w:rPr>
        <w:t xml:space="preserve"> </w:t>
      </w:r>
      <w:r>
        <w:t xml:space="preserve">Anticipated Timeline </w:t>
      </w:r>
    </w:p>
    <w:p w14:paraId="2AB681C6" w14:textId="77777777" w:rsidR="00412033" w:rsidRDefault="00994BB5">
      <w:pPr>
        <w:spacing w:after="0"/>
        <w:ind w:left="11" w:right="22"/>
      </w:pPr>
      <w:r>
        <w:t xml:space="preserve">The following indicative timeline is envisaged for this procurement: </w:t>
      </w:r>
    </w:p>
    <w:tbl>
      <w:tblPr>
        <w:tblStyle w:val="TableGrid"/>
        <w:tblW w:w="9026" w:type="dxa"/>
        <w:tblInd w:w="18" w:type="dxa"/>
        <w:tblCellMar>
          <w:top w:w="50" w:type="dxa"/>
          <w:left w:w="110" w:type="dxa"/>
          <w:right w:w="115" w:type="dxa"/>
        </w:tblCellMar>
        <w:tblLook w:val="04A0" w:firstRow="1" w:lastRow="0" w:firstColumn="1" w:lastColumn="0" w:noHBand="0" w:noVBand="1"/>
      </w:tblPr>
      <w:tblGrid>
        <w:gridCol w:w="4815"/>
        <w:gridCol w:w="4211"/>
      </w:tblGrid>
      <w:tr w:rsidR="00412033" w14:paraId="44AF4029" w14:textId="77777777">
        <w:trPr>
          <w:trHeight w:val="322"/>
        </w:trPr>
        <w:tc>
          <w:tcPr>
            <w:tcW w:w="4815" w:type="dxa"/>
            <w:tcBorders>
              <w:top w:val="single" w:sz="6" w:space="0" w:color="000000"/>
              <w:left w:val="single" w:sz="6" w:space="0" w:color="000000"/>
              <w:bottom w:val="double" w:sz="13" w:space="0" w:color="00284A"/>
              <w:right w:val="single" w:sz="6" w:space="0" w:color="000000"/>
            </w:tcBorders>
            <w:shd w:val="clear" w:color="auto" w:fill="00284A"/>
          </w:tcPr>
          <w:p w14:paraId="369D48FF" w14:textId="77777777" w:rsidR="00412033" w:rsidRDefault="00994BB5">
            <w:pPr>
              <w:spacing w:after="0" w:line="259" w:lineRule="auto"/>
              <w:ind w:left="0" w:firstLine="0"/>
              <w:jc w:val="left"/>
            </w:pPr>
            <w:r>
              <w:rPr>
                <w:color w:val="FFFFFF"/>
              </w:rPr>
              <w:t xml:space="preserve">Issue RFT </w:t>
            </w:r>
          </w:p>
        </w:tc>
        <w:tc>
          <w:tcPr>
            <w:tcW w:w="4211" w:type="dxa"/>
            <w:tcBorders>
              <w:top w:val="single" w:sz="6" w:space="0" w:color="000000"/>
              <w:left w:val="single" w:sz="6" w:space="0" w:color="000000"/>
              <w:bottom w:val="single" w:sz="6" w:space="0" w:color="000000"/>
              <w:right w:val="single" w:sz="6" w:space="0" w:color="000000"/>
            </w:tcBorders>
          </w:tcPr>
          <w:p w14:paraId="4B061DBA" w14:textId="77777777" w:rsidR="00412033" w:rsidRDefault="00994BB5">
            <w:pPr>
              <w:spacing w:after="0" w:line="259" w:lineRule="auto"/>
              <w:ind w:left="8" w:firstLine="0"/>
              <w:jc w:val="left"/>
            </w:pPr>
            <w:r>
              <w:t xml:space="preserve">As specified on title page </w:t>
            </w:r>
          </w:p>
        </w:tc>
      </w:tr>
      <w:tr w:rsidR="00412033" w14:paraId="5F152991" w14:textId="77777777">
        <w:trPr>
          <w:trHeight w:val="336"/>
        </w:trPr>
        <w:tc>
          <w:tcPr>
            <w:tcW w:w="4815" w:type="dxa"/>
            <w:tcBorders>
              <w:top w:val="double" w:sz="13" w:space="0" w:color="00284A"/>
              <w:left w:val="single" w:sz="6" w:space="0" w:color="000000"/>
              <w:bottom w:val="double" w:sz="13" w:space="0" w:color="00284A"/>
              <w:right w:val="single" w:sz="6" w:space="0" w:color="000000"/>
            </w:tcBorders>
            <w:shd w:val="clear" w:color="auto" w:fill="00284A"/>
          </w:tcPr>
          <w:p w14:paraId="123D4BB3" w14:textId="77777777" w:rsidR="00412033" w:rsidRDefault="00994BB5">
            <w:pPr>
              <w:spacing w:after="0" w:line="259" w:lineRule="auto"/>
              <w:ind w:left="0" w:firstLine="0"/>
              <w:jc w:val="left"/>
            </w:pPr>
            <w:r>
              <w:rPr>
                <w:color w:val="FFFFFF"/>
              </w:rPr>
              <w:t xml:space="preserve">Closing Date for Queries </w:t>
            </w:r>
          </w:p>
        </w:tc>
        <w:tc>
          <w:tcPr>
            <w:tcW w:w="4211" w:type="dxa"/>
            <w:tcBorders>
              <w:top w:val="single" w:sz="6" w:space="0" w:color="000000"/>
              <w:left w:val="single" w:sz="6" w:space="0" w:color="000000"/>
              <w:bottom w:val="single" w:sz="6" w:space="0" w:color="000000"/>
              <w:right w:val="single" w:sz="6" w:space="0" w:color="000000"/>
            </w:tcBorders>
          </w:tcPr>
          <w:p w14:paraId="548DCD98" w14:textId="77777777" w:rsidR="00412033" w:rsidRDefault="00994BB5">
            <w:pPr>
              <w:spacing w:after="0" w:line="259" w:lineRule="auto"/>
              <w:ind w:left="8" w:firstLine="0"/>
              <w:jc w:val="left"/>
            </w:pPr>
            <w:r>
              <w:t xml:space="preserve">As specified on title page </w:t>
            </w:r>
          </w:p>
        </w:tc>
      </w:tr>
      <w:tr w:rsidR="00412033" w14:paraId="07044FDF" w14:textId="77777777">
        <w:trPr>
          <w:trHeight w:val="336"/>
        </w:trPr>
        <w:tc>
          <w:tcPr>
            <w:tcW w:w="4815" w:type="dxa"/>
            <w:tcBorders>
              <w:top w:val="double" w:sz="13" w:space="0" w:color="00284A"/>
              <w:left w:val="single" w:sz="6" w:space="0" w:color="000000"/>
              <w:bottom w:val="double" w:sz="13" w:space="0" w:color="00284A"/>
              <w:right w:val="single" w:sz="6" w:space="0" w:color="000000"/>
            </w:tcBorders>
            <w:shd w:val="clear" w:color="auto" w:fill="00284A"/>
          </w:tcPr>
          <w:p w14:paraId="49E8885A" w14:textId="77777777" w:rsidR="00412033" w:rsidRDefault="00994BB5">
            <w:pPr>
              <w:spacing w:after="0" w:line="259" w:lineRule="auto"/>
              <w:ind w:left="0" w:firstLine="0"/>
              <w:jc w:val="left"/>
            </w:pPr>
            <w:r>
              <w:rPr>
                <w:color w:val="FFFFFF"/>
              </w:rPr>
              <w:t xml:space="preserve">Closing Date for Tender Submission </w:t>
            </w:r>
          </w:p>
        </w:tc>
        <w:tc>
          <w:tcPr>
            <w:tcW w:w="4211" w:type="dxa"/>
            <w:tcBorders>
              <w:top w:val="single" w:sz="6" w:space="0" w:color="000000"/>
              <w:left w:val="single" w:sz="6" w:space="0" w:color="000000"/>
              <w:bottom w:val="single" w:sz="7" w:space="0" w:color="000000"/>
              <w:right w:val="single" w:sz="6" w:space="0" w:color="000000"/>
            </w:tcBorders>
          </w:tcPr>
          <w:p w14:paraId="78C3B504" w14:textId="77777777" w:rsidR="00412033" w:rsidRDefault="00994BB5">
            <w:pPr>
              <w:spacing w:after="0" w:line="259" w:lineRule="auto"/>
              <w:ind w:left="8" w:firstLine="0"/>
              <w:jc w:val="left"/>
            </w:pPr>
            <w:r>
              <w:t xml:space="preserve">As specified on title page </w:t>
            </w:r>
          </w:p>
        </w:tc>
      </w:tr>
      <w:tr w:rsidR="00412033" w14:paraId="0BE78D94" w14:textId="77777777">
        <w:trPr>
          <w:trHeight w:val="336"/>
        </w:trPr>
        <w:tc>
          <w:tcPr>
            <w:tcW w:w="4815" w:type="dxa"/>
            <w:tcBorders>
              <w:top w:val="double" w:sz="13" w:space="0" w:color="00284A"/>
              <w:left w:val="single" w:sz="6" w:space="0" w:color="000000"/>
              <w:bottom w:val="double" w:sz="13" w:space="0" w:color="00284A"/>
              <w:right w:val="single" w:sz="6" w:space="0" w:color="000000"/>
            </w:tcBorders>
            <w:shd w:val="clear" w:color="auto" w:fill="00284A"/>
          </w:tcPr>
          <w:p w14:paraId="4B78C367" w14:textId="77777777" w:rsidR="00412033" w:rsidRDefault="00994BB5">
            <w:pPr>
              <w:spacing w:after="0" w:line="259" w:lineRule="auto"/>
              <w:ind w:left="0" w:firstLine="0"/>
              <w:jc w:val="left"/>
            </w:pPr>
            <w:r>
              <w:rPr>
                <w:color w:val="FFFFFF"/>
              </w:rPr>
              <w:t xml:space="preserve">Clarification / verification meetings (if anticipated) </w:t>
            </w:r>
          </w:p>
        </w:tc>
        <w:tc>
          <w:tcPr>
            <w:tcW w:w="4211" w:type="dxa"/>
            <w:tcBorders>
              <w:top w:val="single" w:sz="7" w:space="0" w:color="000000"/>
              <w:left w:val="single" w:sz="6" w:space="0" w:color="000000"/>
              <w:bottom w:val="single" w:sz="6" w:space="0" w:color="000000"/>
              <w:right w:val="single" w:sz="6" w:space="0" w:color="000000"/>
            </w:tcBorders>
          </w:tcPr>
          <w:p w14:paraId="72ED1264" w14:textId="4E083284" w:rsidR="00412033" w:rsidRDefault="00412033">
            <w:pPr>
              <w:spacing w:after="0" w:line="259" w:lineRule="auto"/>
              <w:ind w:left="8" w:firstLine="0"/>
              <w:jc w:val="left"/>
            </w:pPr>
          </w:p>
        </w:tc>
      </w:tr>
      <w:tr w:rsidR="00412033" w14:paraId="5930F935" w14:textId="77777777">
        <w:trPr>
          <w:trHeight w:val="336"/>
        </w:trPr>
        <w:tc>
          <w:tcPr>
            <w:tcW w:w="4815" w:type="dxa"/>
            <w:tcBorders>
              <w:top w:val="double" w:sz="13" w:space="0" w:color="00284A"/>
              <w:left w:val="single" w:sz="6" w:space="0" w:color="000000"/>
              <w:bottom w:val="double" w:sz="13" w:space="0" w:color="00284A"/>
              <w:right w:val="single" w:sz="6" w:space="0" w:color="000000"/>
            </w:tcBorders>
            <w:shd w:val="clear" w:color="auto" w:fill="00284A"/>
          </w:tcPr>
          <w:p w14:paraId="4D2F14FF" w14:textId="77777777" w:rsidR="00412033" w:rsidRDefault="00994BB5">
            <w:pPr>
              <w:spacing w:after="0" w:line="259" w:lineRule="auto"/>
              <w:ind w:left="0" w:firstLine="0"/>
              <w:jc w:val="left"/>
            </w:pPr>
            <w:r>
              <w:rPr>
                <w:color w:val="FFFFFF"/>
              </w:rPr>
              <w:t xml:space="preserve">Award decision </w:t>
            </w:r>
          </w:p>
        </w:tc>
        <w:tc>
          <w:tcPr>
            <w:tcW w:w="4211" w:type="dxa"/>
            <w:tcBorders>
              <w:top w:val="single" w:sz="6" w:space="0" w:color="000000"/>
              <w:left w:val="single" w:sz="6" w:space="0" w:color="000000"/>
              <w:bottom w:val="single" w:sz="6" w:space="0" w:color="000000"/>
              <w:right w:val="single" w:sz="6" w:space="0" w:color="000000"/>
            </w:tcBorders>
          </w:tcPr>
          <w:p w14:paraId="22455740" w14:textId="2B86C81F" w:rsidR="00412033" w:rsidRDefault="00412033">
            <w:pPr>
              <w:spacing w:after="0" w:line="259" w:lineRule="auto"/>
              <w:ind w:left="8" w:firstLine="0"/>
              <w:jc w:val="left"/>
            </w:pPr>
          </w:p>
        </w:tc>
      </w:tr>
      <w:tr w:rsidR="00412033" w14:paraId="316A7CF4" w14:textId="77777777">
        <w:trPr>
          <w:trHeight w:val="308"/>
        </w:trPr>
        <w:tc>
          <w:tcPr>
            <w:tcW w:w="4815" w:type="dxa"/>
            <w:tcBorders>
              <w:top w:val="double" w:sz="13" w:space="0" w:color="00284A"/>
              <w:left w:val="single" w:sz="6" w:space="0" w:color="000000"/>
              <w:bottom w:val="single" w:sz="6" w:space="0" w:color="000000"/>
              <w:right w:val="single" w:sz="6" w:space="0" w:color="000000"/>
            </w:tcBorders>
            <w:shd w:val="clear" w:color="auto" w:fill="00284A"/>
          </w:tcPr>
          <w:p w14:paraId="46D5409E" w14:textId="77777777" w:rsidR="00412033" w:rsidRDefault="00994BB5">
            <w:pPr>
              <w:spacing w:after="0" w:line="259" w:lineRule="auto"/>
              <w:ind w:left="0" w:firstLine="0"/>
              <w:jc w:val="left"/>
            </w:pPr>
            <w:r>
              <w:rPr>
                <w:color w:val="FFFFFF"/>
              </w:rPr>
              <w:t xml:space="preserve">Framework Agreement Commencement </w:t>
            </w:r>
          </w:p>
        </w:tc>
        <w:tc>
          <w:tcPr>
            <w:tcW w:w="4211" w:type="dxa"/>
            <w:tcBorders>
              <w:top w:val="single" w:sz="6" w:space="0" w:color="000000"/>
              <w:left w:val="single" w:sz="6" w:space="0" w:color="000000"/>
              <w:bottom w:val="single" w:sz="6" w:space="0" w:color="000000"/>
              <w:right w:val="single" w:sz="6" w:space="0" w:color="000000"/>
            </w:tcBorders>
          </w:tcPr>
          <w:p w14:paraId="7E1CC97B" w14:textId="6CB822C1" w:rsidR="00412033" w:rsidRDefault="00412033">
            <w:pPr>
              <w:spacing w:after="0" w:line="259" w:lineRule="auto"/>
              <w:ind w:left="8" w:firstLine="0"/>
              <w:jc w:val="left"/>
            </w:pPr>
          </w:p>
        </w:tc>
      </w:tr>
    </w:tbl>
    <w:p w14:paraId="5D486D7D" w14:textId="77777777" w:rsidR="00412033" w:rsidRDefault="00994BB5">
      <w:pPr>
        <w:spacing w:after="153" w:line="259" w:lineRule="auto"/>
        <w:ind w:left="16" w:firstLine="0"/>
        <w:jc w:val="left"/>
      </w:pPr>
      <w:r>
        <w:t xml:space="preserve"> </w:t>
      </w:r>
    </w:p>
    <w:p w14:paraId="3E9D2DE0" w14:textId="77777777" w:rsidR="00412033" w:rsidRDefault="00994BB5">
      <w:pPr>
        <w:spacing w:after="201"/>
        <w:ind w:left="11" w:right="22"/>
      </w:pPr>
      <w:r>
        <w:t xml:space="preserve">The dates provided above are estimates at the time of publication of the Request for Tender. The Contracting Authority will endeavour to run the process to this timetable, but this cannot be guaranteed. </w:t>
      </w:r>
    </w:p>
    <w:p w14:paraId="2EF5BF92" w14:textId="77777777" w:rsidR="00412033" w:rsidRDefault="00994BB5">
      <w:pPr>
        <w:pStyle w:val="Heading2"/>
        <w:ind w:left="379"/>
      </w:pPr>
      <w:r>
        <w:lastRenderedPageBreak/>
        <w:t>2.4</w:t>
      </w:r>
      <w:r>
        <w:rPr>
          <w:rFonts w:ascii="Arial" w:eastAsia="Arial" w:hAnsi="Arial" w:cs="Arial"/>
        </w:rPr>
        <w:t xml:space="preserve"> </w:t>
      </w:r>
      <w:r>
        <w:t xml:space="preserve">Numbers admitted to the Framework </w:t>
      </w:r>
    </w:p>
    <w:p w14:paraId="24C30BAC" w14:textId="77777777" w:rsidR="00412033" w:rsidRDefault="00994BB5">
      <w:pPr>
        <w:ind w:left="11" w:right="22"/>
      </w:pPr>
      <w:r>
        <w:t xml:space="preserve">The Framework Agreement will be established as a single-party Framework Agreement with the Tenderer selected following the tender stage and the application of the award criteria and subject to that Tenderer meeting the minimum criteria and rules. </w:t>
      </w:r>
    </w:p>
    <w:p w14:paraId="69A391D6" w14:textId="77777777" w:rsidR="00412033" w:rsidRDefault="00994BB5">
      <w:pPr>
        <w:pStyle w:val="Heading2"/>
        <w:ind w:left="379"/>
      </w:pPr>
      <w:r>
        <w:t>2.5</w:t>
      </w:r>
      <w:r>
        <w:rPr>
          <w:rFonts w:ascii="Arial" w:eastAsia="Arial" w:hAnsi="Arial" w:cs="Arial"/>
        </w:rPr>
        <w:t xml:space="preserve"> </w:t>
      </w:r>
      <w:r>
        <w:t xml:space="preserve">Duration of the Framework Agreement </w:t>
      </w:r>
    </w:p>
    <w:p w14:paraId="431E9C1A" w14:textId="77777777" w:rsidR="00412033" w:rsidRDefault="00994BB5">
      <w:pPr>
        <w:ind w:left="11" w:right="22"/>
      </w:pPr>
      <w:r>
        <w:t xml:space="preserve">The Framework Agreement will be for four (4) years. The Contracting Authority reserves the right to extend the Term for a period or periods of up to twelve (12) months with a maximum of three (3) such extension or extensions on the same terms and conditions, for maximum total of seven (7) years, subject to satisfactory performance and the Contracting Authority’s obligations at law. </w:t>
      </w:r>
    </w:p>
    <w:p w14:paraId="085777BA" w14:textId="77777777" w:rsidR="00412033" w:rsidRDefault="00994BB5">
      <w:pPr>
        <w:ind w:left="11" w:right="22"/>
      </w:pPr>
      <w:r>
        <w:t xml:space="preserve">The Contracting Authority confirms that the period of any contracts awarded under the Framework Agreement may extend beyond the date of expiry of the agreement. </w:t>
      </w:r>
    </w:p>
    <w:p w14:paraId="1E98CBBA" w14:textId="77777777" w:rsidR="00412033" w:rsidRDefault="00994BB5">
      <w:pPr>
        <w:spacing w:after="202"/>
        <w:ind w:left="11" w:right="22"/>
      </w:pPr>
      <w:r>
        <w:t xml:space="preserve">The reason for a framework longer than the standard four years relates to a requirement for the Contracting Authority to maintain a consistent standard across the organisation on the use of UPS, which in turn results in minimisation of risk due to multiple providers being appointed.  </w:t>
      </w:r>
    </w:p>
    <w:p w14:paraId="66CC580A" w14:textId="77777777" w:rsidR="00412033" w:rsidRDefault="00994BB5">
      <w:pPr>
        <w:pStyle w:val="Heading2"/>
        <w:ind w:left="379"/>
      </w:pPr>
      <w:r>
        <w:t>2.6</w:t>
      </w:r>
      <w:r>
        <w:rPr>
          <w:rFonts w:ascii="Arial" w:eastAsia="Arial" w:hAnsi="Arial" w:cs="Arial"/>
        </w:rPr>
        <w:t xml:space="preserve"> </w:t>
      </w:r>
      <w:r>
        <w:t xml:space="preserve">Estimated Value for the Framework Agreement </w:t>
      </w:r>
    </w:p>
    <w:p w14:paraId="485A5DAF" w14:textId="773B7E08" w:rsidR="00412033" w:rsidRPr="00415BE2" w:rsidRDefault="00994BB5" w:rsidP="00415BE2">
      <w:pPr>
        <w:ind w:left="11" w:right="22"/>
        <w:rPr>
          <w:highlight w:val="yellow"/>
        </w:rPr>
      </w:pPr>
      <w:r>
        <w:t xml:space="preserve">It is envisaged that maximum spend under this Framework Agreement </w:t>
      </w:r>
      <w:r w:rsidRPr="00EB320E">
        <w:t>will not exceed €</w:t>
      </w:r>
      <w:r w:rsidR="00AF6110">
        <w:t>800,000</w:t>
      </w:r>
      <w:r w:rsidRPr="00EB320E">
        <w:t xml:space="preserve"> excluding VAT.</w:t>
      </w:r>
      <w:r>
        <w:t xml:space="preserve"> </w:t>
      </w:r>
    </w:p>
    <w:p w14:paraId="4DC8EB8C" w14:textId="77777777" w:rsidR="00412033" w:rsidRDefault="00994BB5">
      <w:pPr>
        <w:spacing w:after="202"/>
        <w:ind w:left="11" w:right="22"/>
      </w:pPr>
      <w:r>
        <w:t xml:space="preserve">It is emphasised, however, that this figure is provided strictly for indicative purposes only as there is no guaranteed expenditure under the Framework Agreement. </w:t>
      </w:r>
    </w:p>
    <w:p w14:paraId="3001460F" w14:textId="77777777" w:rsidR="00412033" w:rsidRDefault="00994BB5">
      <w:pPr>
        <w:pStyle w:val="Heading2"/>
        <w:ind w:left="379"/>
      </w:pPr>
      <w:r>
        <w:t>2.7</w:t>
      </w:r>
      <w:r>
        <w:rPr>
          <w:rFonts w:ascii="Arial" w:eastAsia="Arial" w:hAnsi="Arial" w:cs="Arial"/>
        </w:rPr>
        <w:t xml:space="preserve"> </w:t>
      </w:r>
      <w:r>
        <w:t xml:space="preserve">Awarding Contracts under the Framework Agreement </w:t>
      </w:r>
    </w:p>
    <w:p w14:paraId="3BE96C04" w14:textId="77777777" w:rsidR="00412033" w:rsidRDefault="00994BB5">
      <w:pPr>
        <w:spacing w:after="201"/>
        <w:ind w:left="11" w:right="22"/>
      </w:pPr>
      <w:r>
        <w:t xml:space="preserve">Single-party Framework Agreement contracts may be awarded directly on foot of the original tenders or by consultation with the Framework Member and invitation to provide a supplementary tender within the constraints laid down in this tender documentation and the Framework Agreement terms and conditions. </w:t>
      </w:r>
    </w:p>
    <w:p w14:paraId="04E1A2A2" w14:textId="77777777" w:rsidR="00412033" w:rsidRDefault="00994BB5">
      <w:pPr>
        <w:pStyle w:val="Heading2"/>
        <w:ind w:left="379"/>
      </w:pPr>
      <w:r>
        <w:t>2.8</w:t>
      </w:r>
      <w:r>
        <w:rPr>
          <w:rFonts w:ascii="Arial" w:eastAsia="Arial" w:hAnsi="Arial" w:cs="Arial"/>
        </w:rPr>
        <w:t xml:space="preserve"> </w:t>
      </w:r>
      <w:r>
        <w:t xml:space="preserve">Right to tender outside of the Framework </w:t>
      </w:r>
    </w:p>
    <w:p w14:paraId="5F28D7C6" w14:textId="77777777" w:rsidR="00412033" w:rsidRDefault="00994BB5">
      <w:pPr>
        <w:spacing w:after="202"/>
        <w:ind w:left="11" w:right="22"/>
      </w:pPr>
      <w:r>
        <w:t xml:space="preserve">The Contracting Authority intends to use the Framework for the procurement of requirements falling within its scope during the specified period; however, it reserves the right to go outside the Framework for the procurement of any requirement without reference to the Framework Member(s). Admission to a Framework does not guarantee the award of any contract to any Economic Operator, nor does it give the member(s) the right to be consulted in respect of, or tender for, any contract. </w:t>
      </w:r>
    </w:p>
    <w:p w14:paraId="3CEAA63D" w14:textId="77777777" w:rsidR="00412033" w:rsidRDefault="00994BB5">
      <w:pPr>
        <w:pStyle w:val="Heading2"/>
        <w:ind w:left="379"/>
      </w:pPr>
      <w:r>
        <w:t>2.9</w:t>
      </w:r>
      <w:r>
        <w:rPr>
          <w:rFonts w:ascii="Arial" w:eastAsia="Arial" w:hAnsi="Arial" w:cs="Arial"/>
        </w:rPr>
        <w:t xml:space="preserve"> </w:t>
      </w:r>
      <w:r>
        <w:t xml:space="preserve">Compliance with the Terms and Conditions of the Framework Agreement </w:t>
      </w:r>
    </w:p>
    <w:p w14:paraId="10F84DCD" w14:textId="77777777" w:rsidR="00412033" w:rsidRDefault="00994BB5">
      <w:pPr>
        <w:ind w:left="11" w:right="22"/>
      </w:pPr>
      <w:r>
        <w:t xml:space="preserve">Admission to the Framework Agreement will be conditional upon acceptance of the Contracting Authority’s Framework Terms and Conditions as appended at the relevant Appendix.  </w:t>
      </w:r>
    </w:p>
    <w:p w14:paraId="20CD6A92" w14:textId="77777777" w:rsidR="00412033" w:rsidRDefault="00994BB5">
      <w:pPr>
        <w:ind w:left="11" w:right="22"/>
      </w:pPr>
      <w:r>
        <w:t>Tenderers are required to review these terms and conditions and indicate their acceptance thereof as part of their tender submission. Any reservation with regard to these terms should be submitted as a query in accordance with the procedure described in the Instructions to Tenderers (</w:t>
      </w:r>
      <w:r>
        <w:rPr>
          <w:i/>
        </w:rPr>
        <w:t>Section 6</w:t>
      </w:r>
      <w:r>
        <w:t xml:space="preserve">) of this document.  </w:t>
      </w:r>
    </w:p>
    <w:p w14:paraId="037E2641" w14:textId="6F1A299E" w:rsidR="00412033" w:rsidRDefault="00994BB5">
      <w:pPr>
        <w:pStyle w:val="Heading2"/>
        <w:ind w:left="379"/>
      </w:pPr>
      <w:r>
        <w:lastRenderedPageBreak/>
        <w:t>2.10</w:t>
      </w:r>
      <w:r w:rsidR="00C30D16">
        <w:t xml:space="preserve"> </w:t>
      </w:r>
      <w:r>
        <w:t xml:space="preserve">Award to Runner Up </w:t>
      </w:r>
    </w:p>
    <w:p w14:paraId="198E3C78" w14:textId="77777777" w:rsidR="00412033" w:rsidRDefault="00994BB5">
      <w:pPr>
        <w:ind w:left="11" w:right="22"/>
      </w:pPr>
      <w:r>
        <w:t xml:space="preserve">If, following the award of this Framework Agreement, the Framework Member cannot, for whatever reason, deliver the required services to the satisfaction of the Contracting Authority; the Contracting Authority reserves the right to award the framework place to the next highest scoring Tenderer emerging from the process at any time during the tender validity period. </w:t>
      </w:r>
    </w:p>
    <w:p w14:paraId="00B28B8F" w14:textId="77777777" w:rsidR="00412033" w:rsidRDefault="00994BB5">
      <w:pPr>
        <w:spacing w:after="168" w:line="259" w:lineRule="auto"/>
        <w:ind w:left="16" w:firstLine="0"/>
        <w:jc w:val="left"/>
      </w:pPr>
      <w:r>
        <w:t xml:space="preserve"> </w:t>
      </w:r>
    </w:p>
    <w:p w14:paraId="5CA096C2" w14:textId="77777777" w:rsidR="00412033" w:rsidRDefault="00994BB5">
      <w:pPr>
        <w:spacing w:after="0" w:line="259" w:lineRule="auto"/>
        <w:ind w:left="16" w:firstLine="0"/>
      </w:pPr>
      <w:r>
        <w:t xml:space="preserve"> </w:t>
      </w:r>
      <w:r>
        <w:tab/>
        <w:t xml:space="preserve"> </w:t>
      </w:r>
      <w:r>
        <w:br w:type="page"/>
      </w:r>
    </w:p>
    <w:p w14:paraId="17C477F5" w14:textId="77777777" w:rsidR="00412033" w:rsidRDefault="00994BB5">
      <w:pPr>
        <w:pStyle w:val="Heading1"/>
        <w:ind w:left="379"/>
      </w:pPr>
      <w:r>
        <w:lastRenderedPageBreak/>
        <w:t>3.</w:t>
      </w:r>
      <w:r>
        <w:rPr>
          <w:rFonts w:ascii="Arial" w:eastAsia="Arial" w:hAnsi="Arial" w:cs="Arial"/>
          <w:b/>
        </w:rPr>
        <w:t xml:space="preserve"> </w:t>
      </w:r>
      <w:r>
        <w:t xml:space="preserve">Specification of Requirements </w:t>
      </w:r>
    </w:p>
    <w:p w14:paraId="673AAB06" w14:textId="77777777" w:rsidR="00412033" w:rsidRDefault="00994BB5">
      <w:pPr>
        <w:spacing w:after="202" w:line="254" w:lineRule="auto"/>
        <w:ind w:left="802" w:hanging="433"/>
        <w:jc w:val="left"/>
      </w:pPr>
      <w:r>
        <w:rPr>
          <w:b/>
          <w:sz w:val="24"/>
        </w:rPr>
        <w:t>3.1</w:t>
      </w:r>
      <w:r>
        <w:rPr>
          <w:rFonts w:ascii="Arial" w:eastAsia="Arial" w:hAnsi="Arial" w:cs="Arial"/>
          <w:b/>
          <w:sz w:val="24"/>
        </w:rPr>
        <w:t xml:space="preserve"> </w:t>
      </w:r>
      <w:r>
        <w:rPr>
          <w:b/>
          <w:sz w:val="24"/>
        </w:rPr>
        <w:t xml:space="preserve">Scope of Requirement for the Initial Contract and Requirements under the </w:t>
      </w:r>
    </w:p>
    <w:p w14:paraId="50BFE7C9" w14:textId="77777777" w:rsidR="00412033" w:rsidRDefault="00994BB5">
      <w:pPr>
        <w:pStyle w:val="Heading2"/>
        <w:ind w:left="802" w:hanging="433"/>
      </w:pPr>
      <w:r>
        <w:t xml:space="preserve">Framework Agreement </w:t>
      </w:r>
    </w:p>
    <w:p w14:paraId="6D2BE55B" w14:textId="2C692C11" w:rsidR="00412033" w:rsidRDefault="00C30D16">
      <w:pPr>
        <w:spacing w:after="182"/>
        <w:ind w:left="11" w:right="22"/>
      </w:pPr>
      <w:r>
        <w:t>Department of Justice, Home Affairs and Migration</w:t>
      </w:r>
      <w:r w:rsidR="00994BB5">
        <w:t xml:space="preserve"> (</w:t>
      </w:r>
      <w:r>
        <w:t>DOJHAM</w:t>
      </w:r>
      <w:r w:rsidR="00994BB5">
        <w:t xml:space="preserve">) seeks to establish a single party framework agreement with a suitably qualified Tenderer for the supply, installation and support of UPS </w:t>
      </w:r>
      <w:r>
        <w:t>systems</w:t>
      </w:r>
      <w:r w:rsidR="00994BB5">
        <w:t xml:space="preserve">. </w:t>
      </w:r>
      <w:r>
        <w:t>DOJHAM</w:t>
      </w:r>
      <w:r w:rsidR="00994BB5">
        <w:t xml:space="preserve"> invite responses from suitably qualified Tenderers to be appointed as their UP</w:t>
      </w:r>
      <w:r>
        <w:t xml:space="preserve">S </w:t>
      </w:r>
      <w:r w:rsidR="00994BB5">
        <w:t xml:space="preserve">partner as per the specific requirements outlined below. </w:t>
      </w:r>
    </w:p>
    <w:p w14:paraId="480ABE02" w14:textId="554E49FD" w:rsidR="00412033" w:rsidRDefault="00994BB5">
      <w:pPr>
        <w:pStyle w:val="Heading3"/>
        <w:tabs>
          <w:tab w:val="center" w:pos="617"/>
          <w:tab w:val="center" w:pos="2361"/>
        </w:tabs>
        <w:ind w:left="0" w:firstLine="0"/>
      </w:pPr>
      <w:r>
        <w:rPr>
          <w:b w:val="0"/>
        </w:rPr>
        <w:tab/>
      </w:r>
      <w:r>
        <w:t>3.1.2</w:t>
      </w:r>
      <w:r>
        <w:rPr>
          <w:rFonts w:ascii="Arial" w:eastAsia="Arial" w:hAnsi="Arial" w:cs="Arial"/>
        </w:rPr>
        <w:t xml:space="preserve"> </w:t>
      </w:r>
      <w:r>
        <w:rPr>
          <w:rFonts w:ascii="Arial" w:eastAsia="Arial" w:hAnsi="Arial" w:cs="Arial"/>
        </w:rPr>
        <w:tab/>
      </w:r>
      <w:r>
        <w:t xml:space="preserve">Existing </w:t>
      </w:r>
      <w:r w:rsidR="00C30D16">
        <w:t>Comms Room</w:t>
      </w:r>
      <w:r>
        <w:t xml:space="preserve"> Infrastructure </w:t>
      </w:r>
    </w:p>
    <w:p w14:paraId="5F282692" w14:textId="06283942" w:rsidR="00412033" w:rsidRDefault="00994BB5">
      <w:pPr>
        <w:spacing w:after="183"/>
        <w:ind w:left="11" w:right="22"/>
      </w:pPr>
      <w:r w:rsidRPr="00415BE2">
        <w:t xml:space="preserve">The existing </w:t>
      </w:r>
      <w:r w:rsidR="00C30D16" w:rsidRPr="00415BE2">
        <w:t>comms room</w:t>
      </w:r>
      <w:r w:rsidRPr="00415BE2">
        <w:t xml:space="preserve"> infrastructure consists of </w:t>
      </w:r>
      <w:r w:rsidR="00C30D16" w:rsidRPr="00415BE2">
        <w:t>around 2</w:t>
      </w:r>
      <w:r w:rsidR="004C1DDE" w:rsidRPr="00415BE2">
        <w:t>30 racks</w:t>
      </w:r>
      <w:r w:rsidRPr="00415BE2">
        <w:t xml:space="preserve"> locat</w:t>
      </w:r>
      <w:r w:rsidR="004C1DDE" w:rsidRPr="00415BE2">
        <w:t>ed</w:t>
      </w:r>
      <w:r w:rsidRPr="00415BE2">
        <w:t xml:space="preserve"> around Ireland. The number of sites and systems may increase over the lifetime of the agreement. </w:t>
      </w:r>
      <w:r w:rsidR="00C30D16" w:rsidRPr="00415BE2">
        <w:t>DOJHAM</w:t>
      </w:r>
      <w:r w:rsidRPr="00415BE2">
        <w:t xml:space="preserve"> requires </w:t>
      </w:r>
      <w:r w:rsidR="00C30D16" w:rsidRPr="00415BE2">
        <w:t xml:space="preserve">installation and supply </w:t>
      </w:r>
      <w:r w:rsidR="00136856">
        <w:t xml:space="preserve">of </w:t>
      </w:r>
      <w:r w:rsidR="00C30D16" w:rsidRPr="00415BE2">
        <w:t xml:space="preserve">modular units, with maintenance and support as requested. </w:t>
      </w:r>
      <w:r w:rsidR="000548BA" w:rsidRPr="00415BE2">
        <w:t xml:space="preserve">At present there are up to 20 large sites, 10 medium sites, and </w:t>
      </w:r>
      <w:r w:rsidR="006A4D12">
        <w:t>8</w:t>
      </w:r>
      <w:r w:rsidR="000548BA" w:rsidRPr="00415BE2">
        <w:t>0 small sites planned or in active use in the DOJ Comms Room estates.</w:t>
      </w:r>
      <w:r w:rsidR="00E7322A">
        <w:t xml:space="preserve"> </w:t>
      </w:r>
      <w:r w:rsidR="00AC6AE4">
        <w:t xml:space="preserve">The definitions of these sites are available below </w:t>
      </w:r>
      <w:r w:rsidR="00802731">
        <w:t>and in the pricing schedule</w:t>
      </w:r>
      <w:r w:rsidR="00BE52D1">
        <w:t xml:space="preserve"> under UPS Transformation.</w:t>
      </w:r>
    </w:p>
    <w:p w14:paraId="225C92B2" w14:textId="77777777" w:rsidR="00412033" w:rsidRDefault="00994BB5">
      <w:pPr>
        <w:pStyle w:val="Heading3"/>
        <w:tabs>
          <w:tab w:val="center" w:pos="617"/>
          <w:tab w:val="center" w:pos="2261"/>
        </w:tabs>
        <w:spacing w:after="267"/>
        <w:ind w:left="0" w:firstLine="0"/>
      </w:pPr>
      <w:r>
        <w:rPr>
          <w:b w:val="0"/>
        </w:rPr>
        <w:tab/>
      </w:r>
      <w:r>
        <w:t>3.1.3</w:t>
      </w:r>
      <w:r>
        <w:rPr>
          <w:rFonts w:ascii="Arial" w:eastAsia="Arial" w:hAnsi="Arial" w:cs="Arial"/>
        </w:rPr>
        <w:t xml:space="preserve"> </w:t>
      </w:r>
      <w:r>
        <w:rPr>
          <w:rFonts w:ascii="Arial" w:eastAsia="Arial" w:hAnsi="Arial" w:cs="Arial"/>
        </w:rPr>
        <w:tab/>
      </w:r>
      <w:r>
        <w:t xml:space="preserve">Support Service Delivery </w:t>
      </w:r>
    </w:p>
    <w:p w14:paraId="54748078" w14:textId="160106CD" w:rsidR="00412033" w:rsidRDefault="00994BB5">
      <w:pPr>
        <w:pStyle w:val="Heading4"/>
        <w:ind w:left="379"/>
      </w:pPr>
      <w:r>
        <w:t>3.1.3.1</w:t>
      </w:r>
      <w:r>
        <w:rPr>
          <w:rFonts w:ascii="Arial" w:eastAsia="Arial" w:hAnsi="Arial" w:cs="Arial"/>
        </w:rPr>
        <w:t xml:space="preserve"> </w:t>
      </w:r>
      <w:r>
        <w:t xml:space="preserve">UPS Support </w:t>
      </w:r>
    </w:p>
    <w:p w14:paraId="27042F82" w14:textId="094519CF" w:rsidR="006E29A2" w:rsidRDefault="006E29A2" w:rsidP="006E29A2">
      <w:pPr>
        <w:ind w:left="11" w:right="22"/>
      </w:pPr>
      <w:r w:rsidRPr="006E29A2">
        <w:t>DOJHAM requires the ability to manage and monitor UPS systems remotely, with control over data privacy and the UPS systems’ outlets and functions, ideally as part of a single console. Units should have the ability to issue an alert should the environmental changes</w:t>
      </w:r>
      <w:r w:rsidR="00242F00">
        <w:t xml:space="preserve"> (e.g. temperature, humidity etc.)</w:t>
      </w:r>
      <w:r w:rsidRPr="006E29A2">
        <w:t xml:space="preserve"> of the room in which it is situated exceed thresholds set, either as part of the unit or as external probes. Units should be able to fit in space with limited availability in smaller sites requiring 'short-depth' measurements up to a max of 320mm (including the depth of occupied outlets). Larger sites may be able to facilitate larger PDUs being individually switchable. These units should ideally have an easy battery replacement functionality allowing replacement on-site by DOJHAM staff after initial installation by qualified persons. The 'short depth' models must be capable of performing a hard power reset on an individual outlet and have a minimum of 4 in total, any solutions for this must be within a maximum of 2u (2 rack units) and at the stated max depth. All units should have been manufactured within the last ten years with network management capacity.</w:t>
      </w:r>
    </w:p>
    <w:p w14:paraId="6372A0BF" w14:textId="2EFFD57E" w:rsidR="006B0016" w:rsidRPr="006E29A2" w:rsidRDefault="006B0016" w:rsidP="006E29A2">
      <w:pPr>
        <w:ind w:left="11" w:right="22"/>
      </w:pPr>
      <w:r>
        <w:t xml:space="preserve">DOJHAM currently has over </w:t>
      </w:r>
      <w:r w:rsidR="00AC6AE4">
        <w:t>1</w:t>
      </w:r>
      <w:r>
        <w:t>00 sites which will require UPS sites which are defined either as small (3-4 network devices), medium (3-10 network devices), or large (10+ network devices).</w:t>
      </w:r>
    </w:p>
    <w:p w14:paraId="71E0CABA" w14:textId="2C4F9B53" w:rsidR="00412033" w:rsidRDefault="00994BB5">
      <w:pPr>
        <w:ind w:left="11" w:right="22"/>
      </w:pPr>
      <w:r>
        <w:t xml:space="preserve">Any faulty hardware / software is to be replaced by the Tenderer at no cost to </w:t>
      </w:r>
      <w:r w:rsidR="00C30D16">
        <w:t>DOJHAM</w:t>
      </w:r>
      <w:r>
        <w:t xml:space="preserve"> for the duration of the contract. This includes the setup and configuration of the replacement system on site as required. All warranty management and returns to the original equipment manufacturers will be the responsibility of the Tenderer. </w:t>
      </w:r>
    </w:p>
    <w:p w14:paraId="57CE260C" w14:textId="46907753" w:rsidR="00412033" w:rsidRDefault="00994BB5">
      <w:pPr>
        <w:ind w:left="11" w:right="22"/>
      </w:pPr>
      <w:r>
        <w:t xml:space="preserve">The successful Tenderer must be able to liaise directly with the manufacturers of the equipment / software platforms without the involvement of </w:t>
      </w:r>
      <w:r w:rsidR="00C30D16">
        <w:t>DOJHAM</w:t>
      </w:r>
      <w:r>
        <w:t xml:space="preserve">. Escalations of issues must be handled by the Tenderer. The successful Tenderer will work with the manufacturers or relevant vendors until the issue is resolved at no additional cost to </w:t>
      </w:r>
      <w:r w:rsidR="00C30D16">
        <w:t>DOJHAM</w:t>
      </w:r>
      <w:r>
        <w:t xml:space="preserve">. </w:t>
      </w:r>
    </w:p>
    <w:p w14:paraId="1A968A88" w14:textId="1BDBC896" w:rsidR="00412033" w:rsidRDefault="00994BB5">
      <w:pPr>
        <w:spacing w:after="182"/>
        <w:ind w:left="11" w:right="22"/>
      </w:pPr>
      <w:r>
        <w:t>Minimum up time for all UPS devices, when involved, is 30 minutes (at full load)</w:t>
      </w:r>
      <w:r w:rsidR="00406951">
        <w:t xml:space="preserve"> to allow for a graceful power-down</w:t>
      </w:r>
      <w:r>
        <w:t xml:space="preserve">. </w:t>
      </w:r>
    </w:p>
    <w:p w14:paraId="1C4D33AA" w14:textId="77777777" w:rsidR="00412033" w:rsidRDefault="00994BB5">
      <w:pPr>
        <w:pStyle w:val="Heading4"/>
        <w:ind w:left="379"/>
      </w:pPr>
      <w:r>
        <w:lastRenderedPageBreak/>
        <w:t>3.1.3.2</w:t>
      </w:r>
      <w:r>
        <w:rPr>
          <w:rFonts w:ascii="Arial" w:eastAsia="Arial" w:hAnsi="Arial" w:cs="Arial"/>
        </w:rPr>
        <w:t xml:space="preserve"> </w:t>
      </w:r>
      <w:r>
        <w:t xml:space="preserve">Onboarding for support </w:t>
      </w:r>
    </w:p>
    <w:p w14:paraId="58C3B355" w14:textId="77777777" w:rsidR="00412033" w:rsidRDefault="00994BB5">
      <w:pPr>
        <w:ind w:left="11" w:right="22"/>
      </w:pPr>
      <w:r>
        <w:t xml:space="preserve">It is anticipated that an onboarding process will be needed by the successful Tenderer, and this should be clearly defined as part of the tender submission, accompanied by a detailed implementation plan and service transition plan. </w:t>
      </w:r>
    </w:p>
    <w:p w14:paraId="66C3B505" w14:textId="77777777" w:rsidR="00412033" w:rsidRDefault="00994BB5">
      <w:pPr>
        <w:pStyle w:val="Heading3"/>
        <w:tabs>
          <w:tab w:val="center" w:pos="617"/>
          <w:tab w:val="center" w:pos="2454"/>
        </w:tabs>
        <w:spacing w:after="268"/>
        <w:ind w:left="0" w:firstLine="0"/>
      </w:pPr>
      <w:r>
        <w:rPr>
          <w:b w:val="0"/>
        </w:rPr>
        <w:tab/>
      </w:r>
      <w:r>
        <w:t>3.1.4</w:t>
      </w:r>
      <w:r>
        <w:rPr>
          <w:rFonts w:ascii="Arial" w:eastAsia="Arial" w:hAnsi="Arial" w:cs="Arial"/>
        </w:rPr>
        <w:t xml:space="preserve"> </w:t>
      </w:r>
      <w:r>
        <w:rPr>
          <w:rFonts w:ascii="Arial" w:eastAsia="Arial" w:hAnsi="Arial" w:cs="Arial"/>
        </w:rPr>
        <w:tab/>
      </w:r>
      <w:r>
        <w:t xml:space="preserve">Level and Quality of Support </w:t>
      </w:r>
    </w:p>
    <w:p w14:paraId="7D04654B" w14:textId="77777777" w:rsidR="00412033" w:rsidRDefault="00994BB5">
      <w:pPr>
        <w:pStyle w:val="Heading4"/>
        <w:ind w:left="379"/>
      </w:pPr>
      <w:r>
        <w:t>3.1.4.1</w:t>
      </w:r>
      <w:r>
        <w:rPr>
          <w:rFonts w:ascii="Arial" w:eastAsia="Arial" w:hAnsi="Arial" w:cs="Arial"/>
        </w:rPr>
        <w:t xml:space="preserve"> </w:t>
      </w:r>
      <w:r>
        <w:t xml:space="preserve">Support Service Level Agreement </w:t>
      </w:r>
    </w:p>
    <w:p w14:paraId="4B947F41" w14:textId="5C1690E6" w:rsidR="00412033" w:rsidRDefault="00994BB5" w:rsidP="00EB320E">
      <w:pPr>
        <w:ind w:left="11" w:right="22"/>
      </w:pPr>
      <w:r>
        <w:t xml:space="preserve">It is essential that the engineering / electrician resources provided for this service are certified in the specific products in use. The Tenderers support engineer(s) / electrician(s) must be experienced in UPS and comms room design, lifecycle management and be capable of advising </w:t>
      </w:r>
      <w:r w:rsidR="00C30D16">
        <w:t>DOJHAM</w:t>
      </w:r>
      <w:r>
        <w:t xml:space="preserve"> on same. This must all be reflected in the CVs for proposed engineer(s) / electrician(s) which must form a part of the tender submission. </w:t>
      </w:r>
    </w:p>
    <w:p w14:paraId="545F70FF" w14:textId="70F86BFF" w:rsidR="00EB320E" w:rsidRDefault="00994BB5" w:rsidP="001973C7">
      <w:pPr>
        <w:ind w:left="11" w:right="22"/>
      </w:pPr>
      <w:r>
        <w:t>Minimum up time for all UPS devices, when involved, is 30 minutes (at full load</w:t>
      </w:r>
      <w:r w:rsidR="009F5490">
        <w:t>) to allow for a graceful power-down.</w:t>
      </w:r>
    </w:p>
    <w:p w14:paraId="51681D1B" w14:textId="4392CBB5" w:rsidR="00EB320E" w:rsidRDefault="00EB320E" w:rsidP="00EB320E">
      <w:pPr>
        <w:spacing w:after="213"/>
        <w:ind w:left="11" w:right="22"/>
      </w:pPr>
      <w:r>
        <w:t xml:space="preserve">It is essential that the Tenderer provide an SLA in terms of communication with DOJHAM. </w:t>
      </w:r>
      <w:r w:rsidR="009F5490">
        <w:t xml:space="preserve">The Tenderer should commit to responding to </w:t>
      </w:r>
      <w:r w:rsidR="00B10732">
        <w:t xml:space="preserve">DOJ </w:t>
      </w:r>
      <w:r w:rsidR="009F5490">
        <w:t>communication within one working day</w:t>
      </w:r>
      <w:r w:rsidR="00B10732">
        <w:t>, where possible</w:t>
      </w:r>
      <w:r w:rsidR="009F5490">
        <w:t>.</w:t>
      </w:r>
    </w:p>
    <w:p w14:paraId="3BE05F40" w14:textId="77777777" w:rsidR="00412033" w:rsidRDefault="00994BB5">
      <w:pPr>
        <w:pStyle w:val="Heading4"/>
        <w:ind w:left="379"/>
      </w:pPr>
      <w:r>
        <w:t>3.1.4.2</w:t>
      </w:r>
      <w:r>
        <w:rPr>
          <w:rFonts w:ascii="Arial" w:eastAsia="Arial" w:hAnsi="Arial" w:cs="Arial"/>
        </w:rPr>
        <w:t xml:space="preserve"> </w:t>
      </w:r>
      <w:r>
        <w:t xml:space="preserve">Configuration changes  </w:t>
      </w:r>
    </w:p>
    <w:p w14:paraId="29B2F896" w14:textId="77777777" w:rsidR="00412033" w:rsidRDefault="00994BB5">
      <w:pPr>
        <w:spacing w:after="4"/>
        <w:ind w:left="11" w:right="22"/>
      </w:pPr>
      <w:r>
        <w:t xml:space="preserve">It is expected that from time-to-time configuration changes will be required on the UPS infrastructure. </w:t>
      </w:r>
    </w:p>
    <w:p w14:paraId="51F76044" w14:textId="52650C8E" w:rsidR="00412033" w:rsidRDefault="00994BB5">
      <w:pPr>
        <w:spacing w:after="196"/>
        <w:ind w:left="11" w:right="22"/>
      </w:pPr>
      <w:r>
        <w:t xml:space="preserve">Some changes may be made by the </w:t>
      </w:r>
      <w:r w:rsidR="00C30D16">
        <w:t>DOJHAM</w:t>
      </w:r>
      <w:r>
        <w:t xml:space="preserve"> team, but other changes will need to be completed by the Tenderer. As a part of the service offering, the Tenderer will be required to perform such changes on an as required basis. Requests for changes will be initiated by </w:t>
      </w:r>
      <w:r w:rsidR="00C30D16">
        <w:t>DOJHAM</w:t>
      </w:r>
      <w:r>
        <w:t xml:space="preserve"> or may be suggested by the Tenderer as they deem necessary.  </w:t>
      </w:r>
    </w:p>
    <w:p w14:paraId="1A34FF60" w14:textId="77777777" w:rsidR="00412033" w:rsidRPr="00EB320E" w:rsidRDefault="00994BB5">
      <w:pPr>
        <w:pStyle w:val="Heading4"/>
        <w:ind w:left="379"/>
      </w:pPr>
      <w:r w:rsidRPr="00EB320E">
        <w:t>3.1.4.3</w:t>
      </w:r>
      <w:r w:rsidRPr="00EB320E">
        <w:rPr>
          <w:rFonts w:ascii="Arial" w:eastAsia="Arial" w:hAnsi="Arial" w:cs="Arial"/>
        </w:rPr>
        <w:t xml:space="preserve"> </w:t>
      </w:r>
      <w:r w:rsidRPr="00EB320E">
        <w:t xml:space="preserve">Periodic System Review and Health check </w:t>
      </w:r>
    </w:p>
    <w:p w14:paraId="7E35C436" w14:textId="77777777" w:rsidR="00412033" w:rsidRPr="00EB320E" w:rsidRDefault="00994BB5">
      <w:pPr>
        <w:ind w:left="11" w:right="22"/>
      </w:pPr>
      <w:r w:rsidRPr="00EB320E">
        <w:t xml:space="preserve">To maintain a stable and future proofed communications environment, the Tenderer will be required to perform a periodic review and health check on the UPS infrastructure once a year at minimum. </w:t>
      </w:r>
    </w:p>
    <w:p w14:paraId="6FB5509D" w14:textId="475667DD" w:rsidR="00412033" w:rsidRPr="00EB320E" w:rsidRDefault="00994BB5">
      <w:pPr>
        <w:ind w:left="11" w:right="22"/>
      </w:pPr>
      <w:r w:rsidRPr="00EB320E">
        <w:t xml:space="preserve">A detailed report must be presented to </w:t>
      </w:r>
      <w:r w:rsidR="00C30D16" w:rsidRPr="00EB320E">
        <w:t>DOJHAM</w:t>
      </w:r>
      <w:r w:rsidRPr="00EB320E">
        <w:t xml:space="preserve"> for review. </w:t>
      </w:r>
    </w:p>
    <w:p w14:paraId="19E280C3" w14:textId="77777777" w:rsidR="00412033" w:rsidRPr="00EB320E" w:rsidRDefault="00994BB5">
      <w:pPr>
        <w:ind w:left="11" w:right="22"/>
      </w:pPr>
      <w:r w:rsidRPr="00EB320E">
        <w:t xml:space="preserve">The engineer(s) / electrician(s) carrying out the review must be experienced in UPS and comms room design, lifecycle management. This must be reflected in the CVs for the proposed engineer(s) / electrician(s) which must form a part of the Tenderer’s submission. </w:t>
      </w:r>
    </w:p>
    <w:p w14:paraId="217277B5" w14:textId="77777777" w:rsidR="00412033" w:rsidRDefault="00994BB5">
      <w:pPr>
        <w:spacing w:after="195"/>
        <w:ind w:left="11" w:right="22"/>
      </w:pPr>
      <w:r w:rsidRPr="00EB320E">
        <w:t>This report should include items such as present configuration, resilience and redundancy, system upgrade, software upgrade recommendations and any other information that will help to further secure, increase resilience or enhance performance of the infrastructure.</w:t>
      </w:r>
      <w:r>
        <w:t xml:space="preserve"> </w:t>
      </w:r>
    </w:p>
    <w:p w14:paraId="3F671D71" w14:textId="77777777" w:rsidR="00412033" w:rsidRDefault="00994BB5">
      <w:pPr>
        <w:pStyle w:val="Heading4"/>
        <w:ind w:left="379"/>
      </w:pPr>
      <w:r>
        <w:t>3.1.4.4</w:t>
      </w:r>
      <w:r>
        <w:rPr>
          <w:rFonts w:ascii="Arial" w:eastAsia="Arial" w:hAnsi="Arial" w:cs="Arial"/>
        </w:rPr>
        <w:t xml:space="preserve"> </w:t>
      </w:r>
      <w:r>
        <w:t xml:space="preserve">Support / Project Management </w:t>
      </w:r>
    </w:p>
    <w:p w14:paraId="71E144D9" w14:textId="737F33E8" w:rsidR="00412033" w:rsidRDefault="00994BB5">
      <w:pPr>
        <w:spacing w:after="184"/>
        <w:ind w:left="11" w:right="22"/>
      </w:pPr>
      <w:r>
        <w:t xml:space="preserve">Tenderers are required to nominate a Support / Project Manager for </w:t>
      </w:r>
      <w:r w:rsidR="00C30D16">
        <w:t>DOJHAM</w:t>
      </w:r>
      <w:r>
        <w:t xml:space="preserve"> to act as a central point of contact for any contract related activities. The Support / Project Manager duties will include: </w:t>
      </w:r>
    </w:p>
    <w:p w14:paraId="6A1B4000" w14:textId="77777777" w:rsidR="00412033" w:rsidRDefault="00994BB5">
      <w:pPr>
        <w:numPr>
          <w:ilvl w:val="0"/>
          <w:numId w:val="4"/>
        </w:numPr>
        <w:spacing w:after="39"/>
        <w:ind w:left="370" w:right="22" w:hanging="369"/>
      </w:pPr>
      <w:r>
        <w:t xml:space="preserve">Overall responsibility for the delivery of the service. </w:t>
      </w:r>
    </w:p>
    <w:p w14:paraId="327333EA" w14:textId="352C1BD6" w:rsidR="00412033" w:rsidRDefault="00994BB5">
      <w:pPr>
        <w:numPr>
          <w:ilvl w:val="0"/>
          <w:numId w:val="4"/>
        </w:numPr>
        <w:spacing w:after="24"/>
        <w:ind w:left="370" w:right="22" w:hanging="369"/>
      </w:pPr>
      <w:r>
        <w:t xml:space="preserve">Implementing and co-ordinating appropriate reporting mechanisms and quality assurance procedures that meet the requirements of </w:t>
      </w:r>
      <w:r w:rsidR="00C30D16">
        <w:t>DOJHAM</w:t>
      </w:r>
      <w:r>
        <w:t xml:space="preserve">. </w:t>
      </w:r>
    </w:p>
    <w:p w14:paraId="089B71C7" w14:textId="1637E239" w:rsidR="00412033" w:rsidRDefault="00994BB5">
      <w:pPr>
        <w:numPr>
          <w:ilvl w:val="0"/>
          <w:numId w:val="4"/>
        </w:numPr>
        <w:spacing w:after="23"/>
        <w:ind w:left="370" w:right="22" w:hanging="369"/>
      </w:pPr>
      <w:r>
        <w:t xml:space="preserve">Meet as required with </w:t>
      </w:r>
      <w:r w:rsidR="00C30D16">
        <w:t>DOJHAM</w:t>
      </w:r>
      <w:r>
        <w:t xml:space="preserve"> stakeholders to review the relationship and examine performance. </w:t>
      </w:r>
    </w:p>
    <w:p w14:paraId="4E6883A2" w14:textId="77777777" w:rsidR="00412033" w:rsidRDefault="00994BB5">
      <w:pPr>
        <w:numPr>
          <w:ilvl w:val="0"/>
          <w:numId w:val="4"/>
        </w:numPr>
        <w:spacing w:after="24"/>
        <w:ind w:left="370" w:right="22" w:hanging="369"/>
      </w:pPr>
      <w:r>
        <w:t xml:space="preserve">Deal with disputes, complaints, or concerns which may arise in relation to the performance of the contract. </w:t>
      </w:r>
    </w:p>
    <w:p w14:paraId="1A8EBB5D" w14:textId="77777777" w:rsidR="00412033" w:rsidRDefault="00994BB5">
      <w:pPr>
        <w:numPr>
          <w:ilvl w:val="0"/>
          <w:numId w:val="4"/>
        </w:numPr>
        <w:spacing w:after="24"/>
        <w:ind w:left="370" w:right="22" w:hanging="369"/>
      </w:pPr>
      <w:r>
        <w:lastRenderedPageBreak/>
        <w:t xml:space="preserve">Regularly give and receive both formal and informal feedback on the relationship, workloads, processes, areas and suggestions for improvement and cost savings. </w:t>
      </w:r>
    </w:p>
    <w:p w14:paraId="70B6ACA2" w14:textId="6C0745BE" w:rsidR="00412033" w:rsidRDefault="00994BB5">
      <w:pPr>
        <w:numPr>
          <w:ilvl w:val="0"/>
          <w:numId w:val="4"/>
        </w:numPr>
        <w:ind w:left="370" w:right="22" w:hanging="369"/>
      </w:pPr>
      <w:r>
        <w:t xml:space="preserve">Proactively discuss ways of improving the overall service with </w:t>
      </w:r>
      <w:r w:rsidR="00C30D16">
        <w:t>DOJHAM</w:t>
      </w:r>
      <w:r>
        <w:t xml:space="preserve">. </w:t>
      </w:r>
    </w:p>
    <w:p w14:paraId="2B09B87E" w14:textId="4910C3DB" w:rsidR="00412033" w:rsidRDefault="00994BB5">
      <w:pPr>
        <w:spacing w:after="212"/>
        <w:ind w:left="1" w:right="22" w:firstLine="369"/>
      </w:pPr>
      <w:r>
        <w:rPr>
          <w:i/>
          <w:color w:val="2F5496"/>
        </w:rPr>
        <w:t>3.1.4.5</w:t>
      </w:r>
      <w:r>
        <w:rPr>
          <w:rFonts w:ascii="Arial" w:eastAsia="Arial" w:hAnsi="Arial" w:cs="Arial"/>
          <w:i/>
          <w:color w:val="2F5496"/>
        </w:rPr>
        <w:t xml:space="preserve"> </w:t>
      </w:r>
      <w:r>
        <w:rPr>
          <w:i/>
          <w:color w:val="2F5496"/>
        </w:rPr>
        <w:t xml:space="preserve">Evidence of Reliability based on previous experience in providing similar support services </w:t>
      </w:r>
      <w:r>
        <w:t xml:space="preserve">The Tenderer should include in their submission, three (3) reference sites with details of services provided similar to that required by </w:t>
      </w:r>
      <w:r w:rsidR="00C30D16">
        <w:t>DOJHAM</w:t>
      </w:r>
      <w:r>
        <w:t xml:space="preserve">. These can be taken from the Public or Private Sector.  Please also provide contact details. The references sites provided should be companies with whom you have worked within the last four (4) years. The reference sites may be contacted directly on a confidential basis during the evaluation stage without reference back to the tenderer. </w:t>
      </w:r>
    </w:p>
    <w:p w14:paraId="2EF77425" w14:textId="77777777" w:rsidR="00412033" w:rsidRDefault="00994BB5">
      <w:pPr>
        <w:pStyle w:val="Heading3"/>
        <w:tabs>
          <w:tab w:val="center" w:pos="617"/>
          <w:tab w:val="center" w:pos="1414"/>
        </w:tabs>
        <w:ind w:left="0" w:firstLine="0"/>
      </w:pPr>
      <w:r>
        <w:rPr>
          <w:b w:val="0"/>
        </w:rPr>
        <w:tab/>
      </w:r>
      <w:r>
        <w:t>3.1.5</w:t>
      </w:r>
      <w:r>
        <w:rPr>
          <w:rFonts w:ascii="Arial" w:eastAsia="Arial" w:hAnsi="Arial" w:cs="Arial"/>
        </w:rPr>
        <w:t xml:space="preserve"> </w:t>
      </w:r>
      <w:r>
        <w:rPr>
          <w:rFonts w:ascii="Arial" w:eastAsia="Arial" w:hAnsi="Arial" w:cs="Arial"/>
        </w:rPr>
        <w:tab/>
      </w:r>
      <w:r>
        <w:t xml:space="preserve">Pricing </w:t>
      </w:r>
    </w:p>
    <w:p w14:paraId="662F7606" w14:textId="77777777" w:rsidR="00412033" w:rsidRDefault="00994BB5">
      <w:pPr>
        <w:spacing w:after="183"/>
        <w:ind w:left="11" w:right="22"/>
      </w:pPr>
      <w:r>
        <w:t xml:space="preserve">Tenderers are obliged to agree that: </w:t>
      </w:r>
    </w:p>
    <w:p w14:paraId="45CFA211" w14:textId="77777777" w:rsidR="00412033" w:rsidRDefault="00994BB5">
      <w:pPr>
        <w:numPr>
          <w:ilvl w:val="0"/>
          <w:numId w:val="5"/>
        </w:numPr>
        <w:spacing w:after="14"/>
        <w:ind w:left="370" w:right="22" w:hanging="369"/>
      </w:pPr>
      <w:r>
        <w:t xml:space="preserve">All rates including daily rates quoted will be fixed for Year 1 and Year 2 and charges should not exceed these rates.  </w:t>
      </w:r>
    </w:p>
    <w:p w14:paraId="49893081" w14:textId="77777777" w:rsidR="00412033" w:rsidRDefault="00994BB5">
      <w:pPr>
        <w:numPr>
          <w:ilvl w:val="0"/>
          <w:numId w:val="5"/>
        </w:numPr>
        <w:spacing w:after="11"/>
        <w:ind w:left="370" w:right="22" w:hanging="369"/>
      </w:pPr>
      <w:r>
        <w:t xml:space="preserve">Any subsequent changes would be by agreement and should not exceed the prevailing Consumer Price Index or similar indicator.  </w:t>
      </w:r>
    </w:p>
    <w:p w14:paraId="2F16A5E6" w14:textId="77777777" w:rsidR="00412033" w:rsidRDefault="00994BB5">
      <w:pPr>
        <w:numPr>
          <w:ilvl w:val="0"/>
          <w:numId w:val="5"/>
        </w:numPr>
        <w:spacing w:after="183"/>
        <w:ind w:left="370" w:right="22" w:hanging="369"/>
      </w:pPr>
      <w:r>
        <w:t xml:space="preserve">No new products or upgrades can be supplied without the prior approval and agreement of the Contracting Authority. </w:t>
      </w:r>
    </w:p>
    <w:p w14:paraId="12E724A6" w14:textId="77777777" w:rsidR="00412033" w:rsidRDefault="00994BB5">
      <w:pPr>
        <w:pStyle w:val="Heading4"/>
        <w:ind w:left="379"/>
      </w:pPr>
      <w:r>
        <w:t>3.1.5.1</w:t>
      </w:r>
      <w:r>
        <w:rPr>
          <w:rFonts w:ascii="Arial" w:eastAsia="Arial" w:hAnsi="Arial" w:cs="Arial"/>
        </w:rPr>
        <w:t xml:space="preserve"> </w:t>
      </w:r>
      <w:r>
        <w:t xml:space="preserve">Support costs  </w:t>
      </w:r>
    </w:p>
    <w:p w14:paraId="4875C1B5" w14:textId="4B4E2159" w:rsidR="00412033" w:rsidRDefault="00994BB5">
      <w:pPr>
        <w:ind w:left="11" w:right="149"/>
      </w:pPr>
      <w:r>
        <w:t xml:space="preserve">The successful Tenderer should provide costs to fully maintain all existing infrastructure, keeping required spare parts and devices necessary to meet the required SLA as detailed below. </w:t>
      </w:r>
    </w:p>
    <w:p w14:paraId="68950894" w14:textId="2E5C1C9B" w:rsidR="00412033" w:rsidRDefault="00994BB5">
      <w:pPr>
        <w:ind w:left="11" w:right="151"/>
      </w:pPr>
      <w:r>
        <w:t xml:space="preserve">Any faulty hardware / software is to be replaced by the Tenderer at no cost to </w:t>
      </w:r>
      <w:r w:rsidR="00C30D16">
        <w:t>DOJHAM</w:t>
      </w:r>
      <w:r>
        <w:t xml:space="preserve"> </w:t>
      </w:r>
      <w:r w:rsidR="006E23EE">
        <w:t>f</w:t>
      </w:r>
      <w:r>
        <w:t xml:space="preserve">or the duration of the contract. This includes the setup and configuration of the replacement system on site as required. All warranty management and returns to the original equipment manufacturers will be the responsibility of the Tenderer. </w:t>
      </w:r>
    </w:p>
    <w:p w14:paraId="38770F13" w14:textId="77777777" w:rsidR="00412033" w:rsidRDefault="00994BB5">
      <w:pPr>
        <w:spacing w:after="0"/>
        <w:ind w:left="11" w:right="22"/>
      </w:pPr>
      <w:r>
        <w:t xml:space="preserve">The Tenderer should provide a description of their proposed approach to providing this service in the Tender Response Document, with indicative pricing (per year) in the Pricing Schedule. </w:t>
      </w:r>
    </w:p>
    <w:p w14:paraId="4A8A28AA" w14:textId="77777777" w:rsidR="00412033" w:rsidRDefault="00994BB5" w:rsidP="00C30D16">
      <w:pPr>
        <w:spacing w:after="59" w:line="259" w:lineRule="auto"/>
        <w:ind w:left="16" w:firstLine="0"/>
      </w:pPr>
      <w:r>
        <w:t xml:space="preserve"> </w:t>
      </w:r>
    </w:p>
    <w:p w14:paraId="3146D6A7" w14:textId="77777777" w:rsidR="00412033" w:rsidRDefault="00994BB5">
      <w:pPr>
        <w:pStyle w:val="Heading4"/>
        <w:ind w:left="379"/>
      </w:pPr>
      <w:r>
        <w:t>3.1.5.2</w:t>
      </w:r>
      <w:r>
        <w:rPr>
          <w:rFonts w:ascii="Arial" w:eastAsia="Arial" w:hAnsi="Arial" w:cs="Arial"/>
        </w:rPr>
        <w:t xml:space="preserve"> </w:t>
      </w:r>
      <w:r>
        <w:t xml:space="preserve">Project and Support drawdown days </w:t>
      </w:r>
    </w:p>
    <w:p w14:paraId="05A596CB" w14:textId="2A99B992" w:rsidR="00412033" w:rsidRDefault="00994BB5">
      <w:pPr>
        <w:spacing w:after="0"/>
        <w:ind w:left="11" w:right="22"/>
      </w:pPr>
      <w:r>
        <w:t xml:space="preserve">The </w:t>
      </w:r>
      <w:r w:rsidR="00C30D16">
        <w:t>DOJHAM</w:t>
      </w:r>
      <w:r>
        <w:t xml:space="preserve"> environment is dynamic and there will be a requirement to avail of UPS support and consultancy for future project work and expansion. The Tenderer’s engineer(s) / electrician(s) must be experienced in UPS, comms room and Data Centre design as well as system lifecycle management. This must be reflected in the CVs for proposed resources which must form a part of the Tenderer’s submission. </w:t>
      </w:r>
    </w:p>
    <w:p w14:paraId="3C96A038" w14:textId="77777777" w:rsidR="00412033" w:rsidRDefault="00994BB5">
      <w:pPr>
        <w:spacing w:after="0" w:line="259" w:lineRule="auto"/>
        <w:ind w:left="16" w:firstLine="0"/>
        <w:jc w:val="left"/>
      </w:pPr>
      <w:r>
        <w:t xml:space="preserve"> </w:t>
      </w:r>
    </w:p>
    <w:p w14:paraId="798D6034" w14:textId="77777777" w:rsidR="00412033" w:rsidRDefault="00994BB5">
      <w:pPr>
        <w:spacing w:after="182"/>
        <w:ind w:left="11" w:right="22"/>
      </w:pPr>
      <w:r>
        <w:t xml:space="preserve">Pricing for support / delivery days must be included as per the below: </w:t>
      </w:r>
    </w:p>
    <w:p w14:paraId="3FB09F41" w14:textId="77777777" w:rsidR="00412033" w:rsidRDefault="00994BB5">
      <w:pPr>
        <w:numPr>
          <w:ilvl w:val="0"/>
          <w:numId w:val="6"/>
        </w:numPr>
        <w:spacing w:after="22"/>
        <w:ind w:left="370" w:right="22" w:hanging="369"/>
      </w:pPr>
      <w:r>
        <w:t xml:space="preserve">Daily Rates per normal working day 9am to 5pm </w:t>
      </w:r>
    </w:p>
    <w:p w14:paraId="75DA5DE5" w14:textId="77777777" w:rsidR="00412033" w:rsidRDefault="00994BB5">
      <w:pPr>
        <w:numPr>
          <w:ilvl w:val="0"/>
          <w:numId w:val="6"/>
        </w:numPr>
        <w:spacing w:after="23"/>
        <w:ind w:left="370" w:right="22" w:hanging="369"/>
      </w:pPr>
      <w:r>
        <w:t xml:space="preserve">Daily Out of Hours rate </w:t>
      </w:r>
    </w:p>
    <w:p w14:paraId="55511FDD" w14:textId="77777777" w:rsidR="00412033" w:rsidRDefault="00994BB5">
      <w:pPr>
        <w:numPr>
          <w:ilvl w:val="0"/>
          <w:numId w:val="6"/>
        </w:numPr>
        <w:ind w:left="370" w:right="22" w:hanging="369"/>
      </w:pPr>
      <w:r>
        <w:t xml:space="preserve">Daily rates for different roles within the tendering organisation should be included in the Pricing Schedule.  </w:t>
      </w:r>
    </w:p>
    <w:p w14:paraId="24403CED" w14:textId="77777777" w:rsidR="00412033" w:rsidRDefault="00994BB5">
      <w:pPr>
        <w:spacing w:after="0"/>
        <w:ind w:left="11" w:right="22"/>
      </w:pPr>
      <w:r>
        <w:lastRenderedPageBreak/>
        <w:t xml:space="preserve">The daily rates quoted will be fixed for Year 1 and Year 2 and charges should not exceed these rates.  Any subsequent changes would be by agreement and should not exceed the prevailing Consumer Price Index or similar indicator.  </w:t>
      </w:r>
    </w:p>
    <w:p w14:paraId="4F6E0931" w14:textId="77777777" w:rsidR="00412033" w:rsidRDefault="00994BB5">
      <w:pPr>
        <w:spacing w:after="0" w:line="259" w:lineRule="auto"/>
        <w:ind w:left="16" w:firstLine="0"/>
        <w:jc w:val="left"/>
      </w:pPr>
      <w:r>
        <w:t xml:space="preserve"> </w:t>
      </w:r>
    </w:p>
    <w:p w14:paraId="4B638660" w14:textId="77777777" w:rsidR="00412033" w:rsidRDefault="00994BB5">
      <w:pPr>
        <w:spacing w:after="0" w:line="259" w:lineRule="auto"/>
        <w:ind w:left="16" w:firstLine="0"/>
        <w:jc w:val="left"/>
      </w:pPr>
      <w:r>
        <w:t xml:space="preserve"> </w:t>
      </w:r>
    </w:p>
    <w:p w14:paraId="4426E817" w14:textId="77777777" w:rsidR="00412033" w:rsidRDefault="00994BB5">
      <w:pPr>
        <w:spacing w:after="0" w:line="259" w:lineRule="auto"/>
        <w:ind w:left="16" w:firstLine="0"/>
        <w:jc w:val="left"/>
      </w:pPr>
      <w:r>
        <w:t xml:space="preserve"> </w:t>
      </w:r>
    </w:p>
    <w:p w14:paraId="04D8674E" w14:textId="77777777" w:rsidR="00412033" w:rsidRDefault="00994BB5" w:rsidP="006E23EE">
      <w:pPr>
        <w:pStyle w:val="Heading4"/>
        <w:spacing w:after="0"/>
        <w:ind w:left="0" w:firstLine="720"/>
      </w:pPr>
      <w:r>
        <w:t>3.1.5.4</w:t>
      </w:r>
      <w:r>
        <w:rPr>
          <w:rFonts w:ascii="Arial" w:eastAsia="Arial" w:hAnsi="Arial" w:cs="Arial"/>
        </w:rPr>
        <w:t xml:space="preserve"> </w:t>
      </w:r>
      <w:r>
        <w:t xml:space="preserve">Hardware  </w:t>
      </w:r>
    </w:p>
    <w:p w14:paraId="7CFFDA6C" w14:textId="77777777" w:rsidR="00412033" w:rsidRDefault="00994BB5">
      <w:pPr>
        <w:ind w:left="11" w:right="22"/>
      </w:pPr>
      <w:r>
        <w:t xml:space="preserve">Hardware cost per UPS device type, relevant to requirements, should also be included. </w:t>
      </w:r>
    </w:p>
    <w:p w14:paraId="7E6B5F2F" w14:textId="26A14D38" w:rsidR="00412033" w:rsidRDefault="00994BB5">
      <w:pPr>
        <w:spacing w:after="0"/>
        <w:ind w:left="11" w:right="22"/>
      </w:pPr>
      <w:r>
        <w:t xml:space="preserve">The Tenderer should provide a description of their proposed approach to enabling such requirements within </w:t>
      </w:r>
      <w:r w:rsidR="00C30D16">
        <w:t>DOJHAM</w:t>
      </w:r>
      <w:r>
        <w:t xml:space="preserve"> e.g. ordering methodology / lead times, in the Tender Response Document, with pricing in the Pricing Schedule.  The approach should be based on the current </w:t>
      </w:r>
      <w:r w:rsidR="00C30D16">
        <w:t>DOJHAM</w:t>
      </w:r>
      <w:r>
        <w:t xml:space="preserve"> setup. </w:t>
      </w:r>
    </w:p>
    <w:p w14:paraId="782F9B50" w14:textId="77777777" w:rsidR="00412033" w:rsidRDefault="00994BB5">
      <w:pPr>
        <w:spacing w:after="0" w:line="259" w:lineRule="auto"/>
        <w:ind w:left="16" w:firstLine="0"/>
        <w:jc w:val="left"/>
      </w:pPr>
      <w:r>
        <w:rPr>
          <w:rFonts w:ascii="Times New Roman" w:eastAsia="Times New Roman" w:hAnsi="Times New Roman" w:cs="Times New Roman"/>
          <w:sz w:val="24"/>
        </w:rPr>
        <w:t xml:space="preserve"> </w:t>
      </w:r>
    </w:p>
    <w:p w14:paraId="55663509" w14:textId="20F950BF" w:rsidR="00412033" w:rsidRDefault="00C30D16">
      <w:pPr>
        <w:spacing w:after="290"/>
        <w:ind w:left="11" w:right="22"/>
      </w:pPr>
      <w:r>
        <w:t>DOJHAM</w:t>
      </w:r>
      <w:r w:rsidR="00994BB5">
        <w:t xml:space="preserve"> assumption is that any hardwired UPS should be installed by a licenced electrician, in collaboration with </w:t>
      </w:r>
      <w:r>
        <w:t>DOJHAM</w:t>
      </w:r>
      <w:r w:rsidR="00994BB5">
        <w:t xml:space="preserve"> Facilities Management teams / suppliers for connectivity e.g. power supply</w:t>
      </w:r>
      <w:r w:rsidR="003620B7">
        <w:t>, w</w:t>
      </w:r>
      <w:r w:rsidR="00994BB5">
        <w:t>hile smaller plug-and-play UPS devices enable installation by users</w:t>
      </w:r>
      <w:r w:rsidR="003620B7">
        <w:t>.</w:t>
      </w:r>
      <w:r w:rsidR="00994BB5">
        <w:t xml:space="preserve"> </w:t>
      </w:r>
    </w:p>
    <w:p w14:paraId="4D0D868A" w14:textId="77777777" w:rsidR="00412033" w:rsidRDefault="00994BB5">
      <w:pPr>
        <w:spacing w:after="281" w:line="256" w:lineRule="auto"/>
        <w:ind w:left="16" w:firstLine="0"/>
        <w:jc w:val="left"/>
      </w:pPr>
      <w:r>
        <w:t xml:space="preserve">These prices quoted should be valid for 12 months commencing on the closing date by which the tenders are to be returned.  Any subsequent changes would be by agreement and should not exceed the prevailing Consumer Price Index or similar indicator.  </w:t>
      </w:r>
      <w:r>
        <w:rPr>
          <w:rFonts w:ascii="Times New Roman" w:eastAsia="Times New Roman" w:hAnsi="Times New Roman" w:cs="Times New Roman"/>
          <w:sz w:val="24"/>
        </w:rPr>
        <w:t xml:space="preserve">   </w:t>
      </w:r>
    </w:p>
    <w:p w14:paraId="1AEF4808" w14:textId="77777777" w:rsidR="00412033" w:rsidRDefault="00994BB5">
      <w:pPr>
        <w:pStyle w:val="Heading4"/>
        <w:spacing w:after="0"/>
        <w:ind w:left="379"/>
      </w:pPr>
      <w:r>
        <w:t>3.1.5.5</w:t>
      </w:r>
      <w:r>
        <w:rPr>
          <w:rFonts w:ascii="Arial" w:eastAsia="Arial" w:hAnsi="Arial" w:cs="Arial"/>
        </w:rPr>
        <w:t xml:space="preserve"> </w:t>
      </w:r>
      <w:r>
        <w:t xml:space="preserve">Licencing </w:t>
      </w:r>
    </w:p>
    <w:p w14:paraId="68AB23F6" w14:textId="3807C415" w:rsidR="00412033" w:rsidRDefault="00994BB5">
      <w:pPr>
        <w:spacing w:after="0"/>
        <w:ind w:left="11" w:right="22"/>
      </w:pPr>
      <w:r>
        <w:t xml:space="preserve">The Tenderer should provide a description of their proposed licencing approach (if any) in the Tender Response Document, with pricing (if any) in the Pricing Schedule. The approach should be based on the current </w:t>
      </w:r>
      <w:r w:rsidR="00C30D16">
        <w:t>DOJHAM</w:t>
      </w:r>
      <w:r>
        <w:t xml:space="preserve"> setup. </w:t>
      </w:r>
    </w:p>
    <w:p w14:paraId="088F7208" w14:textId="77777777" w:rsidR="00412033" w:rsidRDefault="00994BB5">
      <w:pPr>
        <w:spacing w:after="0" w:line="259" w:lineRule="auto"/>
        <w:ind w:left="16" w:firstLine="0"/>
        <w:jc w:val="left"/>
      </w:pPr>
      <w:r>
        <w:rPr>
          <w:b/>
        </w:rPr>
        <w:t xml:space="preserve"> </w:t>
      </w:r>
      <w:r>
        <w:rPr>
          <w:b/>
        </w:rPr>
        <w:tab/>
        <w:t xml:space="preserve"> </w:t>
      </w:r>
    </w:p>
    <w:p w14:paraId="02165256" w14:textId="77777777" w:rsidR="00412033" w:rsidRPr="003C3FA5" w:rsidRDefault="00994BB5">
      <w:pPr>
        <w:pStyle w:val="Heading3"/>
        <w:tabs>
          <w:tab w:val="center" w:pos="617"/>
          <w:tab w:val="center" w:pos="2045"/>
        </w:tabs>
        <w:ind w:left="0" w:firstLine="0"/>
      </w:pPr>
      <w:r>
        <w:rPr>
          <w:b w:val="0"/>
        </w:rPr>
        <w:tab/>
      </w:r>
      <w:r w:rsidRPr="003C3FA5">
        <w:t>3.1.6</w:t>
      </w:r>
      <w:r w:rsidRPr="003C3FA5">
        <w:rPr>
          <w:rFonts w:ascii="Arial" w:eastAsia="Arial" w:hAnsi="Arial" w:cs="Arial"/>
        </w:rPr>
        <w:t xml:space="preserve"> </w:t>
      </w:r>
      <w:r w:rsidRPr="003C3FA5">
        <w:rPr>
          <w:rFonts w:ascii="Arial" w:eastAsia="Arial" w:hAnsi="Arial" w:cs="Arial"/>
        </w:rPr>
        <w:tab/>
      </w:r>
      <w:r w:rsidRPr="003C3FA5">
        <w:t xml:space="preserve">Other requirements  </w:t>
      </w:r>
    </w:p>
    <w:p w14:paraId="2D614DEA" w14:textId="77777777" w:rsidR="00412033" w:rsidRPr="003C3FA5" w:rsidRDefault="00994BB5">
      <w:pPr>
        <w:spacing w:after="182"/>
        <w:ind w:left="11" w:right="22"/>
      </w:pPr>
      <w:r w:rsidRPr="003C3FA5">
        <w:t xml:space="preserve">The following minimum requirements and specifications must be met: </w:t>
      </w:r>
    </w:p>
    <w:p w14:paraId="08F6C4FB" w14:textId="77777777" w:rsidR="00412033" w:rsidRPr="003C3FA5" w:rsidRDefault="00994BB5">
      <w:pPr>
        <w:pStyle w:val="Heading4"/>
        <w:spacing w:after="28"/>
        <w:ind w:left="379"/>
      </w:pPr>
      <w:r w:rsidRPr="003C3FA5">
        <w:t>3.1.6.1</w:t>
      </w:r>
      <w:r w:rsidRPr="003C3FA5">
        <w:rPr>
          <w:rFonts w:ascii="Arial" w:eastAsia="Arial" w:hAnsi="Arial" w:cs="Arial"/>
        </w:rPr>
        <w:t xml:space="preserve"> </w:t>
      </w:r>
      <w:r w:rsidRPr="003C3FA5">
        <w:t xml:space="preserve">Capacity Management  </w:t>
      </w:r>
    </w:p>
    <w:p w14:paraId="7DEF99C9" w14:textId="77777777" w:rsidR="00412033" w:rsidRPr="003C3FA5" w:rsidRDefault="00994BB5">
      <w:pPr>
        <w:numPr>
          <w:ilvl w:val="0"/>
          <w:numId w:val="7"/>
        </w:numPr>
        <w:spacing w:after="24"/>
        <w:ind w:right="22" w:hanging="368"/>
      </w:pPr>
      <w:r w:rsidRPr="003C3FA5">
        <w:t xml:space="preserve">Ability to optimise, forecast, schedule, and plan for comms room or data centre day to day operational power usage  </w:t>
      </w:r>
    </w:p>
    <w:p w14:paraId="6BEBB498" w14:textId="77777777" w:rsidR="00412033" w:rsidRPr="003C3FA5" w:rsidRDefault="00994BB5">
      <w:pPr>
        <w:numPr>
          <w:ilvl w:val="0"/>
          <w:numId w:val="7"/>
        </w:numPr>
        <w:spacing w:after="6"/>
        <w:ind w:right="22" w:hanging="368"/>
      </w:pPr>
      <w:r w:rsidRPr="003C3FA5">
        <w:t xml:space="preserve">Quality Management: Intuitive forecasting  </w:t>
      </w:r>
    </w:p>
    <w:p w14:paraId="4C7C1FBB" w14:textId="77777777" w:rsidR="00412033" w:rsidRPr="003C3FA5" w:rsidRDefault="00994BB5">
      <w:pPr>
        <w:numPr>
          <w:ilvl w:val="0"/>
          <w:numId w:val="7"/>
        </w:numPr>
        <w:spacing w:after="25"/>
        <w:ind w:right="22" w:hanging="368"/>
      </w:pPr>
      <w:r w:rsidRPr="003C3FA5">
        <w:t xml:space="preserve">Performance Management: Notifications should be sent when there is poor power performance, this should trigger relevant resources to then be amended and the work auto route through as per the amended paths.  </w:t>
      </w:r>
    </w:p>
    <w:p w14:paraId="50DA3428" w14:textId="456D1613" w:rsidR="00412033" w:rsidRPr="003C3FA5" w:rsidRDefault="00994BB5">
      <w:pPr>
        <w:numPr>
          <w:ilvl w:val="0"/>
          <w:numId w:val="7"/>
        </w:numPr>
        <w:spacing w:after="22"/>
        <w:ind w:right="22" w:hanging="368"/>
      </w:pPr>
      <w:r w:rsidRPr="003C3FA5">
        <w:t xml:space="preserve">Solution must be scalable to meet </w:t>
      </w:r>
      <w:r w:rsidR="00C30D16" w:rsidRPr="003C3FA5">
        <w:t>DOJHAM</w:t>
      </w:r>
      <w:r w:rsidRPr="003C3FA5">
        <w:t xml:space="preserve"> demand </w:t>
      </w:r>
    </w:p>
    <w:p w14:paraId="5E0FB999" w14:textId="77777777" w:rsidR="00412033" w:rsidRPr="003C3FA5" w:rsidRDefault="00994BB5">
      <w:pPr>
        <w:numPr>
          <w:ilvl w:val="0"/>
          <w:numId w:val="7"/>
        </w:numPr>
        <w:spacing w:after="7"/>
        <w:ind w:right="22" w:hanging="368"/>
      </w:pPr>
      <w:r w:rsidRPr="003C3FA5">
        <w:t xml:space="preserve">Real Time Monitoring </w:t>
      </w:r>
    </w:p>
    <w:p w14:paraId="1C4FFEF9" w14:textId="77777777" w:rsidR="00412033" w:rsidRPr="003C3FA5" w:rsidRDefault="00994BB5">
      <w:pPr>
        <w:numPr>
          <w:ilvl w:val="0"/>
          <w:numId w:val="7"/>
        </w:numPr>
        <w:spacing w:after="22"/>
        <w:ind w:right="22" w:hanging="368"/>
      </w:pPr>
      <w:r w:rsidRPr="003C3FA5">
        <w:t xml:space="preserve">Monitoring and alerting if a UPS is overloaded  </w:t>
      </w:r>
    </w:p>
    <w:p w14:paraId="43F54882" w14:textId="77777777" w:rsidR="00412033" w:rsidRPr="003C3FA5" w:rsidRDefault="00994BB5">
      <w:pPr>
        <w:numPr>
          <w:ilvl w:val="0"/>
          <w:numId w:val="7"/>
        </w:numPr>
        <w:spacing w:after="182"/>
        <w:ind w:right="22" w:hanging="368"/>
      </w:pPr>
      <w:r w:rsidRPr="003C3FA5">
        <w:t xml:space="preserve">Predictive tools for configuration to meet expected needs  </w:t>
      </w:r>
    </w:p>
    <w:p w14:paraId="27E611F3" w14:textId="53452A19" w:rsidR="00EB320E" w:rsidRPr="003C3FA5" w:rsidRDefault="00EB320E">
      <w:pPr>
        <w:numPr>
          <w:ilvl w:val="0"/>
          <w:numId w:val="7"/>
        </w:numPr>
        <w:spacing w:after="182"/>
        <w:ind w:right="22" w:hanging="368"/>
      </w:pPr>
      <w:r w:rsidRPr="003C3FA5">
        <w:t>Monitoring of ambient temperature in the room</w:t>
      </w:r>
    </w:p>
    <w:p w14:paraId="33EB89F4" w14:textId="77777777" w:rsidR="00412033" w:rsidRPr="003C3FA5" w:rsidRDefault="00994BB5">
      <w:pPr>
        <w:pStyle w:val="Heading4"/>
        <w:spacing w:after="28"/>
        <w:ind w:left="379"/>
      </w:pPr>
      <w:r w:rsidRPr="003C3FA5">
        <w:t>3.1.6.2</w:t>
      </w:r>
      <w:r w:rsidRPr="003C3FA5">
        <w:rPr>
          <w:rFonts w:ascii="Arial" w:eastAsia="Arial" w:hAnsi="Arial" w:cs="Arial"/>
        </w:rPr>
        <w:t xml:space="preserve"> </w:t>
      </w:r>
      <w:r w:rsidRPr="003C3FA5">
        <w:t xml:space="preserve">Analytics and reporting </w:t>
      </w:r>
    </w:p>
    <w:p w14:paraId="6E18309A" w14:textId="77777777" w:rsidR="00412033" w:rsidRPr="003C3FA5" w:rsidRDefault="00994BB5">
      <w:pPr>
        <w:numPr>
          <w:ilvl w:val="0"/>
          <w:numId w:val="8"/>
        </w:numPr>
        <w:spacing w:after="6"/>
        <w:ind w:right="22" w:hanging="368"/>
      </w:pPr>
      <w:r w:rsidRPr="003C3FA5">
        <w:t xml:space="preserve">Quality Assessment: Measurement Tool for measuring power performance. </w:t>
      </w:r>
    </w:p>
    <w:p w14:paraId="310D716B" w14:textId="77777777" w:rsidR="00412033" w:rsidRPr="003C3FA5" w:rsidRDefault="00994BB5">
      <w:pPr>
        <w:numPr>
          <w:ilvl w:val="0"/>
          <w:numId w:val="8"/>
        </w:numPr>
        <w:spacing w:after="23"/>
        <w:ind w:right="22" w:hanging="368"/>
      </w:pPr>
      <w:r w:rsidRPr="003C3FA5">
        <w:t xml:space="preserve">Integrated scoring and analytics for quality measurement. </w:t>
      </w:r>
    </w:p>
    <w:p w14:paraId="6BC4D7E1" w14:textId="77777777" w:rsidR="00412033" w:rsidRPr="003C3FA5" w:rsidRDefault="00994BB5">
      <w:pPr>
        <w:numPr>
          <w:ilvl w:val="0"/>
          <w:numId w:val="8"/>
        </w:numPr>
        <w:spacing w:after="22"/>
        <w:ind w:right="22" w:hanging="368"/>
      </w:pPr>
      <w:r w:rsidRPr="003C3FA5">
        <w:t xml:space="preserve">Out-of-the-box reports to facilitate measuring performance  </w:t>
      </w:r>
    </w:p>
    <w:p w14:paraId="799AD3E9" w14:textId="77777777" w:rsidR="00412033" w:rsidRPr="003C3FA5" w:rsidRDefault="00994BB5">
      <w:pPr>
        <w:numPr>
          <w:ilvl w:val="0"/>
          <w:numId w:val="8"/>
        </w:numPr>
        <w:ind w:right="22" w:hanging="368"/>
      </w:pPr>
      <w:r w:rsidRPr="003C3FA5">
        <w:lastRenderedPageBreak/>
        <w:t xml:space="preserve">Reports can be auto generated and populated into a readable format  </w:t>
      </w:r>
    </w:p>
    <w:p w14:paraId="43C0978B" w14:textId="77777777" w:rsidR="00412033" w:rsidRDefault="00994BB5">
      <w:pPr>
        <w:pStyle w:val="Heading3"/>
        <w:tabs>
          <w:tab w:val="center" w:pos="617"/>
          <w:tab w:val="center" w:pos="2404"/>
        </w:tabs>
        <w:spacing w:after="188"/>
        <w:ind w:left="0" w:firstLine="0"/>
      </w:pPr>
      <w:r>
        <w:rPr>
          <w:b w:val="0"/>
        </w:rPr>
        <w:tab/>
      </w:r>
      <w:r>
        <w:t>3.1.7</w:t>
      </w:r>
      <w:r>
        <w:rPr>
          <w:rFonts w:ascii="Arial" w:eastAsia="Arial" w:hAnsi="Arial" w:cs="Arial"/>
        </w:rPr>
        <w:t xml:space="preserve"> </w:t>
      </w:r>
      <w:r>
        <w:rPr>
          <w:rFonts w:ascii="Arial" w:eastAsia="Arial" w:hAnsi="Arial" w:cs="Arial"/>
        </w:rPr>
        <w:tab/>
      </w:r>
      <w:r>
        <w:t xml:space="preserve">Sustainability requirements </w:t>
      </w:r>
    </w:p>
    <w:p w14:paraId="4E8279C0" w14:textId="77777777" w:rsidR="00412033" w:rsidRDefault="00994BB5">
      <w:pPr>
        <w:pStyle w:val="Heading4"/>
        <w:ind w:left="379"/>
      </w:pPr>
      <w:r>
        <w:t>3.1.7.1</w:t>
      </w:r>
      <w:r>
        <w:rPr>
          <w:rFonts w:ascii="Arial" w:eastAsia="Arial" w:hAnsi="Arial" w:cs="Arial"/>
        </w:rPr>
        <w:t xml:space="preserve"> </w:t>
      </w:r>
      <w:r>
        <w:t xml:space="preserve">Compliance with the WEEE Regulations and end-of-life management </w:t>
      </w:r>
    </w:p>
    <w:p w14:paraId="7E8594CF" w14:textId="77777777" w:rsidR="00412033" w:rsidRDefault="00994BB5">
      <w:pPr>
        <w:ind w:left="11" w:right="22"/>
      </w:pPr>
      <w:r>
        <w:t xml:space="preserve">Tenderers must provide evidence that the producer(s) of all products included in their tender, which are subject to the regulations on waste electrical and electronic equipment (WEEE), are registered with the national registration body (Producer Register Ltd) or equivalent. Evidence of registration with the national registration body for WEEE must be provided within the tender. </w:t>
      </w:r>
    </w:p>
    <w:p w14:paraId="65AAD623" w14:textId="77777777" w:rsidR="00412033" w:rsidRDefault="00994BB5">
      <w:pPr>
        <w:spacing w:after="200"/>
        <w:ind w:left="11" w:right="22"/>
      </w:pPr>
      <w:r>
        <w:t xml:space="preserve">Tenderers must also provide a service for the re-use and recycling of the whole product or of components requiring selective treatment in accordance with Schedule 9 of the WEEE Regulations 2014 for equipment that has reached the end of its service life. The service must comprise the following activities:  </w:t>
      </w:r>
    </w:p>
    <w:p w14:paraId="65E5F02D" w14:textId="77777777" w:rsidR="00412033" w:rsidRDefault="00994BB5">
      <w:pPr>
        <w:numPr>
          <w:ilvl w:val="0"/>
          <w:numId w:val="9"/>
        </w:numPr>
        <w:spacing w:after="0"/>
        <w:ind w:right="22" w:hanging="368"/>
      </w:pPr>
      <w:r>
        <w:t xml:space="preserve">Collection (take back system); </w:t>
      </w:r>
    </w:p>
    <w:p w14:paraId="413BEB07" w14:textId="77777777" w:rsidR="00412033" w:rsidRDefault="00994BB5">
      <w:pPr>
        <w:numPr>
          <w:ilvl w:val="0"/>
          <w:numId w:val="9"/>
        </w:numPr>
        <w:spacing w:after="10"/>
        <w:ind w:right="22" w:hanging="368"/>
      </w:pPr>
      <w:r>
        <w:t xml:space="preserve">Functional testing, servicing, repair and upgrading to prepare products or components for reuse; </w:t>
      </w:r>
    </w:p>
    <w:p w14:paraId="32B44EF9" w14:textId="77777777" w:rsidR="00412033" w:rsidRDefault="00994BB5">
      <w:pPr>
        <w:numPr>
          <w:ilvl w:val="0"/>
          <w:numId w:val="9"/>
        </w:numPr>
        <w:spacing w:after="0"/>
        <w:ind w:right="22" w:hanging="368"/>
      </w:pPr>
      <w:r>
        <w:t xml:space="preserve">Dismantling for component re-use, recycling and/or disposal.  </w:t>
      </w:r>
    </w:p>
    <w:p w14:paraId="4A4681B8" w14:textId="77777777" w:rsidR="00412033" w:rsidRDefault="00994BB5">
      <w:pPr>
        <w:spacing w:after="0" w:line="259" w:lineRule="auto"/>
        <w:ind w:left="480" w:firstLine="0"/>
        <w:jc w:val="left"/>
      </w:pPr>
      <w:r>
        <w:t xml:space="preserve"> </w:t>
      </w:r>
    </w:p>
    <w:p w14:paraId="0DEB52D4" w14:textId="77777777" w:rsidR="00412033" w:rsidRDefault="00994BB5">
      <w:pPr>
        <w:ind w:left="11" w:right="22"/>
      </w:pPr>
      <w:r>
        <w:t xml:space="preserve">Preparation for re-use, recycling and disposal operations must be carried out in full compliance with the requirements of the WEEE Regulations 2014 and with reference to the list of components for selective treatment.  </w:t>
      </w:r>
    </w:p>
    <w:p w14:paraId="17D54079" w14:textId="77777777" w:rsidR="00412033" w:rsidRDefault="00994BB5">
      <w:pPr>
        <w:spacing w:after="183"/>
        <w:ind w:left="11" w:right="22"/>
      </w:pPr>
      <w:r>
        <w:t xml:space="preserve">The tenderer must provide details of the arrangements for collection, preparation for re-use, and recycling/disposal. This must include valid proof of the producer’s registration with the national registration scheme for WEEE. </w:t>
      </w:r>
    </w:p>
    <w:p w14:paraId="6B1710EF" w14:textId="77777777" w:rsidR="00412033" w:rsidRDefault="00994BB5">
      <w:pPr>
        <w:pStyle w:val="Heading4"/>
        <w:ind w:left="379"/>
      </w:pPr>
      <w:r>
        <w:t>3.1.7.2</w:t>
      </w:r>
      <w:r>
        <w:rPr>
          <w:rFonts w:ascii="Arial" w:eastAsia="Arial" w:hAnsi="Arial" w:cs="Arial"/>
        </w:rPr>
        <w:t xml:space="preserve"> </w:t>
      </w:r>
      <w:r>
        <w:t xml:space="preserve">Energy efficiency </w:t>
      </w:r>
    </w:p>
    <w:p w14:paraId="6EF19CC1" w14:textId="77777777" w:rsidR="00412033" w:rsidRDefault="00994BB5">
      <w:pPr>
        <w:spacing w:after="4"/>
        <w:ind w:left="11" w:right="22"/>
      </w:pPr>
      <w:r>
        <w:t xml:space="preserve">The contracting Authority is required to apply the Triple E register criteria in public procurement under </w:t>
      </w:r>
    </w:p>
    <w:p w14:paraId="461782BC" w14:textId="77777777" w:rsidR="00412033" w:rsidRDefault="00994BB5">
      <w:pPr>
        <w:spacing w:after="131"/>
        <w:ind w:left="11" w:right="22"/>
      </w:pPr>
      <w:hyperlink r:id="rId22">
        <w:r>
          <w:rPr>
            <w:color w:val="0563C1"/>
            <w:u w:val="single" w:color="0563C1"/>
          </w:rPr>
          <w:t>S.I. 151/2011</w:t>
        </w:r>
      </w:hyperlink>
      <w:hyperlink r:id="rId23">
        <w:r>
          <w:t>.</w:t>
        </w:r>
      </w:hyperlink>
      <w:r>
        <w:t xml:space="preserve"> Tenderers are required to demonstrate that the UPS units supplied meet the criteria for inclusion in the Triple E Register published on the website of the Sustainable Energy Authority of Ireland, which are inserted below for reference: </w:t>
      </w:r>
    </w:p>
    <w:p w14:paraId="0EFF526C" w14:textId="77777777" w:rsidR="00412033" w:rsidRDefault="00994BB5">
      <w:pPr>
        <w:spacing w:after="131"/>
        <w:ind w:left="11" w:right="22"/>
      </w:pPr>
      <w:r>
        <w:rPr>
          <w:b/>
        </w:rPr>
        <w:t>UPS Eligibility Criteria</w:t>
      </w:r>
      <w:r>
        <w:t xml:space="preserve">: In order to be included on the Triple E Register, UPS equipment must meet all of the relevant requirements set out below. </w:t>
      </w:r>
    </w:p>
    <w:p w14:paraId="7409B0D4" w14:textId="77777777" w:rsidR="00412033" w:rsidRDefault="00994BB5">
      <w:pPr>
        <w:spacing w:after="0" w:line="259" w:lineRule="auto"/>
        <w:ind w:left="16" w:firstLine="0"/>
      </w:pPr>
      <w:r>
        <w:rPr>
          <w:b/>
        </w:rPr>
        <w:t>Note</w:t>
      </w:r>
      <w:r>
        <w:t xml:space="preserve">: </w:t>
      </w:r>
      <w:r>
        <w:rPr>
          <w:i/>
        </w:rPr>
        <w:t xml:space="preserve">Supporting documentation that clearly demonstrates Triple E compliance according to the conditions below will be required as part of the Triple E checking process. Detailed information on the types of documents accepted can be found in the separate Supporting Documentation guidelines, which are available here: https://www.seai.ie/business-and-public-sector/triple-e-register-forproducts/programme-updates/Uniterruptable-Power-Supply_Criteria-Preview.pdf </w:t>
      </w:r>
    </w:p>
    <w:tbl>
      <w:tblPr>
        <w:tblStyle w:val="TableGrid"/>
        <w:tblW w:w="9036" w:type="dxa"/>
        <w:tblInd w:w="8" w:type="dxa"/>
        <w:tblCellMar>
          <w:top w:w="32" w:type="dxa"/>
          <w:left w:w="120" w:type="dxa"/>
          <w:right w:w="53" w:type="dxa"/>
        </w:tblCellMar>
        <w:tblLook w:val="04A0" w:firstRow="1" w:lastRow="0" w:firstColumn="1" w:lastColumn="0" w:noHBand="0" w:noVBand="1"/>
      </w:tblPr>
      <w:tblGrid>
        <w:gridCol w:w="560"/>
        <w:gridCol w:w="8476"/>
      </w:tblGrid>
      <w:tr w:rsidR="00412033" w14:paraId="40B5E62E" w14:textId="77777777">
        <w:trPr>
          <w:trHeight w:val="448"/>
        </w:trPr>
        <w:tc>
          <w:tcPr>
            <w:tcW w:w="560" w:type="dxa"/>
            <w:tcBorders>
              <w:top w:val="single" w:sz="6" w:space="0" w:color="000000"/>
              <w:left w:val="single" w:sz="6" w:space="0" w:color="000000"/>
              <w:bottom w:val="single" w:sz="6" w:space="0" w:color="000000"/>
              <w:right w:val="single" w:sz="6" w:space="0" w:color="000000"/>
            </w:tcBorders>
          </w:tcPr>
          <w:p w14:paraId="32D1ACAD" w14:textId="77777777" w:rsidR="00412033" w:rsidRDefault="00994BB5">
            <w:pPr>
              <w:spacing w:after="0" w:line="259" w:lineRule="auto"/>
              <w:ind w:left="0" w:firstLine="0"/>
              <w:jc w:val="left"/>
            </w:pPr>
            <w:r>
              <w:rPr>
                <w:b/>
              </w:rPr>
              <w:t xml:space="preserve">No. </w:t>
            </w:r>
          </w:p>
        </w:tc>
        <w:tc>
          <w:tcPr>
            <w:tcW w:w="8476" w:type="dxa"/>
            <w:tcBorders>
              <w:top w:val="single" w:sz="6" w:space="0" w:color="000000"/>
              <w:left w:val="single" w:sz="6" w:space="0" w:color="000000"/>
              <w:bottom w:val="single" w:sz="6" w:space="0" w:color="000000"/>
              <w:right w:val="single" w:sz="6" w:space="0" w:color="000000"/>
            </w:tcBorders>
          </w:tcPr>
          <w:p w14:paraId="30DA45D6" w14:textId="77777777" w:rsidR="00412033" w:rsidRDefault="00994BB5">
            <w:pPr>
              <w:spacing w:after="0" w:line="259" w:lineRule="auto"/>
              <w:ind w:left="1" w:firstLine="0"/>
              <w:jc w:val="left"/>
            </w:pPr>
            <w:r>
              <w:rPr>
                <w:b/>
              </w:rPr>
              <w:t xml:space="preserve">Condition </w:t>
            </w:r>
          </w:p>
        </w:tc>
      </w:tr>
      <w:tr w:rsidR="00412033" w14:paraId="17BCE5E3" w14:textId="77777777">
        <w:trPr>
          <w:trHeight w:val="1057"/>
        </w:trPr>
        <w:tc>
          <w:tcPr>
            <w:tcW w:w="560" w:type="dxa"/>
            <w:tcBorders>
              <w:top w:val="single" w:sz="6" w:space="0" w:color="000000"/>
              <w:left w:val="single" w:sz="6" w:space="0" w:color="000000"/>
              <w:bottom w:val="single" w:sz="6" w:space="0" w:color="000000"/>
              <w:right w:val="single" w:sz="6" w:space="0" w:color="000000"/>
            </w:tcBorders>
          </w:tcPr>
          <w:p w14:paraId="1D4C3879" w14:textId="77777777" w:rsidR="00412033" w:rsidRDefault="00994BB5">
            <w:pPr>
              <w:spacing w:after="0" w:line="259" w:lineRule="auto"/>
              <w:ind w:left="0" w:firstLine="0"/>
              <w:jc w:val="left"/>
            </w:pPr>
            <w:r>
              <w:t xml:space="preserve">1 </w:t>
            </w:r>
          </w:p>
        </w:tc>
        <w:tc>
          <w:tcPr>
            <w:tcW w:w="8476" w:type="dxa"/>
            <w:tcBorders>
              <w:top w:val="single" w:sz="6" w:space="0" w:color="000000"/>
              <w:left w:val="single" w:sz="6" w:space="0" w:color="000000"/>
              <w:bottom w:val="single" w:sz="6" w:space="0" w:color="000000"/>
              <w:right w:val="single" w:sz="6" w:space="0" w:color="000000"/>
            </w:tcBorders>
          </w:tcPr>
          <w:p w14:paraId="101F318F" w14:textId="77777777" w:rsidR="00412033" w:rsidRDefault="00994BB5">
            <w:pPr>
              <w:spacing w:after="0" w:line="259" w:lineRule="auto"/>
              <w:ind w:left="1" w:right="46" w:firstLine="0"/>
            </w:pPr>
            <w:r>
              <w:t xml:space="preserve">Is a static uninterruptible power supply as defined in BS EN 62040-3:2021 (or IEC 62040- 3:2021) and includes electronic control system that controls the operation of the product, voltage inverter and rectifier devices, and one or more energy storage devices </w:t>
            </w:r>
          </w:p>
        </w:tc>
      </w:tr>
      <w:tr w:rsidR="00412033" w14:paraId="0EFE549E" w14:textId="77777777">
        <w:trPr>
          <w:trHeight w:val="1057"/>
        </w:trPr>
        <w:tc>
          <w:tcPr>
            <w:tcW w:w="560" w:type="dxa"/>
            <w:tcBorders>
              <w:top w:val="single" w:sz="6" w:space="0" w:color="000000"/>
              <w:left w:val="single" w:sz="6" w:space="0" w:color="000000"/>
              <w:bottom w:val="single" w:sz="7" w:space="0" w:color="000000"/>
              <w:right w:val="single" w:sz="6" w:space="0" w:color="000000"/>
            </w:tcBorders>
          </w:tcPr>
          <w:p w14:paraId="44CBEC03" w14:textId="77777777" w:rsidR="00412033" w:rsidRDefault="00994BB5">
            <w:pPr>
              <w:spacing w:after="0" w:line="259" w:lineRule="auto"/>
              <w:ind w:left="0" w:firstLine="0"/>
              <w:jc w:val="left"/>
            </w:pPr>
            <w:r>
              <w:t xml:space="preserve">2 </w:t>
            </w:r>
          </w:p>
        </w:tc>
        <w:tc>
          <w:tcPr>
            <w:tcW w:w="8476" w:type="dxa"/>
            <w:tcBorders>
              <w:top w:val="single" w:sz="6" w:space="0" w:color="000000"/>
              <w:left w:val="single" w:sz="6" w:space="0" w:color="000000"/>
              <w:bottom w:val="single" w:sz="7" w:space="0" w:color="000000"/>
              <w:right w:val="single" w:sz="6" w:space="0" w:color="000000"/>
            </w:tcBorders>
          </w:tcPr>
          <w:p w14:paraId="5E2A11EB" w14:textId="77777777" w:rsidR="00412033" w:rsidRDefault="00994BB5">
            <w:pPr>
              <w:spacing w:after="0" w:line="259" w:lineRule="auto"/>
              <w:ind w:left="1" w:right="65" w:firstLine="0"/>
            </w:pPr>
            <w:r>
              <w:t xml:space="preserve">Must meet the minimum efficiency requirements set out in table 1. If the UPS is a multiple normal mode UPS then it shall comply with the minimum efficiency value of the lowest input dependency classification available in table 1 </w:t>
            </w:r>
          </w:p>
        </w:tc>
      </w:tr>
      <w:tr w:rsidR="00412033" w14:paraId="6A624F48" w14:textId="77777777">
        <w:trPr>
          <w:trHeight w:val="1057"/>
        </w:trPr>
        <w:tc>
          <w:tcPr>
            <w:tcW w:w="560" w:type="dxa"/>
            <w:tcBorders>
              <w:top w:val="single" w:sz="7" w:space="0" w:color="000000"/>
              <w:left w:val="single" w:sz="6" w:space="0" w:color="000000"/>
              <w:bottom w:val="single" w:sz="7" w:space="0" w:color="000000"/>
              <w:right w:val="single" w:sz="6" w:space="0" w:color="000000"/>
            </w:tcBorders>
          </w:tcPr>
          <w:p w14:paraId="4E00E89F" w14:textId="77777777" w:rsidR="00412033" w:rsidRDefault="00994BB5">
            <w:pPr>
              <w:spacing w:after="0" w:line="259" w:lineRule="auto"/>
              <w:ind w:left="0" w:firstLine="0"/>
              <w:jc w:val="left"/>
            </w:pPr>
            <w:r>
              <w:lastRenderedPageBreak/>
              <w:t xml:space="preserve">3 </w:t>
            </w:r>
          </w:p>
        </w:tc>
        <w:tc>
          <w:tcPr>
            <w:tcW w:w="8476" w:type="dxa"/>
            <w:tcBorders>
              <w:top w:val="single" w:sz="7" w:space="0" w:color="000000"/>
              <w:left w:val="single" w:sz="6" w:space="0" w:color="000000"/>
              <w:bottom w:val="single" w:sz="7" w:space="0" w:color="000000"/>
              <w:right w:val="single" w:sz="6" w:space="0" w:color="000000"/>
            </w:tcBorders>
          </w:tcPr>
          <w:p w14:paraId="13E8F095" w14:textId="77777777" w:rsidR="00412033" w:rsidRDefault="00994BB5">
            <w:pPr>
              <w:spacing w:after="0" w:line="259" w:lineRule="auto"/>
              <w:ind w:left="1" w:right="70" w:firstLine="0"/>
            </w:pPr>
            <w:r>
              <w:t xml:space="preserve">Must comply with EN 62040‐3 “Uninterruptible Power Systems (UPS) Method of specifying the performance and test requirements” and calculated weighted average efficiency, or scientific equivalent. </w:t>
            </w:r>
          </w:p>
        </w:tc>
      </w:tr>
      <w:tr w:rsidR="00412033" w14:paraId="507D69B3" w14:textId="77777777">
        <w:trPr>
          <w:trHeight w:val="1666"/>
        </w:trPr>
        <w:tc>
          <w:tcPr>
            <w:tcW w:w="560" w:type="dxa"/>
            <w:tcBorders>
              <w:top w:val="single" w:sz="7" w:space="0" w:color="000000"/>
              <w:left w:val="single" w:sz="6" w:space="0" w:color="000000"/>
              <w:bottom w:val="single" w:sz="6" w:space="0" w:color="000000"/>
              <w:right w:val="single" w:sz="6" w:space="0" w:color="000000"/>
            </w:tcBorders>
          </w:tcPr>
          <w:p w14:paraId="58885E1D" w14:textId="77777777" w:rsidR="00412033" w:rsidRDefault="00994BB5">
            <w:pPr>
              <w:spacing w:after="0" w:line="259" w:lineRule="auto"/>
              <w:ind w:left="0" w:firstLine="0"/>
              <w:jc w:val="left"/>
            </w:pPr>
            <w:r>
              <w:t xml:space="preserve">4 </w:t>
            </w:r>
          </w:p>
        </w:tc>
        <w:tc>
          <w:tcPr>
            <w:tcW w:w="8476" w:type="dxa"/>
            <w:tcBorders>
              <w:top w:val="single" w:sz="7" w:space="0" w:color="000000"/>
              <w:left w:val="single" w:sz="6" w:space="0" w:color="000000"/>
              <w:bottom w:val="single" w:sz="6" w:space="0" w:color="000000"/>
              <w:right w:val="single" w:sz="6" w:space="0" w:color="000000"/>
            </w:tcBorders>
          </w:tcPr>
          <w:p w14:paraId="028F5A07" w14:textId="77777777" w:rsidR="00412033" w:rsidRDefault="00994BB5">
            <w:pPr>
              <w:spacing w:after="0" w:line="259" w:lineRule="auto"/>
              <w:ind w:left="1" w:right="52" w:firstLine="0"/>
            </w:pPr>
            <w:r>
              <w:t xml:space="preserve">Must have a control system for transmitting and receiving performance data. Operational and control systems are specified on the presumption that hardware must have power management built in, i.e. depending on the functionality required of the UPS, the hardware will automatically operate with the highest possible energy efficiency according to the normal mode </w:t>
            </w:r>
          </w:p>
        </w:tc>
      </w:tr>
      <w:tr w:rsidR="00412033" w14:paraId="352F0F90" w14:textId="77777777">
        <w:trPr>
          <w:trHeight w:val="752"/>
        </w:trPr>
        <w:tc>
          <w:tcPr>
            <w:tcW w:w="560" w:type="dxa"/>
            <w:tcBorders>
              <w:top w:val="single" w:sz="6" w:space="0" w:color="000000"/>
              <w:left w:val="single" w:sz="6" w:space="0" w:color="000000"/>
              <w:bottom w:val="single" w:sz="6" w:space="0" w:color="000000"/>
              <w:right w:val="single" w:sz="6" w:space="0" w:color="000000"/>
            </w:tcBorders>
          </w:tcPr>
          <w:p w14:paraId="764CE9D8" w14:textId="77777777" w:rsidR="00412033" w:rsidRDefault="00994BB5">
            <w:pPr>
              <w:spacing w:after="0" w:line="259" w:lineRule="auto"/>
              <w:ind w:left="0" w:firstLine="0"/>
              <w:jc w:val="left"/>
            </w:pPr>
            <w:r>
              <w:t xml:space="preserve">5 </w:t>
            </w:r>
          </w:p>
        </w:tc>
        <w:tc>
          <w:tcPr>
            <w:tcW w:w="8476" w:type="dxa"/>
            <w:tcBorders>
              <w:top w:val="single" w:sz="6" w:space="0" w:color="000000"/>
              <w:left w:val="single" w:sz="6" w:space="0" w:color="000000"/>
              <w:bottom w:val="single" w:sz="6" w:space="0" w:color="000000"/>
              <w:right w:val="single" w:sz="6" w:space="0" w:color="000000"/>
            </w:tcBorders>
          </w:tcPr>
          <w:p w14:paraId="7FB3F0EF" w14:textId="77777777" w:rsidR="00412033" w:rsidRDefault="00994BB5">
            <w:pPr>
              <w:spacing w:after="0" w:line="259" w:lineRule="auto"/>
              <w:ind w:left="1" w:firstLine="0"/>
              <w:jc w:val="left"/>
            </w:pPr>
            <w:r>
              <w:t xml:space="preserve">All equipment and/or components must be CE marked as required by the specific EU directive(s) </w:t>
            </w:r>
          </w:p>
        </w:tc>
      </w:tr>
    </w:tbl>
    <w:p w14:paraId="6974E233" w14:textId="77777777" w:rsidR="00412033" w:rsidRDefault="00994BB5">
      <w:pPr>
        <w:spacing w:after="137" w:line="259" w:lineRule="auto"/>
        <w:ind w:left="16" w:firstLine="0"/>
        <w:jc w:val="left"/>
      </w:pPr>
      <w:r>
        <w:rPr>
          <w:b/>
        </w:rPr>
        <w:t xml:space="preserve"> </w:t>
      </w:r>
    </w:p>
    <w:p w14:paraId="4416A508" w14:textId="77777777" w:rsidR="00412033" w:rsidRDefault="00994BB5">
      <w:pPr>
        <w:pStyle w:val="Heading3"/>
        <w:spacing w:after="0"/>
      </w:pPr>
      <w:r>
        <w:t xml:space="preserve">Table 1. UPS Efficiency Requirements </w:t>
      </w:r>
    </w:p>
    <w:tbl>
      <w:tblPr>
        <w:tblStyle w:val="TableGrid"/>
        <w:tblW w:w="9036" w:type="dxa"/>
        <w:tblInd w:w="8" w:type="dxa"/>
        <w:tblCellMar>
          <w:top w:w="32" w:type="dxa"/>
          <w:left w:w="120" w:type="dxa"/>
          <w:right w:w="115" w:type="dxa"/>
        </w:tblCellMar>
        <w:tblLook w:val="04A0" w:firstRow="1" w:lastRow="0" w:firstColumn="1" w:lastColumn="0" w:noHBand="0" w:noVBand="1"/>
      </w:tblPr>
      <w:tblGrid>
        <w:gridCol w:w="3012"/>
        <w:gridCol w:w="3012"/>
        <w:gridCol w:w="3012"/>
      </w:tblGrid>
      <w:tr w:rsidR="00412033" w14:paraId="3902B2CD" w14:textId="77777777">
        <w:trPr>
          <w:trHeight w:val="449"/>
        </w:trPr>
        <w:tc>
          <w:tcPr>
            <w:tcW w:w="3012" w:type="dxa"/>
            <w:tcBorders>
              <w:top w:val="single" w:sz="6" w:space="0" w:color="000000"/>
              <w:left w:val="single" w:sz="6" w:space="0" w:color="000000"/>
              <w:bottom w:val="single" w:sz="6" w:space="0" w:color="000000"/>
              <w:right w:val="single" w:sz="6" w:space="0" w:color="000000"/>
            </w:tcBorders>
          </w:tcPr>
          <w:p w14:paraId="33C5E9F7" w14:textId="77777777" w:rsidR="00412033" w:rsidRDefault="00994BB5">
            <w:pPr>
              <w:spacing w:after="0" w:line="259" w:lineRule="auto"/>
              <w:ind w:left="0" w:firstLine="0"/>
              <w:jc w:val="left"/>
            </w:pPr>
            <w:r>
              <w:t xml:space="preserve">UPS Type </w:t>
            </w:r>
          </w:p>
        </w:tc>
        <w:tc>
          <w:tcPr>
            <w:tcW w:w="3012" w:type="dxa"/>
            <w:tcBorders>
              <w:top w:val="single" w:sz="6" w:space="0" w:color="000000"/>
              <w:left w:val="single" w:sz="6" w:space="0" w:color="000000"/>
              <w:bottom w:val="single" w:sz="6" w:space="0" w:color="000000"/>
              <w:right w:val="single" w:sz="6" w:space="0" w:color="000000"/>
            </w:tcBorders>
          </w:tcPr>
          <w:p w14:paraId="4AAD7C33" w14:textId="77777777" w:rsidR="00412033" w:rsidRDefault="00994BB5">
            <w:pPr>
              <w:spacing w:after="0" w:line="259" w:lineRule="auto"/>
              <w:ind w:left="0" w:firstLine="0"/>
              <w:jc w:val="left"/>
            </w:pPr>
            <w:r>
              <w:t xml:space="preserve">Rated output power, P </w:t>
            </w:r>
          </w:p>
        </w:tc>
        <w:tc>
          <w:tcPr>
            <w:tcW w:w="3012" w:type="dxa"/>
            <w:tcBorders>
              <w:top w:val="single" w:sz="6" w:space="0" w:color="000000"/>
              <w:left w:val="single" w:sz="6" w:space="0" w:color="000000"/>
              <w:bottom w:val="single" w:sz="6" w:space="0" w:color="000000"/>
              <w:right w:val="single" w:sz="6" w:space="0" w:color="000000"/>
            </w:tcBorders>
          </w:tcPr>
          <w:p w14:paraId="7C8297B3" w14:textId="77777777" w:rsidR="00412033" w:rsidRDefault="00994BB5">
            <w:pPr>
              <w:spacing w:after="0" w:line="259" w:lineRule="auto"/>
              <w:ind w:left="0" w:firstLine="0"/>
              <w:jc w:val="left"/>
            </w:pPr>
            <w:r>
              <w:t xml:space="preserve">Weighted efficiency </w:t>
            </w:r>
          </w:p>
        </w:tc>
      </w:tr>
      <w:tr w:rsidR="00412033" w14:paraId="40D19B73" w14:textId="77777777">
        <w:trPr>
          <w:trHeight w:val="432"/>
        </w:trPr>
        <w:tc>
          <w:tcPr>
            <w:tcW w:w="3012" w:type="dxa"/>
            <w:tcBorders>
              <w:top w:val="single" w:sz="6" w:space="0" w:color="000000"/>
              <w:left w:val="single" w:sz="6" w:space="0" w:color="000000"/>
              <w:bottom w:val="single" w:sz="6" w:space="0" w:color="000000"/>
              <w:right w:val="single" w:sz="6" w:space="0" w:color="000000"/>
            </w:tcBorders>
          </w:tcPr>
          <w:p w14:paraId="37923738" w14:textId="77777777" w:rsidR="00412033" w:rsidRDefault="00994BB5">
            <w:pPr>
              <w:spacing w:after="0" w:line="259" w:lineRule="auto"/>
              <w:ind w:left="0" w:firstLine="0"/>
              <w:jc w:val="left"/>
            </w:pPr>
            <w:r>
              <w:t xml:space="preserve">VI, VFD </w:t>
            </w:r>
          </w:p>
        </w:tc>
        <w:tc>
          <w:tcPr>
            <w:tcW w:w="3012" w:type="dxa"/>
            <w:tcBorders>
              <w:top w:val="single" w:sz="6" w:space="0" w:color="000000"/>
              <w:left w:val="single" w:sz="6" w:space="0" w:color="000000"/>
              <w:bottom w:val="single" w:sz="6" w:space="0" w:color="000000"/>
              <w:right w:val="single" w:sz="6" w:space="0" w:color="000000"/>
            </w:tcBorders>
          </w:tcPr>
          <w:p w14:paraId="7F5D2386" w14:textId="77777777" w:rsidR="00412033" w:rsidRDefault="00994BB5">
            <w:pPr>
              <w:spacing w:after="0" w:line="259" w:lineRule="auto"/>
              <w:ind w:left="0" w:firstLine="0"/>
              <w:jc w:val="left"/>
            </w:pPr>
            <w:r>
              <w:t xml:space="preserve">All </w:t>
            </w:r>
          </w:p>
        </w:tc>
        <w:tc>
          <w:tcPr>
            <w:tcW w:w="3012" w:type="dxa"/>
            <w:tcBorders>
              <w:top w:val="single" w:sz="6" w:space="0" w:color="000000"/>
              <w:left w:val="single" w:sz="6" w:space="0" w:color="000000"/>
              <w:bottom w:val="single" w:sz="6" w:space="0" w:color="000000"/>
              <w:right w:val="single" w:sz="6" w:space="0" w:color="000000"/>
            </w:tcBorders>
          </w:tcPr>
          <w:p w14:paraId="3328D71F" w14:textId="77777777" w:rsidR="00412033" w:rsidRDefault="00994BB5">
            <w:pPr>
              <w:spacing w:after="0" w:line="259" w:lineRule="auto"/>
              <w:ind w:left="0" w:firstLine="0"/>
              <w:jc w:val="left"/>
            </w:pPr>
            <w:r>
              <w:t xml:space="preserve">0.985 </w:t>
            </w:r>
          </w:p>
        </w:tc>
      </w:tr>
      <w:tr w:rsidR="00412033" w14:paraId="1802B892" w14:textId="77777777">
        <w:trPr>
          <w:trHeight w:val="448"/>
        </w:trPr>
        <w:tc>
          <w:tcPr>
            <w:tcW w:w="3012" w:type="dxa"/>
            <w:tcBorders>
              <w:top w:val="single" w:sz="6" w:space="0" w:color="000000"/>
              <w:left w:val="single" w:sz="6" w:space="0" w:color="000000"/>
              <w:bottom w:val="single" w:sz="6" w:space="0" w:color="000000"/>
              <w:right w:val="single" w:sz="6" w:space="0" w:color="000000"/>
            </w:tcBorders>
          </w:tcPr>
          <w:p w14:paraId="444566CA" w14:textId="77777777" w:rsidR="00412033" w:rsidRDefault="00994BB5">
            <w:pPr>
              <w:spacing w:after="0" w:line="259" w:lineRule="auto"/>
              <w:ind w:left="0" w:firstLine="0"/>
              <w:jc w:val="left"/>
            </w:pPr>
            <w:r>
              <w:t xml:space="preserve">VFI </w:t>
            </w:r>
          </w:p>
        </w:tc>
        <w:tc>
          <w:tcPr>
            <w:tcW w:w="3012" w:type="dxa"/>
            <w:tcBorders>
              <w:top w:val="single" w:sz="6" w:space="0" w:color="000000"/>
              <w:left w:val="single" w:sz="6" w:space="0" w:color="000000"/>
              <w:bottom w:val="single" w:sz="6" w:space="0" w:color="000000"/>
              <w:right w:val="single" w:sz="6" w:space="0" w:color="000000"/>
            </w:tcBorders>
          </w:tcPr>
          <w:p w14:paraId="35852F52" w14:textId="77777777" w:rsidR="00412033" w:rsidRDefault="00994BB5">
            <w:pPr>
              <w:spacing w:after="0" w:line="259" w:lineRule="auto"/>
              <w:ind w:left="0" w:firstLine="0"/>
              <w:jc w:val="left"/>
            </w:pPr>
            <w:r>
              <w:t xml:space="preserve">5kW&lt;=P&lt;200kW </w:t>
            </w:r>
          </w:p>
        </w:tc>
        <w:tc>
          <w:tcPr>
            <w:tcW w:w="3012" w:type="dxa"/>
            <w:tcBorders>
              <w:top w:val="single" w:sz="6" w:space="0" w:color="000000"/>
              <w:left w:val="single" w:sz="6" w:space="0" w:color="000000"/>
              <w:bottom w:val="single" w:sz="6" w:space="0" w:color="000000"/>
              <w:right w:val="single" w:sz="6" w:space="0" w:color="000000"/>
            </w:tcBorders>
          </w:tcPr>
          <w:p w14:paraId="517531C2" w14:textId="77777777" w:rsidR="00412033" w:rsidRDefault="00994BB5">
            <w:pPr>
              <w:spacing w:after="0" w:line="259" w:lineRule="auto"/>
              <w:ind w:left="0" w:firstLine="0"/>
              <w:jc w:val="left"/>
            </w:pPr>
            <w:r>
              <w:t xml:space="preserve">(0.0065*In(P)+0.885) </w:t>
            </w:r>
          </w:p>
        </w:tc>
      </w:tr>
      <w:tr w:rsidR="00412033" w14:paraId="7B74C722" w14:textId="77777777">
        <w:trPr>
          <w:trHeight w:val="433"/>
        </w:trPr>
        <w:tc>
          <w:tcPr>
            <w:tcW w:w="3012" w:type="dxa"/>
            <w:tcBorders>
              <w:top w:val="single" w:sz="6" w:space="0" w:color="000000"/>
              <w:left w:val="single" w:sz="6" w:space="0" w:color="000000"/>
              <w:bottom w:val="single" w:sz="6" w:space="0" w:color="000000"/>
              <w:right w:val="single" w:sz="6" w:space="0" w:color="000000"/>
            </w:tcBorders>
          </w:tcPr>
          <w:p w14:paraId="3B6F6B64" w14:textId="77777777" w:rsidR="00412033" w:rsidRDefault="00994BB5">
            <w:pPr>
              <w:spacing w:after="0" w:line="259" w:lineRule="auto"/>
              <w:ind w:left="0" w:firstLine="0"/>
              <w:jc w:val="left"/>
            </w:pPr>
            <w:r>
              <w:t xml:space="preserve">VFI </w:t>
            </w:r>
          </w:p>
        </w:tc>
        <w:tc>
          <w:tcPr>
            <w:tcW w:w="3012" w:type="dxa"/>
            <w:tcBorders>
              <w:top w:val="single" w:sz="6" w:space="0" w:color="000000"/>
              <w:left w:val="single" w:sz="6" w:space="0" w:color="000000"/>
              <w:bottom w:val="single" w:sz="6" w:space="0" w:color="000000"/>
              <w:right w:val="single" w:sz="6" w:space="0" w:color="000000"/>
            </w:tcBorders>
          </w:tcPr>
          <w:p w14:paraId="3C77B791" w14:textId="77777777" w:rsidR="00412033" w:rsidRDefault="00994BB5">
            <w:pPr>
              <w:spacing w:after="0" w:line="259" w:lineRule="auto"/>
              <w:ind w:left="0" w:firstLine="0"/>
              <w:jc w:val="left"/>
            </w:pPr>
            <w:r>
              <w:t xml:space="preserve">P&gt;=200kW </w:t>
            </w:r>
          </w:p>
        </w:tc>
        <w:tc>
          <w:tcPr>
            <w:tcW w:w="3012" w:type="dxa"/>
            <w:tcBorders>
              <w:top w:val="single" w:sz="6" w:space="0" w:color="000000"/>
              <w:left w:val="single" w:sz="6" w:space="0" w:color="000000"/>
              <w:bottom w:val="single" w:sz="6" w:space="0" w:color="000000"/>
              <w:right w:val="single" w:sz="6" w:space="0" w:color="000000"/>
            </w:tcBorders>
          </w:tcPr>
          <w:p w14:paraId="57CA0027" w14:textId="77777777" w:rsidR="00412033" w:rsidRDefault="00994BB5">
            <w:pPr>
              <w:spacing w:after="0" w:line="259" w:lineRule="auto"/>
              <w:ind w:left="0" w:firstLine="0"/>
              <w:jc w:val="left"/>
            </w:pPr>
            <w:r>
              <w:t xml:space="preserve">0.96 </w:t>
            </w:r>
          </w:p>
        </w:tc>
      </w:tr>
    </w:tbl>
    <w:p w14:paraId="4A0863EE" w14:textId="77777777" w:rsidR="00412033" w:rsidRDefault="00994BB5">
      <w:pPr>
        <w:spacing w:after="121" w:line="259" w:lineRule="auto"/>
        <w:ind w:left="26"/>
        <w:jc w:val="left"/>
      </w:pPr>
      <w:r>
        <w:rPr>
          <w:b/>
        </w:rPr>
        <w:t xml:space="preserve">Where ln is the natural logarithm and P is the rated output power in Watts. </w:t>
      </w:r>
    </w:p>
    <w:p w14:paraId="3EEE6F9D" w14:textId="77777777" w:rsidR="00412033" w:rsidRDefault="00994BB5">
      <w:pPr>
        <w:spacing w:after="129"/>
        <w:ind w:left="11" w:right="22"/>
      </w:pPr>
      <w:r>
        <w:t xml:space="preserve">Products included on the Triple E Register will be deemed to comply. For products not included on the register, evidence of compliance with the relevant criteria in the form of test results, Type 1 Ecolabels or other objective third-party forms of evidence will be accepted. </w:t>
      </w:r>
    </w:p>
    <w:p w14:paraId="5C3C9ED1" w14:textId="77777777" w:rsidR="00412033" w:rsidRDefault="00994BB5">
      <w:pPr>
        <w:ind w:left="11" w:right="22"/>
      </w:pPr>
      <w:r>
        <w:rPr>
          <w:b/>
        </w:rPr>
        <w:t>Please Note:</w:t>
      </w:r>
      <w:r>
        <w:t xml:space="preserve"> The CA will award additional marks for higher energy efficiency levels beyond the minimum Triple E levels mandated by law. </w:t>
      </w:r>
    </w:p>
    <w:p w14:paraId="1CA5AE64" w14:textId="77777777" w:rsidR="00412033" w:rsidRDefault="00994BB5">
      <w:pPr>
        <w:spacing w:after="171" w:line="259" w:lineRule="auto"/>
        <w:ind w:left="16" w:firstLine="0"/>
        <w:jc w:val="left"/>
      </w:pPr>
      <w:r>
        <w:t xml:space="preserve"> </w:t>
      </w:r>
    </w:p>
    <w:p w14:paraId="1B1FEC7A" w14:textId="77777777" w:rsidR="00412033" w:rsidRDefault="00994BB5">
      <w:pPr>
        <w:pStyle w:val="Heading4"/>
        <w:ind w:left="379"/>
      </w:pPr>
      <w:r>
        <w:t>3.1.7.3</w:t>
      </w:r>
      <w:r>
        <w:rPr>
          <w:rFonts w:ascii="Arial" w:eastAsia="Arial" w:hAnsi="Arial" w:cs="Arial"/>
        </w:rPr>
        <w:t xml:space="preserve"> </w:t>
      </w:r>
      <w:r>
        <w:t xml:space="preserve">Warranty </w:t>
      </w:r>
    </w:p>
    <w:p w14:paraId="32BFB600" w14:textId="77777777" w:rsidR="00412033" w:rsidRDefault="00994BB5">
      <w:pPr>
        <w:spacing w:after="113"/>
        <w:ind w:left="11" w:right="22"/>
      </w:pPr>
      <w:r>
        <w:t xml:space="preserve">The UPS batteries supplied under the framework and contract must be covered by a warranty for a period of 2 years. A copy of the warranty shall be provided by the tenderer. This must include a </w:t>
      </w:r>
      <w:r>
        <w:rPr>
          <w:color w:val="00284A"/>
        </w:rPr>
        <w:t xml:space="preserve">declaration </w:t>
      </w:r>
      <w:r>
        <w:t xml:space="preserve">that the warranty covers the conformity of the goods with the contract specifications. </w:t>
      </w:r>
    </w:p>
    <w:p w14:paraId="7FB5E1E2" w14:textId="77777777" w:rsidR="00412033" w:rsidRDefault="00994BB5">
      <w:pPr>
        <w:ind w:left="11" w:right="22"/>
      </w:pPr>
      <w:r>
        <w:rPr>
          <w:b/>
        </w:rPr>
        <w:t>Please Note:</w:t>
      </w:r>
      <w:r>
        <w:t xml:space="preserve"> The CA will award additional marks for extended warranty period(s) beyond the 2 years detailed above, at no additional cost. </w:t>
      </w:r>
    </w:p>
    <w:p w14:paraId="7FA78AAB" w14:textId="77777777" w:rsidR="00412033" w:rsidRDefault="00994BB5">
      <w:pPr>
        <w:pStyle w:val="Heading4"/>
        <w:ind w:left="379"/>
      </w:pPr>
      <w:r>
        <w:t>3.1.7.4</w:t>
      </w:r>
      <w:r>
        <w:rPr>
          <w:rFonts w:ascii="Arial" w:eastAsia="Arial" w:hAnsi="Arial" w:cs="Arial"/>
        </w:rPr>
        <w:t xml:space="preserve"> </w:t>
      </w:r>
      <w:r>
        <w:t xml:space="preserve">Supplementary Environmental Measures  </w:t>
      </w:r>
    </w:p>
    <w:p w14:paraId="597FADCB" w14:textId="25CBD889" w:rsidR="00412033" w:rsidRDefault="00994BB5">
      <w:pPr>
        <w:spacing w:after="228"/>
        <w:ind w:left="11" w:right="22"/>
      </w:pPr>
      <w:r>
        <w:t xml:space="preserve">The </w:t>
      </w:r>
      <w:r w:rsidR="00DC41EB">
        <w:t>Dept. of Justice, Home Affairs and Migration</w:t>
      </w:r>
      <w:r>
        <w:t xml:space="preserve"> is constantly looking at ways of reducing its impact both directly and indirectly on its Carbon footprint. We are keen to improve all elements of the supply chain with regard to this tender. Above three areas of focus have been identified in sections 3.1.7.1; 3.1.7.2 and 3.1.7.3. Below please find other areas which it has been agreed can be targeted over the lifetime of the framework. </w:t>
      </w:r>
    </w:p>
    <w:p w14:paraId="123B1F56" w14:textId="77777777" w:rsidR="00412033" w:rsidRDefault="00994BB5">
      <w:pPr>
        <w:numPr>
          <w:ilvl w:val="0"/>
          <w:numId w:val="10"/>
        </w:numPr>
        <w:spacing w:after="29"/>
        <w:ind w:right="22" w:hanging="353"/>
      </w:pPr>
      <w:r>
        <w:t xml:space="preserve">Repair before Replace  </w:t>
      </w:r>
    </w:p>
    <w:p w14:paraId="012DF0E0" w14:textId="77777777" w:rsidR="00412033" w:rsidRDefault="00994BB5">
      <w:pPr>
        <w:numPr>
          <w:ilvl w:val="0"/>
          <w:numId w:val="10"/>
        </w:numPr>
        <w:spacing w:after="28"/>
        <w:ind w:right="22" w:hanging="353"/>
      </w:pPr>
      <w:r>
        <w:t xml:space="preserve">Enhanced energy efficiency beyond the minimum requirements set out above </w:t>
      </w:r>
    </w:p>
    <w:p w14:paraId="5A7E718D" w14:textId="77777777" w:rsidR="00412033" w:rsidRDefault="00994BB5">
      <w:pPr>
        <w:numPr>
          <w:ilvl w:val="0"/>
          <w:numId w:val="10"/>
        </w:numPr>
        <w:spacing w:after="53"/>
        <w:ind w:right="22" w:hanging="353"/>
      </w:pPr>
      <w:r>
        <w:lastRenderedPageBreak/>
        <w:t xml:space="preserve">Minimising the impact of packaging (e.g. through use of recycled and recyclable or compostable packaging) </w:t>
      </w:r>
    </w:p>
    <w:p w14:paraId="3FD7268F" w14:textId="77777777" w:rsidR="00412033" w:rsidRDefault="00994BB5">
      <w:pPr>
        <w:numPr>
          <w:ilvl w:val="0"/>
          <w:numId w:val="10"/>
        </w:numPr>
        <w:spacing w:after="53"/>
        <w:ind w:right="22" w:hanging="353"/>
      </w:pPr>
      <w:r>
        <w:t xml:space="preserve">Minimising the impact of transport (e.g. consolidating journeys for delivery and collection of old units, use of low or zero-emission vehicles, etc.) </w:t>
      </w:r>
    </w:p>
    <w:p w14:paraId="3BEF1650" w14:textId="77777777" w:rsidR="00412033" w:rsidRDefault="00994BB5">
      <w:pPr>
        <w:numPr>
          <w:ilvl w:val="0"/>
          <w:numId w:val="10"/>
        </w:numPr>
        <w:spacing w:after="266"/>
        <w:ind w:right="22" w:hanging="353"/>
      </w:pPr>
      <w:r>
        <w:t xml:space="preserve">Extended warranty period(s) beyond the 2 years </w:t>
      </w:r>
    </w:p>
    <w:p w14:paraId="5E37D726" w14:textId="77777777" w:rsidR="00412033" w:rsidRDefault="00994BB5">
      <w:pPr>
        <w:spacing w:after="131"/>
        <w:ind w:left="11" w:right="22"/>
      </w:pPr>
      <w:r>
        <w:t xml:space="preserve">Tenderers are required to outline within their response how the above and other areas may be applied from day one or over the shortest duration possible.  </w:t>
      </w:r>
    </w:p>
    <w:p w14:paraId="1F45AFB6" w14:textId="15CEFAFE" w:rsidR="00412033" w:rsidRDefault="00994BB5">
      <w:pPr>
        <w:spacing w:after="0"/>
        <w:ind w:left="11" w:right="22"/>
      </w:pPr>
      <w:r>
        <w:t xml:space="preserve">Please note, the </w:t>
      </w:r>
      <w:r w:rsidR="00C30D16">
        <w:t>Department of Justice, Home Affairs and Migration</w:t>
      </w:r>
      <w:r>
        <w:t xml:space="preserve"> is not interested in aspirational ideas, or concepts. The proposed additional measures must be concrete, pertinent to the contract, fully demonstrated, and verifiable, in order to obtain marks. </w:t>
      </w:r>
    </w:p>
    <w:p w14:paraId="4F72A9F7" w14:textId="77777777" w:rsidR="00412033" w:rsidRDefault="00994BB5">
      <w:pPr>
        <w:spacing w:after="0" w:line="259" w:lineRule="auto"/>
        <w:ind w:left="16" w:firstLine="0"/>
        <w:jc w:val="left"/>
      </w:pPr>
      <w:r>
        <w:t xml:space="preserve"> </w:t>
      </w:r>
    </w:p>
    <w:p w14:paraId="7CEF4231" w14:textId="77777777" w:rsidR="00412033" w:rsidRDefault="00994BB5">
      <w:pPr>
        <w:spacing w:after="305"/>
        <w:ind w:left="11" w:right="22"/>
      </w:pPr>
      <w:r>
        <w:t xml:space="preserve">Targets must be measurable and have the ability to be reported on, showing steady improvements over a specific period. </w:t>
      </w:r>
    </w:p>
    <w:p w14:paraId="01CB4D5D" w14:textId="77777777" w:rsidR="00412033" w:rsidRDefault="00994BB5">
      <w:pPr>
        <w:spacing w:after="0" w:line="259" w:lineRule="auto"/>
        <w:ind w:left="16" w:firstLine="0"/>
        <w:jc w:val="left"/>
      </w:pPr>
      <w:r>
        <w:t xml:space="preserve"> </w:t>
      </w:r>
      <w:r>
        <w:tab/>
        <w:t xml:space="preserve"> </w:t>
      </w:r>
    </w:p>
    <w:p w14:paraId="6F638A20" w14:textId="77777777" w:rsidR="00412033" w:rsidRDefault="00994BB5">
      <w:pPr>
        <w:pStyle w:val="Heading2"/>
        <w:spacing w:after="245"/>
        <w:ind w:left="379"/>
      </w:pPr>
      <w:r>
        <w:t>3.2</w:t>
      </w:r>
      <w:r>
        <w:rPr>
          <w:rFonts w:ascii="Arial" w:eastAsia="Arial" w:hAnsi="Arial" w:cs="Arial"/>
        </w:rPr>
        <w:t xml:space="preserve"> </w:t>
      </w:r>
      <w:r>
        <w:t xml:space="preserve">Details of Contracts arising over the life of the Framework Agreement </w:t>
      </w:r>
    </w:p>
    <w:p w14:paraId="58B6E74F" w14:textId="77777777" w:rsidR="00412033" w:rsidRDefault="00994BB5">
      <w:pPr>
        <w:spacing w:after="182"/>
        <w:ind w:left="11" w:right="22"/>
      </w:pPr>
      <w:r>
        <w:rPr>
          <w:sz w:val="24"/>
        </w:rPr>
        <w:t>T</w:t>
      </w:r>
      <w:r>
        <w:t xml:space="preserve">he Framework Agreement will be used for the following types of contracts. </w:t>
      </w:r>
    </w:p>
    <w:p w14:paraId="7BD4B203" w14:textId="3D019A1B" w:rsidR="00412033" w:rsidRDefault="00994BB5">
      <w:pPr>
        <w:numPr>
          <w:ilvl w:val="0"/>
          <w:numId w:val="11"/>
        </w:numPr>
        <w:spacing w:after="13"/>
        <w:ind w:left="370" w:right="22" w:hanging="369"/>
      </w:pPr>
      <w:r>
        <w:t xml:space="preserve">Any associated or ancillary services relating to the supply, install and support </w:t>
      </w:r>
      <w:r w:rsidR="00C30D16">
        <w:t>DOJHAM</w:t>
      </w:r>
      <w:r>
        <w:t xml:space="preserve"> UPS services  </w:t>
      </w:r>
    </w:p>
    <w:p w14:paraId="29BE2802" w14:textId="77777777" w:rsidR="00412033" w:rsidRDefault="00994BB5">
      <w:pPr>
        <w:numPr>
          <w:ilvl w:val="0"/>
          <w:numId w:val="11"/>
        </w:numPr>
        <w:spacing w:after="12"/>
        <w:ind w:left="370" w:right="22" w:hanging="369"/>
      </w:pPr>
      <w:r>
        <w:t xml:space="preserve">Support and maintenance in respect of services provided </w:t>
      </w:r>
    </w:p>
    <w:p w14:paraId="7F11A592" w14:textId="77777777" w:rsidR="00412033" w:rsidRDefault="00994BB5">
      <w:pPr>
        <w:numPr>
          <w:ilvl w:val="0"/>
          <w:numId w:val="11"/>
        </w:numPr>
        <w:spacing w:after="13"/>
        <w:ind w:left="370" w:right="22" w:hanging="369"/>
      </w:pPr>
      <w:r>
        <w:t xml:space="preserve">Peer support / daily rate will be required for each main category of service   </w:t>
      </w:r>
    </w:p>
    <w:p w14:paraId="6309D1DD" w14:textId="77777777" w:rsidR="00412033" w:rsidRDefault="00994BB5">
      <w:pPr>
        <w:numPr>
          <w:ilvl w:val="0"/>
          <w:numId w:val="11"/>
        </w:numPr>
        <w:spacing w:after="0"/>
        <w:ind w:left="370" w:right="22" w:hanging="369"/>
      </w:pPr>
      <w:r>
        <w:t xml:space="preserve">Maintenance support for outside regular maintenance </w:t>
      </w:r>
    </w:p>
    <w:p w14:paraId="2E1877D4" w14:textId="77777777" w:rsidR="003620B7" w:rsidRDefault="00994BB5" w:rsidP="003620B7">
      <w:pPr>
        <w:numPr>
          <w:ilvl w:val="0"/>
          <w:numId w:val="11"/>
        </w:numPr>
        <w:spacing w:after="13"/>
        <w:ind w:left="370" w:right="22" w:hanging="369"/>
      </w:pPr>
      <w:r>
        <w:t>Ad-hoc onsite / remote dedicated support for individual projects</w:t>
      </w:r>
      <w:r w:rsidR="003620B7">
        <w:t xml:space="preserve"> </w:t>
      </w:r>
    </w:p>
    <w:p w14:paraId="43AA13D7" w14:textId="5DA21550" w:rsidR="00412033" w:rsidRDefault="00994BB5" w:rsidP="003620B7">
      <w:pPr>
        <w:numPr>
          <w:ilvl w:val="0"/>
          <w:numId w:val="11"/>
        </w:numPr>
        <w:spacing w:after="13"/>
        <w:ind w:left="370" w:right="22" w:hanging="369"/>
        <w:jc w:val="left"/>
      </w:pPr>
      <w:r>
        <w:t xml:space="preserve">Changes to footprint of </w:t>
      </w:r>
      <w:r w:rsidR="00C30D16">
        <w:t>DOJHAM</w:t>
      </w:r>
      <w:r>
        <w:t xml:space="preserve"> premises e.g. new comms room </w:t>
      </w:r>
      <w:r w:rsidR="003620B7">
        <w:br/>
      </w:r>
    </w:p>
    <w:p w14:paraId="0B2450E1" w14:textId="3F6BC71D" w:rsidR="00412033" w:rsidRDefault="00994BB5">
      <w:pPr>
        <w:pStyle w:val="Heading2"/>
        <w:ind w:left="379"/>
      </w:pPr>
      <w:r>
        <w:t>3.3</w:t>
      </w:r>
      <w:r>
        <w:rPr>
          <w:rFonts w:ascii="Arial" w:eastAsia="Arial" w:hAnsi="Arial" w:cs="Arial"/>
        </w:rPr>
        <w:t xml:space="preserve"> </w:t>
      </w:r>
      <w:r>
        <w:t xml:space="preserve">Account / Contract Management </w:t>
      </w:r>
    </w:p>
    <w:p w14:paraId="0B3F809D" w14:textId="77777777" w:rsidR="00412033" w:rsidRDefault="00994BB5">
      <w:pPr>
        <w:spacing w:after="199"/>
        <w:ind w:left="11" w:right="22"/>
      </w:pPr>
      <w:r>
        <w:t xml:space="preserve">The Contracting Authority requires Tenderers to nominate a dedicated Account / Contract manager who will act as the main point of contact for the duration of the Framework. This person shall have the authority to deal with all matters in relation to contracts and be responsible for the satisfactory delivery of the services required. The duties of the Account / Contract manager will include the following: </w:t>
      </w:r>
    </w:p>
    <w:p w14:paraId="1E35B558" w14:textId="77777777" w:rsidR="00412033" w:rsidRDefault="00994BB5">
      <w:pPr>
        <w:numPr>
          <w:ilvl w:val="0"/>
          <w:numId w:val="12"/>
        </w:numPr>
        <w:spacing w:after="13"/>
        <w:ind w:right="22" w:hanging="353"/>
      </w:pPr>
      <w:r>
        <w:t xml:space="preserve">Overall responsibility for a good working relationship with the Contracting Authority </w:t>
      </w:r>
    </w:p>
    <w:p w14:paraId="0D7AAE30" w14:textId="77777777" w:rsidR="00412033" w:rsidRDefault="00994BB5">
      <w:pPr>
        <w:numPr>
          <w:ilvl w:val="0"/>
          <w:numId w:val="12"/>
        </w:numPr>
        <w:spacing w:after="13"/>
        <w:ind w:right="22" w:hanging="353"/>
      </w:pPr>
      <w:r>
        <w:t xml:space="preserve">Provide regular reports on performance as agreed with the Contracting Authority </w:t>
      </w:r>
    </w:p>
    <w:p w14:paraId="36792A46" w14:textId="77777777" w:rsidR="00412033" w:rsidRDefault="00994BB5">
      <w:pPr>
        <w:numPr>
          <w:ilvl w:val="0"/>
          <w:numId w:val="12"/>
        </w:numPr>
        <w:spacing w:after="0"/>
        <w:ind w:right="22" w:hanging="353"/>
      </w:pPr>
      <w:r>
        <w:t xml:space="preserve">Meet as and when required to review and examine performance </w:t>
      </w:r>
    </w:p>
    <w:p w14:paraId="61579A2B" w14:textId="77777777" w:rsidR="00412033" w:rsidRDefault="00994BB5">
      <w:pPr>
        <w:numPr>
          <w:ilvl w:val="0"/>
          <w:numId w:val="12"/>
        </w:numPr>
        <w:spacing w:after="13"/>
        <w:ind w:right="22" w:hanging="353"/>
      </w:pPr>
      <w:r>
        <w:t xml:space="preserve">Deal with disputes, complaints or concerns that cannot be adequately resolved </w:t>
      </w:r>
    </w:p>
    <w:p w14:paraId="78C23C2F" w14:textId="77777777" w:rsidR="00412033" w:rsidRDefault="00994BB5">
      <w:pPr>
        <w:numPr>
          <w:ilvl w:val="0"/>
          <w:numId w:val="12"/>
        </w:numPr>
        <w:spacing w:after="40"/>
        <w:ind w:right="22" w:hanging="353"/>
      </w:pPr>
      <w:r>
        <w:t xml:space="preserve">Proactively discuss with the Contracting Authority ways of improving efficiency regarding service delivery in general and providing suggestions for improvement and cost savings </w:t>
      </w:r>
    </w:p>
    <w:p w14:paraId="4E8BCBBD" w14:textId="77777777" w:rsidR="00412033" w:rsidRDefault="00994BB5">
      <w:pPr>
        <w:numPr>
          <w:ilvl w:val="0"/>
          <w:numId w:val="12"/>
        </w:numPr>
        <w:spacing w:after="126"/>
        <w:ind w:right="22" w:hanging="353"/>
      </w:pPr>
      <w:r>
        <w:t>Annual review of the performance of the contract will be undertaken</w:t>
      </w:r>
      <w:r>
        <w:rPr>
          <w:b/>
          <w:sz w:val="24"/>
        </w:rPr>
        <w:t xml:space="preserve"> </w:t>
      </w:r>
      <w:r>
        <w:t xml:space="preserve"> </w:t>
      </w:r>
    </w:p>
    <w:p w14:paraId="6413E474" w14:textId="77777777" w:rsidR="00412033" w:rsidRDefault="00994BB5">
      <w:pPr>
        <w:spacing w:after="180"/>
        <w:ind w:left="11" w:right="22"/>
      </w:pPr>
      <w:r>
        <w:t xml:space="preserve">Note:  The Account / Contract Manager is aligned closely to the Support / Project Manager role outlined in Section 3 but relates to the management of the contract rather than the more operationally focused Support / Project Manager, however, both roles could be fulfilled by the same resource. </w:t>
      </w:r>
    </w:p>
    <w:p w14:paraId="6A302B54" w14:textId="77777777" w:rsidR="00412033" w:rsidRDefault="00994BB5">
      <w:pPr>
        <w:spacing w:after="0" w:line="259" w:lineRule="auto"/>
        <w:ind w:left="16" w:firstLine="0"/>
        <w:jc w:val="left"/>
      </w:pPr>
      <w:r>
        <w:t xml:space="preserve"> </w:t>
      </w:r>
      <w:r>
        <w:tab/>
        <w:t xml:space="preserve"> </w:t>
      </w:r>
    </w:p>
    <w:p w14:paraId="54FB12A7" w14:textId="77777777" w:rsidR="00412033" w:rsidRDefault="00994BB5">
      <w:pPr>
        <w:spacing w:after="297" w:line="259" w:lineRule="auto"/>
        <w:ind w:left="16" w:firstLine="0"/>
        <w:jc w:val="left"/>
      </w:pPr>
      <w:r>
        <w:t xml:space="preserve"> </w:t>
      </w:r>
    </w:p>
    <w:p w14:paraId="3F07620A" w14:textId="77777777" w:rsidR="00412033" w:rsidRDefault="00994BB5">
      <w:pPr>
        <w:pStyle w:val="Heading1"/>
        <w:spacing w:after="58"/>
        <w:ind w:left="379"/>
      </w:pPr>
      <w:r>
        <w:lastRenderedPageBreak/>
        <w:t>4.</w:t>
      </w:r>
      <w:r>
        <w:rPr>
          <w:rFonts w:ascii="Arial" w:eastAsia="Arial" w:hAnsi="Arial" w:cs="Arial"/>
          <w:b/>
        </w:rPr>
        <w:t xml:space="preserve"> </w:t>
      </w:r>
      <w:r>
        <w:t xml:space="preserve">Selection Criteria </w:t>
      </w:r>
    </w:p>
    <w:p w14:paraId="1948FD84" w14:textId="77777777" w:rsidR="00412033" w:rsidRDefault="00994BB5">
      <w:pPr>
        <w:spacing w:after="202"/>
        <w:ind w:left="11" w:right="22"/>
      </w:pPr>
      <w:r>
        <w:t xml:space="preserve">The Contracting Authority is using the </w:t>
      </w:r>
      <w:r>
        <w:rPr>
          <w:b/>
        </w:rPr>
        <w:t>Open</w:t>
      </w:r>
      <w:r>
        <w:t xml:space="preserve"> procedure for the award of this Framework Agreement, therefore, while all interested parties may submit a tender, only those demonstrating that they have the required level of financial and technical capacity will have their tender considered. In order to demonstrate a Tenderer’s qualifications, Tenderers are required to provide the information set out below in the Tender Response Document (TRD) which is based on a self-declaration model. However, Tenderers are required to provide the minimum information required. </w:t>
      </w:r>
    </w:p>
    <w:p w14:paraId="2032694D" w14:textId="77777777" w:rsidR="00412033" w:rsidRDefault="00994BB5">
      <w:pPr>
        <w:pStyle w:val="Heading2"/>
        <w:ind w:left="379"/>
      </w:pPr>
      <w:r>
        <w:t>4.2</w:t>
      </w:r>
      <w:r>
        <w:rPr>
          <w:rFonts w:ascii="Arial" w:eastAsia="Arial" w:hAnsi="Arial" w:cs="Arial"/>
        </w:rPr>
        <w:t xml:space="preserve"> </w:t>
      </w:r>
      <w:r>
        <w:t xml:space="preserve">Use of the European Single Procurement Document </w:t>
      </w:r>
    </w:p>
    <w:p w14:paraId="48FE793A" w14:textId="77777777" w:rsidR="00412033" w:rsidRDefault="00994BB5">
      <w:pPr>
        <w:spacing w:after="202"/>
        <w:ind w:left="11" w:right="22"/>
      </w:pPr>
      <w:r>
        <w:t xml:space="preserve">In accordance with Directive 2014/24/EU, Tenderers may have compiled a European Single Procurement Document (ESPD), either electronically via the </w:t>
      </w:r>
      <w:proofErr w:type="spellStart"/>
      <w:r>
        <w:t>eESPD</w:t>
      </w:r>
      <w:proofErr w:type="spellEnd"/>
      <w:r>
        <w:t xml:space="preserve"> on </w:t>
      </w:r>
      <w:proofErr w:type="spellStart"/>
      <w:r>
        <w:t>eTenders</w:t>
      </w:r>
      <w:proofErr w:type="spellEnd"/>
      <w:r>
        <w:t xml:space="preserve"> or as a separate uploaded attachment with the tender response, which will be accepted as evidence of compliance with </w:t>
      </w:r>
      <w:r>
        <w:rPr>
          <w:i/>
        </w:rPr>
        <w:t>Section 4.3</w:t>
      </w:r>
      <w:r>
        <w:t xml:space="preserve"> on condition that all information self-declared will be provided promptly on request at any time prior to an award decision.    </w:t>
      </w:r>
    </w:p>
    <w:p w14:paraId="657D8022" w14:textId="77777777" w:rsidR="00412033" w:rsidRDefault="00994BB5">
      <w:pPr>
        <w:pStyle w:val="Heading2"/>
        <w:ind w:left="379"/>
      </w:pPr>
      <w:r>
        <w:t>4.3</w:t>
      </w:r>
      <w:r>
        <w:rPr>
          <w:rFonts w:ascii="Arial" w:eastAsia="Arial" w:hAnsi="Arial" w:cs="Arial"/>
        </w:rPr>
        <w:t xml:space="preserve"> </w:t>
      </w:r>
      <w:r>
        <w:t xml:space="preserve">Relying on the standing of other Entities </w:t>
      </w:r>
    </w:p>
    <w:p w14:paraId="1AA97EEE" w14:textId="77777777" w:rsidR="00412033" w:rsidRDefault="00994BB5">
      <w:pPr>
        <w:ind w:left="11" w:right="22"/>
      </w:pPr>
      <w:r>
        <w:t xml:space="preserve">Tenderers are reminded that they may rely on the resources of other entities in order to meet criteria and / or deliver elements of the contract requirements on condition that they can prove to the satisfaction of the client that they will have these resources at their disposal when necessary. </w:t>
      </w:r>
    </w:p>
    <w:p w14:paraId="73773D7C" w14:textId="77777777" w:rsidR="00412033" w:rsidRDefault="00994BB5">
      <w:pPr>
        <w:ind w:left="11" w:right="22"/>
      </w:pPr>
      <w:r>
        <w:t>Therefore, a Tenderer may consist of a grouping of any number of economic operators</w:t>
      </w:r>
      <w:r>
        <w:rPr>
          <w:vertAlign w:val="superscript"/>
        </w:rPr>
        <w:footnoteReference w:id="1"/>
      </w:r>
      <w:r>
        <w:t xml:space="preserve">.  Where a group come together in whatever form i.e. consortium, joint venture, subcontractors etc. to submit a Tender in response to this Request for Tender and regardless of the legal relationship between them, the Contracting Authority will deal with all matters relating to this competition through the entity (the “Lead Tenderer”) who will carry overall responsibility for the performance of the contract only, if successful irrespective of whether or not tasks are to be performed by a subcontractor or other consortium member. </w:t>
      </w:r>
    </w:p>
    <w:p w14:paraId="407EB3C2" w14:textId="77777777" w:rsidR="00412033" w:rsidRDefault="00994BB5">
      <w:pPr>
        <w:ind w:left="11" w:right="22"/>
      </w:pPr>
      <w:r>
        <w:t xml:space="preserve">The Lead Tenderer must clearly and comprehensively set out the name, title, telephone number, postal address, and email address of the nominated contact personnel authorised to represent the Tenderer and to whom all communications shall be directed and accepted until this competition has been completed or terminated. Correspondence from any other person (including from any subcontractor) </w:t>
      </w:r>
      <w:r>
        <w:rPr>
          <w:b/>
        </w:rPr>
        <w:t>will not</w:t>
      </w:r>
      <w:r>
        <w:t xml:space="preserve"> be accepted or responded to. </w:t>
      </w:r>
    </w:p>
    <w:p w14:paraId="57C3011A" w14:textId="77777777" w:rsidR="00412033" w:rsidRDefault="00994BB5">
      <w:pPr>
        <w:spacing w:after="199"/>
        <w:ind w:left="11" w:right="22"/>
      </w:pPr>
      <w:r>
        <w:t xml:space="preserve"> All Lead Tenderers relying on the capacity of other entities must: </w:t>
      </w:r>
    </w:p>
    <w:p w14:paraId="6F0E244D" w14:textId="77777777" w:rsidR="00412033" w:rsidRDefault="00994BB5">
      <w:pPr>
        <w:numPr>
          <w:ilvl w:val="0"/>
          <w:numId w:val="13"/>
        </w:numPr>
        <w:spacing w:after="594"/>
        <w:ind w:right="22" w:hanging="417"/>
      </w:pPr>
      <w:r>
        <w:t xml:space="preserve">Identify in Section A of the TRD as the Lead Tenderer for the grouping with whom the Contracting Authority will communicate and with whom any subsequent contractual arrangements will be made if successful.  </w:t>
      </w:r>
    </w:p>
    <w:p w14:paraId="0C93805B" w14:textId="77777777" w:rsidR="00412033" w:rsidRDefault="00994BB5">
      <w:pPr>
        <w:spacing w:after="0" w:line="259" w:lineRule="auto"/>
        <w:ind w:left="16" w:firstLine="0"/>
        <w:jc w:val="left"/>
      </w:pPr>
      <w:r>
        <w:rPr>
          <w:noProof/>
        </w:rPr>
        <mc:AlternateContent>
          <mc:Choice Requires="wpg">
            <w:drawing>
              <wp:inline distT="0" distB="0" distL="0" distR="0" wp14:anchorId="52F2AE6A" wp14:editId="431A01DB">
                <wp:extent cx="1831340" cy="10160"/>
                <wp:effectExtent l="0" t="0" r="0" b="0"/>
                <wp:docPr id="46103" name="Group 46103"/>
                <wp:cNvGraphicFramePr/>
                <a:graphic xmlns:a="http://schemas.openxmlformats.org/drawingml/2006/main">
                  <a:graphicData uri="http://schemas.microsoft.com/office/word/2010/wordprocessingGroup">
                    <wpg:wgp>
                      <wpg:cNvGrpSpPr/>
                      <wpg:grpSpPr>
                        <a:xfrm>
                          <a:off x="0" y="0"/>
                          <a:ext cx="1831340" cy="10160"/>
                          <a:chOff x="0" y="0"/>
                          <a:chExt cx="1831340" cy="10160"/>
                        </a:xfrm>
                      </wpg:grpSpPr>
                      <wps:wsp>
                        <wps:cNvPr id="51239" name="Shape 51239"/>
                        <wps:cNvSpPr/>
                        <wps:spPr>
                          <a:xfrm>
                            <a:off x="0" y="0"/>
                            <a:ext cx="1831340" cy="10160"/>
                          </a:xfrm>
                          <a:custGeom>
                            <a:avLst/>
                            <a:gdLst/>
                            <a:ahLst/>
                            <a:cxnLst/>
                            <a:rect l="0" t="0" r="0" b="0"/>
                            <a:pathLst>
                              <a:path w="1831340" h="10160">
                                <a:moveTo>
                                  <a:pt x="0" y="0"/>
                                </a:moveTo>
                                <a:lnTo>
                                  <a:pt x="1831340" y="0"/>
                                </a:lnTo>
                                <a:lnTo>
                                  <a:pt x="183134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103" style="width:144.2pt;height:0.799988pt;mso-position-horizontal-relative:char;mso-position-vertical-relative:line" coordsize="18313,101">
                <v:shape id="Shape 51240" style="position:absolute;width:18313;height:101;left:0;top:0;" coordsize="1831340,10160" path="m0,0l1831340,0l1831340,10160l0,10160l0,0">
                  <v:stroke weight="0pt" endcap="flat" joinstyle="miter" miterlimit="10" on="false" color="#000000" opacity="0"/>
                  <v:fill on="true" color="#000000"/>
                </v:shape>
              </v:group>
            </w:pict>
          </mc:Fallback>
        </mc:AlternateContent>
      </w:r>
      <w:r>
        <w:t xml:space="preserve"> </w:t>
      </w:r>
    </w:p>
    <w:p w14:paraId="11AFE992" w14:textId="77777777" w:rsidR="00412033" w:rsidRDefault="00994BB5">
      <w:pPr>
        <w:numPr>
          <w:ilvl w:val="0"/>
          <w:numId w:val="13"/>
        </w:numPr>
        <w:spacing w:after="35"/>
        <w:ind w:right="22" w:hanging="417"/>
      </w:pPr>
      <w:r>
        <w:lastRenderedPageBreak/>
        <w:t>Identify in Section A of the TRD the relevant 3</w:t>
      </w:r>
      <w:r>
        <w:rPr>
          <w:vertAlign w:val="superscript"/>
        </w:rPr>
        <w:t>rd</w:t>
      </w:r>
      <w:r>
        <w:t xml:space="preserve"> parties upon whose capacity the Lead Tenderer is relying upon to meet selection criteria and / or deliver elements of the contract and identify the relevant criteria and elements of the contract.  </w:t>
      </w:r>
    </w:p>
    <w:p w14:paraId="24A03698" w14:textId="77777777" w:rsidR="00412033" w:rsidRDefault="00994BB5">
      <w:pPr>
        <w:numPr>
          <w:ilvl w:val="0"/>
          <w:numId w:val="13"/>
        </w:numPr>
        <w:spacing w:after="35"/>
        <w:ind w:right="22" w:hanging="417"/>
      </w:pPr>
      <w:r>
        <w:t>Ensure Section A of the TRD including all subsections are completed and submitted for all relevant 3</w:t>
      </w:r>
      <w:r>
        <w:rPr>
          <w:vertAlign w:val="superscript"/>
        </w:rPr>
        <w:t>rd</w:t>
      </w:r>
      <w:r>
        <w:t xml:space="preserve"> parties upon whom the Lead Tenderer is relying on to meet criteria and / or deliver elements of the contract if awarded. </w:t>
      </w:r>
    </w:p>
    <w:p w14:paraId="315B33AB" w14:textId="77777777" w:rsidR="00412033" w:rsidRDefault="00994BB5">
      <w:pPr>
        <w:numPr>
          <w:ilvl w:val="0"/>
          <w:numId w:val="13"/>
        </w:numPr>
        <w:spacing w:after="7"/>
        <w:ind w:right="22" w:hanging="417"/>
      </w:pPr>
      <w:r>
        <w:t xml:space="preserve">In all tenders, the Lead Tenderer must nominate the reference contracts for inclusion in the assessment and selection process. The number of reference contracts for which details are to be provided will be nominated in section B of the TRD of the Lead Tenderer. If more reference contracts are provided than required only the first listed reference contracts to the number specified (e.g. 3 reference contracts) will be considered. Where relying on the experience of others, at least one of the references provided should include reference to their relevant experience. </w:t>
      </w:r>
    </w:p>
    <w:p w14:paraId="12DA07C8" w14:textId="77777777" w:rsidR="00412033" w:rsidRDefault="00994BB5">
      <w:pPr>
        <w:spacing w:after="9" w:line="259" w:lineRule="auto"/>
        <w:ind w:left="865" w:firstLine="0"/>
        <w:jc w:val="left"/>
      </w:pPr>
      <w:r>
        <w:t xml:space="preserve"> </w:t>
      </w:r>
    </w:p>
    <w:p w14:paraId="51694345" w14:textId="77777777" w:rsidR="00412033" w:rsidRDefault="00994BB5">
      <w:pPr>
        <w:spacing w:after="201"/>
        <w:ind w:left="11" w:right="22"/>
      </w:pPr>
      <w:r>
        <w:t xml:space="preserve">Where the Tenderer consists of a grouping of economic operators and the Tenderer is subsequently successful at tender stage the Contracting Authority may require the members of the Tenderer to enter into a formal arrangement that can support the provision of collateral warranties to the Contracting Authority for the Tenderer members’ performance, etc. of the contract. </w:t>
      </w:r>
    </w:p>
    <w:p w14:paraId="4E469012" w14:textId="77777777" w:rsidR="00412033" w:rsidRDefault="00994BB5">
      <w:pPr>
        <w:pStyle w:val="Heading2"/>
        <w:ind w:left="379"/>
      </w:pPr>
      <w:r>
        <w:t>4.4</w:t>
      </w:r>
      <w:r>
        <w:rPr>
          <w:rFonts w:ascii="Arial" w:eastAsia="Arial" w:hAnsi="Arial" w:cs="Arial"/>
        </w:rPr>
        <w:t xml:space="preserve"> </w:t>
      </w:r>
      <w:r>
        <w:t xml:space="preserve">General Declarations and Financial Capacity Requirements </w:t>
      </w:r>
    </w:p>
    <w:p w14:paraId="0411F2DC" w14:textId="77777777" w:rsidR="00412033" w:rsidRDefault="00994BB5">
      <w:pPr>
        <w:ind w:left="11" w:right="22"/>
      </w:pPr>
      <w:r>
        <w:t xml:space="preserve">Tenderers are required to provide information on the following in the Tender Response Document. The criteria and rules outlined below are assessed on a pass / fail basis. Failure to comply with the requirements will result in the tender being considered inadmissible. </w:t>
      </w:r>
    </w:p>
    <w:p w14:paraId="3F9EA01D" w14:textId="77777777" w:rsidR="00412033" w:rsidRDefault="00994BB5">
      <w:pPr>
        <w:spacing w:after="0" w:line="259" w:lineRule="auto"/>
        <w:ind w:left="16" w:firstLine="0"/>
        <w:jc w:val="left"/>
      </w:pPr>
      <w:r>
        <w:t xml:space="preserve"> </w:t>
      </w:r>
      <w:r>
        <w:tab/>
        <w:t xml:space="preserve"> </w:t>
      </w:r>
    </w:p>
    <w:p w14:paraId="4371493C" w14:textId="77777777" w:rsidR="00412033" w:rsidRDefault="00412033">
      <w:pPr>
        <w:spacing w:after="0" w:line="259" w:lineRule="auto"/>
        <w:ind w:left="-1426" w:right="29" w:firstLine="0"/>
        <w:jc w:val="left"/>
      </w:pPr>
    </w:p>
    <w:tbl>
      <w:tblPr>
        <w:tblStyle w:val="TableGrid"/>
        <w:tblW w:w="9026" w:type="dxa"/>
        <w:tblInd w:w="18" w:type="dxa"/>
        <w:tblCellMar>
          <w:top w:w="52" w:type="dxa"/>
          <w:left w:w="40" w:type="dxa"/>
          <w:right w:w="53" w:type="dxa"/>
        </w:tblCellMar>
        <w:tblLook w:val="04A0" w:firstRow="1" w:lastRow="0" w:firstColumn="1" w:lastColumn="0" w:noHBand="0" w:noVBand="1"/>
      </w:tblPr>
      <w:tblGrid>
        <w:gridCol w:w="1977"/>
        <w:gridCol w:w="4688"/>
        <w:gridCol w:w="2361"/>
      </w:tblGrid>
      <w:tr w:rsidR="00412033" w14:paraId="3BB0A397" w14:textId="77777777">
        <w:trPr>
          <w:trHeight w:val="376"/>
        </w:trPr>
        <w:tc>
          <w:tcPr>
            <w:tcW w:w="9026" w:type="dxa"/>
            <w:gridSpan w:val="3"/>
            <w:tcBorders>
              <w:top w:val="single" w:sz="6" w:space="0" w:color="000000"/>
              <w:left w:val="single" w:sz="6" w:space="0" w:color="000000"/>
              <w:bottom w:val="single" w:sz="6" w:space="0" w:color="000000"/>
              <w:right w:val="single" w:sz="6" w:space="0" w:color="000000"/>
            </w:tcBorders>
            <w:shd w:val="clear" w:color="auto" w:fill="00284A"/>
          </w:tcPr>
          <w:p w14:paraId="6C134E52" w14:textId="77777777" w:rsidR="00412033" w:rsidRDefault="00994BB5">
            <w:pPr>
              <w:spacing w:after="0" w:line="259" w:lineRule="auto"/>
              <w:ind w:left="70" w:firstLine="0"/>
              <w:jc w:val="left"/>
            </w:pPr>
            <w:r>
              <w:rPr>
                <w:b/>
                <w:color w:val="FFFFFF"/>
                <w:sz w:val="29"/>
              </w:rPr>
              <w:t xml:space="preserve">General Information </w:t>
            </w:r>
          </w:p>
        </w:tc>
      </w:tr>
      <w:tr w:rsidR="00412033" w14:paraId="1B596BEE" w14:textId="77777777">
        <w:trPr>
          <w:trHeight w:val="905"/>
        </w:trPr>
        <w:tc>
          <w:tcPr>
            <w:tcW w:w="9026" w:type="dxa"/>
            <w:gridSpan w:val="3"/>
            <w:tcBorders>
              <w:top w:val="single" w:sz="6" w:space="0" w:color="000000"/>
              <w:left w:val="single" w:sz="6" w:space="0" w:color="000000"/>
              <w:bottom w:val="single" w:sz="13" w:space="0" w:color="00284A"/>
              <w:right w:val="single" w:sz="6" w:space="0" w:color="000000"/>
            </w:tcBorders>
          </w:tcPr>
          <w:p w14:paraId="02809ED1" w14:textId="77777777" w:rsidR="00412033" w:rsidRDefault="00994BB5">
            <w:pPr>
              <w:spacing w:after="0" w:line="259" w:lineRule="auto"/>
              <w:ind w:left="70" w:right="62" w:firstLine="0"/>
            </w:pPr>
            <w:r>
              <w:t xml:space="preserve">Provide contact and general information on the tendering organisation – company name, address and contact details for individual responsible for this tender and company overview as well as information on sub-contractors and consortium members if applicable. </w:t>
            </w:r>
          </w:p>
        </w:tc>
      </w:tr>
      <w:tr w:rsidR="00412033" w14:paraId="7C1AE7FB" w14:textId="77777777">
        <w:trPr>
          <w:trHeight w:val="376"/>
        </w:trPr>
        <w:tc>
          <w:tcPr>
            <w:tcW w:w="9026" w:type="dxa"/>
            <w:gridSpan w:val="3"/>
            <w:tcBorders>
              <w:top w:val="single" w:sz="13" w:space="0" w:color="00284A"/>
              <w:left w:val="single" w:sz="6" w:space="0" w:color="000000"/>
              <w:bottom w:val="single" w:sz="6" w:space="0" w:color="000000"/>
              <w:right w:val="single" w:sz="6" w:space="0" w:color="000000"/>
            </w:tcBorders>
            <w:shd w:val="clear" w:color="auto" w:fill="00284A"/>
          </w:tcPr>
          <w:p w14:paraId="508E3F30" w14:textId="77777777" w:rsidR="00412033" w:rsidRDefault="00994BB5">
            <w:pPr>
              <w:spacing w:after="0" w:line="259" w:lineRule="auto"/>
              <w:ind w:left="70" w:firstLine="0"/>
              <w:jc w:val="left"/>
            </w:pPr>
            <w:r>
              <w:rPr>
                <w:b/>
                <w:color w:val="FFFFFF"/>
                <w:sz w:val="29"/>
              </w:rPr>
              <w:t xml:space="preserve">Financial and Economic Standing </w:t>
            </w:r>
          </w:p>
        </w:tc>
      </w:tr>
      <w:tr w:rsidR="00412033" w14:paraId="705BC9B1" w14:textId="77777777">
        <w:trPr>
          <w:trHeight w:val="893"/>
        </w:trPr>
        <w:tc>
          <w:tcPr>
            <w:tcW w:w="1977" w:type="dxa"/>
            <w:tcBorders>
              <w:top w:val="single" w:sz="6" w:space="0" w:color="000000"/>
              <w:left w:val="single" w:sz="6" w:space="0" w:color="000000"/>
              <w:bottom w:val="single" w:sz="6" w:space="0" w:color="000000"/>
              <w:right w:val="single" w:sz="6" w:space="0" w:color="000000"/>
            </w:tcBorders>
            <w:vAlign w:val="center"/>
          </w:tcPr>
          <w:p w14:paraId="2F427654" w14:textId="77777777" w:rsidR="00412033" w:rsidRDefault="00994BB5">
            <w:pPr>
              <w:spacing w:after="0" w:line="259" w:lineRule="auto"/>
              <w:ind w:left="70" w:firstLine="0"/>
              <w:jc w:val="left"/>
            </w:pPr>
            <w:r>
              <w:rPr>
                <w:b/>
              </w:rPr>
              <w:t xml:space="preserve">Tax Compliance </w:t>
            </w:r>
          </w:p>
        </w:tc>
        <w:tc>
          <w:tcPr>
            <w:tcW w:w="7049" w:type="dxa"/>
            <w:gridSpan w:val="2"/>
            <w:tcBorders>
              <w:top w:val="single" w:sz="6" w:space="0" w:color="000000"/>
              <w:left w:val="single" w:sz="6" w:space="0" w:color="000000"/>
              <w:bottom w:val="single" w:sz="6" w:space="0" w:color="000000"/>
              <w:right w:val="single" w:sz="6" w:space="0" w:color="000000"/>
            </w:tcBorders>
          </w:tcPr>
          <w:p w14:paraId="23C24EF5" w14:textId="77777777" w:rsidR="00412033" w:rsidRDefault="00994BB5">
            <w:pPr>
              <w:spacing w:after="0" w:line="259" w:lineRule="auto"/>
              <w:ind w:left="80" w:right="51" w:firstLine="0"/>
            </w:pPr>
            <w:r>
              <w:t xml:space="preserve">Confirmation that the Tenderer / all parties associated with the Tenderer are fully tax compliant. Please refer to the tax rules contained in the Tender Response Document. </w:t>
            </w:r>
          </w:p>
        </w:tc>
      </w:tr>
      <w:tr w:rsidR="00412033" w14:paraId="5EACEE9F" w14:textId="77777777">
        <w:trPr>
          <w:trHeight w:val="2482"/>
        </w:trPr>
        <w:tc>
          <w:tcPr>
            <w:tcW w:w="1977" w:type="dxa"/>
            <w:tcBorders>
              <w:top w:val="single" w:sz="6" w:space="0" w:color="000000"/>
              <w:left w:val="single" w:sz="6" w:space="0" w:color="000000"/>
              <w:bottom w:val="single" w:sz="6" w:space="0" w:color="000000"/>
              <w:right w:val="single" w:sz="6" w:space="0" w:color="000000"/>
            </w:tcBorders>
            <w:vAlign w:val="center"/>
          </w:tcPr>
          <w:p w14:paraId="0C559074" w14:textId="77777777" w:rsidR="00412033" w:rsidRDefault="00994BB5">
            <w:pPr>
              <w:spacing w:after="0" w:line="259" w:lineRule="auto"/>
              <w:ind w:left="70" w:firstLine="0"/>
              <w:jc w:val="left"/>
            </w:pPr>
            <w:r>
              <w:rPr>
                <w:b/>
              </w:rPr>
              <w:t xml:space="preserve">Financial Capacity </w:t>
            </w:r>
          </w:p>
        </w:tc>
        <w:tc>
          <w:tcPr>
            <w:tcW w:w="7049" w:type="dxa"/>
            <w:gridSpan w:val="2"/>
            <w:tcBorders>
              <w:top w:val="single" w:sz="6" w:space="0" w:color="000000"/>
              <w:left w:val="single" w:sz="6" w:space="0" w:color="000000"/>
              <w:bottom w:val="single" w:sz="6" w:space="0" w:color="000000"/>
              <w:right w:val="single" w:sz="6" w:space="0" w:color="000000"/>
            </w:tcBorders>
          </w:tcPr>
          <w:p w14:paraId="49935D13" w14:textId="77777777" w:rsidR="00412033" w:rsidRDefault="00994BB5">
            <w:pPr>
              <w:numPr>
                <w:ilvl w:val="0"/>
                <w:numId w:val="16"/>
              </w:numPr>
              <w:spacing w:after="18" w:line="239" w:lineRule="auto"/>
              <w:ind w:right="90" w:hanging="368"/>
            </w:pPr>
            <w:r>
              <w:t xml:space="preserve">Confirmation of financial standing ensuring the tendering party has the financial capacity to pay its debts identified on the current statement of assets and liabilities as being the debts as they fall due. </w:t>
            </w:r>
          </w:p>
          <w:p w14:paraId="35667ED0" w14:textId="77777777" w:rsidR="00412033" w:rsidRDefault="00994BB5">
            <w:pPr>
              <w:numPr>
                <w:ilvl w:val="0"/>
                <w:numId w:val="16"/>
              </w:numPr>
              <w:spacing w:after="0" w:line="239" w:lineRule="auto"/>
              <w:ind w:right="90" w:hanging="368"/>
            </w:pPr>
            <w:r>
              <w:t xml:space="preserve">Confirmation that the tendering party turnover exceeded €300k during </w:t>
            </w:r>
            <w:r>
              <w:rPr>
                <w:b/>
                <w:u w:val="single" w:color="000000"/>
              </w:rPr>
              <w:t>each</w:t>
            </w:r>
            <w:r>
              <w:t xml:space="preserve"> of the last three years or pro-rata if more recently established firms are tendering.  </w:t>
            </w:r>
          </w:p>
          <w:p w14:paraId="381BD465" w14:textId="77777777" w:rsidR="00412033" w:rsidRDefault="00994BB5">
            <w:pPr>
              <w:spacing w:after="0" w:line="259" w:lineRule="auto"/>
              <w:ind w:left="368" w:firstLine="0"/>
              <w:jc w:val="left"/>
            </w:pPr>
            <w:r>
              <w:t xml:space="preserve"> </w:t>
            </w:r>
          </w:p>
          <w:p w14:paraId="1EAFF093" w14:textId="77777777" w:rsidR="00412033" w:rsidRDefault="00994BB5">
            <w:pPr>
              <w:spacing w:after="0" w:line="259" w:lineRule="auto"/>
              <w:ind w:left="80" w:firstLine="0"/>
              <w:jc w:val="left"/>
            </w:pPr>
            <w:r>
              <w:t xml:space="preserve">Evidence of both statements will be required prior to the award of any contract. </w:t>
            </w:r>
          </w:p>
        </w:tc>
      </w:tr>
      <w:tr w:rsidR="00412033" w14:paraId="3C632546" w14:textId="77777777">
        <w:trPr>
          <w:trHeight w:val="5187"/>
        </w:trPr>
        <w:tc>
          <w:tcPr>
            <w:tcW w:w="1977" w:type="dxa"/>
            <w:tcBorders>
              <w:top w:val="single" w:sz="6" w:space="0" w:color="000000"/>
              <w:left w:val="single" w:sz="6" w:space="0" w:color="000000"/>
              <w:bottom w:val="single" w:sz="13" w:space="0" w:color="00284A"/>
              <w:right w:val="single" w:sz="6" w:space="0" w:color="000000"/>
            </w:tcBorders>
            <w:vAlign w:val="center"/>
          </w:tcPr>
          <w:p w14:paraId="2B4B44F2" w14:textId="77777777" w:rsidR="00412033" w:rsidRDefault="00994BB5">
            <w:pPr>
              <w:spacing w:after="0" w:line="259" w:lineRule="auto"/>
              <w:ind w:left="70" w:firstLine="0"/>
              <w:jc w:val="left"/>
            </w:pPr>
            <w:r>
              <w:rPr>
                <w:b/>
              </w:rPr>
              <w:lastRenderedPageBreak/>
              <w:t xml:space="preserve">Insurance </w:t>
            </w:r>
          </w:p>
        </w:tc>
        <w:tc>
          <w:tcPr>
            <w:tcW w:w="7049" w:type="dxa"/>
            <w:gridSpan w:val="2"/>
            <w:tcBorders>
              <w:top w:val="single" w:sz="6" w:space="0" w:color="000000"/>
              <w:left w:val="single" w:sz="6" w:space="0" w:color="000000"/>
              <w:bottom w:val="single" w:sz="13" w:space="0" w:color="00284A"/>
              <w:right w:val="single" w:sz="6" w:space="0" w:color="000000"/>
            </w:tcBorders>
          </w:tcPr>
          <w:p w14:paraId="01A0C312" w14:textId="77777777" w:rsidR="00412033" w:rsidRDefault="00994BB5">
            <w:pPr>
              <w:spacing w:after="0" w:line="237" w:lineRule="auto"/>
              <w:ind w:left="80" w:right="59" w:firstLine="0"/>
            </w:pPr>
            <w:r>
              <w:t xml:space="preserve">The successful Tenderer shall be required to hold for the term of the Contract the insurances in the table below. : In the Tender Response Form, Tenderers must confirm, that if awarded a Contract under this Competition, they will, from the Effective Date of the Contract (as defined in the Contract, hold the types and levels of insurance as specified in table below. The territorial limits and jurisdiction of the insurance policies will include the Republic of Ireland and  confirm they are not aware of any exclusions, restrictions, conditions or warranties or, in the case of policies with an aggregate limit of indemnity, any outstanding claims, which could have a material adverse impact on the level of coverage specified above. A formal confirmation from the Tenderer’s insurance company or broker to this effect will be requested from the successful Tenderer(s) prior to the award of (and shall be a condition of) any Contract.  </w:t>
            </w:r>
          </w:p>
          <w:p w14:paraId="0F684423" w14:textId="77777777" w:rsidR="00412033" w:rsidRDefault="00994BB5">
            <w:pPr>
              <w:spacing w:after="0" w:line="259" w:lineRule="auto"/>
              <w:ind w:left="80" w:firstLine="0"/>
              <w:jc w:val="left"/>
            </w:pPr>
            <w:r>
              <w:t xml:space="preserve"> </w:t>
            </w:r>
          </w:p>
          <w:p w14:paraId="2E0AA7D7" w14:textId="77777777" w:rsidR="00412033" w:rsidRDefault="00994BB5">
            <w:pPr>
              <w:spacing w:after="0" w:line="239" w:lineRule="auto"/>
              <w:ind w:left="80" w:right="40" w:firstLine="0"/>
            </w:pPr>
            <w:r>
              <w:t xml:space="preserve">The successful Tenderer will, during the term of the Contract, be required to: a) immediately advise the Contracting Authority of any material change to its insured status. </w:t>
            </w:r>
          </w:p>
          <w:p w14:paraId="69D5C020" w14:textId="77777777" w:rsidR="00412033" w:rsidRDefault="00994BB5">
            <w:pPr>
              <w:numPr>
                <w:ilvl w:val="0"/>
                <w:numId w:val="17"/>
              </w:numPr>
              <w:spacing w:after="0" w:line="259" w:lineRule="auto"/>
              <w:ind w:hanging="240"/>
              <w:jc w:val="left"/>
            </w:pPr>
            <w:r>
              <w:t xml:space="preserve">produce proof of current premiums paid upon request. </w:t>
            </w:r>
          </w:p>
          <w:p w14:paraId="48388C17" w14:textId="77777777" w:rsidR="00412033" w:rsidRDefault="00994BB5">
            <w:pPr>
              <w:numPr>
                <w:ilvl w:val="0"/>
                <w:numId w:val="17"/>
              </w:numPr>
              <w:spacing w:after="0" w:line="259" w:lineRule="auto"/>
              <w:ind w:hanging="240"/>
              <w:jc w:val="left"/>
            </w:pPr>
            <w:r>
              <w:t xml:space="preserve">produce valid certificates of insurance upon request. </w:t>
            </w:r>
          </w:p>
        </w:tc>
      </w:tr>
      <w:tr w:rsidR="00412033" w14:paraId="7419DCAA" w14:textId="77777777">
        <w:trPr>
          <w:trHeight w:val="389"/>
        </w:trPr>
        <w:tc>
          <w:tcPr>
            <w:tcW w:w="6665" w:type="dxa"/>
            <w:gridSpan w:val="2"/>
            <w:tcBorders>
              <w:top w:val="single" w:sz="13" w:space="0" w:color="00284A"/>
              <w:left w:val="single" w:sz="6" w:space="0" w:color="000000"/>
              <w:bottom w:val="single" w:sz="6" w:space="0" w:color="000000"/>
              <w:right w:val="single" w:sz="6" w:space="0" w:color="FFFFFF"/>
            </w:tcBorders>
            <w:shd w:val="clear" w:color="auto" w:fill="00284A"/>
          </w:tcPr>
          <w:p w14:paraId="4299BCE1" w14:textId="77777777" w:rsidR="00412033" w:rsidRDefault="00994BB5">
            <w:pPr>
              <w:spacing w:after="0" w:line="259" w:lineRule="auto"/>
              <w:ind w:left="70" w:firstLine="0"/>
              <w:jc w:val="left"/>
            </w:pPr>
            <w:r>
              <w:rPr>
                <w:b/>
                <w:color w:val="FFFFFF"/>
                <w:sz w:val="29"/>
              </w:rPr>
              <w:t xml:space="preserve">Insurance Type </w:t>
            </w:r>
          </w:p>
        </w:tc>
        <w:tc>
          <w:tcPr>
            <w:tcW w:w="2361" w:type="dxa"/>
            <w:tcBorders>
              <w:top w:val="single" w:sz="13" w:space="0" w:color="00284A"/>
              <w:left w:val="single" w:sz="6" w:space="0" w:color="FFFFFF"/>
              <w:bottom w:val="single" w:sz="6" w:space="0" w:color="000000"/>
              <w:right w:val="single" w:sz="6" w:space="0" w:color="000000"/>
            </w:tcBorders>
            <w:shd w:val="clear" w:color="auto" w:fill="00284A"/>
          </w:tcPr>
          <w:p w14:paraId="1EEFE466" w14:textId="77777777" w:rsidR="00412033" w:rsidRDefault="00994BB5">
            <w:pPr>
              <w:spacing w:after="0" w:line="259" w:lineRule="auto"/>
              <w:ind w:left="70" w:firstLine="0"/>
              <w:jc w:val="left"/>
            </w:pPr>
            <w:r>
              <w:rPr>
                <w:b/>
                <w:color w:val="FFFFFF"/>
                <w:sz w:val="29"/>
              </w:rPr>
              <w:t xml:space="preserve">Required Level </w:t>
            </w:r>
          </w:p>
        </w:tc>
      </w:tr>
      <w:tr w:rsidR="00412033" w14:paraId="1BFB4F1B" w14:textId="77777777">
        <w:trPr>
          <w:trHeight w:val="350"/>
        </w:trPr>
        <w:tc>
          <w:tcPr>
            <w:tcW w:w="6665" w:type="dxa"/>
            <w:gridSpan w:val="2"/>
            <w:tcBorders>
              <w:top w:val="single" w:sz="6" w:space="0" w:color="000000"/>
              <w:left w:val="single" w:sz="6" w:space="0" w:color="000000"/>
              <w:bottom w:val="single" w:sz="6" w:space="0" w:color="000000"/>
              <w:right w:val="single" w:sz="6" w:space="0" w:color="000000"/>
            </w:tcBorders>
          </w:tcPr>
          <w:p w14:paraId="1F336E21" w14:textId="77777777" w:rsidR="00412033" w:rsidRDefault="00994BB5">
            <w:pPr>
              <w:spacing w:after="0" w:line="259" w:lineRule="auto"/>
              <w:ind w:left="70" w:firstLine="0"/>
              <w:jc w:val="left"/>
            </w:pPr>
            <w:r>
              <w:t xml:space="preserve">Employer’s Liability </w:t>
            </w:r>
          </w:p>
        </w:tc>
        <w:tc>
          <w:tcPr>
            <w:tcW w:w="2361" w:type="dxa"/>
            <w:tcBorders>
              <w:top w:val="single" w:sz="6" w:space="0" w:color="000000"/>
              <w:left w:val="single" w:sz="6" w:space="0" w:color="000000"/>
              <w:bottom w:val="single" w:sz="6" w:space="0" w:color="000000"/>
              <w:right w:val="single" w:sz="6" w:space="0" w:color="000000"/>
            </w:tcBorders>
          </w:tcPr>
          <w:p w14:paraId="1314B1F2" w14:textId="77777777" w:rsidR="00412033" w:rsidRDefault="00994BB5">
            <w:pPr>
              <w:spacing w:after="0" w:line="259" w:lineRule="auto"/>
              <w:ind w:left="70" w:firstLine="0"/>
              <w:jc w:val="left"/>
            </w:pPr>
            <w:r>
              <w:t xml:space="preserve">€13 million </w:t>
            </w:r>
          </w:p>
        </w:tc>
      </w:tr>
      <w:tr w:rsidR="00412033" w14:paraId="15907E8D" w14:textId="77777777">
        <w:trPr>
          <w:trHeight w:val="320"/>
        </w:trPr>
        <w:tc>
          <w:tcPr>
            <w:tcW w:w="6665" w:type="dxa"/>
            <w:gridSpan w:val="2"/>
            <w:tcBorders>
              <w:top w:val="single" w:sz="6" w:space="0" w:color="000000"/>
              <w:left w:val="single" w:sz="6" w:space="0" w:color="000000"/>
              <w:bottom w:val="single" w:sz="6" w:space="0" w:color="000000"/>
              <w:right w:val="single" w:sz="6" w:space="0" w:color="000000"/>
            </w:tcBorders>
          </w:tcPr>
          <w:p w14:paraId="13168F82" w14:textId="77777777" w:rsidR="00412033" w:rsidRDefault="00994BB5">
            <w:pPr>
              <w:spacing w:after="0" w:line="259" w:lineRule="auto"/>
              <w:ind w:left="70" w:firstLine="0"/>
              <w:jc w:val="left"/>
            </w:pPr>
            <w:r>
              <w:t xml:space="preserve">Public Liability </w:t>
            </w:r>
          </w:p>
        </w:tc>
        <w:tc>
          <w:tcPr>
            <w:tcW w:w="2361" w:type="dxa"/>
            <w:tcBorders>
              <w:top w:val="single" w:sz="6" w:space="0" w:color="000000"/>
              <w:left w:val="single" w:sz="6" w:space="0" w:color="000000"/>
              <w:bottom w:val="single" w:sz="6" w:space="0" w:color="000000"/>
              <w:right w:val="single" w:sz="6" w:space="0" w:color="000000"/>
            </w:tcBorders>
          </w:tcPr>
          <w:p w14:paraId="638C39C1" w14:textId="77777777" w:rsidR="00412033" w:rsidRDefault="00994BB5">
            <w:pPr>
              <w:spacing w:after="0" w:line="259" w:lineRule="auto"/>
              <w:ind w:left="70" w:firstLine="0"/>
              <w:jc w:val="left"/>
            </w:pPr>
            <w:r>
              <w:t xml:space="preserve">€6.5 million </w:t>
            </w:r>
          </w:p>
        </w:tc>
      </w:tr>
      <w:tr w:rsidR="00412033" w14:paraId="07794C1A" w14:textId="77777777">
        <w:trPr>
          <w:trHeight w:val="337"/>
        </w:trPr>
        <w:tc>
          <w:tcPr>
            <w:tcW w:w="6665" w:type="dxa"/>
            <w:gridSpan w:val="2"/>
            <w:tcBorders>
              <w:top w:val="single" w:sz="6" w:space="0" w:color="000000"/>
              <w:left w:val="single" w:sz="6" w:space="0" w:color="000000"/>
              <w:bottom w:val="single" w:sz="6" w:space="0" w:color="000000"/>
              <w:right w:val="single" w:sz="6" w:space="0" w:color="000000"/>
            </w:tcBorders>
          </w:tcPr>
          <w:p w14:paraId="6353AE1A" w14:textId="77777777" w:rsidR="00412033" w:rsidRDefault="00994BB5">
            <w:pPr>
              <w:spacing w:after="0" w:line="259" w:lineRule="auto"/>
              <w:ind w:left="70" w:firstLine="0"/>
              <w:jc w:val="left"/>
            </w:pPr>
            <w:r>
              <w:t xml:space="preserve">Product Liability </w:t>
            </w:r>
          </w:p>
        </w:tc>
        <w:tc>
          <w:tcPr>
            <w:tcW w:w="2361" w:type="dxa"/>
            <w:tcBorders>
              <w:top w:val="single" w:sz="6" w:space="0" w:color="000000"/>
              <w:left w:val="single" w:sz="6" w:space="0" w:color="000000"/>
              <w:bottom w:val="single" w:sz="6" w:space="0" w:color="000000"/>
              <w:right w:val="single" w:sz="6" w:space="0" w:color="000000"/>
            </w:tcBorders>
          </w:tcPr>
          <w:p w14:paraId="1C4B1535" w14:textId="77777777" w:rsidR="00412033" w:rsidRDefault="00994BB5">
            <w:pPr>
              <w:spacing w:after="0" w:line="259" w:lineRule="auto"/>
              <w:ind w:left="70" w:firstLine="0"/>
              <w:jc w:val="left"/>
            </w:pPr>
            <w:r>
              <w:t xml:space="preserve">€6.5 million </w:t>
            </w:r>
          </w:p>
        </w:tc>
      </w:tr>
      <w:tr w:rsidR="00412033" w14:paraId="0F7D517E" w14:textId="77777777">
        <w:trPr>
          <w:trHeight w:val="336"/>
        </w:trPr>
        <w:tc>
          <w:tcPr>
            <w:tcW w:w="6665" w:type="dxa"/>
            <w:gridSpan w:val="2"/>
            <w:tcBorders>
              <w:top w:val="single" w:sz="6" w:space="0" w:color="000000"/>
              <w:left w:val="single" w:sz="6" w:space="0" w:color="000000"/>
              <w:bottom w:val="single" w:sz="6" w:space="0" w:color="000000"/>
              <w:right w:val="single" w:sz="6" w:space="0" w:color="000000"/>
            </w:tcBorders>
          </w:tcPr>
          <w:p w14:paraId="53693D9D" w14:textId="77777777" w:rsidR="00412033" w:rsidRDefault="00994BB5">
            <w:pPr>
              <w:spacing w:after="0" w:line="259" w:lineRule="auto"/>
              <w:ind w:left="70" w:firstLine="0"/>
              <w:jc w:val="left"/>
            </w:pPr>
            <w:r>
              <w:t xml:space="preserve">Professional Indemnity </w:t>
            </w:r>
          </w:p>
        </w:tc>
        <w:tc>
          <w:tcPr>
            <w:tcW w:w="2361" w:type="dxa"/>
            <w:tcBorders>
              <w:top w:val="single" w:sz="6" w:space="0" w:color="000000"/>
              <w:left w:val="single" w:sz="6" w:space="0" w:color="000000"/>
              <w:bottom w:val="single" w:sz="6" w:space="0" w:color="000000"/>
              <w:right w:val="single" w:sz="6" w:space="0" w:color="000000"/>
            </w:tcBorders>
          </w:tcPr>
          <w:p w14:paraId="076D8468" w14:textId="77777777" w:rsidR="00412033" w:rsidRDefault="00994BB5">
            <w:pPr>
              <w:spacing w:after="0" w:line="259" w:lineRule="auto"/>
              <w:ind w:left="70" w:firstLine="0"/>
              <w:jc w:val="left"/>
            </w:pPr>
            <w:r>
              <w:t xml:space="preserve">€1.5 million </w:t>
            </w:r>
          </w:p>
        </w:tc>
      </w:tr>
      <w:tr w:rsidR="00412033" w14:paraId="0B5D94A4" w14:textId="77777777">
        <w:trPr>
          <w:trHeight w:val="350"/>
        </w:trPr>
        <w:tc>
          <w:tcPr>
            <w:tcW w:w="6665" w:type="dxa"/>
            <w:gridSpan w:val="2"/>
            <w:tcBorders>
              <w:top w:val="single" w:sz="6" w:space="0" w:color="000000"/>
              <w:left w:val="single" w:sz="6" w:space="0" w:color="000000"/>
              <w:bottom w:val="single" w:sz="13" w:space="0" w:color="00284A"/>
              <w:right w:val="single" w:sz="6" w:space="0" w:color="000000"/>
            </w:tcBorders>
          </w:tcPr>
          <w:p w14:paraId="55ABFBBB" w14:textId="77777777" w:rsidR="00412033" w:rsidRDefault="00994BB5">
            <w:pPr>
              <w:spacing w:after="0" w:line="259" w:lineRule="auto"/>
              <w:ind w:left="70" w:firstLine="0"/>
              <w:jc w:val="left"/>
            </w:pPr>
            <w:r>
              <w:t xml:space="preserve">Cyber Insurance </w:t>
            </w:r>
          </w:p>
        </w:tc>
        <w:tc>
          <w:tcPr>
            <w:tcW w:w="2361" w:type="dxa"/>
            <w:tcBorders>
              <w:top w:val="single" w:sz="6" w:space="0" w:color="000000"/>
              <w:left w:val="single" w:sz="6" w:space="0" w:color="000000"/>
              <w:bottom w:val="single" w:sz="13" w:space="0" w:color="00284A"/>
              <w:right w:val="single" w:sz="6" w:space="0" w:color="000000"/>
            </w:tcBorders>
          </w:tcPr>
          <w:p w14:paraId="41E50E2C" w14:textId="77777777" w:rsidR="00412033" w:rsidRDefault="00994BB5">
            <w:pPr>
              <w:spacing w:after="0" w:line="259" w:lineRule="auto"/>
              <w:ind w:left="70" w:firstLine="0"/>
              <w:jc w:val="left"/>
            </w:pPr>
            <w:r>
              <w:t xml:space="preserve">€2 million </w:t>
            </w:r>
          </w:p>
        </w:tc>
      </w:tr>
      <w:tr w:rsidR="00412033" w14:paraId="6E00B3D8" w14:textId="77777777">
        <w:trPr>
          <w:trHeight w:val="389"/>
        </w:trPr>
        <w:tc>
          <w:tcPr>
            <w:tcW w:w="9026" w:type="dxa"/>
            <w:gridSpan w:val="3"/>
            <w:tcBorders>
              <w:top w:val="single" w:sz="13" w:space="0" w:color="00284A"/>
              <w:left w:val="single" w:sz="6" w:space="0" w:color="000000"/>
              <w:bottom w:val="single" w:sz="6" w:space="0" w:color="000000"/>
              <w:right w:val="single" w:sz="6" w:space="0" w:color="000000"/>
            </w:tcBorders>
            <w:shd w:val="clear" w:color="auto" w:fill="00284A"/>
          </w:tcPr>
          <w:p w14:paraId="201C0536" w14:textId="77777777" w:rsidR="00412033" w:rsidRDefault="00994BB5">
            <w:pPr>
              <w:spacing w:after="0" w:line="259" w:lineRule="auto"/>
              <w:ind w:left="70" w:firstLine="0"/>
              <w:jc w:val="left"/>
            </w:pPr>
            <w:r>
              <w:rPr>
                <w:b/>
                <w:color w:val="FFFFFF"/>
                <w:sz w:val="29"/>
              </w:rPr>
              <w:t xml:space="preserve">Declaration </w:t>
            </w:r>
          </w:p>
        </w:tc>
      </w:tr>
      <w:tr w:rsidR="00412033" w14:paraId="22A5F323" w14:textId="77777777">
        <w:trPr>
          <w:trHeight w:val="606"/>
        </w:trPr>
        <w:tc>
          <w:tcPr>
            <w:tcW w:w="9026" w:type="dxa"/>
            <w:gridSpan w:val="3"/>
            <w:tcBorders>
              <w:top w:val="single" w:sz="6" w:space="0" w:color="000000"/>
              <w:left w:val="single" w:sz="6" w:space="0" w:color="000000"/>
              <w:bottom w:val="single" w:sz="6" w:space="0" w:color="000000"/>
              <w:right w:val="single" w:sz="6" w:space="0" w:color="000000"/>
            </w:tcBorders>
          </w:tcPr>
          <w:p w14:paraId="2C004D65" w14:textId="77777777" w:rsidR="00412033" w:rsidRDefault="00994BB5">
            <w:pPr>
              <w:spacing w:after="0" w:line="259" w:lineRule="auto"/>
              <w:ind w:left="70" w:firstLine="0"/>
              <w:jc w:val="left"/>
            </w:pPr>
            <w:r>
              <w:t xml:space="preserve">Complete the Declaration of Bona Fides as per Art. 57 of Directive 2014/24/EU as implemented by Regulation SI 284 of May 2016 and as contained in the Tender Response Document.  </w:t>
            </w:r>
          </w:p>
        </w:tc>
      </w:tr>
    </w:tbl>
    <w:p w14:paraId="536D3837" w14:textId="77777777" w:rsidR="00412033" w:rsidRDefault="00994BB5">
      <w:pPr>
        <w:pBdr>
          <w:top w:val="single" w:sz="6" w:space="0" w:color="000000"/>
          <w:left w:val="single" w:sz="6" w:space="0" w:color="000000"/>
          <w:bottom w:val="single" w:sz="6" w:space="0" w:color="000000"/>
          <w:right w:val="single" w:sz="6" w:space="0" w:color="000000"/>
        </w:pBdr>
        <w:spacing w:after="224" w:line="239" w:lineRule="auto"/>
        <w:ind w:left="123" w:right="128"/>
      </w:pPr>
      <w:r>
        <w:t xml:space="preserve">Complete the Declaration regarding compliance with relevant statutory obligations as contained in the Tender Response Document. Where Tenderers are established and operating outside of the jurisdiction of supply, compliance with equivalent legislation as applicable in the country of establishment / operation is required. </w:t>
      </w:r>
    </w:p>
    <w:p w14:paraId="20128028" w14:textId="77777777" w:rsidR="00412033" w:rsidRDefault="00994BB5">
      <w:pPr>
        <w:pBdr>
          <w:top w:val="single" w:sz="6" w:space="0" w:color="000000"/>
          <w:left w:val="single" w:sz="6" w:space="0" w:color="000000"/>
          <w:bottom w:val="single" w:sz="6" w:space="0" w:color="000000"/>
          <w:right w:val="single" w:sz="6" w:space="0" w:color="000000"/>
        </w:pBdr>
        <w:spacing w:after="272" w:line="239" w:lineRule="auto"/>
        <w:ind w:left="123" w:right="128"/>
      </w:pPr>
      <w:r>
        <w:t xml:space="preserve">Complete the Article 5K Declaration regarding the EU regulation 2022 / 576 on restrictive measures in the Context of Russian Actions in the Ukraine. </w:t>
      </w:r>
    </w:p>
    <w:p w14:paraId="00CB40C6" w14:textId="77777777" w:rsidR="00412033" w:rsidRDefault="00994BB5">
      <w:pPr>
        <w:spacing w:after="189"/>
        <w:ind w:left="11" w:right="22"/>
      </w:pPr>
      <w:r>
        <w:t xml:space="preserve">Tenderers are required to provide information on the following in the Tender Response Document. The criteria and rules outlined below are assessed on a pass / fail basis. Failure to comply with the requirements will result in the tender being considered inadmissible.  </w:t>
      </w:r>
    </w:p>
    <w:p w14:paraId="10808EED" w14:textId="77777777" w:rsidR="00412033" w:rsidRDefault="00994BB5">
      <w:pPr>
        <w:spacing w:after="0" w:line="259" w:lineRule="auto"/>
        <w:ind w:left="16" w:firstLine="0"/>
        <w:jc w:val="left"/>
      </w:pPr>
      <w:r>
        <w:t xml:space="preserve"> </w:t>
      </w:r>
      <w:r>
        <w:tab/>
      </w:r>
      <w:r>
        <w:rPr>
          <w:b/>
          <w:sz w:val="24"/>
        </w:rPr>
        <w:t xml:space="preserve"> </w:t>
      </w:r>
      <w:r>
        <w:br w:type="page"/>
      </w:r>
    </w:p>
    <w:p w14:paraId="2EF7C6E8" w14:textId="77777777" w:rsidR="00412033" w:rsidRDefault="00994BB5">
      <w:pPr>
        <w:pStyle w:val="Heading2"/>
        <w:spacing w:after="0" w:line="259" w:lineRule="auto"/>
        <w:ind w:left="0" w:right="4955" w:firstLine="0"/>
        <w:jc w:val="right"/>
      </w:pPr>
      <w:r>
        <w:lastRenderedPageBreak/>
        <w:t>4.5</w:t>
      </w:r>
      <w:r>
        <w:rPr>
          <w:rFonts w:ascii="Arial" w:eastAsia="Arial" w:hAnsi="Arial" w:cs="Arial"/>
        </w:rPr>
        <w:t xml:space="preserve"> </w:t>
      </w:r>
      <w:r>
        <w:t xml:space="preserve">Technical Capacity Requirements </w:t>
      </w:r>
    </w:p>
    <w:tbl>
      <w:tblPr>
        <w:tblStyle w:val="TableGrid"/>
        <w:tblW w:w="9028" w:type="dxa"/>
        <w:tblInd w:w="18" w:type="dxa"/>
        <w:tblCellMar>
          <w:top w:w="52" w:type="dxa"/>
          <w:left w:w="110" w:type="dxa"/>
          <w:right w:w="72" w:type="dxa"/>
        </w:tblCellMar>
        <w:tblLook w:val="04A0" w:firstRow="1" w:lastRow="0" w:firstColumn="1" w:lastColumn="0" w:noHBand="0" w:noVBand="1"/>
      </w:tblPr>
      <w:tblGrid>
        <w:gridCol w:w="6527"/>
        <w:gridCol w:w="2501"/>
      </w:tblGrid>
      <w:tr w:rsidR="00412033" w14:paraId="1415E82D" w14:textId="77777777">
        <w:trPr>
          <w:trHeight w:val="388"/>
        </w:trPr>
        <w:tc>
          <w:tcPr>
            <w:tcW w:w="9028" w:type="dxa"/>
            <w:gridSpan w:val="2"/>
            <w:tcBorders>
              <w:top w:val="single" w:sz="6" w:space="0" w:color="000000"/>
              <w:left w:val="single" w:sz="6" w:space="0" w:color="000000"/>
              <w:bottom w:val="single" w:sz="6" w:space="0" w:color="000000"/>
              <w:right w:val="single" w:sz="6" w:space="0" w:color="000000"/>
            </w:tcBorders>
            <w:shd w:val="clear" w:color="auto" w:fill="00284A"/>
          </w:tcPr>
          <w:p w14:paraId="72968915" w14:textId="77777777" w:rsidR="00412033" w:rsidRDefault="00994BB5">
            <w:pPr>
              <w:spacing w:after="0" w:line="259" w:lineRule="auto"/>
              <w:ind w:left="0" w:firstLine="0"/>
              <w:jc w:val="left"/>
            </w:pPr>
            <w:r>
              <w:rPr>
                <w:b/>
                <w:color w:val="FFFFFF"/>
                <w:sz w:val="29"/>
              </w:rPr>
              <w:t xml:space="preserve">Personnel and Skills  </w:t>
            </w:r>
          </w:p>
        </w:tc>
      </w:tr>
      <w:tr w:rsidR="00412033" w14:paraId="5C91EFED" w14:textId="77777777">
        <w:trPr>
          <w:trHeight w:val="879"/>
        </w:trPr>
        <w:tc>
          <w:tcPr>
            <w:tcW w:w="9028" w:type="dxa"/>
            <w:gridSpan w:val="2"/>
            <w:tcBorders>
              <w:top w:val="single" w:sz="6" w:space="0" w:color="000000"/>
              <w:left w:val="single" w:sz="6" w:space="0" w:color="000000"/>
              <w:bottom w:val="single" w:sz="6" w:space="0" w:color="000000"/>
              <w:right w:val="single" w:sz="6" w:space="0" w:color="000000"/>
            </w:tcBorders>
          </w:tcPr>
          <w:p w14:paraId="2778B3AE" w14:textId="77777777" w:rsidR="00412033" w:rsidRDefault="00994BB5">
            <w:pPr>
              <w:spacing w:after="0" w:line="259" w:lineRule="auto"/>
              <w:ind w:left="0" w:right="549" w:firstLine="0"/>
            </w:pPr>
            <w:r>
              <w:t>Tenderers must provide information which demonstrates access to the minimum number of skilled personnel as indicated below and outlined in the TRD, indicating whether internal resources or provided via 3</w:t>
            </w:r>
            <w:r>
              <w:rPr>
                <w:vertAlign w:val="superscript"/>
              </w:rPr>
              <w:t>rd</w:t>
            </w:r>
            <w:r>
              <w:t xml:space="preserve"> parties.  </w:t>
            </w:r>
          </w:p>
        </w:tc>
      </w:tr>
      <w:tr w:rsidR="00412033" w14:paraId="3902ECB4" w14:textId="77777777">
        <w:trPr>
          <w:trHeight w:val="337"/>
        </w:trPr>
        <w:tc>
          <w:tcPr>
            <w:tcW w:w="6527" w:type="dxa"/>
            <w:tcBorders>
              <w:top w:val="single" w:sz="6" w:space="0" w:color="000000"/>
              <w:left w:val="single" w:sz="6" w:space="0" w:color="000000"/>
              <w:bottom w:val="single" w:sz="6" w:space="0" w:color="000000"/>
              <w:right w:val="single" w:sz="6" w:space="0" w:color="000000"/>
            </w:tcBorders>
          </w:tcPr>
          <w:p w14:paraId="65AE4F81" w14:textId="77777777" w:rsidR="00412033" w:rsidRDefault="00994BB5">
            <w:pPr>
              <w:spacing w:after="0" w:line="259" w:lineRule="auto"/>
              <w:ind w:left="0" w:firstLine="0"/>
              <w:jc w:val="left"/>
            </w:pPr>
            <w:r>
              <w:rPr>
                <w:b/>
              </w:rPr>
              <w:t xml:space="preserve">Roles / Skillset Required </w:t>
            </w:r>
          </w:p>
        </w:tc>
        <w:tc>
          <w:tcPr>
            <w:tcW w:w="2501" w:type="dxa"/>
            <w:tcBorders>
              <w:top w:val="single" w:sz="6" w:space="0" w:color="000000"/>
              <w:left w:val="single" w:sz="6" w:space="0" w:color="000000"/>
              <w:bottom w:val="single" w:sz="6" w:space="0" w:color="000000"/>
              <w:right w:val="single" w:sz="6" w:space="0" w:color="000000"/>
            </w:tcBorders>
          </w:tcPr>
          <w:p w14:paraId="6B2D0418" w14:textId="77777777" w:rsidR="00412033" w:rsidRDefault="00994BB5">
            <w:pPr>
              <w:spacing w:after="0" w:line="259" w:lineRule="auto"/>
              <w:ind w:left="0" w:right="43" w:firstLine="0"/>
              <w:jc w:val="center"/>
            </w:pPr>
            <w:r>
              <w:rPr>
                <w:b/>
              </w:rPr>
              <w:t xml:space="preserve">Minimum Number </w:t>
            </w:r>
          </w:p>
        </w:tc>
      </w:tr>
      <w:tr w:rsidR="00412033" w14:paraId="6FF08EE8" w14:textId="77777777">
        <w:trPr>
          <w:trHeight w:val="336"/>
        </w:trPr>
        <w:tc>
          <w:tcPr>
            <w:tcW w:w="6527" w:type="dxa"/>
            <w:tcBorders>
              <w:top w:val="single" w:sz="6" w:space="0" w:color="000000"/>
              <w:left w:val="single" w:sz="6" w:space="0" w:color="000000"/>
              <w:bottom w:val="single" w:sz="6" w:space="0" w:color="000000"/>
              <w:right w:val="single" w:sz="6" w:space="0" w:color="000000"/>
            </w:tcBorders>
          </w:tcPr>
          <w:p w14:paraId="403F8317" w14:textId="77777777" w:rsidR="00412033" w:rsidRDefault="00994BB5">
            <w:pPr>
              <w:spacing w:after="0" w:line="259" w:lineRule="auto"/>
              <w:ind w:left="0" w:firstLine="0"/>
              <w:jc w:val="left"/>
            </w:pPr>
            <w:r>
              <w:t xml:space="preserve">Account / Contract Management** </w:t>
            </w:r>
          </w:p>
        </w:tc>
        <w:tc>
          <w:tcPr>
            <w:tcW w:w="2501" w:type="dxa"/>
            <w:tcBorders>
              <w:top w:val="single" w:sz="6" w:space="0" w:color="000000"/>
              <w:left w:val="single" w:sz="6" w:space="0" w:color="000000"/>
              <w:bottom w:val="single" w:sz="6" w:space="0" w:color="000000"/>
              <w:right w:val="single" w:sz="6" w:space="0" w:color="000000"/>
            </w:tcBorders>
          </w:tcPr>
          <w:p w14:paraId="5F94F10E" w14:textId="77777777" w:rsidR="00412033" w:rsidRDefault="00994BB5">
            <w:pPr>
              <w:spacing w:after="0" w:line="259" w:lineRule="auto"/>
              <w:ind w:left="0" w:right="39" w:firstLine="0"/>
              <w:jc w:val="center"/>
            </w:pPr>
            <w:r>
              <w:t>2</w:t>
            </w:r>
            <w:r>
              <w:rPr>
                <w:b/>
              </w:rPr>
              <w:t xml:space="preserve"> </w:t>
            </w:r>
          </w:p>
        </w:tc>
      </w:tr>
      <w:tr w:rsidR="00412033" w14:paraId="09CC4B9A" w14:textId="77777777">
        <w:trPr>
          <w:trHeight w:val="337"/>
        </w:trPr>
        <w:tc>
          <w:tcPr>
            <w:tcW w:w="6527" w:type="dxa"/>
            <w:tcBorders>
              <w:top w:val="single" w:sz="6" w:space="0" w:color="000000"/>
              <w:left w:val="single" w:sz="6" w:space="0" w:color="000000"/>
              <w:bottom w:val="single" w:sz="6" w:space="0" w:color="000000"/>
              <w:right w:val="single" w:sz="6" w:space="0" w:color="000000"/>
            </w:tcBorders>
          </w:tcPr>
          <w:p w14:paraId="7AA75EE7" w14:textId="77777777" w:rsidR="00412033" w:rsidRDefault="00994BB5">
            <w:pPr>
              <w:spacing w:after="0" w:line="259" w:lineRule="auto"/>
              <w:ind w:left="0" w:firstLine="0"/>
              <w:jc w:val="left"/>
            </w:pPr>
            <w:r>
              <w:t xml:space="preserve">Support / Project Management** </w:t>
            </w:r>
          </w:p>
        </w:tc>
        <w:tc>
          <w:tcPr>
            <w:tcW w:w="2501" w:type="dxa"/>
            <w:tcBorders>
              <w:top w:val="single" w:sz="6" w:space="0" w:color="000000"/>
              <w:left w:val="single" w:sz="6" w:space="0" w:color="000000"/>
              <w:bottom w:val="single" w:sz="6" w:space="0" w:color="000000"/>
              <w:right w:val="single" w:sz="6" w:space="0" w:color="000000"/>
            </w:tcBorders>
          </w:tcPr>
          <w:p w14:paraId="01F0B13E" w14:textId="77777777" w:rsidR="00412033" w:rsidRDefault="00994BB5">
            <w:pPr>
              <w:spacing w:after="0" w:line="259" w:lineRule="auto"/>
              <w:ind w:left="0" w:right="39" w:firstLine="0"/>
              <w:jc w:val="center"/>
            </w:pPr>
            <w:r>
              <w:t xml:space="preserve">2 </w:t>
            </w:r>
          </w:p>
        </w:tc>
      </w:tr>
      <w:tr w:rsidR="00412033" w14:paraId="109750A9" w14:textId="77777777">
        <w:trPr>
          <w:trHeight w:val="337"/>
        </w:trPr>
        <w:tc>
          <w:tcPr>
            <w:tcW w:w="6527" w:type="dxa"/>
            <w:tcBorders>
              <w:top w:val="single" w:sz="6" w:space="0" w:color="000000"/>
              <w:left w:val="single" w:sz="6" w:space="0" w:color="000000"/>
              <w:bottom w:val="single" w:sz="6" w:space="0" w:color="000000"/>
              <w:right w:val="single" w:sz="6" w:space="0" w:color="000000"/>
            </w:tcBorders>
          </w:tcPr>
          <w:p w14:paraId="7D7D0FA3" w14:textId="77777777" w:rsidR="00412033" w:rsidRDefault="00994BB5">
            <w:pPr>
              <w:spacing w:after="0" w:line="259" w:lineRule="auto"/>
              <w:ind w:left="0" w:firstLine="0"/>
              <w:jc w:val="left"/>
            </w:pPr>
            <w:r>
              <w:t xml:space="preserve">UPS Engineer / Qualified Electrician </w:t>
            </w:r>
          </w:p>
        </w:tc>
        <w:tc>
          <w:tcPr>
            <w:tcW w:w="2501" w:type="dxa"/>
            <w:tcBorders>
              <w:top w:val="single" w:sz="6" w:space="0" w:color="000000"/>
              <w:left w:val="single" w:sz="6" w:space="0" w:color="000000"/>
              <w:bottom w:val="single" w:sz="6" w:space="0" w:color="000000"/>
              <w:right w:val="single" w:sz="6" w:space="0" w:color="000000"/>
            </w:tcBorders>
          </w:tcPr>
          <w:p w14:paraId="41CDD5FE" w14:textId="77777777" w:rsidR="00412033" w:rsidRDefault="00994BB5">
            <w:pPr>
              <w:spacing w:after="0" w:line="259" w:lineRule="auto"/>
              <w:ind w:left="0" w:right="39" w:firstLine="0"/>
              <w:jc w:val="center"/>
            </w:pPr>
            <w:r>
              <w:t xml:space="preserve">4 </w:t>
            </w:r>
          </w:p>
        </w:tc>
      </w:tr>
      <w:tr w:rsidR="00412033" w14:paraId="14C68A2D" w14:textId="77777777">
        <w:trPr>
          <w:trHeight w:val="348"/>
        </w:trPr>
        <w:tc>
          <w:tcPr>
            <w:tcW w:w="6527" w:type="dxa"/>
            <w:tcBorders>
              <w:top w:val="single" w:sz="6" w:space="0" w:color="000000"/>
              <w:left w:val="single" w:sz="6" w:space="0" w:color="000000"/>
              <w:bottom w:val="single" w:sz="13" w:space="0" w:color="00284A"/>
              <w:right w:val="single" w:sz="6" w:space="0" w:color="000000"/>
            </w:tcBorders>
          </w:tcPr>
          <w:p w14:paraId="17FE1FA4" w14:textId="77777777" w:rsidR="00412033" w:rsidRDefault="00994BB5">
            <w:pPr>
              <w:spacing w:after="0" w:line="259" w:lineRule="auto"/>
              <w:ind w:left="0" w:firstLine="0"/>
              <w:jc w:val="left"/>
            </w:pPr>
            <w:r>
              <w:t xml:space="preserve">** = Key personnel </w:t>
            </w:r>
          </w:p>
        </w:tc>
        <w:tc>
          <w:tcPr>
            <w:tcW w:w="2501" w:type="dxa"/>
            <w:tcBorders>
              <w:top w:val="single" w:sz="6" w:space="0" w:color="000000"/>
              <w:left w:val="single" w:sz="6" w:space="0" w:color="000000"/>
              <w:bottom w:val="single" w:sz="13" w:space="0" w:color="00284A"/>
              <w:right w:val="single" w:sz="6" w:space="0" w:color="000000"/>
            </w:tcBorders>
          </w:tcPr>
          <w:p w14:paraId="0B108B8E" w14:textId="77777777" w:rsidR="00412033" w:rsidRDefault="00994BB5">
            <w:pPr>
              <w:spacing w:after="0" w:line="259" w:lineRule="auto"/>
              <w:ind w:left="0" w:right="5" w:firstLine="0"/>
              <w:jc w:val="center"/>
            </w:pPr>
            <w:r>
              <w:t xml:space="preserve"> </w:t>
            </w:r>
          </w:p>
        </w:tc>
      </w:tr>
      <w:tr w:rsidR="00412033" w14:paraId="2CDB21EE" w14:textId="77777777">
        <w:trPr>
          <w:trHeight w:val="376"/>
        </w:trPr>
        <w:tc>
          <w:tcPr>
            <w:tcW w:w="9028" w:type="dxa"/>
            <w:gridSpan w:val="2"/>
            <w:tcBorders>
              <w:top w:val="single" w:sz="13" w:space="0" w:color="00284A"/>
              <w:left w:val="single" w:sz="6" w:space="0" w:color="000000"/>
              <w:bottom w:val="single" w:sz="6" w:space="0" w:color="000000"/>
              <w:right w:val="single" w:sz="6" w:space="0" w:color="000000"/>
            </w:tcBorders>
            <w:shd w:val="clear" w:color="auto" w:fill="00284A"/>
          </w:tcPr>
          <w:p w14:paraId="1FAF8DAE" w14:textId="77777777" w:rsidR="00412033" w:rsidRDefault="00994BB5">
            <w:pPr>
              <w:spacing w:after="0" w:line="259" w:lineRule="auto"/>
              <w:ind w:left="0" w:firstLine="0"/>
              <w:jc w:val="left"/>
            </w:pPr>
            <w:r>
              <w:rPr>
                <w:b/>
                <w:color w:val="FFFFFF"/>
                <w:sz w:val="29"/>
              </w:rPr>
              <w:t xml:space="preserve">Previous Experience </w:t>
            </w:r>
          </w:p>
        </w:tc>
      </w:tr>
      <w:tr w:rsidR="00412033" w14:paraId="7F2514C1" w14:textId="77777777">
        <w:trPr>
          <w:trHeight w:val="1708"/>
        </w:trPr>
        <w:tc>
          <w:tcPr>
            <w:tcW w:w="9028" w:type="dxa"/>
            <w:gridSpan w:val="2"/>
            <w:tcBorders>
              <w:top w:val="single" w:sz="6" w:space="0" w:color="000000"/>
              <w:left w:val="single" w:sz="6" w:space="0" w:color="000000"/>
              <w:bottom w:val="single" w:sz="13" w:space="0" w:color="00284A"/>
              <w:right w:val="single" w:sz="6" w:space="0" w:color="000000"/>
            </w:tcBorders>
          </w:tcPr>
          <w:p w14:paraId="6DB17981" w14:textId="77777777" w:rsidR="00412033" w:rsidRDefault="00994BB5">
            <w:pPr>
              <w:spacing w:after="0" w:line="239" w:lineRule="auto"/>
              <w:ind w:left="0" w:right="599" w:firstLine="0"/>
            </w:pPr>
            <w:r>
              <w:t xml:space="preserve">Tenderers must provide information clearly demonstrating successful delivery of 3 previous comparable experience / projects, involving the features as defined in the Tender Response Document (TRD). </w:t>
            </w:r>
          </w:p>
          <w:p w14:paraId="4C8F4618" w14:textId="77777777" w:rsidR="00412033" w:rsidRDefault="00994BB5">
            <w:pPr>
              <w:spacing w:after="0" w:line="239" w:lineRule="auto"/>
              <w:ind w:left="0" w:firstLine="0"/>
              <w:jc w:val="left"/>
            </w:pPr>
            <w:r>
              <w:t xml:space="preserve">Please note that the Contracting Authority reserves the right to verify the previous experience directly with the referees on a confidential basis without referring back to the tenderers.  </w:t>
            </w:r>
          </w:p>
          <w:p w14:paraId="2F80E6DA" w14:textId="77777777" w:rsidR="00412033" w:rsidRDefault="00994BB5">
            <w:pPr>
              <w:spacing w:after="0" w:line="259" w:lineRule="auto"/>
              <w:ind w:left="0" w:firstLine="0"/>
              <w:jc w:val="left"/>
            </w:pPr>
            <w:r>
              <w:t xml:space="preserve"> </w:t>
            </w:r>
          </w:p>
        </w:tc>
      </w:tr>
      <w:tr w:rsidR="00412033" w14:paraId="5208A780" w14:textId="77777777">
        <w:trPr>
          <w:trHeight w:val="388"/>
        </w:trPr>
        <w:tc>
          <w:tcPr>
            <w:tcW w:w="9028" w:type="dxa"/>
            <w:gridSpan w:val="2"/>
            <w:tcBorders>
              <w:top w:val="single" w:sz="13" w:space="0" w:color="00284A"/>
              <w:left w:val="single" w:sz="6" w:space="0" w:color="000000"/>
              <w:bottom w:val="single" w:sz="6" w:space="0" w:color="000000"/>
              <w:right w:val="single" w:sz="6" w:space="0" w:color="000000"/>
            </w:tcBorders>
            <w:shd w:val="clear" w:color="auto" w:fill="00284A"/>
          </w:tcPr>
          <w:p w14:paraId="4C9A2EF7" w14:textId="77777777" w:rsidR="00412033" w:rsidRDefault="00994BB5">
            <w:pPr>
              <w:spacing w:after="0" w:line="259" w:lineRule="auto"/>
              <w:ind w:left="0" w:firstLine="0"/>
              <w:jc w:val="left"/>
            </w:pPr>
            <w:r>
              <w:rPr>
                <w:b/>
                <w:color w:val="FFFFFF"/>
                <w:sz w:val="29"/>
              </w:rPr>
              <w:t xml:space="preserve">Health &amp; Safety Management System </w:t>
            </w:r>
          </w:p>
        </w:tc>
      </w:tr>
      <w:tr w:rsidR="00412033" w14:paraId="1C9B3B6D" w14:textId="77777777">
        <w:trPr>
          <w:trHeight w:val="891"/>
        </w:trPr>
        <w:tc>
          <w:tcPr>
            <w:tcW w:w="9028" w:type="dxa"/>
            <w:gridSpan w:val="2"/>
            <w:tcBorders>
              <w:top w:val="single" w:sz="6" w:space="0" w:color="000000"/>
              <w:left w:val="single" w:sz="6" w:space="0" w:color="000000"/>
              <w:bottom w:val="single" w:sz="13" w:space="0" w:color="00284A"/>
              <w:right w:val="single" w:sz="6" w:space="0" w:color="000000"/>
            </w:tcBorders>
          </w:tcPr>
          <w:p w14:paraId="310EB750" w14:textId="77777777" w:rsidR="00412033" w:rsidRDefault="00994BB5">
            <w:pPr>
              <w:spacing w:after="0" w:line="259" w:lineRule="auto"/>
              <w:ind w:left="0" w:right="252" w:firstLine="0"/>
            </w:pPr>
            <w:r>
              <w:t xml:space="preserve">Tenderers must provide information which demonstrates operation of Health &amp; Safety systems and procedures in line with all relevant Safety, Health &amp; Welfare at Work legislation. Please complete the TRD. Evidence of compliance will be required as condition of contract award. </w:t>
            </w:r>
          </w:p>
        </w:tc>
      </w:tr>
      <w:tr w:rsidR="00412033" w14:paraId="5B144F0B" w14:textId="77777777">
        <w:trPr>
          <w:trHeight w:val="390"/>
        </w:trPr>
        <w:tc>
          <w:tcPr>
            <w:tcW w:w="9028" w:type="dxa"/>
            <w:gridSpan w:val="2"/>
            <w:tcBorders>
              <w:top w:val="single" w:sz="13" w:space="0" w:color="00284A"/>
              <w:left w:val="single" w:sz="6" w:space="0" w:color="000000"/>
              <w:bottom w:val="single" w:sz="6" w:space="0" w:color="000000"/>
              <w:right w:val="single" w:sz="6" w:space="0" w:color="000000"/>
            </w:tcBorders>
            <w:shd w:val="clear" w:color="auto" w:fill="00284A"/>
          </w:tcPr>
          <w:p w14:paraId="0A438364" w14:textId="77777777" w:rsidR="00412033" w:rsidRDefault="00994BB5">
            <w:pPr>
              <w:spacing w:after="0" w:line="259" w:lineRule="auto"/>
              <w:ind w:left="0" w:firstLine="0"/>
              <w:jc w:val="left"/>
            </w:pPr>
            <w:r>
              <w:rPr>
                <w:b/>
                <w:color w:val="FFFFFF"/>
                <w:sz w:val="29"/>
              </w:rPr>
              <w:t xml:space="preserve">Quality Assurance  </w:t>
            </w:r>
          </w:p>
        </w:tc>
      </w:tr>
      <w:tr w:rsidR="00412033" w14:paraId="637803ED" w14:textId="77777777">
        <w:trPr>
          <w:trHeight w:val="1164"/>
        </w:trPr>
        <w:tc>
          <w:tcPr>
            <w:tcW w:w="9028" w:type="dxa"/>
            <w:gridSpan w:val="2"/>
            <w:tcBorders>
              <w:top w:val="single" w:sz="6" w:space="0" w:color="000000"/>
              <w:left w:val="single" w:sz="6" w:space="0" w:color="000000"/>
              <w:bottom w:val="single" w:sz="13" w:space="0" w:color="00284A"/>
              <w:right w:val="single" w:sz="6" w:space="0" w:color="000000"/>
            </w:tcBorders>
          </w:tcPr>
          <w:p w14:paraId="35295048" w14:textId="77777777" w:rsidR="00412033" w:rsidRDefault="00994BB5">
            <w:pPr>
              <w:spacing w:after="8" w:line="232" w:lineRule="auto"/>
              <w:ind w:left="0" w:right="45" w:firstLine="0"/>
            </w:pPr>
            <w:r>
              <w:t xml:space="preserve">Tenderers must provide information which demonstrates a commitment to quality assurance and provide details of quality assurance policies and systems and whether externally certified such as the following or equivalent.  </w:t>
            </w:r>
          </w:p>
          <w:p w14:paraId="0CF9BA98" w14:textId="77777777" w:rsidR="00412033" w:rsidRDefault="00994BB5">
            <w:pPr>
              <w:spacing w:after="0" w:line="259" w:lineRule="auto"/>
              <w:ind w:left="0" w:firstLine="0"/>
              <w:jc w:val="left"/>
            </w:pPr>
            <w:r>
              <w:t xml:space="preserve">ISO9001 – Quality Management System </w:t>
            </w:r>
          </w:p>
        </w:tc>
      </w:tr>
      <w:tr w:rsidR="00412033" w14:paraId="1D15896D" w14:textId="77777777">
        <w:trPr>
          <w:trHeight w:val="376"/>
        </w:trPr>
        <w:tc>
          <w:tcPr>
            <w:tcW w:w="9028" w:type="dxa"/>
            <w:gridSpan w:val="2"/>
            <w:tcBorders>
              <w:top w:val="single" w:sz="13" w:space="0" w:color="00284A"/>
              <w:left w:val="single" w:sz="6" w:space="0" w:color="000000"/>
              <w:bottom w:val="single" w:sz="6" w:space="0" w:color="000000"/>
              <w:right w:val="single" w:sz="6" w:space="0" w:color="000000"/>
            </w:tcBorders>
            <w:shd w:val="clear" w:color="auto" w:fill="00284A"/>
          </w:tcPr>
          <w:p w14:paraId="0E3B8978" w14:textId="77777777" w:rsidR="00412033" w:rsidRDefault="00994BB5">
            <w:pPr>
              <w:spacing w:after="0" w:line="259" w:lineRule="auto"/>
              <w:ind w:left="0" w:firstLine="0"/>
              <w:jc w:val="left"/>
            </w:pPr>
            <w:r>
              <w:rPr>
                <w:b/>
                <w:color w:val="FFFFFF"/>
                <w:sz w:val="29"/>
              </w:rPr>
              <w:t xml:space="preserve">Commitment to responsible business conduct </w:t>
            </w:r>
          </w:p>
        </w:tc>
      </w:tr>
      <w:tr w:rsidR="00412033" w14:paraId="1CADEA07" w14:textId="77777777">
        <w:trPr>
          <w:trHeight w:val="2222"/>
        </w:trPr>
        <w:tc>
          <w:tcPr>
            <w:tcW w:w="9028" w:type="dxa"/>
            <w:gridSpan w:val="2"/>
            <w:tcBorders>
              <w:top w:val="single" w:sz="6" w:space="0" w:color="000000"/>
              <w:left w:val="single" w:sz="6" w:space="0" w:color="000000"/>
              <w:bottom w:val="single" w:sz="6" w:space="0" w:color="000000"/>
              <w:right w:val="single" w:sz="6" w:space="0" w:color="000000"/>
            </w:tcBorders>
          </w:tcPr>
          <w:p w14:paraId="5E45E35A" w14:textId="77777777" w:rsidR="00412033" w:rsidRDefault="00994BB5">
            <w:pPr>
              <w:spacing w:after="31" w:line="225" w:lineRule="auto"/>
              <w:ind w:left="0" w:firstLine="0"/>
              <w:jc w:val="left"/>
            </w:pPr>
            <w:r>
              <w:t xml:space="preserve">Tenderers must demonstrate they have policies in place to guarantee responsible business conduct in the execution of this contract. An example of this process may be one of the following: </w:t>
            </w:r>
          </w:p>
          <w:p w14:paraId="3A2FDBD9" w14:textId="77777777" w:rsidR="00412033" w:rsidRDefault="00994BB5">
            <w:pPr>
              <w:numPr>
                <w:ilvl w:val="0"/>
                <w:numId w:val="18"/>
              </w:numPr>
              <w:spacing w:after="0" w:line="259" w:lineRule="auto"/>
              <w:ind w:firstLine="0"/>
              <w:jc w:val="left"/>
            </w:pPr>
            <w:r>
              <w:t xml:space="preserve">the application of a supplier code of conduct,  </w:t>
            </w:r>
          </w:p>
          <w:p w14:paraId="5911D9BD" w14:textId="77777777" w:rsidR="00412033" w:rsidRDefault="00994BB5">
            <w:pPr>
              <w:numPr>
                <w:ilvl w:val="0"/>
                <w:numId w:val="18"/>
              </w:numPr>
              <w:spacing w:after="0" w:line="259" w:lineRule="auto"/>
              <w:ind w:firstLine="0"/>
              <w:jc w:val="left"/>
            </w:pPr>
            <w:r>
              <w:t xml:space="preserve">a system for tracing the supply chain of products, </w:t>
            </w:r>
          </w:p>
          <w:p w14:paraId="1CDB138F" w14:textId="77777777" w:rsidR="00412033" w:rsidRDefault="00994BB5">
            <w:pPr>
              <w:numPr>
                <w:ilvl w:val="0"/>
                <w:numId w:val="18"/>
              </w:numPr>
              <w:spacing w:after="17" w:line="225" w:lineRule="auto"/>
              <w:ind w:firstLine="0"/>
              <w:jc w:val="left"/>
            </w:pPr>
            <w:r>
              <w:t xml:space="preserve">regular checkups with suppliers to confirm all legal obligations regarding human rights, environmental compliance, health and safety etc are maintained, </w:t>
            </w:r>
          </w:p>
          <w:p w14:paraId="1B8A1E02" w14:textId="77777777" w:rsidR="00412033" w:rsidRDefault="00994BB5">
            <w:pPr>
              <w:numPr>
                <w:ilvl w:val="0"/>
                <w:numId w:val="18"/>
              </w:numPr>
              <w:spacing w:after="0" w:line="259" w:lineRule="auto"/>
              <w:ind w:firstLine="0"/>
              <w:jc w:val="left"/>
            </w:pPr>
            <w:r>
              <w:t xml:space="preserve">training of staff on ethical trade awareness, etc. Please complete the TRD. Evidence of compliance will be required as condition of contract award. </w:t>
            </w:r>
          </w:p>
        </w:tc>
      </w:tr>
    </w:tbl>
    <w:p w14:paraId="56F7C3F7" w14:textId="77777777" w:rsidR="00412033" w:rsidRDefault="00994BB5">
      <w:pPr>
        <w:spacing w:after="0" w:line="259" w:lineRule="auto"/>
        <w:ind w:left="16" w:firstLine="0"/>
        <w:jc w:val="left"/>
      </w:pPr>
      <w:r>
        <w:t xml:space="preserve"> </w:t>
      </w:r>
      <w:r>
        <w:tab/>
        <w:t xml:space="preserve"> </w:t>
      </w:r>
    </w:p>
    <w:p w14:paraId="7A25C81F" w14:textId="77777777" w:rsidR="00412033" w:rsidRDefault="00994BB5">
      <w:pPr>
        <w:pStyle w:val="Heading1"/>
        <w:ind w:left="379"/>
      </w:pPr>
      <w:r>
        <w:t>5.</w:t>
      </w:r>
      <w:r>
        <w:rPr>
          <w:rFonts w:ascii="Arial" w:eastAsia="Arial" w:hAnsi="Arial" w:cs="Arial"/>
          <w:b/>
        </w:rPr>
        <w:t xml:space="preserve"> </w:t>
      </w:r>
      <w:r>
        <w:t xml:space="preserve">Award Criteria </w:t>
      </w:r>
    </w:p>
    <w:p w14:paraId="167B54F6" w14:textId="77777777" w:rsidR="00412033" w:rsidRDefault="00994BB5">
      <w:pPr>
        <w:spacing w:after="212" w:line="259" w:lineRule="auto"/>
        <w:ind w:left="384" w:firstLine="0"/>
        <w:jc w:val="left"/>
      </w:pPr>
      <w:r>
        <w:rPr>
          <w:b/>
          <w:sz w:val="24"/>
        </w:rPr>
        <w:t>5.1</w:t>
      </w:r>
      <w:r>
        <w:rPr>
          <w:rFonts w:ascii="Arial" w:eastAsia="Arial" w:hAnsi="Arial" w:cs="Arial"/>
          <w:b/>
          <w:sz w:val="24"/>
        </w:rPr>
        <w:t xml:space="preserve"> </w:t>
      </w:r>
      <w:r>
        <w:rPr>
          <w:b/>
          <w:sz w:val="24"/>
        </w:rPr>
        <w:t xml:space="preserve"> </w:t>
      </w:r>
      <w:r>
        <w:rPr>
          <w:sz w:val="24"/>
        </w:rPr>
        <w:t>The Award Criteria for Evaluation Purposes</w:t>
      </w:r>
      <w:r>
        <w:rPr>
          <w:b/>
          <w:sz w:val="24"/>
        </w:rPr>
        <w:t xml:space="preserve">  </w:t>
      </w:r>
    </w:p>
    <w:p w14:paraId="1477130C" w14:textId="77777777" w:rsidR="00412033" w:rsidRDefault="00994BB5">
      <w:pPr>
        <w:ind w:left="11" w:right="22"/>
      </w:pPr>
      <w:r>
        <w:t xml:space="preserve">Only tenders which meet the Selection Criteria and are confirmed as valid and responsive to the specifications set out in this document will be evaluated against the award criteria. Tenderers should </w:t>
      </w:r>
      <w:r>
        <w:lastRenderedPageBreak/>
        <w:t xml:space="preserve">ensure that they have submitted sufficient relevant information to allow their tenders to be assessed under each of the award criteria set out below.  </w:t>
      </w:r>
    </w:p>
    <w:p w14:paraId="3722773F" w14:textId="77777777" w:rsidR="00412033" w:rsidRDefault="00994BB5">
      <w:pPr>
        <w:spacing w:after="0"/>
        <w:ind w:left="11" w:right="22"/>
      </w:pPr>
      <w:r>
        <w:t xml:space="preserve">The Framework will be awarded on the basis of the most economically advantageous compliant tender taking into account the following award criteria and weightings. Please refer to the Framework Terms and Conditions for details of the award criteria which would apply in the case of mini tenders under the Framework Agreement.  </w:t>
      </w:r>
    </w:p>
    <w:tbl>
      <w:tblPr>
        <w:tblStyle w:val="TableGrid"/>
        <w:tblW w:w="9034" w:type="dxa"/>
        <w:tblInd w:w="10" w:type="dxa"/>
        <w:tblCellMar>
          <w:top w:w="64" w:type="dxa"/>
          <w:left w:w="118" w:type="dxa"/>
          <w:right w:w="55" w:type="dxa"/>
        </w:tblCellMar>
        <w:tblLook w:val="04A0" w:firstRow="1" w:lastRow="0" w:firstColumn="1" w:lastColumn="0" w:noHBand="0" w:noVBand="1"/>
      </w:tblPr>
      <w:tblGrid>
        <w:gridCol w:w="2259"/>
        <w:gridCol w:w="2257"/>
        <w:gridCol w:w="2259"/>
        <w:gridCol w:w="2259"/>
      </w:tblGrid>
      <w:tr w:rsidR="00412033" w14:paraId="56A98DA2" w14:textId="77777777">
        <w:trPr>
          <w:trHeight w:val="322"/>
        </w:trPr>
        <w:tc>
          <w:tcPr>
            <w:tcW w:w="2259" w:type="dxa"/>
            <w:vMerge w:val="restart"/>
            <w:tcBorders>
              <w:top w:val="single" w:sz="6" w:space="0" w:color="000000"/>
              <w:left w:val="single" w:sz="6" w:space="0" w:color="000000"/>
              <w:bottom w:val="single" w:sz="6" w:space="0" w:color="000000"/>
              <w:right w:val="single" w:sz="6" w:space="0" w:color="000000"/>
            </w:tcBorders>
            <w:shd w:val="clear" w:color="auto" w:fill="00284A"/>
            <w:vAlign w:val="center"/>
          </w:tcPr>
          <w:p w14:paraId="40457518" w14:textId="77777777" w:rsidR="00412033" w:rsidRDefault="00994BB5">
            <w:pPr>
              <w:spacing w:after="0" w:line="259" w:lineRule="auto"/>
              <w:ind w:left="0" w:firstLine="0"/>
              <w:jc w:val="left"/>
            </w:pPr>
            <w:r>
              <w:rPr>
                <w:b/>
                <w:color w:val="FFFFFF"/>
              </w:rPr>
              <w:t xml:space="preserve">Criterion A </w:t>
            </w:r>
          </w:p>
        </w:tc>
        <w:tc>
          <w:tcPr>
            <w:tcW w:w="2257" w:type="dxa"/>
            <w:tcBorders>
              <w:top w:val="single" w:sz="6" w:space="0" w:color="000000"/>
              <w:left w:val="single" w:sz="6" w:space="0" w:color="000000"/>
              <w:bottom w:val="single" w:sz="6" w:space="0" w:color="000000"/>
              <w:right w:val="single" w:sz="6" w:space="0" w:color="000000"/>
            </w:tcBorders>
          </w:tcPr>
          <w:p w14:paraId="43A9DEF4" w14:textId="77777777" w:rsidR="00412033" w:rsidRDefault="00994BB5">
            <w:pPr>
              <w:spacing w:after="0" w:line="259" w:lineRule="auto"/>
              <w:ind w:left="0" w:firstLine="0"/>
              <w:jc w:val="left"/>
            </w:pPr>
            <w:r>
              <w:rPr>
                <w:b/>
              </w:rPr>
              <w:t xml:space="preserve">Weighting </w:t>
            </w:r>
          </w:p>
        </w:tc>
        <w:tc>
          <w:tcPr>
            <w:tcW w:w="2259" w:type="dxa"/>
            <w:tcBorders>
              <w:top w:val="single" w:sz="6" w:space="0" w:color="000000"/>
              <w:left w:val="single" w:sz="6" w:space="0" w:color="000000"/>
              <w:bottom w:val="single" w:sz="6" w:space="0" w:color="000000"/>
              <w:right w:val="single" w:sz="6" w:space="0" w:color="000000"/>
            </w:tcBorders>
          </w:tcPr>
          <w:p w14:paraId="66DB0A2F" w14:textId="77777777" w:rsidR="00412033" w:rsidRDefault="00994BB5">
            <w:pPr>
              <w:spacing w:after="0" w:line="259" w:lineRule="auto"/>
              <w:ind w:left="2" w:firstLine="0"/>
              <w:jc w:val="left"/>
            </w:pPr>
            <w:r>
              <w:rPr>
                <w:b/>
              </w:rPr>
              <w:t xml:space="preserve">Maximum Marks </w:t>
            </w:r>
          </w:p>
        </w:tc>
        <w:tc>
          <w:tcPr>
            <w:tcW w:w="2259" w:type="dxa"/>
            <w:tcBorders>
              <w:top w:val="single" w:sz="6" w:space="0" w:color="000000"/>
              <w:left w:val="single" w:sz="6" w:space="0" w:color="000000"/>
              <w:bottom w:val="single" w:sz="6" w:space="0" w:color="000000"/>
              <w:right w:val="single" w:sz="6" w:space="0" w:color="000000"/>
            </w:tcBorders>
          </w:tcPr>
          <w:p w14:paraId="7C229B37" w14:textId="77777777" w:rsidR="00412033" w:rsidRDefault="00994BB5">
            <w:pPr>
              <w:spacing w:after="0" w:line="259" w:lineRule="auto"/>
              <w:ind w:left="2" w:firstLine="0"/>
              <w:jc w:val="left"/>
            </w:pPr>
            <w:r>
              <w:rPr>
                <w:b/>
              </w:rPr>
              <w:t xml:space="preserve">Minimum Marks </w:t>
            </w:r>
          </w:p>
        </w:tc>
      </w:tr>
      <w:tr w:rsidR="00412033" w14:paraId="39FA9653" w14:textId="77777777">
        <w:trPr>
          <w:trHeight w:val="339"/>
        </w:trPr>
        <w:tc>
          <w:tcPr>
            <w:tcW w:w="0" w:type="auto"/>
            <w:vMerge/>
            <w:tcBorders>
              <w:top w:val="nil"/>
              <w:left w:val="single" w:sz="6" w:space="0" w:color="000000"/>
              <w:bottom w:val="single" w:sz="6" w:space="0" w:color="000000"/>
              <w:right w:val="single" w:sz="6" w:space="0" w:color="000000"/>
            </w:tcBorders>
          </w:tcPr>
          <w:p w14:paraId="41AB550C" w14:textId="77777777" w:rsidR="00412033" w:rsidRDefault="00412033">
            <w:pPr>
              <w:spacing w:after="160" w:line="259" w:lineRule="auto"/>
              <w:ind w:left="0" w:firstLine="0"/>
              <w:jc w:val="left"/>
            </w:pPr>
          </w:p>
        </w:tc>
        <w:tc>
          <w:tcPr>
            <w:tcW w:w="2257" w:type="dxa"/>
            <w:tcBorders>
              <w:top w:val="single" w:sz="6" w:space="0" w:color="000000"/>
              <w:left w:val="single" w:sz="6" w:space="0" w:color="000000"/>
              <w:bottom w:val="single" w:sz="6" w:space="0" w:color="000000"/>
              <w:right w:val="single" w:sz="6" w:space="0" w:color="000000"/>
            </w:tcBorders>
          </w:tcPr>
          <w:p w14:paraId="64EA74FD" w14:textId="3756FB97" w:rsidR="00412033" w:rsidRDefault="00BC198E">
            <w:pPr>
              <w:spacing w:after="0" w:line="259" w:lineRule="auto"/>
              <w:ind w:left="0" w:firstLine="0"/>
              <w:jc w:val="left"/>
            </w:pPr>
            <w:r>
              <w:t>35</w:t>
            </w:r>
            <w:r w:rsidR="00994BB5">
              <w:t xml:space="preserve">% </w:t>
            </w:r>
          </w:p>
        </w:tc>
        <w:tc>
          <w:tcPr>
            <w:tcW w:w="2259" w:type="dxa"/>
            <w:tcBorders>
              <w:top w:val="single" w:sz="6" w:space="0" w:color="000000"/>
              <w:left w:val="single" w:sz="6" w:space="0" w:color="000000"/>
              <w:bottom w:val="single" w:sz="6" w:space="0" w:color="000000"/>
              <w:right w:val="single" w:sz="6" w:space="0" w:color="000000"/>
            </w:tcBorders>
          </w:tcPr>
          <w:p w14:paraId="119700A1" w14:textId="5FD36213" w:rsidR="00412033" w:rsidRDefault="00BC198E">
            <w:pPr>
              <w:spacing w:after="0" w:line="259" w:lineRule="auto"/>
              <w:ind w:left="2" w:firstLine="0"/>
              <w:jc w:val="left"/>
            </w:pPr>
            <w:r>
              <w:t>3</w:t>
            </w:r>
            <w:r w:rsidR="00994BB5">
              <w:t xml:space="preserve">500 </w:t>
            </w:r>
          </w:p>
        </w:tc>
        <w:tc>
          <w:tcPr>
            <w:tcW w:w="2259" w:type="dxa"/>
            <w:tcBorders>
              <w:top w:val="single" w:sz="6" w:space="0" w:color="000000"/>
              <w:left w:val="single" w:sz="6" w:space="0" w:color="000000"/>
              <w:bottom w:val="single" w:sz="6" w:space="0" w:color="000000"/>
              <w:right w:val="single" w:sz="6" w:space="0" w:color="000000"/>
            </w:tcBorders>
          </w:tcPr>
          <w:p w14:paraId="68FFD77C" w14:textId="77777777" w:rsidR="00412033" w:rsidRDefault="00994BB5">
            <w:pPr>
              <w:spacing w:after="0" w:line="259" w:lineRule="auto"/>
              <w:ind w:left="2" w:firstLine="0"/>
              <w:jc w:val="left"/>
            </w:pPr>
            <w:r>
              <w:t xml:space="preserve">n / a </w:t>
            </w:r>
          </w:p>
        </w:tc>
      </w:tr>
      <w:tr w:rsidR="00412033" w14:paraId="216046B2" w14:textId="77777777">
        <w:trPr>
          <w:trHeight w:val="334"/>
        </w:trPr>
        <w:tc>
          <w:tcPr>
            <w:tcW w:w="2259" w:type="dxa"/>
            <w:tcBorders>
              <w:top w:val="single" w:sz="6" w:space="0" w:color="000000"/>
              <w:left w:val="single" w:sz="6" w:space="0" w:color="000000"/>
              <w:bottom w:val="single" w:sz="6" w:space="0" w:color="000000"/>
              <w:right w:val="single" w:sz="6" w:space="0" w:color="000000"/>
            </w:tcBorders>
          </w:tcPr>
          <w:p w14:paraId="5D65C5AB" w14:textId="77777777" w:rsidR="00412033" w:rsidRDefault="00994BB5">
            <w:pPr>
              <w:spacing w:after="0" w:line="259" w:lineRule="auto"/>
              <w:ind w:left="0" w:firstLine="0"/>
              <w:jc w:val="left"/>
            </w:pPr>
            <w:r>
              <w:rPr>
                <w:b/>
              </w:rPr>
              <w:t xml:space="preserve">Title </w:t>
            </w:r>
          </w:p>
        </w:tc>
        <w:tc>
          <w:tcPr>
            <w:tcW w:w="6775" w:type="dxa"/>
            <w:gridSpan w:val="3"/>
            <w:tcBorders>
              <w:top w:val="single" w:sz="6" w:space="0" w:color="000000"/>
              <w:left w:val="single" w:sz="6" w:space="0" w:color="000000"/>
              <w:bottom w:val="single" w:sz="6" w:space="0" w:color="000000"/>
              <w:right w:val="single" w:sz="6" w:space="0" w:color="000000"/>
            </w:tcBorders>
          </w:tcPr>
          <w:p w14:paraId="245D10F5" w14:textId="77777777" w:rsidR="00412033" w:rsidRDefault="00994BB5">
            <w:pPr>
              <w:spacing w:after="0" w:line="259" w:lineRule="auto"/>
              <w:ind w:left="0" w:firstLine="0"/>
              <w:jc w:val="left"/>
            </w:pPr>
            <w:r>
              <w:rPr>
                <w:b/>
              </w:rPr>
              <w:t xml:space="preserve">Cost  </w:t>
            </w:r>
          </w:p>
        </w:tc>
      </w:tr>
      <w:tr w:rsidR="00412033" w14:paraId="3BB6890E" w14:textId="77777777">
        <w:trPr>
          <w:trHeight w:val="607"/>
        </w:trPr>
        <w:tc>
          <w:tcPr>
            <w:tcW w:w="2259" w:type="dxa"/>
            <w:tcBorders>
              <w:top w:val="single" w:sz="6" w:space="0" w:color="000000"/>
              <w:left w:val="single" w:sz="6" w:space="0" w:color="000000"/>
              <w:bottom w:val="single" w:sz="6" w:space="0" w:color="000000"/>
              <w:right w:val="single" w:sz="6" w:space="0" w:color="000000"/>
            </w:tcBorders>
            <w:vAlign w:val="center"/>
          </w:tcPr>
          <w:p w14:paraId="0584DD47" w14:textId="77777777" w:rsidR="00412033" w:rsidRDefault="00994BB5">
            <w:pPr>
              <w:spacing w:after="0" w:line="259" w:lineRule="auto"/>
              <w:ind w:left="0" w:firstLine="0"/>
              <w:jc w:val="left"/>
            </w:pPr>
            <w:r>
              <w:rPr>
                <w:b/>
              </w:rPr>
              <w:t xml:space="preserve">Description </w:t>
            </w:r>
          </w:p>
        </w:tc>
        <w:tc>
          <w:tcPr>
            <w:tcW w:w="6775" w:type="dxa"/>
            <w:gridSpan w:val="3"/>
            <w:tcBorders>
              <w:top w:val="single" w:sz="6" w:space="0" w:color="000000"/>
              <w:left w:val="single" w:sz="6" w:space="0" w:color="000000"/>
              <w:bottom w:val="single" w:sz="6" w:space="0" w:color="000000"/>
              <w:right w:val="single" w:sz="6" w:space="0" w:color="000000"/>
            </w:tcBorders>
          </w:tcPr>
          <w:p w14:paraId="5529B2A0" w14:textId="77777777" w:rsidR="00412033" w:rsidRDefault="00994BB5">
            <w:pPr>
              <w:spacing w:after="0" w:line="259" w:lineRule="auto"/>
              <w:ind w:left="0" w:firstLine="0"/>
            </w:pPr>
            <w:r>
              <w:t xml:space="preserve">Tenderers are required to provide a fully inclusive price for all items listed in the Pricing Schedule </w:t>
            </w:r>
          </w:p>
        </w:tc>
      </w:tr>
      <w:tr w:rsidR="00412033" w14:paraId="59D0BBD4" w14:textId="77777777">
        <w:trPr>
          <w:trHeight w:val="338"/>
        </w:trPr>
        <w:tc>
          <w:tcPr>
            <w:tcW w:w="2259" w:type="dxa"/>
            <w:vMerge w:val="restart"/>
            <w:tcBorders>
              <w:top w:val="single" w:sz="6" w:space="0" w:color="000000"/>
              <w:left w:val="single" w:sz="6" w:space="0" w:color="000000"/>
              <w:bottom w:val="single" w:sz="6" w:space="0" w:color="000000"/>
              <w:right w:val="single" w:sz="6" w:space="0" w:color="000000"/>
            </w:tcBorders>
            <w:shd w:val="clear" w:color="auto" w:fill="00284A"/>
            <w:vAlign w:val="center"/>
          </w:tcPr>
          <w:p w14:paraId="64B4AB43" w14:textId="77777777" w:rsidR="00412033" w:rsidRDefault="00994BB5">
            <w:pPr>
              <w:spacing w:after="0" w:line="259" w:lineRule="auto"/>
              <w:ind w:left="0" w:firstLine="0"/>
              <w:jc w:val="left"/>
            </w:pPr>
            <w:r>
              <w:rPr>
                <w:b/>
                <w:color w:val="FFFFFF"/>
              </w:rPr>
              <w:t xml:space="preserve">Criterion B </w:t>
            </w:r>
          </w:p>
        </w:tc>
        <w:tc>
          <w:tcPr>
            <w:tcW w:w="2257" w:type="dxa"/>
            <w:tcBorders>
              <w:top w:val="single" w:sz="6" w:space="0" w:color="000000"/>
              <w:left w:val="single" w:sz="6" w:space="0" w:color="000000"/>
              <w:bottom w:val="single" w:sz="7" w:space="0" w:color="000000"/>
              <w:right w:val="single" w:sz="6" w:space="0" w:color="000000"/>
            </w:tcBorders>
          </w:tcPr>
          <w:p w14:paraId="021B06A1" w14:textId="77777777" w:rsidR="00412033" w:rsidRDefault="00994BB5">
            <w:pPr>
              <w:spacing w:after="0" w:line="259" w:lineRule="auto"/>
              <w:ind w:left="0" w:firstLine="0"/>
              <w:jc w:val="left"/>
            </w:pPr>
            <w:r>
              <w:rPr>
                <w:b/>
              </w:rPr>
              <w:t xml:space="preserve">Weighting </w:t>
            </w:r>
          </w:p>
        </w:tc>
        <w:tc>
          <w:tcPr>
            <w:tcW w:w="2259" w:type="dxa"/>
            <w:tcBorders>
              <w:top w:val="single" w:sz="6" w:space="0" w:color="000000"/>
              <w:left w:val="single" w:sz="6" w:space="0" w:color="000000"/>
              <w:bottom w:val="single" w:sz="7" w:space="0" w:color="000000"/>
              <w:right w:val="single" w:sz="6" w:space="0" w:color="000000"/>
            </w:tcBorders>
          </w:tcPr>
          <w:p w14:paraId="61DA076F" w14:textId="77777777" w:rsidR="00412033" w:rsidRDefault="00994BB5">
            <w:pPr>
              <w:spacing w:after="0" w:line="259" w:lineRule="auto"/>
              <w:ind w:left="2" w:firstLine="0"/>
              <w:jc w:val="left"/>
            </w:pPr>
            <w:r>
              <w:rPr>
                <w:b/>
              </w:rPr>
              <w:t xml:space="preserve">Maximum Marks </w:t>
            </w:r>
          </w:p>
        </w:tc>
        <w:tc>
          <w:tcPr>
            <w:tcW w:w="2259" w:type="dxa"/>
            <w:tcBorders>
              <w:top w:val="single" w:sz="6" w:space="0" w:color="000000"/>
              <w:left w:val="single" w:sz="6" w:space="0" w:color="000000"/>
              <w:bottom w:val="single" w:sz="7" w:space="0" w:color="000000"/>
              <w:right w:val="single" w:sz="6" w:space="0" w:color="000000"/>
            </w:tcBorders>
          </w:tcPr>
          <w:p w14:paraId="045C08F8" w14:textId="77777777" w:rsidR="00412033" w:rsidRDefault="00994BB5">
            <w:pPr>
              <w:spacing w:after="0" w:line="259" w:lineRule="auto"/>
              <w:ind w:left="2" w:firstLine="0"/>
              <w:jc w:val="left"/>
            </w:pPr>
            <w:r>
              <w:rPr>
                <w:b/>
              </w:rPr>
              <w:t xml:space="preserve">Minimum Marks </w:t>
            </w:r>
            <w:r>
              <w:t>50%</w:t>
            </w:r>
            <w:r>
              <w:rPr>
                <w:b/>
              </w:rPr>
              <w:t xml:space="preserve"> </w:t>
            </w:r>
          </w:p>
        </w:tc>
      </w:tr>
      <w:tr w:rsidR="00412033" w14:paraId="6C081B54" w14:textId="77777777">
        <w:trPr>
          <w:trHeight w:val="334"/>
        </w:trPr>
        <w:tc>
          <w:tcPr>
            <w:tcW w:w="0" w:type="auto"/>
            <w:vMerge/>
            <w:tcBorders>
              <w:top w:val="nil"/>
              <w:left w:val="single" w:sz="6" w:space="0" w:color="000000"/>
              <w:bottom w:val="single" w:sz="6" w:space="0" w:color="000000"/>
              <w:right w:val="single" w:sz="6" w:space="0" w:color="000000"/>
            </w:tcBorders>
          </w:tcPr>
          <w:p w14:paraId="37C29486" w14:textId="77777777" w:rsidR="00412033" w:rsidRDefault="00412033">
            <w:pPr>
              <w:spacing w:after="160" w:line="259" w:lineRule="auto"/>
              <w:ind w:left="0" w:firstLine="0"/>
              <w:jc w:val="left"/>
            </w:pPr>
          </w:p>
        </w:tc>
        <w:tc>
          <w:tcPr>
            <w:tcW w:w="2257" w:type="dxa"/>
            <w:tcBorders>
              <w:top w:val="single" w:sz="7" w:space="0" w:color="000000"/>
              <w:left w:val="single" w:sz="6" w:space="0" w:color="000000"/>
              <w:bottom w:val="single" w:sz="6" w:space="0" w:color="000000"/>
              <w:right w:val="single" w:sz="6" w:space="0" w:color="000000"/>
            </w:tcBorders>
          </w:tcPr>
          <w:p w14:paraId="3EC8B0B9" w14:textId="3E019F3F" w:rsidR="00412033" w:rsidRDefault="00BC198E">
            <w:pPr>
              <w:spacing w:after="0" w:line="259" w:lineRule="auto"/>
              <w:ind w:left="0" w:firstLine="0"/>
              <w:jc w:val="left"/>
            </w:pPr>
            <w:r>
              <w:t>25</w:t>
            </w:r>
            <w:r w:rsidR="00994BB5">
              <w:t xml:space="preserve">% </w:t>
            </w:r>
          </w:p>
        </w:tc>
        <w:tc>
          <w:tcPr>
            <w:tcW w:w="2259" w:type="dxa"/>
            <w:tcBorders>
              <w:top w:val="single" w:sz="7" w:space="0" w:color="000000"/>
              <w:left w:val="single" w:sz="6" w:space="0" w:color="000000"/>
              <w:bottom w:val="single" w:sz="6" w:space="0" w:color="000000"/>
              <w:right w:val="single" w:sz="6" w:space="0" w:color="000000"/>
            </w:tcBorders>
          </w:tcPr>
          <w:p w14:paraId="34306D18" w14:textId="31CB41F8" w:rsidR="00412033" w:rsidRDefault="00BC198E">
            <w:pPr>
              <w:spacing w:after="0" w:line="259" w:lineRule="auto"/>
              <w:ind w:left="2" w:firstLine="0"/>
              <w:jc w:val="left"/>
            </w:pPr>
            <w:r>
              <w:t>2</w:t>
            </w:r>
            <w:r w:rsidR="00994BB5">
              <w:t xml:space="preserve">500 </w:t>
            </w:r>
          </w:p>
        </w:tc>
        <w:tc>
          <w:tcPr>
            <w:tcW w:w="2259" w:type="dxa"/>
            <w:tcBorders>
              <w:top w:val="single" w:sz="7" w:space="0" w:color="000000"/>
              <w:left w:val="single" w:sz="6" w:space="0" w:color="000000"/>
              <w:bottom w:val="single" w:sz="6" w:space="0" w:color="000000"/>
              <w:right w:val="single" w:sz="6" w:space="0" w:color="000000"/>
            </w:tcBorders>
          </w:tcPr>
          <w:p w14:paraId="40D5FAED" w14:textId="77777777" w:rsidR="00412033" w:rsidRDefault="00994BB5">
            <w:pPr>
              <w:spacing w:after="0" w:line="259" w:lineRule="auto"/>
              <w:ind w:left="2" w:firstLine="0"/>
              <w:jc w:val="left"/>
            </w:pPr>
            <w:r>
              <w:t xml:space="preserve">1750 </w:t>
            </w:r>
          </w:p>
        </w:tc>
      </w:tr>
      <w:tr w:rsidR="00412033" w14:paraId="0FA26367" w14:textId="77777777">
        <w:trPr>
          <w:trHeight w:val="339"/>
        </w:trPr>
        <w:tc>
          <w:tcPr>
            <w:tcW w:w="2259" w:type="dxa"/>
            <w:tcBorders>
              <w:top w:val="single" w:sz="6" w:space="0" w:color="000000"/>
              <w:left w:val="single" w:sz="6" w:space="0" w:color="000000"/>
              <w:bottom w:val="single" w:sz="6" w:space="0" w:color="000000"/>
              <w:right w:val="single" w:sz="6" w:space="0" w:color="000000"/>
            </w:tcBorders>
          </w:tcPr>
          <w:p w14:paraId="0E0D5F6D" w14:textId="77777777" w:rsidR="00412033" w:rsidRDefault="00994BB5">
            <w:pPr>
              <w:spacing w:after="0" w:line="259" w:lineRule="auto"/>
              <w:ind w:left="0" w:firstLine="0"/>
              <w:jc w:val="left"/>
            </w:pPr>
            <w:r>
              <w:rPr>
                <w:b/>
              </w:rPr>
              <w:t xml:space="preserve">Title </w:t>
            </w:r>
          </w:p>
        </w:tc>
        <w:tc>
          <w:tcPr>
            <w:tcW w:w="6775" w:type="dxa"/>
            <w:gridSpan w:val="3"/>
            <w:tcBorders>
              <w:top w:val="single" w:sz="6" w:space="0" w:color="000000"/>
              <w:left w:val="single" w:sz="6" w:space="0" w:color="000000"/>
              <w:bottom w:val="single" w:sz="6" w:space="0" w:color="000000"/>
              <w:right w:val="single" w:sz="6" w:space="0" w:color="000000"/>
            </w:tcBorders>
          </w:tcPr>
          <w:p w14:paraId="3212A074" w14:textId="77777777" w:rsidR="00412033" w:rsidRDefault="00994BB5">
            <w:pPr>
              <w:spacing w:after="0" w:line="259" w:lineRule="auto"/>
              <w:ind w:left="0" w:firstLine="0"/>
              <w:jc w:val="left"/>
            </w:pPr>
            <w:r>
              <w:rPr>
                <w:b/>
              </w:rPr>
              <w:t xml:space="preserve">Delivery of Service </w:t>
            </w:r>
          </w:p>
        </w:tc>
      </w:tr>
      <w:tr w:rsidR="00412033" w14:paraId="47F9E56B" w14:textId="77777777">
        <w:trPr>
          <w:trHeight w:val="7335"/>
        </w:trPr>
        <w:tc>
          <w:tcPr>
            <w:tcW w:w="2259" w:type="dxa"/>
            <w:tcBorders>
              <w:top w:val="single" w:sz="6" w:space="0" w:color="000000"/>
              <w:left w:val="single" w:sz="6" w:space="0" w:color="000000"/>
              <w:bottom w:val="single" w:sz="6" w:space="0" w:color="000000"/>
              <w:right w:val="single" w:sz="6" w:space="0" w:color="000000"/>
            </w:tcBorders>
            <w:vAlign w:val="center"/>
          </w:tcPr>
          <w:p w14:paraId="63CC110D" w14:textId="77777777" w:rsidR="00412033" w:rsidRDefault="00994BB5">
            <w:pPr>
              <w:spacing w:after="0" w:line="259" w:lineRule="auto"/>
              <w:ind w:left="0" w:firstLine="0"/>
              <w:jc w:val="left"/>
            </w:pPr>
            <w:r>
              <w:rPr>
                <w:b/>
              </w:rPr>
              <w:t xml:space="preserve">Description </w:t>
            </w:r>
          </w:p>
        </w:tc>
        <w:tc>
          <w:tcPr>
            <w:tcW w:w="6775" w:type="dxa"/>
            <w:gridSpan w:val="3"/>
            <w:tcBorders>
              <w:top w:val="single" w:sz="6" w:space="0" w:color="000000"/>
              <w:left w:val="single" w:sz="6" w:space="0" w:color="000000"/>
              <w:bottom w:val="single" w:sz="6" w:space="0" w:color="000000"/>
              <w:right w:val="single" w:sz="6" w:space="0" w:color="000000"/>
            </w:tcBorders>
          </w:tcPr>
          <w:p w14:paraId="26B70720" w14:textId="77777777" w:rsidR="00412033" w:rsidRDefault="00994BB5">
            <w:pPr>
              <w:spacing w:after="8" w:line="232" w:lineRule="auto"/>
              <w:ind w:left="0" w:right="45" w:firstLine="0"/>
            </w:pPr>
            <w:r>
              <w:t xml:space="preserve">Tenderers are required to submit clear and comprehensive details of their methodology and approach to onboarding the services, delivering and maintaining / upgrading services as listed under Section 3.  </w:t>
            </w:r>
          </w:p>
          <w:p w14:paraId="56992393" w14:textId="77777777" w:rsidR="00412033" w:rsidRDefault="00994BB5">
            <w:pPr>
              <w:spacing w:after="0" w:line="259" w:lineRule="auto"/>
              <w:ind w:left="0" w:firstLine="0"/>
              <w:jc w:val="left"/>
            </w:pPr>
            <w:r>
              <w:t xml:space="preserve"> </w:t>
            </w:r>
          </w:p>
          <w:p w14:paraId="4BF6AD25" w14:textId="77777777" w:rsidR="00412033" w:rsidRDefault="00994BB5">
            <w:pPr>
              <w:spacing w:after="0" w:line="239" w:lineRule="auto"/>
              <w:ind w:left="0" w:firstLine="0"/>
            </w:pPr>
            <w:r>
              <w:t xml:space="preserve">Tenderers will be evaluated on their understanding of the needs of the client and the robustness of their approach to service delivery. </w:t>
            </w:r>
          </w:p>
          <w:p w14:paraId="515D501D" w14:textId="77777777" w:rsidR="00412033" w:rsidRDefault="00994BB5">
            <w:pPr>
              <w:spacing w:after="0" w:line="259" w:lineRule="auto"/>
              <w:ind w:left="0" w:firstLine="0"/>
              <w:jc w:val="left"/>
            </w:pPr>
            <w:r>
              <w:t xml:space="preserve"> </w:t>
            </w:r>
          </w:p>
          <w:p w14:paraId="03D7430D" w14:textId="3401AF91" w:rsidR="00412033" w:rsidRDefault="00994BB5">
            <w:pPr>
              <w:spacing w:after="3" w:line="237" w:lineRule="auto"/>
              <w:ind w:left="0" w:right="56" w:firstLine="0"/>
            </w:pPr>
            <w:r>
              <w:t xml:space="preserve">Describe your approach to the transition of services from the incumbent supplier.  How you will stabilise the services quickly and the key activities you will undertake to ensure the disruption to </w:t>
            </w:r>
            <w:r w:rsidR="00C30D16">
              <w:t>DOJHAM</w:t>
            </w:r>
            <w:r>
              <w:t xml:space="preserve">’s business, and its customers, is minimised as much as possible. Outline the expected duration of the transition period. Outline the anticipated risks and mitigation steps and your expectations of </w:t>
            </w:r>
            <w:r w:rsidR="00C30D16">
              <w:t>DOJHAM</w:t>
            </w:r>
            <w:r>
              <w:t xml:space="preserve"> throughout.  It is important that your proposal is pragmatic and takes into consideration the realities of hybrid working, key personnel etc.  </w:t>
            </w:r>
          </w:p>
          <w:p w14:paraId="74340D61" w14:textId="77777777" w:rsidR="00412033" w:rsidRDefault="00994BB5">
            <w:pPr>
              <w:spacing w:after="11" w:line="259" w:lineRule="auto"/>
              <w:ind w:left="0" w:firstLine="0"/>
              <w:jc w:val="left"/>
            </w:pPr>
            <w:r>
              <w:t xml:space="preserve"> </w:t>
            </w:r>
          </w:p>
          <w:p w14:paraId="0BF24345" w14:textId="6B8CE7AF" w:rsidR="00412033" w:rsidRDefault="00994BB5">
            <w:pPr>
              <w:numPr>
                <w:ilvl w:val="0"/>
                <w:numId w:val="19"/>
              </w:numPr>
              <w:spacing w:after="0" w:line="239" w:lineRule="auto"/>
              <w:ind w:right="561" w:hanging="352"/>
              <w:jc w:val="left"/>
            </w:pPr>
            <w:r>
              <w:t xml:space="preserve">Describe your approach to quality, knowledge management and knowledge transfer (to </w:t>
            </w:r>
            <w:r w:rsidR="00C30D16">
              <w:t>DOJHAM</w:t>
            </w:r>
            <w:r>
              <w:t xml:space="preserve">), both in transition and ongoing to ensure </w:t>
            </w:r>
            <w:r w:rsidR="00C30D16">
              <w:t>DOJHAM</w:t>
            </w:r>
            <w:r>
              <w:t xml:space="preserve"> receive the best possible service.   </w:t>
            </w:r>
          </w:p>
          <w:p w14:paraId="680B5973" w14:textId="77777777" w:rsidR="00412033" w:rsidRDefault="00994BB5">
            <w:pPr>
              <w:spacing w:after="11" w:line="259" w:lineRule="auto"/>
              <w:ind w:left="721" w:firstLine="0"/>
              <w:jc w:val="left"/>
            </w:pPr>
            <w:r>
              <w:t xml:space="preserve"> </w:t>
            </w:r>
          </w:p>
          <w:p w14:paraId="16737123" w14:textId="44E35EDD" w:rsidR="00412033" w:rsidRDefault="00C30D16">
            <w:pPr>
              <w:numPr>
                <w:ilvl w:val="0"/>
                <w:numId w:val="19"/>
              </w:numPr>
              <w:spacing w:after="0" w:line="258" w:lineRule="auto"/>
              <w:ind w:right="561" w:hanging="352"/>
              <w:jc w:val="left"/>
            </w:pPr>
            <w:r>
              <w:t>DOJHAM</w:t>
            </w:r>
            <w:r w:rsidR="00994BB5">
              <w:t xml:space="preserve"> wish to enhance their UPS solution  </w:t>
            </w:r>
            <w:r w:rsidR="00BC198E">
              <w:br/>
            </w:r>
            <w:r w:rsidR="00994BB5">
              <w:rPr>
                <w:rFonts w:ascii="Courier New" w:eastAsia="Courier New" w:hAnsi="Courier New" w:cs="Courier New"/>
              </w:rPr>
              <w:t>o</w:t>
            </w:r>
            <w:r w:rsidR="00994BB5">
              <w:rPr>
                <w:rFonts w:ascii="Arial" w:eastAsia="Arial" w:hAnsi="Arial" w:cs="Arial"/>
              </w:rPr>
              <w:t xml:space="preserve"> </w:t>
            </w:r>
            <w:r w:rsidR="00994BB5">
              <w:t xml:space="preserve">The Tenderer should provide evidence of their capabilities </w:t>
            </w:r>
          </w:p>
          <w:p w14:paraId="65C815D1" w14:textId="1AB0DBCB" w:rsidR="00412033" w:rsidRDefault="00994BB5">
            <w:pPr>
              <w:spacing w:after="0" w:line="259" w:lineRule="auto"/>
              <w:ind w:left="1442" w:right="246" w:hanging="352"/>
            </w:pPr>
            <w:r>
              <w:rPr>
                <w:rFonts w:ascii="Courier New" w:eastAsia="Courier New" w:hAnsi="Courier New" w:cs="Courier New"/>
              </w:rPr>
              <w:t>o</w:t>
            </w:r>
            <w:r>
              <w:rPr>
                <w:rFonts w:ascii="Arial" w:eastAsia="Arial" w:hAnsi="Arial" w:cs="Arial"/>
              </w:rPr>
              <w:t xml:space="preserve"> </w:t>
            </w:r>
            <w:r>
              <w:t xml:space="preserve">The Tenderer should provide a description of their proposed approach to enabling such requirements within </w:t>
            </w:r>
            <w:r w:rsidR="00C30D16">
              <w:t>DOJHAM</w:t>
            </w:r>
            <w:r>
              <w:t xml:space="preserve"> (estimated pricing should be included in the Pricing Schedule) </w:t>
            </w:r>
          </w:p>
        </w:tc>
      </w:tr>
    </w:tbl>
    <w:p w14:paraId="58E30253" w14:textId="77777777" w:rsidR="00412033" w:rsidRDefault="00412033">
      <w:pPr>
        <w:spacing w:after="0" w:line="259" w:lineRule="auto"/>
        <w:ind w:left="-1426" w:right="29" w:firstLine="0"/>
        <w:jc w:val="left"/>
      </w:pPr>
    </w:p>
    <w:tbl>
      <w:tblPr>
        <w:tblStyle w:val="TableGrid"/>
        <w:tblW w:w="9034" w:type="dxa"/>
        <w:tblInd w:w="10" w:type="dxa"/>
        <w:tblCellMar>
          <w:top w:w="62" w:type="dxa"/>
          <w:left w:w="118" w:type="dxa"/>
          <w:right w:w="53" w:type="dxa"/>
        </w:tblCellMar>
        <w:tblLook w:val="04A0" w:firstRow="1" w:lastRow="0" w:firstColumn="1" w:lastColumn="0" w:noHBand="0" w:noVBand="1"/>
      </w:tblPr>
      <w:tblGrid>
        <w:gridCol w:w="2259"/>
        <w:gridCol w:w="2257"/>
        <w:gridCol w:w="2259"/>
        <w:gridCol w:w="2259"/>
      </w:tblGrid>
      <w:tr w:rsidR="00412033" w14:paraId="176C56A8" w14:textId="77777777">
        <w:trPr>
          <w:trHeight w:val="4130"/>
        </w:trPr>
        <w:tc>
          <w:tcPr>
            <w:tcW w:w="2259" w:type="dxa"/>
            <w:tcBorders>
              <w:top w:val="single" w:sz="6" w:space="0" w:color="000000"/>
              <w:left w:val="single" w:sz="6" w:space="0" w:color="000000"/>
              <w:bottom w:val="single" w:sz="6" w:space="0" w:color="000000"/>
              <w:right w:val="single" w:sz="6" w:space="0" w:color="000000"/>
            </w:tcBorders>
          </w:tcPr>
          <w:p w14:paraId="17DD1CCC" w14:textId="77777777" w:rsidR="00412033" w:rsidRDefault="00412033">
            <w:pPr>
              <w:spacing w:after="160" w:line="259" w:lineRule="auto"/>
              <w:ind w:left="0" w:firstLine="0"/>
              <w:jc w:val="left"/>
            </w:pPr>
          </w:p>
        </w:tc>
        <w:tc>
          <w:tcPr>
            <w:tcW w:w="6775" w:type="dxa"/>
            <w:gridSpan w:val="3"/>
            <w:tcBorders>
              <w:top w:val="single" w:sz="6" w:space="0" w:color="000000"/>
              <w:left w:val="single" w:sz="6" w:space="0" w:color="000000"/>
              <w:bottom w:val="single" w:sz="6" w:space="0" w:color="000000"/>
              <w:right w:val="single" w:sz="6" w:space="0" w:color="000000"/>
            </w:tcBorders>
          </w:tcPr>
          <w:p w14:paraId="43DC1F1D" w14:textId="613C60B9" w:rsidR="00412033" w:rsidRDefault="00994BB5" w:rsidP="00BC198E">
            <w:pPr>
              <w:spacing w:after="0" w:line="242" w:lineRule="auto"/>
              <w:ind w:left="1442" w:hanging="352"/>
              <w:jc w:val="left"/>
            </w:pPr>
            <w:r>
              <w:rPr>
                <w:rFonts w:ascii="Courier New" w:eastAsia="Courier New" w:hAnsi="Courier New" w:cs="Courier New"/>
              </w:rPr>
              <w:t>o</w:t>
            </w:r>
            <w:r>
              <w:rPr>
                <w:rFonts w:ascii="Arial" w:eastAsia="Arial" w:hAnsi="Arial" w:cs="Arial"/>
              </w:rPr>
              <w:t xml:space="preserve"> </w:t>
            </w:r>
            <w:r>
              <w:t xml:space="preserve">The approach should be based on the notional project to transform the following locations outlined in Appendix 1 </w:t>
            </w:r>
            <w:r w:rsidRPr="003C3FA5">
              <w:rPr>
                <w:color w:val="FF0000"/>
              </w:rPr>
              <w:t xml:space="preserve">– </w:t>
            </w:r>
            <w:r w:rsidR="00BC198E" w:rsidRPr="003C3FA5">
              <w:rPr>
                <w:color w:val="FF0000"/>
              </w:rPr>
              <w:t>one small, one medium and one large site.</w:t>
            </w:r>
          </w:p>
          <w:p w14:paraId="6EA272AD" w14:textId="77777777" w:rsidR="00412033" w:rsidRDefault="00994BB5">
            <w:pPr>
              <w:spacing w:after="28" w:line="259" w:lineRule="auto"/>
              <w:ind w:left="1090" w:firstLine="0"/>
              <w:jc w:val="left"/>
            </w:pPr>
            <w:r>
              <w:t xml:space="preserve"> </w:t>
            </w:r>
          </w:p>
          <w:p w14:paraId="69163A33" w14:textId="77777777" w:rsidR="00412033" w:rsidRDefault="00994BB5">
            <w:pPr>
              <w:numPr>
                <w:ilvl w:val="0"/>
                <w:numId w:val="20"/>
              </w:numPr>
              <w:spacing w:after="35" w:line="239" w:lineRule="auto"/>
              <w:ind w:hanging="352"/>
            </w:pPr>
            <w:r>
              <w:t xml:space="preserve">Detail the ordering methodology / lead times for supply and install of UPS hardware  </w:t>
            </w:r>
          </w:p>
          <w:p w14:paraId="14C3B156" w14:textId="77777777" w:rsidR="00412033" w:rsidRDefault="00994BB5">
            <w:pPr>
              <w:numPr>
                <w:ilvl w:val="0"/>
                <w:numId w:val="20"/>
              </w:numPr>
              <w:spacing w:after="35" w:line="239" w:lineRule="auto"/>
              <w:ind w:hanging="352"/>
            </w:pPr>
            <w:r>
              <w:t xml:space="preserve">Detail the software licencing methodology for the UPS service (if any) </w:t>
            </w:r>
          </w:p>
          <w:p w14:paraId="3276FEEB" w14:textId="4FFDC32D" w:rsidR="00412033" w:rsidRDefault="00994BB5">
            <w:pPr>
              <w:numPr>
                <w:ilvl w:val="0"/>
                <w:numId w:val="20"/>
              </w:numPr>
              <w:spacing w:after="0" w:line="239" w:lineRule="auto"/>
              <w:ind w:hanging="352"/>
            </w:pPr>
            <w:r>
              <w:t xml:space="preserve">Detail the reporting systems and processes you intend to deploy, and how these will be used to track performance but also inform the </w:t>
            </w:r>
            <w:r w:rsidR="00C30D16">
              <w:t>DOJHAM</w:t>
            </w:r>
            <w:r>
              <w:t xml:space="preserve">’s desire to develop a continuous improvement agenda, ensuring all stakeholders have the required level of access to the data, the insight and the improvement actions   </w:t>
            </w:r>
          </w:p>
          <w:p w14:paraId="1A1E4C93" w14:textId="77777777" w:rsidR="00412033" w:rsidRDefault="00994BB5">
            <w:pPr>
              <w:spacing w:after="0" w:line="259" w:lineRule="auto"/>
              <w:ind w:left="0" w:firstLine="0"/>
              <w:jc w:val="left"/>
            </w:pPr>
            <w:r>
              <w:t xml:space="preserve"> </w:t>
            </w:r>
          </w:p>
        </w:tc>
      </w:tr>
      <w:tr w:rsidR="00412033" w14:paraId="7130D695" w14:textId="77777777">
        <w:trPr>
          <w:trHeight w:val="338"/>
        </w:trPr>
        <w:tc>
          <w:tcPr>
            <w:tcW w:w="2259" w:type="dxa"/>
            <w:vMerge w:val="restart"/>
            <w:tcBorders>
              <w:top w:val="single" w:sz="6" w:space="0" w:color="000000"/>
              <w:left w:val="single" w:sz="6" w:space="0" w:color="000000"/>
              <w:bottom w:val="single" w:sz="6" w:space="0" w:color="000000"/>
              <w:right w:val="single" w:sz="6" w:space="0" w:color="000000"/>
            </w:tcBorders>
            <w:shd w:val="clear" w:color="auto" w:fill="00284A"/>
            <w:vAlign w:val="center"/>
          </w:tcPr>
          <w:p w14:paraId="324527CD" w14:textId="77777777" w:rsidR="00412033" w:rsidRDefault="00994BB5">
            <w:pPr>
              <w:spacing w:after="0" w:line="259" w:lineRule="auto"/>
              <w:ind w:left="0" w:firstLine="0"/>
              <w:jc w:val="left"/>
            </w:pPr>
            <w:r>
              <w:rPr>
                <w:b/>
                <w:color w:val="FFFFFF"/>
              </w:rPr>
              <w:t xml:space="preserve">Criterion C </w:t>
            </w:r>
          </w:p>
        </w:tc>
        <w:tc>
          <w:tcPr>
            <w:tcW w:w="2257" w:type="dxa"/>
            <w:tcBorders>
              <w:top w:val="single" w:sz="6" w:space="0" w:color="000000"/>
              <w:left w:val="single" w:sz="6" w:space="0" w:color="000000"/>
              <w:bottom w:val="single" w:sz="6" w:space="0" w:color="000000"/>
              <w:right w:val="single" w:sz="6" w:space="0" w:color="000000"/>
            </w:tcBorders>
          </w:tcPr>
          <w:p w14:paraId="2214A2DD" w14:textId="77777777" w:rsidR="00412033" w:rsidRDefault="00994BB5">
            <w:pPr>
              <w:spacing w:after="0" w:line="259" w:lineRule="auto"/>
              <w:ind w:left="0" w:firstLine="0"/>
              <w:jc w:val="left"/>
            </w:pPr>
            <w:r>
              <w:rPr>
                <w:b/>
              </w:rPr>
              <w:t xml:space="preserve">Weighting </w:t>
            </w:r>
          </w:p>
        </w:tc>
        <w:tc>
          <w:tcPr>
            <w:tcW w:w="2259" w:type="dxa"/>
            <w:tcBorders>
              <w:top w:val="single" w:sz="6" w:space="0" w:color="000000"/>
              <w:left w:val="single" w:sz="6" w:space="0" w:color="000000"/>
              <w:bottom w:val="single" w:sz="6" w:space="0" w:color="000000"/>
              <w:right w:val="single" w:sz="6" w:space="0" w:color="000000"/>
            </w:tcBorders>
          </w:tcPr>
          <w:p w14:paraId="0CB8C564" w14:textId="77777777" w:rsidR="00412033" w:rsidRDefault="00994BB5">
            <w:pPr>
              <w:spacing w:after="0" w:line="259" w:lineRule="auto"/>
              <w:ind w:left="2" w:firstLine="0"/>
              <w:jc w:val="left"/>
            </w:pPr>
            <w:r>
              <w:rPr>
                <w:b/>
              </w:rPr>
              <w:t xml:space="preserve">Maximum Marks </w:t>
            </w:r>
          </w:p>
        </w:tc>
        <w:tc>
          <w:tcPr>
            <w:tcW w:w="2259" w:type="dxa"/>
            <w:tcBorders>
              <w:top w:val="single" w:sz="6" w:space="0" w:color="000000"/>
              <w:left w:val="single" w:sz="6" w:space="0" w:color="000000"/>
              <w:bottom w:val="single" w:sz="6" w:space="0" w:color="000000"/>
              <w:right w:val="single" w:sz="6" w:space="0" w:color="000000"/>
            </w:tcBorders>
          </w:tcPr>
          <w:p w14:paraId="27793D49" w14:textId="77777777" w:rsidR="00412033" w:rsidRDefault="00994BB5">
            <w:pPr>
              <w:spacing w:after="0" w:line="259" w:lineRule="auto"/>
              <w:ind w:left="2" w:firstLine="0"/>
              <w:jc w:val="left"/>
            </w:pPr>
            <w:r>
              <w:rPr>
                <w:b/>
              </w:rPr>
              <w:t xml:space="preserve">Minimum Marks </w:t>
            </w:r>
            <w:r>
              <w:t>50%</w:t>
            </w:r>
            <w:r>
              <w:rPr>
                <w:b/>
              </w:rPr>
              <w:t xml:space="preserve"> </w:t>
            </w:r>
          </w:p>
        </w:tc>
      </w:tr>
      <w:tr w:rsidR="00412033" w14:paraId="3A677F66" w14:textId="77777777">
        <w:trPr>
          <w:trHeight w:val="335"/>
        </w:trPr>
        <w:tc>
          <w:tcPr>
            <w:tcW w:w="0" w:type="auto"/>
            <w:vMerge/>
            <w:tcBorders>
              <w:top w:val="nil"/>
              <w:left w:val="single" w:sz="6" w:space="0" w:color="000000"/>
              <w:bottom w:val="single" w:sz="6" w:space="0" w:color="000000"/>
              <w:right w:val="single" w:sz="6" w:space="0" w:color="000000"/>
            </w:tcBorders>
          </w:tcPr>
          <w:p w14:paraId="79A513C0" w14:textId="77777777" w:rsidR="00412033" w:rsidRDefault="00412033">
            <w:pPr>
              <w:spacing w:after="160" w:line="259" w:lineRule="auto"/>
              <w:ind w:left="0" w:firstLine="0"/>
              <w:jc w:val="left"/>
            </w:pPr>
          </w:p>
        </w:tc>
        <w:tc>
          <w:tcPr>
            <w:tcW w:w="2257" w:type="dxa"/>
            <w:tcBorders>
              <w:top w:val="single" w:sz="6" w:space="0" w:color="000000"/>
              <w:left w:val="single" w:sz="6" w:space="0" w:color="000000"/>
              <w:bottom w:val="single" w:sz="6" w:space="0" w:color="000000"/>
              <w:right w:val="single" w:sz="6" w:space="0" w:color="000000"/>
            </w:tcBorders>
          </w:tcPr>
          <w:p w14:paraId="4CF3B63E" w14:textId="77777777" w:rsidR="00412033" w:rsidRDefault="00994BB5">
            <w:pPr>
              <w:spacing w:after="0" w:line="259" w:lineRule="auto"/>
              <w:ind w:left="0" w:firstLine="0"/>
              <w:jc w:val="left"/>
            </w:pPr>
            <w:r>
              <w:t xml:space="preserve">15% </w:t>
            </w:r>
          </w:p>
        </w:tc>
        <w:tc>
          <w:tcPr>
            <w:tcW w:w="2259" w:type="dxa"/>
            <w:tcBorders>
              <w:top w:val="single" w:sz="6" w:space="0" w:color="000000"/>
              <w:left w:val="single" w:sz="6" w:space="0" w:color="000000"/>
              <w:bottom w:val="single" w:sz="6" w:space="0" w:color="000000"/>
              <w:right w:val="single" w:sz="6" w:space="0" w:color="000000"/>
            </w:tcBorders>
          </w:tcPr>
          <w:p w14:paraId="3CA34E5A" w14:textId="77777777" w:rsidR="00412033" w:rsidRDefault="00994BB5">
            <w:pPr>
              <w:spacing w:after="0" w:line="259" w:lineRule="auto"/>
              <w:ind w:left="2" w:firstLine="0"/>
              <w:jc w:val="left"/>
            </w:pPr>
            <w:r>
              <w:t xml:space="preserve">1500 </w:t>
            </w:r>
          </w:p>
        </w:tc>
        <w:tc>
          <w:tcPr>
            <w:tcW w:w="2259" w:type="dxa"/>
            <w:tcBorders>
              <w:top w:val="single" w:sz="6" w:space="0" w:color="000000"/>
              <w:left w:val="single" w:sz="6" w:space="0" w:color="000000"/>
              <w:bottom w:val="single" w:sz="6" w:space="0" w:color="000000"/>
              <w:right w:val="single" w:sz="6" w:space="0" w:color="000000"/>
            </w:tcBorders>
          </w:tcPr>
          <w:p w14:paraId="6001A6C3" w14:textId="77777777" w:rsidR="00412033" w:rsidRDefault="00994BB5">
            <w:pPr>
              <w:spacing w:after="0" w:line="259" w:lineRule="auto"/>
              <w:ind w:left="2" w:firstLine="0"/>
              <w:jc w:val="left"/>
            </w:pPr>
            <w:r>
              <w:t xml:space="preserve">750 </w:t>
            </w:r>
          </w:p>
        </w:tc>
      </w:tr>
      <w:tr w:rsidR="00412033" w14:paraId="5D5C8222" w14:textId="77777777">
        <w:trPr>
          <w:trHeight w:val="338"/>
        </w:trPr>
        <w:tc>
          <w:tcPr>
            <w:tcW w:w="2259" w:type="dxa"/>
            <w:tcBorders>
              <w:top w:val="single" w:sz="6" w:space="0" w:color="000000"/>
              <w:left w:val="single" w:sz="6" w:space="0" w:color="000000"/>
              <w:bottom w:val="single" w:sz="6" w:space="0" w:color="000000"/>
              <w:right w:val="single" w:sz="6" w:space="0" w:color="000000"/>
            </w:tcBorders>
          </w:tcPr>
          <w:p w14:paraId="2F8F4FDC" w14:textId="77777777" w:rsidR="00412033" w:rsidRDefault="00994BB5">
            <w:pPr>
              <w:spacing w:after="0" w:line="259" w:lineRule="auto"/>
              <w:ind w:left="0" w:firstLine="0"/>
              <w:jc w:val="left"/>
            </w:pPr>
            <w:r>
              <w:rPr>
                <w:b/>
              </w:rPr>
              <w:t xml:space="preserve">Title </w:t>
            </w:r>
          </w:p>
        </w:tc>
        <w:tc>
          <w:tcPr>
            <w:tcW w:w="6775" w:type="dxa"/>
            <w:gridSpan w:val="3"/>
            <w:tcBorders>
              <w:top w:val="single" w:sz="6" w:space="0" w:color="000000"/>
              <w:left w:val="single" w:sz="6" w:space="0" w:color="000000"/>
              <w:bottom w:val="single" w:sz="6" w:space="0" w:color="000000"/>
              <w:right w:val="single" w:sz="6" w:space="0" w:color="000000"/>
            </w:tcBorders>
          </w:tcPr>
          <w:p w14:paraId="27F782AA" w14:textId="77777777" w:rsidR="00412033" w:rsidRDefault="00994BB5">
            <w:pPr>
              <w:spacing w:after="0" w:line="259" w:lineRule="auto"/>
              <w:ind w:left="0" w:firstLine="0"/>
              <w:jc w:val="left"/>
            </w:pPr>
            <w:r>
              <w:rPr>
                <w:b/>
              </w:rPr>
              <w:t xml:space="preserve">Management of Ongoing Compliance / Auditing </w:t>
            </w:r>
            <w:r>
              <w:t xml:space="preserve"> </w:t>
            </w:r>
          </w:p>
        </w:tc>
      </w:tr>
      <w:tr w:rsidR="00412033" w14:paraId="15E76AF7" w14:textId="77777777">
        <w:trPr>
          <w:trHeight w:val="1940"/>
        </w:trPr>
        <w:tc>
          <w:tcPr>
            <w:tcW w:w="2259" w:type="dxa"/>
            <w:tcBorders>
              <w:top w:val="single" w:sz="6" w:space="0" w:color="000000"/>
              <w:left w:val="single" w:sz="6" w:space="0" w:color="000000"/>
              <w:bottom w:val="single" w:sz="6" w:space="0" w:color="000000"/>
              <w:right w:val="single" w:sz="6" w:space="0" w:color="000000"/>
            </w:tcBorders>
            <w:vAlign w:val="center"/>
          </w:tcPr>
          <w:p w14:paraId="40F92C0A" w14:textId="77777777" w:rsidR="00412033" w:rsidRDefault="00994BB5">
            <w:pPr>
              <w:spacing w:after="0" w:line="259" w:lineRule="auto"/>
              <w:ind w:left="0" w:firstLine="0"/>
              <w:jc w:val="left"/>
            </w:pPr>
            <w:r>
              <w:rPr>
                <w:b/>
              </w:rPr>
              <w:t xml:space="preserve">Description </w:t>
            </w:r>
          </w:p>
        </w:tc>
        <w:tc>
          <w:tcPr>
            <w:tcW w:w="6775" w:type="dxa"/>
            <w:gridSpan w:val="3"/>
            <w:tcBorders>
              <w:top w:val="single" w:sz="6" w:space="0" w:color="000000"/>
              <w:left w:val="single" w:sz="6" w:space="0" w:color="000000"/>
              <w:bottom w:val="single" w:sz="6" w:space="0" w:color="000000"/>
              <w:right w:val="single" w:sz="6" w:space="0" w:color="000000"/>
            </w:tcBorders>
          </w:tcPr>
          <w:p w14:paraId="321B65BC" w14:textId="77777777" w:rsidR="00412033" w:rsidRDefault="00994BB5">
            <w:pPr>
              <w:spacing w:after="0" w:line="239" w:lineRule="auto"/>
              <w:ind w:left="0" w:right="53" w:firstLine="0"/>
            </w:pPr>
            <w:r>
              <w:t xml:space="preserve">Tenderers are required to clearly demonstrate the Methodology they will employ in the Management of Ongoing Compliance / Auditing to meet the requirements outlined in Section 3. </w:t>
            </w:r>
          </w:p>
          <w:p w14:paraId="601A9890" w14:textId="77777777" w:rsidR="00412033" w:rsidRDefault="00994BB5">
            <w:pPr>
              <w:spacing w:after="0" w:line="259" w:lineRule="auto"/>
              <w:ind w:left="0" w:firstLine="0"/>
              <w:jc w:val="left"/>
            </w:pPr>
            <w:r>
              <w:t xml:space="preserve"> </w:t>
            </w:r>
          </w:p>
          <w:p w14:paraId="775BC026" w14:textId="5F471451" w:rsidR="00412033" w:rsidRDefault="00994BB5">
            <w:pPr>
              <w:spacing w:after="0" w:line="259" w:lineRule="auto"/>
              <w:ind w:left="0" w:right="52" w:firstLine="0"/>
            </w:pPr>
            <w:r>
              <w:t xml:space="preserve">Additional marks will be given where the process described is clearly aligned to formal accreditation (over and above ISO9001) and the benefits for the Contracting Authority are evidenced.  </w:t>
            </w:r>
          </w:p>
        </w:tc>
      </w:tr>
      <w:tr w:rsidR="00412033" w14:paraId="0CCA3F06" w14:textId="77777777">
        <w:trPr>
          <w:trHeight w:val="335"/>
        </w:trPr>
        <w:tc>
          <w:tcPr>
            <w:tcW w:w="2259" w:type="dxa"/>
            <w:vMerge w:val="restart"/>
            <w:tcBorders>
              <w:top w:val="single" w:sz="6" w:space="0" w:color="000000"/>
              <w:left w:val="single" w:sz="6" w:space="0" w:color="000000"/>
              <w:bottom w:val="single" w:sz="6" w:space="0" w:color="000000"/>
              <w:right w:val="single" w:sz="6" w:space="0" w:color="000000"/>
            </w:tcBorders>
            <w:shd w:val="clear" w:color="auto" w:fill="00284A"/>
            <w:vAlign w:val="center"/>
          </w:tcPr>
          <w:p w14:paraId="69FF54A1" w14:textId="77777777" w:rsidR="00412033" w:rsidRDefault="00994BB5">
            <w:pPr>
              <w:spacing w:after="0" w:line="259" w:lineRule="auto"/>
              <w:ind w:left="0" w:firstLine="0"/>
              <w:jc w:val="left"/>
            </w:pPr>
            <w:r>
              <w:rPr>
                <w:b/>
                <w:color w:val="FFFFFF"/>
              </w:rPr>
              <w:t xml:space="preserve">Criterion D </w:t>
            </w:r>
          </w:p>
        </w:tc>
        <w:tc>
          <w:tcPr>
            <w:tcW w:w="2257" w:type="dxa"/>
            <w:tcBorders>
              <w:top w:val="single" w:sz="6" w:space="0" w:color="000000"/>
              <w:left w:val="single" w:sz="6" w:space="0" w:color="000000"/>
              <w:bottom w:val="single" w:sz="6" w:space="0" w:color="000000"/>
              <w:right w:val="single" w:sz="6" w:space="0" w:color="000000"/>
            </w:tcBorders>
          </w:tcPr>
          <w:p w14:paraId="035E8899" w14:textId="77777777" w:rsidR="00412033" w:rsidRDefault="00994BB5">
            <w:pPr>
              <w:spacing w:after="0" w:line="259" w:lineRule="auto"/>
              <w:ind w:left="0" w:firstLine="0"/>
              <w:jc w:val="left"/>
            </w:pPr>
            <w:r>
              <w:rPr>
                <w:b/>
              </w:rPr>
              <w:t xml:space="preserve">Weighting </w:t>
            </w:r>
          </w:p>
        </w:tc>
        <w:tc>
          <w:tcPr>
            <w:tcW w:w="2259" w:type="dxa"/>
            <w:tcBorders>
              <w:top w:val="single" w:sz="6" w:space="0" w:color="000000"/>
              <w:left w:val="single" w:sz="6" w:space="0" w:color="000000"/>
              <w:bottom w:val="single" w:sz="6" w:space="0" w:color="000000"/>
              <w:right w:val="single" w:sz="6" w:space="0" w:color="000000"/>
            </w:tcBorders>
          </w:tcPr>
          <w:p w14:paraId="5CAAFC78" w14:textId="77777777" w:rsidR="00412033" w:rsidRDefault="00994BB5">
            <w:pPr>
              <w:spacing w:after="0" w:line="259" w:lineRule="auto"/>
              <w:ind w:left="2" w:firstLine="0"/>
              <w:jc w:val="left"/>
            </w:pPr>
            <w:r>
              <w:rPr>
                <w:b/>
              </w:rPr>
              <w:t xml:space="preserve">Maximum Marks </w:t>
            </w:r>
          </w:p>
        </w:tc>
        <w:tc>
          <w:tcPr>
            <w:tcW w:w="2259" w:type="dxa"/>
            <w:tcBorders>
              <w:top w:val="single" w:sz="6" w:space="0" w:color="000000"/>
              <w:left w:val="single" w:sz="6" w:space="0" w:color="000000"/>
              <w:bottom w:val="single" w:sz="6" w:space="0" w:color="000000"/>
              <w:right w:val="single" w:sz="6" w:space="0" w:color="000000"/>
            </w:tcBorders>
          </w:tcPr>
          <w:p w14:paraId="26A46BDA" w14:textId="77777777" w:rsidR="00412033" w:rsidRDefault="00994BB5">
            <w:pPr>
              <w:spacing w:after="0" w:line="259" w:lineRule="auto"/>
              <w:ind w:left="2" w:firstLine="0"/>
              <w:jc w:val="left"/>
            </w:pPr>
            <w:r>
              <w:rPr>
                <w:b/>
              </w:rPr>
              <w:t xml:space="preserve">Minimum Marks </w:t>
            </w:r>
            <w:r>
              <w:t>50%</w:t>
            </w:r>
            <w:r>
              <w:rPr>
                <w:b/>
              </w:rPr>
              <w:t xml:space="preserve"> </w:t>
            </w:r>
          </w:p>
        </w:tc>
      </w:tr>
      <w:tr w:rsidR="00412033" w14:paraId="67FA118E" w14:textId="77777777">
        <w:trPr>
          <w:trHeight w:val="338"/>
        </w:trPr>
        <w:tc>
          <w:tcPr>
            <w:tcW w:w="0" w:type="auto"/>
            <w:vMerge/>
            <w:tcBorders>
              <w:top w:val="nil"/>
              <w:left w:val="single" w:sz="6" w:space="0" w:color="000000"/>
              <w:bottom w:val="single" w:sz="6" w:space="0" w:color="000000"/>
              <w:right w:val="single" w:sz="6" w:space="0" w:color="000000"/>
            </w:tcBorders>
          </w:tcPr>
          <w:p w14:paraId="45E07ED4" w14:textId="77777777" w:rsidR="00412033" w:rsidRDefault="00412033">
            <w:pPr>
              <w:spacing w:after="160" w:line="259" w:lineRule="auto"/>
              <w:ind w:left="0" w:firstLine="0"/>
              <w:jc w:val="left"/>
            </w:pPr>
          </w:p>
        </w:tc>
        <w:tc>
          <w:tcPr>
            <w:tcW w:w="2257" w:type="dxa"/>
            <w:tcBorders>
              <w:top w:val="single" w:sz="6" w:space="0" w:color="000000"/>
              <w:left w:val="single" w:sz="6" w:space="0" w:color="000000"/>
              <w:bottom w:val="single" w:sz="6" w:space="0" w:color="000000"/>
              <w:right w:val="single" w:sz="6" w:space="0" w:color="000000"/>
            </w:tcBorders>
          </w:tcPr>
          <w:p w14:paraId="506E66F4" w14:textId="77777777" w:rsidR="00412033" w:rsidRDefault="00994BB5">
            <w:pPr>
              <w:spacing w:after="0" w:line="259" w:lineRule="auto"/>
              <w:ind w:left="0" w:firstLine="0"/>
              <w:jc w:val="left"/>
            </w:pPr>
            <w:r>
              <w:t xml:space="preserve">15% </w:t>
            </w:r>
          </w:p>
        </w:tc>
        <w:tc>
          <w:tcPr>
            <w:tcW w:w="2259" w:type="dxa"/>
            <w:tcBorders>
              <w:top w:val="single" w:sz="6" w:space="0" w:color="000000"/>
              <w:left w:val="single" w:sz="6" w:space="0" w:color="000000"/>
              <w:bottom w:val="single" w:sz="6" w:space="0" w:color="000000"/>
              <w:right w:val="single" w:sz="6" w:space="0" w:color="000000"/>
            </w:tcBorders>
          </w:tcPr>
          <w:p w14:paraId="3670739C" w14:textId="77777777" w:rsidR="00412033" w:rsidRDefault="00994BB5">
            <w:pPr>
              <w:spacing w:after="0" w:line="259" w:lineRule="auto"/>
              <w:ind w:left="2" w:firstLine="0"/>
              <w:jc w:val="left"/>
            </w:pPr>
            <w:r>
              <w:t xml:space="preserve">1500 </w:t>
            </w:r>
          </w:p>
        </w:tc>
        <w:tc>
          <w:tcPr>
            <w:tcW w:w="2259" w:type="dxa"/>
            <w:tcBorders>
              <w:top w:val="single" w:sz="6" w:space="0" w:color="000000"/>
              <w:left w:val="single" w:sz="6" w:space="0" w:color="000000"/>
              <w:bottom w:val="single" w:sz="6" w:space="0" w:color="000000"/>
              <w:right w:val="single" w:sz="6" w:space="0" w:color="000000"/>
            </w:tcBorders>
          </w:tcPr>
          <w:p w14:paraId="131000C4" w14:textId="77777777" w:rsidR="00412033" w:rsidRDefault="00994BB5">
            <w:pPr>
              <w:spacing w:after="0" w:line="259" w:lineRule="auto"/>
              <w:ind w:left="2" w:firstLine="0"/>
              <w:jc w:val="left"/>
            </w:pPr>
            <w:r>
              <w:t xml:space="preserve">750 </w:t>
            </w:r>
          </w:p>
        </w:tc>
      </w:tr>
      <w:tr w:rsidR="00412033" w14:paraId="1898D61C" w14:textId="77777777">
        <w:trPr>
          <w:trHeight w:val="334"/>
        </w:trPr>
        <w:tc>
          <w:tcPr>
            <w:tcW w:w="2259" w:type="dxa"/>
            <w:tcBorders>
              <w:top w:val="single" w:sz="6" w:space="0" w:color="000000"/>
              <w:left w:val="single" w:sz="6" w:space="0" w:color="000000"/>
              <w:bottom w:val="single" w:sz="6" w:space="0" w:color="000000"/>
              <w:right w:val="single" w:sz="6" w:space="0" w:color="000000"/>
            </w:tcBorders>
          </w:tcPr>
          <w:p w14:paraId="7F8050D2" w14:textId="77777777" w:rsidR="00412033" w:rsidRDefault="00994BB5">
            <w:pPr>
              <w:spacing w:after="0" w:line="259" w:lineRule="auto"/>
              <w:ind w:left="0" w:firstLine="0"/>
              <w:jc w:val="left"/>
            </w:pPr>
            <w:r>
              <w:rPr>
                <w:b/>
              </w:rPr>
              <w:t xml:space="preserve">Title </w:t>
            </w:r>
          </w:p>
        </w:tc>
        <w:tc>
          <w:tcPr>
            <w:tcW w:w="6775" w:type="dxa"/>
            <w:gridSpan w:val="3"/>
            <w:tcBorders>
              <w:top w:val="single" w:sz="6" w:space="0" w:color="000000"/>
              <w:left w:val="single" w:sz="6" w:space="0" w:color="000000"/>
              <w:bottom w:val="single" w:sz="6" w:space="0" w:color="000000"/>
              <w:right w:val="single" w:sz="6" w:space="0" w:color="000000"/>
            </w:tcBorders>
          </w:tcPr>
          <w:p w14:paraId="78A97921" w14:textId="77777777" w:rsidR="00412033" w:rsidRDefault="00994BB5">
            <w:pPr>
              <w:spacing w:after="0" w:line="259" w:lineRule="auto"/>
              <w:ind w:left="0" w:firstLine="0"/>
              <w:jc w:val="left"/>
            </w:pPr>
            <w:r>
              <w:rPr>
                <w:b/>
              </w:rPr>
              <w:t xml:space="preserve">Account / Contract Management and Support / Project Management </w:t>
            </w:r>
          </w:p>
        </w:tc>
      </w:tr>
      <w:tr w:rsidR="00412033" w14:paraId="189A9570" w14:textId="77777777">
        <w:trPr>
          <w:trHeight w:val="5798"/>
        </w:trPr>
        <w:tc>
          <w:tcPr>
            <w:tcW w:w="2259" w:type="dxa"/>
            <w:tcBorders>
              <w:top w:val="single" w:sz="6" w:space="0" w:color="000000"/>
              <w:left w:val="single" w:sz="6" w:space="0" w:color="000000"/>
              <w:bottom w:val="single" w:sz="6" w:space="0" w:color="000000"/>
              <w:right w:val="single" w:sz="6" w:space="0" w:color="000000"/>
            </w:tcBorders>
            <w:vAlign w:val="center"/>
          </w:tcPr>
          <w:p w14:paraId="3A5AB209" w14:textId="77777777" w:rsidR="00412033" w:rsidRDefault="00994BB5">
            <w:pPr>
              <w:spacing w:after="0" w:line="259" w:lineRule="auto"/>
              <w:ind w:left="0" w:firstLine="0"/>
              <w:jc w:val="left"/>
            </w:pPr>
            <w:r>
              <w:rPr>
                <w:b/>
              </w:rPr>
              <w:lastRenderedPageBreak/>
              <w:t xml:space="preserve">Description </w:t>
            </w:r>
          </w:p>
        </w:tc>
        <w:tc>
          <w:tcPr>
            <w:tcW w:w="6775" w:type="dxa"/>
            <w:gridSpan w:val="3"/>
            <w:tcBorders>
              <w:top w:val="single" w:sz="6" w:space="0" w:color="000000"/>
              <w:left w:val="single" w:sz="6" w:space="0" w:color="000000"/>
              <w:bottom w:val="single" w:sz="6" w:space="0" w:color="000000"/>
              <w:right w:val="single" w:sz="6" w:space="0" w:color="000000"/>
            </w:tcBorders>
          </w:tcPr>
          <w:p w14:paraId="446CD025" w14:textId="77777777" w:rsidR="00412033" w:rsidRDefault="00994BB5">
            <w:pPr>
              <w:spacing w:after="0" w:line="239" w:lineRule="auto"/>
              <w:ind w:left="0" w:right="64" w:firstLine="0"/>
            </w:pPr>
            <w:r>
              <w:t xml:space="preserve">Tenderers are required to provide a comprehensive response detailing how they propose to manage the client relationship assuring a proactive responsive service.  </w:t>
            </w:r>
          </w:p>
          <w:p w14:paraId="1D7A0338" w14:textId="77777777" w:rsidR="00412033" w:rsidRDefault="00994BB5">
            <w:pPr>
              <w:spacing w:after="0" w:line="259" w:lineRule="auto"/>
              <w:ind w:left="0" w:firstLine="0"/>
              <w:jc w:val="left"/>
            </w:pPr>
            <w:r>
              <w:t xml:space="preserve"> </w:t>
            </w:r>
          </w:p>
          <w:p w14:paraId="6CDA44C5" w14:textId="77777777" w:rsidR="00412033" w:rsidRDefault="00994BB5">
            <w:pPr>
              <w:spacing w:after="0" w:line="259" w:lineRule="auto"/>
              <w:ind w:left="0" w:firstLine="0"/>
              <w:jc w:val="left"/>
            </w:pPr>
            <w:r>
              <w:t xml:space="preserve">The response should include but not be limited to: </w:t>
            </w:r>
          </w:p>
          <w:p w14:paraId="0C8D3A12" w14:textId="77777777" w:rsidR="00412033" w:rsidRDefault="00994BB5">
            <w:pPr>
              <w:spacing w:after="28" w:line="259" w:lineRule="auto"/>
              <w:ind w:left="0" w:firstLine="0"/>
              <w:jc w:val="left"/>
            </w:pPr>
            <w:r>
              <w:t xml:space="preserve"> </w:t>
            </w:r>
          </w:p>
          <w:p w14:paraId="20F98BCC" w14:textId="77777777" w:rsidR="00412033" w:rsidRDefault="00994BB5">
            <w:pPr>
              <w:numPr>
                <w:ilvl w:val="0"/>
                <w:numId w:val="21"/>
              </w:numPr>
              <w:spacing w:after="58" w:line="232" w:lineRule="auto"/>
              <w:ind w:hanging="352"/>
              <w:jc w:val="left"/>
            </w:pPr>
            <w:r>
              <w:t xml:space="preserve">Identification of the proposed Account / Contract Manager – including CV for the proposed person, so that their qualifications / experience can be assessed. </w:t>
            </w:r>
          </w:p>
          <w:p w14:paraId="2074E0FC" w14:textId="77777777" w:rsidR="00412033" w:rsidRDefault="00994BB5">
            <w:pPr>
              <w:numPr>
                <w:ilvl w:val="0"/>
                <w:numId w:val="21"/>
              </w:numPr>
              <w:spacing w:after="59" w:line="232" w:lineRule="auto"/>
              <w:ind w:hanging="352"/>
              <w:jc w:val="left"/>
            </w:pPr>
            <w:r>
              <w:t xml:space="preserve">Identification of the proposed Support / Project Manager – including CV for the proposed person, so that their qualifications / experience can be assessed. </w:t>
            </w:r>
          </w:p>
          <w:p w14:paraId="3EE7EF26" w14:textId="7CB284B8" w:rsidR="00412033" w:rsidRDefault="00994BB5">
            <w:pPr>
              <w:numPr>
                <w:ilvl w:val="0"/>
                <w:numId w:val="21"/>
              </w:numPr>
              <w:spacing w:after="35" w:line="239" w:lineRule="auto"/>
              <w:ind w:hanging="352"/>
              <w:jc w:val="left"/>
            </w:pPr>
            <w:r>
              <w:t xml:space="preserve">CV for the typical engineer(s) / electrician(s) assigned to </w:t>
            </w:r>
            <w:r w:rsidR="00C30D16">
              <w:t>DOJHAM</w:t>
            </w:r>
            <w:r>
              <w:t xml:space="preserve"> work, so that qualifications / experience can be assessed. </w:t>
            </w:r>
          </w:p>
          <w:p w14:paraId="62CE6935" w14:textId="77777777" w:rsidR="00412033" w:rsidRDefault="00994BB5">
            <w:pPr>
              <w:numPr>
                <w:ilvl w:val="0"/>
                <w:numId w:val="21"/>
              </w:numPr>
              <w:spacing w:after="1" w:line="259" w:lineRule="auto"/>
              <w:ind w:hanging="352"/>
              <w:jc w:val="left"/>
            </w:pPr>
            <w:r>
              <w:t xml:space="preserve">Details of the escalation process for handling complaints  </w:t>
            </w:r>
          </w:p>
          <w:p w14:paraId="23A6FF61" w14:textId="77777777" w:rsidR="00412033" w:rsidRDefault="00994BB5">
            <w:pPr>
              <w:numPr>
                <w:ilvl w:val="0"/>
                <w:numId w:val="21"/>
              </w:numPr>
              <w:spacing w:after="0" w:line="259" w:lineRule="auto"/>
              <w:ind w:hanging="352"/>
              <w:jc w:val="left"/>
            </w:pPr>
            <w:r>
              <w:t xml:space="preserve">Approach to the operation of the support Services Level </w:t>
            </w:r>
          </w:p>
          <w:p w14:paraId="58A00002" w14:textId="77777777" w:rsidR="00412033" w:rsidRDefault="00994BB5">
            <w:pPr>
              <w:spacing w:after="88" w:line="232" w:lineRule="auto"/>
              <w:ind w:left="721" w:right="111" w:firstLine="0"/>
            </w:pPr>
            <w:r>
              <w:t xml:space="preserve">Agreement “SLA” to monitor performance including explanation as to how the base line standard is agreed and samples of SLAs (with KPIs). </w:t>
            </w:r>
          </w:p>
          <w:p w14:paraId="0D2D296B" w14:textId="77777777" w:rsidR="00412033" w:rsidRDefault="00994BB5">
            <w:pPr>
              <w:numPr>
                <w:ilvl w:val="0"/>
                <w:numId w:val="21"/>
              </w:numPr>
              <w:spacing w:after="0" w:line="259" w:lineRule="auto"/>
              <w:ind w:hanging="352"/>
              <w:jc w:val="left"/>
            </w:pPr>
            <w:r>
              <w:t xml:space="preserve">Provide an organisational structure detailing how the operation will be managed, including core delivery, supporting resources </w:t>
            </w:r>
          </w:p>
        </w:tc>
      </w:tr>
      <w:tr w:rsidR="00412033" w14:paraId="75C1389D" w14:textId="77777777">
        <w:trPr>
          <w:trHeight w:val="3313"/>
        </w:trPr>
        <w:tc>
          <w:tcPr>
            <w:tcW w:w="2259" w:type="dxa"/>
            <w:tcBorders>
              <w:top w:val="single" w:sz="6" w:space="0" w:color="000000"/>
              <w:left w:val="single" w:sz="6" w:space="0" w:color="000000"/>
              <w:bottom w:val="single" w:sz="6" w:space="0" w:color="000000"/>
              <w:right w:val="single" w:sz="6" w:space="0" w:color="000000"/>
            </w:tcBorders>
          </w:tcPr>
          <w:p w14:paraId="7D639990" w14:textId="77777777" w:rsidR="00412033" w:rsidRDefault="00412033">
            <w:pPr>
              <w:spacing w:after="160" w:line="259" w:lineRule="auto"/>
              <w:ind w:left="0" w:firstLine="0"/>
              <w:jc w:val="left"/>
            </w:pPr>
          </w:p>
        </w:tc>
        <w:tc>
          <w:tcPr>
            <w:tcW w:w="6775" w:type="dxa"/>
            <w:gridSpan w:val="3"/>
            <w:tcBorders>
              <w:top w:val="single" w:sz="6" w:space="0" w:color="000000"/>
              <w:left w:val="single" w:sz="6" w:space="0" w:color="000000"/>
              <w:bottom w:val="single" w:sz="6" w:space="0" w:color="000000"/>
              <w:right w:val="single" w:sz="6" w:space="0" w:color="000000"/>
            </w:tcBorders>
          </w:tcPr>
          <w:p w14:paraId="71072C22" w14:textId="77777777" w:rsidR="00412033" w:rsidRDefault="00994BB5">
            <w:pPr>
              <w:spacing w:after="0" w:line="256" w:lineRule="auto"/>
              <w:ind w:left="721" w:right="49" w:firstLine="0"/>
            </w:pPr>
            <w:r>
              <w:t xml:space="preserve">and client management.  Describe the role and responsibilities of each role / person proposed to meet the service requirements on the team   </w:t>
            </w:r>
            <w:r>
              <w:rPr>
                <w:rFonts w:ascii="Times New Roman" w:eastAsia="Times New Roman" w:hAnsi="Times New Roman" w:cs="Times New Roman"/>
                <w:sz w:val="24"/>
              </w:rPr>
              <w:t xml:space="preserve"> </w:t>
            </w:r>
          </w:p>
          <w:p w14:paraId="3B351A40" w14:textId="77777777" w:rsidR="00412033" w:rsidRDefault="00994BB5">
            <w:pPr>
              <w:spacing w:after="0" w:line="259" w:lineRule="auto"/>
              <w:ind w:left="0" w:firstLine="0"/>
              <w:jc w:val="left"/>
            </w:pPr>
            <w:r>
              <w:rPr>
                <w:rFonts w:ascii="Times New Roman" w:eastAsia="Times New Roman" w:hAnsi="Times New Roman" w:cs="Times New Roman"/>
                <w:sz w:val="24"/>
              </w:rPr>
              <w:t xml:space="preserve"> </w:t>
            </w:r>
          </w:p>
          <w:p w14:paraId="7F3CD380" w14:textId="2EF680A0" w:rsidR="00412033" w:rsidRDefault="00994BB5">
            <w:pPr>
              <w:spacing w:after="0" w:line="239" w:lineRule="auto"/>
              <w:ind w:left="721" w:right="52" w:hanging="352"/>
            </w:pPr>
            <w:r>
              <w:rPr>
                <w:rFonts w:ascii="Segoe UI Symbol" w:eastAsia="Segoe UI Symbol" w:hAnsi="Segoe UI Symbol" w:cs="Segoe UI Symbol"/>
              </w:rPr>
              <w:t>•</w:t>
            </w:r>
            <w:r>
              <w:rPr>
                <w:rFonts w:ascii="Arial" w:eastAsia="Arial" w:hAnsi="Arial" w:cs="Arial"/>
              </w:rPr>
              <w:t xml:space="preserve"> </w:t>
            </w:r>
            <w:r>
              <w:t xml:space="preserve">Describe what </w:t>
            </w:r>
            <w:r w:rsidR="00C30D16">
              <w:t>DOJHAM</w:t>
            </w:r>
            <w:r>
              <w:t xml:space="preserve"> can expect from your Account / Contract Manager and how they will ensure the contract is managed in accordance with the agreed terms and Service Level Agreements.  Describe in detail the Governance approach, how change and conflict will be managed.  </w:t>
            </w:r>
          </w:p>
          <w:p w14:paraId="5B8AD5ED" w14:textId="77777777" w:rsidR="00412033" w:rsidRDefault="00994BB5">
            <w:pPr>
              <w:spacing w:after="0" w:line="259" w:lineRule="auto"/>
              <w:ind w:left="0" w:firstLine="0"/>
              <w:jc w:val="left"/>
            </w:pPr>
            <w:r>
              <w:t xml:space="preserve"> </w:t>
            </w:r>
          </w:p>
          <w:p w14:paraId="783DCBD2" w14:textId="77777777" w:rsidR="00412033" w:rsidRDefault="00994BB5">
            <w:pPr>
              <w:spacing w:after="0" w:line="259" w:lineRule="auto"/>
              <w:ind w:left="0" w:firstLine="0"/>
            </w:pPr>
            <w:r>
              <w:t xml:space="preserve">This criterion will be evaluated on the assessment of the totality of your submission under this criterion and no sub-criteria will be used </w:t>
            </w:r>
          </w:p>
        </w:tc>
      </w:tr>
      <w:tr w:rsidR="00412033" w14:paraId="4A2CC731" w14:textId="77777777">
        <w:trPr>
          <w:trHeight w:val="338"/>
        </w:trPr>
        <w:tc>
          <w:tcPr>
            <w:tcW w:w="2259" w:type="dxa"/>
            <w:vMerge w:val="restart"/>
            <w:tcBorders>
              <w:top w:val="single" w:sz="6" w:space="0" w:color="000000"/>
              <w:left w:val="single" w:sz="6" w:space="0" w:color="000000"/>
              <w:bottom w:val="single" w:sz="6" w:space="0" w:color="000000"/>
              <w:right w:val="single" w:sz="6" w:space="0" w:color="000000"/>
            </w:tcBorders>
            <w:shd w:val="clear" w:color="auto" w:fill="002060"/>
            <w:vAlign w:val="center"/>
          </w:tcPr>
          <w:p w14:paraId="10A5CCA9" w14:textId="77777777" w:rsidR="00412033" w:rsidRDefault="00994BB5">
            <w:pPr>
              <w:spacing w:after="0" w:line="259" w:lineRule="auto"/>
              <w:ind w:left="0" w:firstLine="0"/>
              <w:jc w:val="left"/>
            </w:pPr>
            <w:r>
              <w:rPr>
                <w:b/>
                <w:color w:val="FFFFFF"/>
              </w:rPr>
              <w:t xml:space="preserve">Criterion E </w:t>
            </w:r>
          </w:p>
        </w:tc>
        <w:tc>
          <w:tcPr>
            <w:tcW w:w="2257" w:type="dxa"/>
            <w:tcBorders>
              <w:top w:val="single" w:sz="6" w:space="0" w:color="000000"/>
              <w:left w:val="single" w:sz="6" w:space="0" w:color="000000"/>
              <w:bottom w:val="single" w:sz="6" w:space="0" w:color="000000"/>
              <w:right w:val="single" w:sz="6" w:space="0" w:color="000000"/>
            </w:tcBorders>
          </w:tcPr>
          <w:p w14:paraId="43A918FB" w14:textId="77777777" w:rsidR="00412033" w:rsidRDefault="00994BB5">
            <w:pPr>
              <w:spacing w:after="0" w:line="259" w:lineRule="auto"/>
              <w:ind w:left="0" w:firstLine="0"/>
              <w:jc w:val="left"/>
            </w:pPr>
            <w:r>
              <w:rPr>
                <w:b/>
              </w:rPr>
              <w:t xml:space="preserve">Weighting </w:t>
            </w:r>
          </w:p>
        </w:tc>
        <w:tc>
          <w:tcPr>
            <w:tcW w:w="2259" w:type="dxa"/>
            <w:tcBorders>
              <w:top w:val="single" w:sz="6" w:space="0" w:color="000000"/>
              <w:left w:val="single" w:sz="6" w:space="0" w:color="000000"/>
              <w:bottom w:val="single" w:sz="6" w:space="0" w:color="000000"/>
              <w:right w:val="single" w:sz="6" w:space="0" w:color="000000"/>
            </w:tcBorders>
          </w:tcPr>
          <w:p w14:paraId="493027C1" w14:textId="77777777" w:rsidR="00412033" w:rsidRDefault="00994BB5">
            <w:pPr>
              <w:spacing w:after="0" w:line="259" w:lineRule="auto"/>
              <w:ind w:left="2" w:firstLine="0"/>
              <w:jc w:val="left"/>
            </w:pPr>
            <w:r>
              <w:rPr>
                <w:b/>
              </w:rPr>
              <w:t xml:space="preserve">Maximum Marks </w:t>
            </w:r>
          </w:p>
        </w:tc>
        <w:tc>
          <w:tcPr>
            <w:tcW w:w="2259" w:type="dxa"/>
            <w:tcBorders>
              <w:top w:val="single" w:sz="6" w:space="0" w:color="000000"/>
              <w:left w:val="single" w:sz="6" w:space="0" w:color="000000"/>
              <w:bottom w:val="single" w:sz="6" w:space="0" w:color="000000"/>
              <w:right w:val="single" w:sz="6" w:space="0" w:color="000000"/>
            </w:tcBorders>
          </w:tcPr>
          <w:p w14:paraId="5771F765" w14:textId="77777777" w:rsidR="00412033" w:rsidRDefault="00994BB5">
            <w:pPr>
              <w:spacing w:after="0" w:line="259" w:lineRule="auto"/>
              <w:ind w:left="2" w:firstLine="0"/>
              <w:jc w:val="left"/>
            </w:pPr>
            <w:r>
              <w:rPr>
                <w:b/>
              </w:rPr>
              <w:t xml:space="preserve">Minimum Marks </w:t>
            </w:r>
          </w:p>
        </w:tc>
      </w:tr>
      <w:tr w:rsidR="00412033" w14:paraId="41765D5B" w14:textId="77777777">
        <w:trPr>
          <w:trHeight w:val="334"/>
        </w:trPr>
        <w:tc>
          <w:tcPr>
            <w:tcW w:w="0" w:type="auto"/>
            <w:vMerge/>
            <w:tcBorders>
              <w:top w:val="nil"/>
              <w:left w:val="single" w:sz="6" w:space="0" w:color="000000"/>
              <w:bottom w:val="single" w:sz="6" w:space="0" w:color="000000"/>
              <w:right w:val="single" w:sz="6" w:space="0" w:color="000000"/>
            </w:tcBorders>
          </w:tcPr>
          <w:p w14:paraId="32E2730D" w14:textId="77777777" w:rsidR="00412033" w:rsidRDefault="00412033">
            <w:pPr>
              <w:spacing w:after="160" w:line="259" w:lineRule="auto"/>
              <w:ind w:left="0" w:firstLine="0"/>
              <w:jc w:val="left"/>
            </w:pPr>
          </w:p>
        </w:tc>
        <w:tc>
          <w:tcPr>
            <w:tcW w:w="2257" w:type="dxa"/>
            <w:tcBorders>
              <w:top w:val="single" w:sz="6" w:space="0" w:color="000000"/>
              <w:left w:val="single" w:sz="6" w:space="0" w:color="000000"/>
              <w:bottom w:val="single" w:sz="6" w:space="0" w:color="000000"/>
              <w:right w:val="single" w:sz="6" w:space="0" w:color="000000"/>
            </w:tcBorders>
          </w:tcPr>
          <w:p w14:paraId="346481CE" w14:textId="77777777" w:rsidR="00412033" w:rsidRDefault="00994BB5">
            <w:pPr>
              <w:spacing w:after="0" w:line="259" w:lineRule="auto"/>
              <w:ind w:left="0" w:firstLine="0"/>
              <w:jc w:val="left"/>
            </w:pPr>
            <w:r>
              <w:t xml:space="preserve">10% </w:t>
            </w:r>
          </w:p>
        </w:tc>
        <w:tc>
          <w:tcPr>
            <w:tcW w:w="2259" w:type="dxa"/>
            <w:tcBorders>
              <w:top w:val="single" w:sz="6" w:space="0" w:color="000000"/>
              <w:left w:val="single" w:sz="6" w:space="0" w:color="000000"/>
              <w:bottom w:val="single" w:sz="6" w:space="0" w:color="000000"/>
              <w:right w:val="single" w:sz="6" w:space="0" w:color="000000"/>
            </w:tcBorders>
          </w:tcPr>
          <w:p w14:paraId="0ED48BA3" w14:textId="77777777" w:rsidR="00412033" w:rsidRDefault="00994BB5">
            <w:pPr>
              <w:spacing w:after="0" w:line="259" w:lineRule="auto"/>
              <w:ind w:left="2" w:firstLine="0"/>
              <w:jc w:val="left"/>
            </w:pPr>
            <w:r>
              <w:t xml:space="preserve">1000 </w:t>
            </w:r>
          </w:p>
        </w:tc>
        <w:tc>
          <w:tcPr>
            <w:tcW w:w="2259" w:type="dxa"/>
            <w:tcBorders>
              <w:top w:val="single" w:sz="6" w:space="0" w:color="000000"/>
              <w:left w:val="single" w:sz="6" w:space="0" w:color="000000"/>
              <w:bottom w:val="single" w:sz="6" w:space="0" w:color="000000"/>
              <w:right w:val="single" w:sz="6" w:space="0" w:color="000000"/>
            </w:tcBorders>
          </w:tcPr>
          <w:p w14:paraId="0AFDB0DA" w14:textId="77777777" w:rsidR="00412033" w:rsidRDefault="00994BB5">
            <w:pPr>
              <w:spacing w:after="0" w:line="259" w:lineRule="auto"/>
              <w:ind w:left="2" w:firstLine="0"/>
              <w:jc w:val="left"/>
            </w:pPr>
            <w:r>
              <w:t xml:space="preserve">500 </w:t>
            </w:r>
          </w:p>
        </w:tc>
      </w:tr>
      <w:tr w:rsidR="00412033" w14:paraId="79248CC6" w14:textId="77777777">
        <w:trPr>
          <w:trHeight w:val="482"/>
        </w:trPr>
        <w:tc>
          <w:tcPr>
            <w:tcW w:w="2259" w:type="dxa"/>
            <w:tcBorders>
              <w:top w:val="single" w:sz="6" w:space="0" w:color="000000"/>
              <w:left w:val="single" w:sz="6" w:space="0" w:color="000000"/>
              <w:bottom w:val="single" w:sz="6" w:space="0" w:color="000000"/>
              <w:right w:val="single" w:sz="6" w:space="0" w:color="000000"/>
            </w:tcBorders>
            <w:vAlign w:val="center"/>
          </w:tcPr>
          <w:p w14:paraId="74E854CE" w14:textId="77777777" w:rsidR="00412033" w:rsidRDefault="00994BB5">
            <w:pPr>
              <w:spacing w:after="0" w:line="259" w:lineRule="auto"/>
              <w:ind w:left="0" w:firstLine="0"/>
              <w:jc w:val="left"/>
            </w:pPr>
            <w:r>
              <w:rPr>
                <w:b/>
              </w:rPr>
              <w:t xml:space="preserve">Title </w:t>
            </w:r>
          </w:p>
        </w:tc>
        <w:tc>
          <w:tcPr>
            <w:tcW w:w="6775" w:type="dxa"/>
            <w:gridSpan w:val="3"/>
            <w:tcBorders>
              <w:top w:val="single" w:sz="6" w:space="0" w:color="000000"/>
              <w:left w:val="single" w:sz="6" w:space="0" w:color="000000"/>
              <w:bottom w:val="single" w:sz="6" w:space="0" w:color="000000"/>
              <w:right w:val="single" w:sz="6" w:space="0" w:color="000000"/>
            </w:tcBorders>
          </w:tcPr>
          <w:p w14:paraId="100A607E" w14:textId="77777777" w:rsidR="00412033" w:rsidRDefault="00994BB5">
            <w:pPr>
              <w:spacing w:after="0" w:line="259" w:lineRule="auto"/>
              <w:ind w:left="0" w:firstLine="0"/>
              <w:jc w:val="left"/>
            </w:pPr>
            <w:r>
              <w:rPr>
                <w:b/>
              </w:rPr>
              <w:t>Specific Environmental Measures in the execution of the contract</w:t>
            </w:r>
            <w:r>
              <w:t xml:space="preserve"> </w:t>
            </w:r>
          </w:p>
        </w:tc>
      </w:tr>
      <w:tr w:rsidR="00412033" w14:paraId="092591E1" w14:textId="77777777">
        <w:trPr>
          <w:trHeight w:val="4372"/>
        </w:trPr>
        <w:tc>
          <w:tcPr>
            <w:tcW w:w="2259" w:type="dxa"/>
            <w:tcBorders>
              <w:top w:val="single" w:sz="6" w:space="0" w:color="000000"/>
              <w:left w:val="single" w:sz="6" w:space="0" w:color="000000"/>
              <w:bottom w:val="single" w:sz="6" w:space="0" w:color="000000"/>
              <w:right w:val="single" w:sz="6" w:space="0" w:color="000000"/>
            </w:tcBorders>
            <w:vAlign w:val="center"/>
          </w:tcPr>
          <w:p w14:paraId="0A398151" w14:textId="77777777" w:rsidR="00412033" w:rsidRDefault="00994BB5">
            <w:pPr>
              <w:spacing w:after="0" w:line="259" w:lineRule="auto"/>
              <w:ind w:left="0" w:firstLine="0"/>
              <w:jc w:val="left"/>
            </w:pPr>
            <w:r>
              <w:rPr>
                <w:b/>
              </w:rPr>
              <w:lastRenderedPageBreak/>
              <w:t xml:space="preserve">Description </w:t>
            </w:r>
          </w:p>
        </w:tc>
        <w:tc>
          <w:tcPr>
            <w:tcW w:w="6775" w:type="dxa"/>
            <w:gridSpan w:val="3"/>
            <w:tcBorders>
              <w:top w:val="single" w:sz="6" w:space="0" w:color="000000"/>
              <w:left w:val="single" w:sz="6" w:space="0" w:color="000000"/>
              <w:bottom w:val="single" w:sz="6" w:space="0" w:color="000000"/>
              <w:right w:val="single" w:sz="6" w:space="0" w:color="000000"/>
            </w:tcBorders>
          </w:tcPr>
          <w:p w14:paraId="5B22BDCA" w14:textId="77777777" w:rsidR="00412033" w:rsidRDefault="00994BB5">
            <w:pPr>
              <w:spacing w:after="4" w:line="235" w:lineRule="auto"/>
              <w:ind w:left="0" w:right="256" w:firstLine="0"/>
            </w:pPr>
            <w:r>
              <w:t xml:space="preserve">Tenderers are required to demonstrate that they will apply specific environmental measures regarding the compliance with the WEEE Regulations and the end-of-life management and the energy efficiency requirements as detailed in Sections 3.1.6.1 and 3.1.6.2 of the Specification of Requirements. </w:t>
            </w:r>
          </w:p>
          <w:p w14:paraId="5ED7E584" w14:textId="77777777" w:rsidR="00412033" w:rsidRDefault="00994BB5">
            <w:pPr>
              <w:spacing w:after="5" w:line="234" w:lineRule="auto"/>
              <w:ind w:left="0" w:firstLine="0"/>
              <w:jc w:val="left"/>
            </w:pPr>
            <w:r>
              <w:t xml:space="preserve">In addition to the above, tenderers may propose supplementary environmental sustainability measures that go beyond the mere compliance with the above legislation. Tenderers proposing additional measures that are concrete, pertinent to the contract, fully demonstrated, and verifiable, will achieve higher marks. Please refer to Sections 3.1.7.2 to 3.1.7.4 of the Specification of Requirements for guidance. </w:t>
            </w:r>
          </w:p>
          <w:p w14:paraId="1B8CF1D1" w14:textId="77777777" w:rsidR="00412033" w:rsidRDefault="00994BB5">
            <w:pPr>
              <w:spacing w:after="0" w:line="259" w:lineRule="auto"/>
              <w:ind w:left="0" w:right="276" w:firstLine="0"/>
            </w:pPr>
            <w:r>
              <w:t xml:space="preserve">Any measures accepted by the Contracting Authority will form part of the terms and conditions of the contract with the successful tenderer. Please note this criterion will be evaluated in its totality and no </w:t>
            </w:r>
            <w:proofErr w:type="spellStart"/>
            <w:r>
              <w:t>subcriteria</w:t>
            </w:r>
            <w:proofErr w:type="spellEnd"/>
            <w:r>
              <w:t xml:space="preserve"> are used. </w:t>
            </w:r>
          </w:p>
        </w:tc>
      </w:tr>
      <w:tr w:rsidR="00412033" w14:paraId="46185E32" w14:textId="77777777">
        <w:trPr>
          <w:trHeight w:val="865"/>
        </w:trPr>
        <w:tc>
          <w:tcPr>
            <w:tcW w:w="9034" w:type="dxa"/>
            <w:gridSpan w:val="4"/>
            <w:tcBorders>
              <w:top w:val="single" w:sz="6" w:space="0" w:color="000000"/>
              <w:left w:val="single" w:sz="6" w:space="0" w:color="000000"/>
              <w:bottom w:val="single" w:sz="6" w:space="0" w:color="000000"/>
              <w:right w:val="single" w:sz="6" w:space="0" w:color="000000"/>
            </w:tcBorders>
          </w:tcPr>
          <w:p w14:paraId="015A2C00" w14:textId="77777777" w:rsidR="00412033" w:rsidRDefault="00994BB5">
            <w:pPr>
              <w:spacing w:after="0" w:line="259" w:lineRule="auto"/>
              <w:ind w:left="0" w:firstLine="0"/>
              <w:jc w:val="left"/>
            </w:pPr>
            <w:r>
              <w:rPr>
                <w:b/>
              </w:rPr>
              <w:t xml:space="preserve">NOTE:  </w:t>
            </w:r>
          </w:p>
          <w:p w14:paraId="7B56A582" w14:textId="77777777" w:rsidR="00412033" w:rsidRDefault="00994BB5">
            <w:pPr>
              <w:spacing w:after="0" w:line="259" w:lineRule="auto"/>
              <w:ind w:left="0" w:firstLine="0"/>
            </w:pPr>
            <w:r>
              <w:t xml:space="preserve">Each qualitative criterion will be evaluated on the assessment of the totality of your submission under each criterion and no sub-criteria will be used. </w:t>
            </w:r>
          </w:p>
        </w:tc>
      </w:tr>
    </w:tbl>
    <w:p w14:paraId="2FE26DD2" w14:textId="77777777" w:rsidR="00412033" w:rsidRDefault="00994BB5">
      <w:pPr>
        <w:spacing w:after="153" w:line="259" w:lineRule="auto"/>
        <w:ind w:left="16" w:firstLine="0"/>
        <w:jc w:val="left"/>
      </w:pPr>
      <w:r>
        <w:t xml:space="preserve"> </w:t>
      </w:r>
    </w:p>
    <w:p w14:paraId="1C9BD9F9" w14:textId="77777777" w:rsidR="00412033" w:rsidRDefault="00994BB5">
      <w:pPr>
        <w:spacing w:after="201"/>
        <w:ind w:left="11" w:right="22"/>
      </w:pPr>
      <w:r>
        <w:t xml:space="preserve">Tenderers should ensure in their tenders that they provide detailed information in respect of all aspects of the Framework award criteria as stated above. This will enable the awarding authority to assess fully the extent of their offers. </w:t>
      </w:r>
    </w:p>
    <w:p w14:paraId="2205E047" w14:textId="77777777" w:rsidR="00412033" w:rsidRDefault="00994BB5">
      <w:pPr>
        <w:pStyle w:val="Heading2"/>
        <w:ind w:left="379"/>
      </w:pPr>
      <w:r>
        <w:t>5.2</w:t>
      </w:r>
      <w:r>
        <w:rPr>
          <w:rFonts w:ascii="Arial" w:eastAsia="Arial" w:hAnsi="Arial" w:cs="Arial"/>
        </w:rPr>
        <w:t xml:space="preserve"> </w:t>
      </w:r>
      <w:r>
        <w:t xml:space="preserve">Methodology for calculating the Cost Score </w:t>
      </w:r>
    </w:p>
    <w:p w14:paraId="5679CDD2" w14:textId="77777777" w:rsidR="00412033" w:rsidRDefault="00994BB5">
      <w:pPr>
        <w:ind w:left="11" w:right="22"/>
      </w:pPr>
      <w:r>
        <w:t xml:space="preserve">The following formula will be applied to the cost score:  </w:t>
      </w:r>
    </w:p>
    <w:p w14:paraId="19D9DCD0" w14:textId="77777777" w:rsidR="00412033" w:rsidRDefault="00994BB5">
      <w:pPr>
        <w:spacing w:after="0"/>
        <w:ind w:left="11" w:right="22"/>
      </w:pPr>
      <w:r>
        <w:t xml:space="preserve">The lowest cost tender that also meets all the minimum requirements of the qualitative award criteria will receive the maximum score achievable under this criterion. The scores of the other valid tenders will be calculated using the following formula: </w:t>
      </w:r>
    </w:p>
    <w:tbl>
      <w:tblPr>
        <w:tblStyle w:val="TableGrid"/>
        <w:tblW w:w="5678" w:type="dxa"/>
        <w:tblInd w:w="1716" w:type="dxa"/>
        <w:tblCellMar>
          <w:top w:w="52" w:type="dxa"/>
          <w:left w:w="111" w:type="dxa"/>
          <w:right w:w="115" w:type="dxa"/>
        </w:tblCellMar>
        <w:tblLook w:val="04A0" w:firstRow="1" w:lastRow="0" w:firstColumn="1" w:lastColumn="0" w:noHBand="0" w:noVBand="1"/>
      </w:tblPr>
      <w:tblGrid>
        <w:gridCol w:w="3689"/>
        <w:gridCol w:w="1989"/>
      </w:tblGrid>
      <w:tr w:rsidR="00412033" w14:paraId="00ACEB1A" w14:textId="77777777">
        <w:trPr>
          <w:trHeight w:val="322"/>
        </w:trPr>
        <w:tc>
          <w:tcPr>
            <w:tcW w:w="3689" w:type="dxa"/>
            <w:tcBorders>
              <w:top w:val="single" w:sz="6" w:space="0" w:color="000000"/>
              <w:left w:val="single" w:sz="6" w:space="0" w:color="000000"/>
              <w:bottom w:val="double" w:sz="13" w:space="0" w:color="00284A"/>
              <w:right w:val="single" w:sz="6" w:space="0" w:color="000000"/>
            </w:tcBorders>
            <w:shd w:val="clear" w:color="auto" w:fill="00284A"/>
          </w:tcPr>
          <w:p w14:paraId="55F8E423" w14:textId="77777777" w:rsidR="00412033" w:rsidRDefault="00994BB5">
            <w:pPr>
              <w:spacing w:after="0" w:line="259" w:lineRule="auto"/>
              <w:ind w:left="0" w:firstLine="0"/>
              <w:jc w:val="left"/>
            </w:pPr>
            <w:r>
              <w:rPr>
                <w:color w:val="FFFFFF"/>
              </w:rPr>
              <w:t xml:space="preserve">Lowest Cost from a Bona Fide tender </w:t>
            </w:r>
          </w:p>
        </w:tc>
        <w:tc>
          <w:tcPr>
            <w:tcW w:w="1989" w:type="dxa"/>
            <w:tcBorders>
              <w:top w:val="single" w:sz="6" w:space="0" w:color="000000"/>
              <w:left w:val="single" w:sz="6" w:space="0" w:color="000000"/>
              <w:bottom w:val="single" w:sz="6" w:space="0" w:color="000000"/>
              <w:right w:val="single" w:sz="6" w:space="0" w:color="000000"/>
            </w:tcBorders>
          </w:tcPr>
          <w:p w14:paraId="485504FB" w14:textId="77777777" w:rsidR="00412033" w:rsidRDefault="00994BB5">
            <w:pPr>
              <w:spacing w:after="0" w:line="259" w:lineRule="auto"/>
              <w:ind w:left="0" w:right="34" w:firstLine="0"/>
              <w:jc w:val="center"/>
            </w:pPr>
            <w:r>
              <w:rPr>
                <w:b/>
              </w:rPr>
              <w:t xml:space="preserve">A </w:t>
            </w:r>
          </w:p>
        </w:tc>
      </w:tr>
      <w:tr w:rsidR="00412033" w14:paraId="7268DE6A" w14:textId="77777777">
        <w:trPr>
          <w:trHeight w:val="325"/>
        </w:trPr>
        <w:tc>
          <w:tcPr>
            <w:tcW w:w="3689" w:type="dxa"/>
            <w:tcBorders>
              <w:top w:val="double" w:sz="13" w:space="0" w:color="00284A"/>
              <w:left w:val="single" w:sz="6" w:space="0" w:color="000000"/>
              <w:bottom w:val="single" w:sz="6" w:space="0" w:color="FFFFFF"/>
              <w:right w:val="single" w:sz="6" w:space="0" w:color="000000"/>
            </w:tcBorders>
            <w:shd w:val="clear" w:color="auto" w:fill="00284A"/>
          </w:tcPr>
          <w:p w14:paraId="04C3F6BA" w14:textId="77777777" w:rsidR="00412033" w:rsidRDefault="00994BB5">
            <w:pPr>
              <w:spacing w:after="0" w:line="259" w:lineRule="auto"/>
              <w:ind w:left="0" w:firstLine="0"/>
              <w:jc w:val="left"/>
            </w:pPr>
            <w:r>
              <w:rPr>
                <w:color w:val="FFFFFF"/>
              </w:rPr>
              <w:t xml:space="preserve">Cost for the tender being evaluated </w:t>
            </w:r>
          </w:p>
        </w:tc>
        <w:tc>
          <w:tcPr>
            <w:tcW w:w="1989" w:type="dxa"/>
            <w:tcBorders>
              <w:top w:val="single" w:sz="6" w:space="0" w:color="000000"/>
              <w:left w:val="single" w:sz="6" w:space="0" w:color="000000"/>
              <w:bottom w:val="single" w:sz="6" w:space="0" w:color="000000"/>
              <w:right w:val="single" w:sz="6" w:space="0" w:color="000000"/>
            </w:tcBorders>
          </w:tcPr>
          <w:p w14:paraId="6CDCEC79" w14:textId="77777777" w:rsidR="00412033" w:rsidRDefault="00994BB5">
            <w:pPr>
              <w:spacing w:after="0" w:line="259" w:lineRule="auto"/>
              <w:ind w:left="0" w:right="12" w:firstLine="0"/>
              <w:jc w:val="center"/>
            </w:pPr>
            <w:r>
              <w:rPr>
                <w:b/>
              </w:rPr>
              <w:t xml:space="preserve">B </w:t>
            </w:r>
          </w:p>
        </w:tc>
      </w:tr>
      <w:tr w:rsidR="00412033" w14:paraId="7BAA38F2" w14:textId="77777777">
        <w:trPr>
          <w:trHeight w:val="324"/>
        </w:trPr>
        <w:tc>
          <w:tcPr>
            <w:tcW w:w="3689" w:type="dxa"/>
            <w:tcBorders>
              <w:top w:val="single" w:sz="13" w:space="0" w:color="00284A"/>
              <w:left w:val="single" w:sz="6" w:space="0" w:color="000000"/>
              <w:bottom w:val="double" w:sz="13" w:space="0" w:color="00284A"/>
              <w:right w:val="single" w:sz="6" w:space="0" w:color="000000"/>
            </w:tcBorders>
            <w:shd w:val="clear" w:color="auto" w:fill="00284A"/>
          </w:tcPr>
          <w:p w14:paraId="3C297E39" w14:textId="77777777" w:rsidR="00412033" w:rsidRDefault="00994BB5">
            <w:pPr>
              <w:spacing w:after="0" w:line="259" w:lineRule="auto"/>
              <w:ind w:left="0" w:firstLine="0"/>
              <w:jc w:val="left"/>
            </w:pPr>
            <w:r>
              <w:rPr>
                <w:color w:val="FFFFFF"/>
              </w:rPr>
              <w:t xml:space="preserve">Maximum Points available for Cost </w:t>
            </w:r>
          </w:p>
        </w:tc>
        <w:tc>
          <w:tcPr>
            <w:tcW w:w="1989" w:type="dxa"/>
            <w:tcBorders>
              <w:top w:val="single" w:sz="6" w:space="0" w:color="000000"/>
              <w:left w:val="single" w:sz="6" w:space="0" w:color="000000"/>
              <w:bottom w:val="single" w:sz="6" w:space="0" w:color="000000"/>
              <w:right w:val="single" w:sz="6" w:space="0" w:color="000000"/>
            </w:tcBorders>
          </w:tcPr>
          <w:p w14:paraId="1EDC11F9" w14:textId="77777777" w:rsidR="00412033" w:rsidRDefault="00994BB5">
            <w:pPr>
              <w:spacing w:after="0" w:line="259" w:lineRule="auto"/>
              <w:ind w:left="0" w:right="19" w:firstLine="0"/>
              <w:jc w:val="center"/>
            </w:pPr>
            <w:r>
              <w:rPr>
                <w:b/>
              </w:rPr>
              <w:t xml:space="preserve">C </w:t>
            </w:r>
          </w:p>
        </w:tc>
      </w:tr>
      <w:tr w:rsidR="00412033" w14:paraId="20A04DD6" w14:textId="77777777">
        <w:trPr>
          <w:trHeight w:val="581"/>
        </w:trPr>
        <w:tc>
          <w:tcPr>
            <w:tcW w:w="3689" w:type="dxa"/>
            <w:tcBorders>
              <w:top w:val="double" w:sz="13" w:space="0" w:color="00284A"/>
              <w:left w:val="single" w:sz="6" w:space="0" w:color="000000"/>
              <w:bottom w:val="single" w:sz="6" w:space="0" w:color="000000"/>
              <w:right w:val="single" w:sz="6" w:space="0" w:color="000000"/>
            </w:tcBorders>
            <w:shd w:val="clear" w:color="auto" w:fill="00284A"/>
            <w:vAlign w:val="center"/>
          </w:tcPr>
          <w:p w14:paraId="4C57A4A8" w14:textId="77777777" w:rsidR="00412033" w:rsidRDefault="00994BB5">
            <w:pPr>
              <w:spacing w:after="0" w:line="259" w:lineRule="auto"/>
              <w:ind w:left="0" w:firstLine="0"/>
              <w:jc w:val="left"/>
            </w:pPr>
            <w:r>
              <w:rPr>
                <w:color w:val="FFFFFF"/>
              </w:rPr>
              <w:t xml:space="preserve">Formula employed </w:t>
            </w:r>
          </w:p>
        </w:tc>
        <w:tc>
          <w:tcPr>
            <w:tcW w:w="1989" w:type="dxa"/>
            <w:tcBorders>
              <w:top w:val="single" w:sz="6" w:space="0" w:color="000000"/>
              <w:left w:val="single" w:sz="6" w:space="0" w:color="000000"/>
              <w:bottom w:val="single" w:sz="6" w:space="0" w:color="000000"/>
              <w:right w:val="single" w:sz="6" w:space="0" w:color="000000"/>
            </w:tcBorders>
          </w:tcPr>
          <w:p w14:paraId="5954ADE7" w14:textId="77777777" w:rsidR="00412033" w:rsidRDefault="00994BB5">
            <w:pPr>
              <w:spacing w:after="0" w:line="259" w:lineRule="auto"/>
              <w:ind w:left="590" w:right="549" w:firstLine="0"/>
              <w:jc w:val="center"/>
            </w:pPr>
            <w:r>
              <w:rPr>
                <w:b/>
                <w:u w:val="single" w:color="000000"/>
              </w:rPr>
              <w:t>A x C</w:t>
            </w:r>
            <w:r>
              <w:rPr>
                <w:b/>
              </w:rPr>
              <w:t xml:space="preserve"> B </w:t>
            </w:r>
          </w:p>
        </w:tc>
      </w:tr>
    </w:tbl>
    <w:p w14:paraId="40D6D931" w14:textId="77777777" w:rsidR="00412033" w:rsidRDefault="00994BB5">
      <w:pPr>
        <w:spacing w:after="206" w:line="259" w:lineRule="auto"/>
        <w:ind w:left="16" w:firstLine="0"/>
        <w:jc w:val="left"/>
      </w:pPr>
      <w:r>
        <w:t xml:space="preserve"> </w:t>
      </w:r>
    </w:p>
    <w:p w14:paraId="0D570D76" w14:textId="77777777" w:rsidR="00412033" w:rsidRDefault="00994BB5">
      <w:pPr>
        <w:pStyle w:val="Heading2"/>
        <w:spacing w:after="5"/>
        <w:ind w:left="379"/>
      </w:pPr>
      <w:r>
        <w:t>5.3</w:t>
      </w:r>
      <w:r>
        <w:rPr>
          <w:rFonts w:ascii="Arial" w:eastAsia="Arial" w:hAnsi="Arial" w:cs="Arial"/>
        </w:rPr>
        <w:t xml:space="preserve"> </w:t>
      </w:r>
      <w:r>
        <w:t xml:space="preserve">Methodology for scoring Qualitative Criteria </w:t>
      </w:r>
    </w:p>
    <w:tbl>
      <w:tblPr>
        <w:tblStyle w:val="TableGrid"/>
        <w:tblW w:w="9028" w:type="dxa"/>
        <w:tblInd w:w="18" w:type="dxa"/>
        <w:tblCellMar>
          <w:top w:w="52" w:type="dxa"/>
          <w:left w:w="104" w:type="dxa"/>
          <w:right w:w="54" w:type="dxa"/>
        </w:tblCellMar>
        <w:tblLook w:val="04A0" w:firstRow="1" w:lastRow="0" w:firstColumn="1" w:lastColumn="0" w:noHBand="0" w:noVBand="1"/>
      </w:tblPr>
      <w:tblGrid>
        <w:gridCol w:w="1272"/>
        <w:gridCol w:w="1442"/>
        <w:gridCol w:w="6314"/>
      </w:tblGrid>
      <w:tr w:rsidR="00412033" w14:paraId="69B9452A" w14:textId="77777777">
        <w:trPr>
          <w:trHeight w:val="311"/>
        </w:trPr>
        <w:tc>
          <w:tcPr>
            <w:tcW w:w="1272" w:type="dxa"/>
            <w:tcBorders>
              <w:top w:val="single" w:sz="6" w:space="0" w:color="000000"/>
              <w:left w:val="single" w:sz="6" w:space="0" w:color="000000"/>
              <w:bottom w:val="single" w:sz="6" w:space="0" w:color="000000"/>
              <w:right w:val="single" w:sz="6" w:space="0" w:color="FFFFFF"/>
            </w:tcBorders>
            <w:shd w:val="clear" w:color="auto" w:fill="00284A"/>
          </w:tcPr>
          <w:p w14:paraId="5FAC277B" w14:textId="77777777" w:rsidR="00412033" w:rsidRDefault="00994BB5">
            <w:pPr>
              <w:spacing w:after="0" w:line="259" w:lineRule="auto"/>
              <w:ind w:left="6" w:firstLine="0"/>
              <w:jc w:val="left"/>
            </w:pPr>
            <w:r>
              <w:rPr>
                <w:b/>
                <w:color w:val="FFFFFF"/>
              </w:rPr>
              <w:t xml:space="preserve">Score </w:t>
            </w:r>
          </w:p>
        </w:tc>
        <w:tc>
          <w:tcPr>
            <w:tcW w:w="1442" w:type="dxa"/>
            <w:tcBorders>
              <w:top w:val="single" w:sz="6" w:space="0" w:color="000000"/>
              <w:left w:val="single" w:sz="6" w:space="0" w:color="FFFFFF"/>
              <w:bottom w:val="single" w:sz="6" w:space="0" w:color="000000"/>
              <w:right w:val="single" w:sz="6" w:space="0" w:color="FFFFFF"/>
            </w:tcBorders>
            <w:shd w:val="clear" w:color="auto" w:fill="00284A"/>
          </w:tcPr>
          <w:p w14:paraId="6A737BB0" w14:textId="77777777" w:rsidR="00412033" w:rsidRDefault="00994BB5">
            <w:pPr>
              <w:spacing w:after="0" w:line="259" w:lineRule="auto"/>
              <w:ind w:left="0" w:firstLine="0"/>
              <w:jc w:val="left"/>
            </w:pPr>
            <w:r>
              <w:rPr>
                <w:b/>
                <w:color w:val="FFFFFF"/>
              </w:rPr>
              <w:t xml:space="preserve">Category </w:t>
            </w:r>
          </w:p>
        </w:tc>
        <w:tc>
          <w:tcPr>
            <w:tcW w:w="6314" w:type="dxa"/>
            <w:tcBorders>
              <w:top w:val="single" w:sz="6" w:space="0" w:color="000000"/>
              <w:left w:val="single" w:sz="6" w:space="0" w:color="FFFFFF"/>
              <w:bottom w:val="single" w:sz="6" w:space="0" w:color="000000"/>
              <w:right w:val="single" w:sz="6" w:space="0" w:color="000000"/>
            </w:tcBorders>
            <w:shd w:val="clear" w:color="auto" w:fill="00284A"/>
          </w:tcPr>
          <w:p w14:paraId="6B5CFF41" w14:textId="77777777" w:rsidR="00412033" w:rsidRDefault="00994BB5">
            <w:pPr>
              <w:spacing w:after="0" w:line="259" w:lineRule="auto"/>
              <w:ind w:left="16" w:firstLine="0"/>
              <w:jc w:val="left"/>
            </w:pPr>
            <w:r>
              <w:rPr>
                <w:b/>
                <w:color w:val="FFFFFF"/>
              </w:rPr>
              <w:t xml:space="preserve">Description </w:t>
            </w:r>
          </w:p>
        </w:tc>
      </w:tr>
      <w:tr w:rsidR="00412033" w14:paraId="1A02A193" w14:textId="77777777">
        <w:trPr>
          <w:trHeight w:val="879"/>
        </w:trPr>
        <w:tc>
          <w:tcPr>
            <w:tcW w:w="1272" w:type="dxa"/>
            <w:tcBorders>
              <w:top w:val="single" w:sz="6" w:space="0" w:color="000000"/>
              <w:left w:val="single" w:sz="6" w:space="0" w:color="000000"/>
              <w:bottom w:val="single" w:sz="6" w:space="0" w:color="000000"/>
              <w:right w:val="single" w:sz="6" w:space="0" w:color="000000"/>
            </w:tcBorders>
            <w:vAlign w:val="center"/>
          </w:tcPr>
          <w:p w14:paraId="039F5379" w14:textId="77777777" w:rsidR="00412033" w:rsidRDefault="00994BB5">
            <w:pPr>
              <w:spacing w:after="0" w:line="259" w:lineRule="auto"/>
              <w:ind w:left="6" w:firstLine="0"/>
              <w:jc w:val="left"/>
            </w:pPr>
            <w:r>
              <w:t xml:space="preserve">90 – 100% </w:t>
            </w:r>
          </w:p>
        </w:tc>
        <w:tc>
          <w:tcPr>
            <w:tcW w:w="1442" w:type="dxa"/>
            <w:tcBorders>
              <w:top w:val="single" w:sz="6" w:space="0" w:color="000000"/>
              <w:left w:val="single" w:sz="6" w:space="0" w:color="000000"/>
              <w:bottom w:val="single" w:sz="6" w:space="0" w:color="000000"/>
              <w:right w:val="single" w:sz="6" w:space="0" w:color="000000"/>
            </w:tcBorders>
            <w:vAlign w:val="center"/>
          </w:tcPr>
          <w:p w14:paraId="1251FC10" w14:textId="77777777" w:rsidR="00412033" w:rsidRDefault="00994BB5">
            <w:pPr>
              <w:spacing w:after="0" w:line="259" w:lineRule="auto"/>
              <w:ind w:left="0" w:firstLine="0"/>
              <w:jc w:val="left"/>
            </w:pPr>
            <w:r>
              <w:t xml:space="preserve">Exceptional </w:t>
            </w:r>
          </w:p>
        </w:tc>
        <w:tc>
          <w:tcPr>
            <w:tcW w:w="6314" w:type="dxa"/>
            <w:tcBorders>
              <w:top w:val="single" w:sz="6" w:space="0" w:color="000000"/>
              <w:left w:val="single" w:sz="6" w:space="0" w:color="000000"/>
              <w:bottom w:val="single" w:sz="6" w:space="0" w:color="000000"/>
              <w:right w:val="single" w:sz="6" w:space="0" w:color="000000"/>
            </w:tcBorders>
          </w:tcPr>
          <w:p w14:paraId="6E3FA0A4" w14:textId="77777777" w:rsidR="00412033" w:rsidRDefault="00994BB5">
            <w:pPr>
              <w:spacing w:after="0" w:line="259" w:lineRule="auto"/>
              <w:ind w:left="16" w:right="51" w:firstLine="0"/>
            </w:pPr>
            <w:r>
              <w:t xml:space="preserve">An exceptional response demonstrating extensive understanding offering full assurance to client – fully supported with no reservations. </w:t>
            </w:r>
          </w:p>
        </w:tc>
      </w:tr>
      <w:tr w:rsidR="00412033" w14:paraId="4537DE0E" w14:textId="77777777">
        <w:trPr>
          <w:trHeight w:val="608"/>
        </w:trPr>
        <w:tc>
          <w:tcPr>
            <w:tcW w:w="1272" w:type="dxa"/>
            <w:tcBorders>
              <w:top w:val="single" w:sz="6" w:space="0" w:color="000000"/>
              <w:left w:val="single" w:sz="6" w:space="0" w:color="000000"/>
              <w:bottom w:val="single" w:sz="6" w:space="0" w:color="000000"/>
              <w:right w:val="single" w:sz="6" w:space="0" w:color="000000"/>
            </w:tcBorders>
            <w:vAlign w:val="center"/>
          </w:tcPr>
          <w:p w14:paraId="71FD50C0" w14:textId="77777777" w:rsidR="00412033" w:rsidRDefault="00994BB5">
            <w:pPr>
              <w:spacing w:after="0" w:line="259" w:lineRule="auto"/>
              <w:ind w:left="6" w:firstLine="0"/>
              <w:jc w:val="left"/>
            </w:pPr>
            <w:r>
              <w:t xml:space="preserve">80 – 89% </w:t>
            </w:r>
          </w:p>
        </w:tc>
        <w:tc>
          <w:tcPr>
            <w:tcW w:w="1442" w:type="dxa"/>
            <w:tcBorders>
              <w:top w:val="single" w:sz="6" w:space="0" w:color="000000"/>
              <w:left w:val="single" w:sz="6" w:space="0" w:color="000000"/>
              <w:bottom w:val="single" w:sz="6" w:space="0" w:color="000000"/>
              <w:right w:val="single" w:sz="6" w:space="0" w:color="000000"/>
            </w:tcBorders>
            <w:vAlign w:val="center"/>
          </w:tcPr>
          <w:p w14:paraId="1E0FD97A" w14:textId="77777777" w:rsidR="00412033" w:rsidRDefault="00994BB5">
            <w:pPr>
              <w:spacing w:after="0" w:line="259" w:lineRule="auto"/>
              <w:ind w:left="0" w:firstLine="0"/>
              <w:jc w:val="left"/>
            </w:pPr>
            <w:r>
              <w:t xml:space="preserve">Excellent </w:t>
            </w:r>
          </w:p>
        </w:tc>
        <w:tc>
          <w:tcPr>
            <w:tcW w:w="6314" w:type="dxa"/>
            <w:tcBorders>
              <w:top w:val="single" w:sz="6" w:space="0" w:color="000000"/>
              <w:left w:val="single" w:sz="6" w:space="0" w:color="000000"/>
              <w:bottom w:val="single" w:sz="6" w:space="0" w:color="000000"/>
              <w:right w:val="single" w:sz="6" w:space="0" w:color="000000"/>
            </w:tcBorders>
          </w:tcPr>
          <w:p w14:paraId="6116DD62" w14:textId="77777777" w:rsidR="00412033" w:rsidRDefault="00994BB5">
            <w:pPr>
              <w:spacing w:after="0" w:line="259" w:lineRule="auto"/>
              <w:ind w:left="16" w:firstLine="0"/>
            </w:pPr>
            <w:r>
              <w:t xml:space="preserve">An excellent response demonstrating excellent understanding offering assurance to client – fully supported. </w:t>
            </w:r>
          </w:p>
        </w:tc>
      </w:tr>
      <w:tr w:rsidR="00412033" w14:paraId="3A94FA26" w14:textId="77777777">
        <w:trPr>
          <w:trHeight w:val="593"/>
        </w:trPr>
        <w:tc>
          <w:tcPr>
            <w:tcW w:w="1272" w:type="dxa"/>
            <w:tcBorders>
              <w:top w:val="single" w:sz="6" w:space="0" w:color="000000"/>
              <w:left w:val="single" w:sz="6" w:space="0" w:color="000000"/>
              <w:bottom w:val="single" w:sz="6" w:space="0" w:color="000000"/>
              <w:right w:val="single" w:sz="6" w:space="0" w:color="000000"/>
            </w:tcBorders>
            <w:vAlign w:val="center"/>
          </w:tcPr>
          <w:p w14:paraId="0B4E96AE" w14:textId="77777777" w:rsidR="00412033" w:rsidRDefault="00994BB5">
            <w:pPr>
              <w:spacing w:after="0" w:line="259" w:lineRule="auto"/>
              <w:ind w:left="6" w:firstLine="0"/>
              <w:jc w:val="left"/>
            </w:pPr>
            <w:r>
              <w:lastRenderedPageBreak/>
              <w:t xml:space="preserve">70 – 79% </w:t>
            </w:r>
          </w:p>
        </w:tc>
        <w:tc>
          <w:tcPr>
            <w:tcW w:w="1442" w:type="dxa"/>
            <w:tcBorders>
              <w:top w:val="single" w:sz="6" w:space="0" w:color="000000"/>
              <w:left w:val="single" w:sz="6" w:space="0" w:color="000000"/>
              <w:bottom w:val="single" w:sz="6" w:space="0" w:color="000000"/>
              <w:right w:val="single" w:sz="6" w:space="0" w:color="000000"/>
            </w:tcBorders>
            <w:vAlign w:val="center"/>
          </w:tcPr>
          <w:p w14:paraId="60F751A6" w14:textId="77777777" w:rsidR="00412033" w:rsidRDefault="00994BB5">
            <w:pPr>
              <w:spacing w:after="0" w:line="259" w:lineRule="auto"/>
              <w:ind w:left="0" w:firstLine="0"/>
              <w:jc w:val="left"/>
            </w:pPr>
            <w:r>
              <w:t xml:space="preserve">Very good </w:t>
            </w:r>
          </w:p>
        </w:tc>
        <w:tc>
          <w:tcPr>
            <w:tcW w:w="6314" w:type="dxa"/>
            <w:tcBorders>
              <w:top w:val="single" w:sz="6" w:space="0" w:color="000000"/>
              <w:left w:val="single" w:sz="6" w:space="0" w:color="000000"/>
              <w:bottom w:val="single" w:sz="6" w:space="0" w:color="000000"/>
              <w:right w:val="single" w:sz="6" w:space="0" w:color="000000"/>
            </w:tcBorders>
          </w:tcPr>
          <w:p w14:paraId="0B042F3D" w14:textId="77777777" w:rsidR="00412033" w:rsidRDefault="00994BB5">
            <w:pPr>
              <w:spacing w:after="0" w:line="259" w:lineRule="auto"/>
              <w:ind w:left="16" w:firstLine="0"/>
            </w:pPr>
            <w:r>
              <w:t xml:space="preserve">A very good response demonstrating very good understanding offering assurance to client – strongly supported. </w:t>
            </w:r>
          </w:p>
        </w:tc>
      </w:tr>
      <w:tr w:rsidR="00412033" w14:paraId="283DA68B" w14:textId="77777777">
        <w:trPr>
          <w:trHeight w:val="608"/>
        </w:trPr>
        <w:tc>
          <w:tcPr>
            <w:tcW w:w="1272" w:type="dxa"/>
            <w:tcBorders>
              <w:top w:val="single" w:sz="6" w:space="0" w:color="000000"/>
              <w:left w:val="single" w:sz="6" w:space="0" w:color="000000"/>
              <w:bottom w:val="single" w:sz="6" w:space="0" w:color="000000"/>
              <w:right w:val="single" w:sz="6" w:space="0" w:color="000000"/>
            </w:tcBorders>
            <w:vAlign w:val="center"/>
          </w:tcPr>
          <w:p w14:paraId="004D461F" w14:textId="77777777" w:rsidR="00412033" w:rsidRDefault="00994BB5">
            <w:pPr>
              <w:spacing w:after="0" w:line="259" w:lineRule="auto"/>
              <w:ind w:left="6" w:firstLine="0"/>
              <w:jc w:val="left"/>
            </w:pPr>
            <w:r>
              <w:t xml:space="preserve">60 – 69% </w:t>
            </w:r>
          </w:p>
        </w:tc>
        <w:tc>
          <w:tcPr>
            <w:tcW w:w="1442" w:type="dxa"/>
            <w:tcBorders>
              <w:top w:val="single" w:sz="6" w:space="0" w:color="000000"/>
              <w:left w:val="single" w:sz="6" w:space="0" w:color="000000"/>
              <w:bottom w:val="single" w:sz="6" w:space="0" w:color="000000"/>
              <w:right w:val="single" w:sz="6" w:space="0" w:color="000000"/>
            </w:tcBorders>
            <w:vAlign w:val="center"/>
          </w:tcPr>
          <w:p w14:paraId="2F87BD39" w14:textId="77777777" w:rsidR="00412033" w:rsidRDefault="00994BB5">
            <w:pPr>
              <w:spacing w:after="0" w:line="259" w:lineRule="auto"/>
              <w:ind w:left="0" w:firstLine="0"/>
              <w:jc w:val="left"/>
            </w:pPr>
            <w:r>
              <w:t xml:space="preserve">Good </w:t>
            </w:r>
          </w:p>
        </w:tc>
        <w:tc>
          <w:tcPr>
            <w:tcW w:w="6314" w:type="dxa"/>
            <w:tcBorders>
              <w:top w:val="single" w:sz="6" w:space="0" w:color="000000"/>
              <w:left w:val="single" w:sz="6" w:space="0" w:color="000000"/>
              <w:bottom w:val="single" w:sz="6" w:space="0" w:color="000000"/>
              <w:right w:val="single" w:sz="6" w:space="0" w:color="000000"/>
            </w:tcBorders>
          </w:tcPr>
          <w:p w14:paraId="057302C3" w14:textId="77777777" w:rsidR="00412033" w:rsidRDefault="00994BB5">
            <w:pPr>
              <w:spacing w:after="0" w:line="259" w:lineRule="auto"/>
              <w:ind w:left="16" w:firstLine="0"/>
            </w:pPr>
            <w:r>
              <w:t xml:space="preserve">A good response demonstrating good understanding offering assurance to client – well supported. </w:t>
            </w:r>
          </w:p>
        </w:tc>
      </w:tr>
      <w:tr w:rsidR="00412033" w14:paraId="671633EF" w14:textId="77777777">
        <w:trPr>
          <w:trHeight w:val="609"/>
        </w:trPr>
        <w:tc>
          <w:tcPr>
            <w:tcW w:w="1272" w:type="dxa"/>
            <w:tcBorders>
              <w:top w:val="single" w:sz="6" w:space="0" w:color="000000"/>
              <w:left w:val="single" w:sz="6" w:space="0" w:color="000000"/>
              <w:bottom w:val="single" w:sz="6" w:space="0" w:color="000000"/>
              <w:right w:val="single" w:sz="6" w:space="0" w:color="000000"/>
            </w:tcBorders>
            <w:vAlign w:val="center"/>
          </w:tcPr>
          <w:p w14:paraId="602AE2B5" w14:textId="77777777" w:rsidR="00412033" w:rsidRDefault="00994BB5">
            <w:pPr>
              <w:spacing w:after="0" w:line="259" w:lineRule="auto"/>
              <w:ind w:left="6" w:firstLine="0"/>
              <w:jc w:val="left"/>
            </w:pPr>
            <w:r>
              <w:t xml:space="preserve">50 – 59% </w:t>
            </w:r>
          </w:p>
        </w:tc>
        <w:tc>
          <w:tcPr>
            <w:tcW w:w="1442" w:type="dxa"/>
            <w:tcBorders>
              <w:top w:val="single" w:sz="6" w:space="0" w:color="000000"/>
              <w:left w:val="single" w:sz="6" w:space="0" w:color="000000"/>
              <w:bottom w:val="single" w:sz="6" w:space="0" w:color="000000"/>
              <w:right w:val="single" w:sz="6" w:space="0" w:color="000000"/>
            </w:tcBorders>
            <w:vAlign w:val="center"/>
          </w:tcPr>
          <w:p w14:paraId="68482D24" w14:textId="77777777" w:rsidR="00412033" w:rsidRDefault="00994BB5">
            <w:pPr>
              <w:spacing w:after="0" w:line="259" w:lineRule="auto"/>
              <w:ind w:left="0" w:firstLine="0"/>
              <w:jc w:val="left"/>
            </w:pPr>
            <w:r>
              <w:t xml:space="preserve">Acceptable </w:t>
            </w:r>
          </w:p>
        </w:tc>
        <w:tc>
          <w:tcPr>
            <w:tcW w:w="6314" w:type="dxa"/>
            <w:tcBorders>
              <w:top w:val="single" w:sz="6" w:space="0" w:color="000000"/>
              <w:left w:val="single" w:sz="6" w:space="0" w:color="000000"/>
              <w:bottom w:val="single" w:sz="6" w:space="0" w:color="000000"/>
              <w:right w:val="single" w:sz="6" w:space="0" w:color="000000"/>
            </w:tcBorders>
          </w:tcPr>
          <w:p w14:paraId="33F8B3CB" w14:textId="77777777" w:rsidR="00412033" w:rsidRDefault="00994BB5">
            <w:pPr>
              <w:spacing w:after="0" w:line="259" w:lineRule="auto"/>
              <w:ind w:left="16" w:firstLine="0"/>
            </w:pPr>
            <w:r>
              <w:t xml:space="preserve">An acceptable response demonstrating a minimum understanding offering assurance to client - satisfactorily supported. </w:t>
            </w:r>
          </w:p>
        </w:tc>
      </w:tr>
      <w:tr w:rsidR="00412033" w14:paraId="2B6466C3" w14:textId="77777777">
        <w:trPr>
          <w:trHeight w:val="1137"/>
        </w:trPr>
        <w:tc>
          <w:tcPr>
            <w:tcW w:w="1272" w:type="dxa"/>
            <w:tcBorders>
              <w:top w:val="single" w:sz="6" w:space="0" w:color="000000"/>
              <w:left w:val="single" w:sz="6" w:space="0" w:color="000000"/>
              <w:bottom w:val="single" w:sz="6" w:space="0" w:color="000000"/>
              <w:right w:val="single" w:sz="6" w:space="0" w:color="000000"/>
            </w:tcBorders>
            <w:vAlign w:val="center"/>
          </w:tcPr>
          <w:p w14:paraId="59D332B6" w14:textId="77777777" w:rsidR="00412033" w:rsidRDefault="00994BB5">
            <w:pPr>
              <w:spacing w:after="0" w:line="259" w:lineRule="auto"/>
              <w:ind w:left="6" w:firstLine="0"/>
              <w:jc w:val="left"/>
            </w:pPr>
            <w:r>
              <w:t xml:space="preserve">0 – 49% </w:t>
            </w:r>
          </w:p>
        </w:tc>
        <w:tc>
          <w:tcPr>
            <w:tcW w:w="1442" w:type="dxa"/>
            <w:tcBorders>
              <w:top w:val="single" w:sz="6" w:space="0" w:color="000000"/>
              <w:left w:val="single" w:sz="6" w:space="0" w:color="000000"/>
              <w:bottom w:val="single" w:sz="6" w:space="0" w:color="000000"/>
              <w:right w:val="single" w:sz="6" w:space="0" w:color="000000"/>
            </w:tcBorders>
            <w:vAlign w:val="center"/>
          </w:tcPr>
          <w:p w14:paraId="164D569F" w14:textId="77777777" w:rsidR="00412033" w:rsidRDefault="00994BB5">
            <w:pPr>
              <w:spacing w:after="0" w:line="259" w:lineRule="auto"/>
              <w:ind w:left="0" w:firstLine="0"/>
              <w:jc w:val="left"/>
            </w:pPr>
            <w:r>
              <w:t xml:space="preserve">Unacceptable </w:t>
            </w:r>
          </w:p>
        </w:tc>
        <w:tc>
          <w:tcPr>
            <w:tcW w:w="6314" w:type="dxa"/>
            <w:tcBorders>
              <w:top w:val="single" w:sz="6" w:space="0" w:color="000000"/>
              <w:left w:val="single" w:sz="6" w:space="0" w:color="000000"/>
              <w:bottom w:val="single" w:sz="6" w:space="0" w:color="000000"/>
              <w:right w:val="single" w:sz="6" w:space="0" w:color="000000"/>
            </w:tcBorders>
          </w:tcPr>
          <w:p w14:paraId="3000D7D2" w14:textId="77777777" w:rsidR="00412033" w:rsidRDefault="00994BB5">
            <w:pPr>
              <w:spacing w:after="0" w:line="259" w:lineRule="auto"/>
              <w:ind w:left="16" w:right="35" w:firstLine="0"/>
            </w:pPr>
            <w:r>
              <w:t xml:space="preserve">A response which is either missing a specific response or lacks credibility and / or causes major concerns. Such a response may result in the entire tender being deemed inadmissible and ineligible for further consideration. </w:t>
            </w:r>
          </w:p>
        </w:tc>
      </w:tr>
    </w:tbl>
    <w:p w14:paraId="45C707A7" w14:textId="77777777" w:rsidR="00412033" w:rsidRDefault="00994BB5">
      <w:pPr>
        <w:spacing w:after="153" w:line="259" w:lineRule="auto"/>
        <w:ind w:left="16" w:firstLine="0"/>
        <w:jc w:val="left"/>
      </w:pPr>
      <w:r>
        <w:t xml:space="preserve"> </w:t>
      </w:r>
    </w:p>
    <w:p w14:paraId="7F7D7013" w14:textId="77777777" w:rsidR="00412033" w:rsidRDefault="00994BB5">
      <w:pPr>
        <w:spacing w:after="200"/>
        <w:ind w:left="11" w:right="22"/>
      </w:pPr>
      <w:r>
        <w:t xml:space="preserve">Marks in the score ranges outlined above can be awarded where responses so merit additional marks. </w:t>
      </w:r>
    </w:p>
    <w:p w14:paraId="0A418403" w14:textId="77777777" w:rsidR="00412033" w:rsidRDefault="00994BB5">
      <w:pPr>
        <w:pStyle w:val="Heading2"/>
        <w:ind w:left="379"/>
      </w:pPr>
      <w:r>
        <w:t>5.4</w:t>
      </w:r>
      <w:r>
        <w:rPr>
          <w:rFonts w:ascii="Arial" w:eastAsia="Arial" w:hAnsi="Arial" w:cs="Arial"/>
        </w:rPr>
        <w:t xml:space="preserve"> </w:t>
      </w:r>
      <w:r>
        <w:t xml:space="preserve">Post Tender Clarification </w:t>
      </w:r>
    </w:p>
    <w:p w14:paraId="0E722B5A" w14:textId="77777777" w:rsidR="00412033" w:rsidRDefault="00994BB5">
      <w:pPr>
        <w:spacing w:after="200"/>
        <w:ind w:left="11" w:right="22"/>
      </w:pPr>
      <w:r>
        <w:t xml:space="preserve">At the discretion of the Contracting Authority, Tenderers may be invited, in writing, to clarify certain aspects of their tender, particularly where information or documentation to be submitted appears to be incomplete or erroneous. However, all such requests will be made in full compliance with the principles of equal treatment and transparency and avoid any distortion of competition. </w:t>
      </w:r>
    </w:p>
    <w:p w14:paraId="4CF5E161" w14:textId="77777777" w:rsidR="00412033" w:rsidRDefault="00994BB5">
      <w:pPr>
        <w:pStyle w:val="Heading2"/>
        <w:ind w:left="379"/>
      </w:pPr>
      <w:r>
        <w:t>5.5</w:t>
      </w:r>
      <w:r>
        <w:rPr>
          <w:rFonts w:ascii="Arial" w:eastAsia="Arial" w:hAnsi="Arial" w:cs="Arial"/>
        </w:rPr>
        <w:t xml:space="preserve"> </w:t>
      </w:r>
      <w:r>
        <w:t xml:space="preserve">Verification </w:t>
      </w:r>
    </w:p>
    <w:p w14:paraId="0FD41D3C" w14:textId="77777777" w:rsidR="00412033" w:rsidRDefault="00994BB5">
      <w:pPr>
        <w:ind w:left="11" w:right="22"/>
      </w:pPr>
      <w:r>
        <w:t xml:space="preserve">Award of contract / membership of the Framework may be subject to attendance at a verification meeting. It would be essential that the key personnel assigned to this Framework should be available and present at this meeting. If required, Tenderers will be notified of the date, time, agenda and format for such meetings as soon as possible. </w:t>
      </w:r>
    </w:p>
    <w:p w14:paraId="577235DA" w14:textId="77777777" w:rsidR="00412033" w:rsidRDefault="00994BB5">
      <w:pPr>
        <w:spacing w:after="203" w:line="260" w:lineRule="auto"/>
        <w:ind w:left="11"/>
        <w:jc w:val="left"/>
      </w:pPr>
      <w:r>
        <w:t xml:space="preserve">A visit to the Tenderer’s premises may be required to clarify any questions or queries regarding the tender offer.  </w:t>
      </w:r>
    </w:p>
    <w:p w14:paraId="5388C8BB" w14:textId="77777777" w:rsidR="00412033" w:rsidRDefault="00994BB5">
      <w:pPr>
        <w:pStyle w:val="Heading2"/>
        <w:ind w:left="379"/>
      </w:pPr>
      <w:r>
        <w:t>5.6</w:t>
      </w:r>
      <w:r>
        <w:rPr>
          <w:rFonts w:ascii="Arial" w:eastAsia="Arial" w:hAnsi="Arial" w:cs="Arial"/>
        </w:rPr>
        <w:t xml:space="preserve"> </w:t>
      </w:r>
      <w:r>
        <w:t xml:space="preserve">Clarification of Abnormally Low Tenders </w:t>
      </w:r>
    </w:p>
    <w:p w14:paraId="41899449" w14:textId="77777777" w:rsidR="00412033" w:rsidRDefault="00994BB5">
      <w:pPr>
        <w:spacing w:after="202"/>
        <w:ind w:left="11" w:right="22"/>
      </w:pPr>
      <w:r>
        <w:t xml:space="preserve">If the Contracting Authority considers the tender submission to be commercially unsustainable or otherwise problematic considering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Contracting Authority’s concerns, may, at the discretion of the Contracting Authority, result in the elimination of the tender in question based on it being considered abnormally low. </w:t>
      </w:r>
    </w:p>
    <w:p w14:paraId="560A9301" w14:textId="77777777" w:rsidR="00412033" w:rsidRDefault="00994BB5">
      <w:pPr>
        <w:pStyle w:val="Heading2"/>
        <w:ind w:left="379"/>
      </w:pPr>
      <w:r>
        <w:t>5.7</w:t>
      </w:r>
      <w:r>
        <w:rPr>
          <w:rFonts w:ascii="Arial" w:eastAsia="Arial" w:hAnsi="Arial" w:cs="Arial"/>
        </w:rPr>
        <w:t xml:space="preserve"> </w:t>
      </w:r>
      <w:r>
        <w:t xml:space="preserve">Right to Confirm Suitability </w:t>
      </w:r>
    </w:p>
    <w:p w14:paraId="6EB66913" w14:textId="77777777" w:rsidR="00412033" w:rsidRDefault="00994BB5">
      <w:pPr>
        <w:ind w:left="11" w:right="22"/>
      </w:pPr>
      <w:r>
        <w:t xml:space="preserve">Tenderers should note that the Contracting Authority reserves the right to confirm that the financial and technical capacity of the Tenderer is valid and unchanged prior to the establishment of the Framework and award of any contract. </w:t>
      </w:r>
    </w:p>
    <w:p w14:paraId="66E9E454" w14:textId="77777777" w:rsidR="00412033" w:rsidRDefault="00994BB5">
      <w:pPr>
        <w:spacing w:after="0" w:line="259" w:lineRule="auto"/>
        <w:ind w:left="16" w:firstLine="0"/>
        <w:jc w:val="left"/>
      </w:pPr>
      <w:r>
        <w:t xml:space="preserve"> </w:t>
      </w:r>
      <w:r>
        <w:tab/>
        <w:t xml:space="preserve"> </w:t>
      </w:r>
      <w:r>
        <w:br w:type="page"/>
      </w:r>
    </w:p>
    <w:p w14:paraId="35E9500B" w14:textId="77777777" w:rsidR="00412033" w:rsidRDefault="00994BB5">
      <w:pPr>
        <w:pStyle w:val="Heading1"/>
        <w:ind w:left="379"/>
      </w:pPr>
      <w:r>
        <w:lastRenderedPageBreak/>
        <w:t>6.</w:t>
      </w:r>
      <w:r>
        <w:rPr>
          <w:rFonts w:ascii="Arial" w:eastAsia="Arial" w:hAnsi="Arial" w:cs="Arial"/>
          <w:b/>
        </w:rPr>
        <w:t xml:space="preserve"> </w:t>
      </w:r>
      <w:r>
        <w:t xml:space="preserve">Instructions for Tenderers </w:t>
      </w:r>
    </w:p>
    <w:p w14:paraId="52B0948E" w14:textId="77777777" w:rsidR="00412033" w:rsidRDefault="00994BB5">
      <w:pPr>
        <w:pStyle w:val="Heading2"/>
        <w:tabs>
          <w:tab w:val="center" w:pos="1808"/>
        </w:tabs>
        <w:ind w:left="0" w:firstLine="0"/>
      </w:pPr>
      <w:r>
        <w:t xml:space="preserve">6.1 </w:t>
      </w:r>
      <w:r>
        <w:tab/>
        <w:t xml:space="preserve">Closing Date for Tenders </w:t>
      </w:r>
    </w:p>
    <w:p w14:paraId="5B3FEE44" w14:textId="77777777" w:rsidR="00412033" w:rsidRDefault="00994BB5">
      <w:pPr>
        <w:ind w:left="11" w:right="22"/>
      </w:pPr>
      <w:r>
        <w:t xml:space="preserve">The closing date for tender submission is specified on the title page. </w:t>
      </w:r>
    </w:p>
    <w:p w14:paraId="3EA48902" w14:textId="77777777" w:rsidR="00412033" w:rsidRDefault="00994BB5">
      <w:pPr>
        <w:ind w:left="11" w:right="22"/>
      </w:pPr>
      <w:r>
        <w:t xml:space="preserve">It is the responsibility of the Tenderers to ensure that their tender is complete and is uploaded by the designated deadline. Tenders that are received late or via other means will not be considered in this public procurement competition. </w:t>
      </w:r>
    </w:p>
    <w:p w14:paraId="4928F78E" w14:textId="77777777" w:rsidR="00412033" w:rsidRDefault="00994BB5">
      <w:pPr>
        <w:spacing w:after="201"/>
        <w:ind w:left="11" w:right="22"/>
      </w:pPr>
      <w:r>
        <w:t xml:space="preserve">It is important to note that only persons who have downloaded and accepted a document can upload a submission. </w:t>
      </w:r>
    </w:p>
    <w:p w14:paraId="43ADD6A8" w14:textId="77777777" w:rsidR="00412033" w:rsidRDefault="00994BB5">
      <w:pPr>
        <w:pStyle w:val="Heading2"/>
        <w:ind w:left="379"/>
      </w:pPr>
      <w:r>
        <w:t>6.2</w:t>
      </w:r>
      <w:r>
        <w:rPr>
          <w:rFonts w:ascii="Arial" w:eastAsia="Arial" w:hAnsi="Arial" w:cs="Arial"/>
        </w:rPr>
        <w:t xml:space="preserve"> </w:t>
      </w:r>
      <w:r>
        <w:t xml:space="preserve">Submission of Tenders </w:t>
      </w:r>
    </w:p>
    <w:p w14:paraId="7F10BD39" w14:textId="77777777" w:rsidR="00412033" w:rsidRDefault="00994BB5">
      <w:pPr>
        <w:ind w:left="11" w:right="22"/>
      </w:pPr>
      <w:r>
        <w:t xml:space="preserve">The Contracting Authority is using the </w:t>
      </w:r>
      <w:proofErr w:type="spellStart"/>
      <w:r>
        <w:t>postbox</w:t>
      </w:r>
      <w:proofErr w:type="spellEnd"/>
      <w:r>
        <w:t xml:space="preserve"> facility on </w:t>
      </w:r>
      <w:proofErr w:type="spellStart"/>
      <w:r>
        <w:t>eTenders</w:t>
      </w:r>
      <w:proofErr w:type="spellEnd"/>
      <w:r>
        <w:t xml:space="preserve">, and tender responses must be submitted electronically via the </w:t>
      </w:r>
      <w:proofErr w:type="spellStart"/>
      <w:r>
        <w:t>eTenders</w:t>
      </w:r>
      <w:proofErr w:type="spellEnd"/>
      <w:r>
        <w:t xml:space="preserve"> </w:t>
      </w:r>
      <w:proofErr w:type="spellStart"/>
      <w:r>
        <w:t>postbox</w:t>
      </w:r>
      <w:proofErr w:type="spellEnd"/>
      <w:r>
        <w:t xml:space="preserve"> facility on </w:t>
      </w:r>
      <w:hyperlink r:id="rId24">
        <w:r>
          <w:rPr>
            <w:color w:val="0563C1"/>
            <w:u w:val="single" w:color="0563C1"/>
          </w:rPr>
          <w:t>www.etenders.gov.ie</w:t>
        </w:r>
      </w:hyperlink>
      <w:r>
        <w:t xml:space="preserve">only. Only tenders submitted to the electronic </w:t>
      </w:r>
      <w:proofErr w:type="spellStart"/>
      <w:r>
        <w:t>postbox</w:t>
      </w:r>
      <w:proofErr w:type="spellEnd"/>
      <w:r>
        <w:t xml:space="preserve"> will be accepted. Tenders submitted by any other means (including but not limited to by email, post or hand delivery) will </w:t>
      </w:r>
      <w:r>
        <w:rPr>
          <w:b/>
        </w:rPr>
        <w:t>not</w:t>
      </w:r>
      <w:r>
        <w:t xml:space="preserve"> be accepted.  </w:t>
      </w:r>
    </w:p>
    <w:p w14:paraId="40383DE0" w14:textId="77777777" w:rsidR="00412033" w:rsidRDefault="00994BB5">
      <w:pPr>
        <w:ind w:left="11" w:right="22"/>
      </w:pPr>
      <w:r>
        <w:t xml:space="preserve">Tenderers must ensure that they give themselves enough time to upload and submit all required documentation before the closing date / time noting the use of the new </w:t>
      </w:r>
      <w:proofErr w:type="spellStart"/>
      <w:r>
        <w:t>eTenders</w:t>
      </w:r>
      <w:proofErr w:type="spellEnd"/>
      <w:r>
        <w:t xml:space="preserve"> platform. Tenderers should consider the fact that upload speeds vary. In order to submit a response to the electronic </w:t>
      </w:r>
      <w:proofErr w:type="spellStart"/>
      <w:r>
        <w:t>postbox</w:t>
      </w:r>
      <w:proofErr w:type="spellEnd"/>
      <w:r>
        <w:t xml:space="preserve">, please note that you must ensure you have submitted the response completely. It is advisable to familiarise yourself with the new platform prior to the closing date.  </w:t>
      </w:r>
    </w:p>
    <w:p w14:paraId="48AA921E" w14:textId="77777777" w:rsidR="00412033" w:rsidRDefault="00994BB5">
      <w:pPr>
        <w:ind w:left="11" w:right="22"/>
      </w:pPr>
      <w:r>
        <w:t xml:space="preserve">Below we provide an overview of the key steps. Please note that the Contracting Authority take no responsibility for these steps being the totality of the steps required as different processes may require different actions.  </w:t>
      </w:r>
    </w:p>
    <w:p w14:paraId="52B45746" w14:textId="77777777" w:rsidR="00412033" w:rsidRDefault="00994BB5">
      <w:pPr>
        <w:ind w:left="11" w:right="22"/>
      </w:pPr>
      <w:r>
        <w:t xml:space="preserve">If in doubt, please ensure you contact the </w:t>
      </w:r>
      <w:proofErr w:type="spellStart"/>
      <w:r>
        <w:t>eTenders</w:t>
      </w:r>
      <w:proofErr w:type="spellEnd"/>
      <w:r>
        <w:t xml:space="preserve"> helpdesk as follows:  </w:t>
      </w:r>
    </w:p>
    <w:p w14:paraId="6B84F21E" w14:textId="77777777" w:rsidR="00412033" w:rsidRDefault="00994BB5">
      <w:pPr>
        <w:tabs>
          <w:tab w:val="center" w:pos="2707"/>
        </w:tabs>
        <w:spacing w:after="168" w:line="259" w:lineRule="auto"/>
        <w:ind w:left="0" w:firstLine="0"/>
        <w:jc w:val="left"/>
      </w:pPr>
      <w:r>
        <w:t xml:space="preserve"> </w:t>
      </w:r>
      <w:r>
        <w:tab/>
        <w:t xml:space="preserve">Email:  </w:t>
      </w:r>
      <w:r>
        <w:rPr>
          <w:color w:val="0563C1"/>
          <w:u w:val="single" w:color="0563C1"/>
        </w:rPr>
        <w:t>irish-eproc-helpdesk@eurodyn.com</w:t>
      </w:r>
      <w:r>
        <w:t xml:space="preserve"> </w:t>
      </w:r>
    </w:p>
    <w:p w14:paraId="664952FF" w14:textId="77777777" w:rsidR="00412033" w:rsidRDefault="00994BB5">
      <w:pPr>
        <w:tabs>
          <w:tab w:val="center" w:pos="1859"/>
        </w:tabs>
        <w:spacing w:after="182"/>
        <w:ind w:left="0" w:firstLine="0"/>
        <w:jc w:val="left"/>
      </w:pPr>
      <w:r>
        <w:t xml:space="preserve"> </w:t>
      </w:r>
      <w:r>
        <w:tab/>
        <w:t xml:space="preserve">Phone:  +353-818001459 </w:t>
      </w:r>
    </w:p>
    <w:p w14:paraId="2601E245" w14:textId="77777777" w:rsidR="00412033" w:rsidRDefault="00994BB5">
      <w:pPr>
        <w:pStyle w:val="Heading3"/>
        <w:tabs>
          <w:tab w:val="center" w:pos="617"/>
          <w:tab w:val="center" w:pos="2134"/>
        </w:tabs>
        <w:ind w:left="0" w:firstLine="0"/>
      </w:pPr>
      <w:r>
        <w:rPr>
          <w:b w:val="0"/>
        </w:rPr>
        <w:tab/>
      </w:r>
      <w:r>
        <w:t>6.2.2</w:t>
      </w:r>
      <w:r>
        <w:rPr>
          <w:rFonts w:ascii="Arial" w:eastAsia="Arial" w:hAnsi="Arial" w:cs="Arial"/>
        </w:rPr>
        <w:t xml:space="preserve"> </w:t>
      </w:r>
      <w:r>
        <w:rPr>
          <w:rFonts w:ascii="Arial" w:eastAsia="Arial" w:hAnsi="Arial" w:cs="Arial"/>
        </w:rPr>
        <w:tab/>
      </w:r>
      <w:r>
        <w:t xml:space="preserve">Accessing Documents  </w:t>
      </w:r>
    </w:p>
    <w:p w14:paraId="31523E8B" w14:textId="77777777" w:rsidR="00412033" w:rsidRDefault="00994BB5">
      <w:pPr>
        <w:spacing w:after="131"/>
        <w:ind w:left="11" w:right="22"/>
      </w:pPr>
      <w:r>
        <w:t xml:space="preserve">It is important to note that you must ensure you </w:t>
      </w:r>
      <w:r>
        <w:rPr>
          <w:b/>
        </w:rPr>
        <w:t>ASSOCIATE</w:t>
      </w:r>
      <w:r>
        <w:t xml:space="preserve"> your company with this competition in the first instance. To do this you must do the following:  </w:t>
      </w:r>
    </w:p>
    <w:p w14:paraId="3B362D4B" w14:textId="77777777" w:rsidR="00412033" w:rsidRDefault="00994BB5">
      <w:pPr>
        <w:numPr>
          <w:ilvl w:val="0"/>
          <w:numId w:val="14"/>
        </w:numPr>
        <w:spacing w:after="0"/>
        <w:ind w:right="11" w:hanging="417"/>
        <w:jc w:val="left"/>
      </w:pPr>
      <w:r>
        <w:t xml:space="preserve">Log-in to the system </w:t>
      </w:r>
    </w:p>
    <w:p w14:paraId="28746513" w14:textId="77777777" w:rsidR="00412033" w:rsidRDefault="00994BB5">
      <w:pPr>
        <w:numPr>
          <w:ilvl w:val="0"/>
          <w:numId w:val="14"/>
        </w:numPr>
        <w:spacing w:after="0"/>
        <w:ind w:right="11" w:hanging="417"/>
        <w:jc w:val="left"/>
      </w:pPr>
      <w:r>
        <w:t xml:space="preserve">Locate the competition using the Advanced Search by Contracting Authority or Resource ID </w:t>
      </w:r>
    </w:p>
    <w:p w14:paraId="145640AE" w14:textId="77777777" w:rsidR="00412033" w:rsidRDefault="00994BB5">
      <w:pPr>
        <w:numPr>
          <w:ilvl w:val="0"/>
          <w:numId w:val="14"/>
        </w:numPr>
        <w:spacing w:after="0"/>
        <w:ind w:right="11" w:hanging="417"/>
        <w:jc w:val="left"/>
      </w:pPr>
      <w:r>
        <w:t xml:space="preserve">Click on the hyperlink for the competition which will bring you to the </w:t>
      </w:r>
      <w:proofErr w:type="spellStart"/>
      <w:r>
        <w:t>CfT</w:t>
      </w:r>
      <w:proofErr w:type="spellEnd"/>
      <w:r>
        <w:t xml:space="preserve"> Workspace  </w:t>
      </w:r>
    </w:p>
    <w:p w14:paraId="4BFBFE38" w14:textId="77777777" w:rsidR="00412033" w:rsidRDefault="00994BB5">
      <w:pPr>
        <w:numPr>
          <w:ilvl w:val="0"/>
          <w:numId w:val="14"/>
        </w:numPr>
        <w:spacing w:after="0" w:line="260" w:lineRule="auto"/>
        <w:ind w:right="11" w:hanging="417"/>
        <w:jc w:val="left"/>
      </w:pPr>
      <w:r>
        <w:t xml:space="preserve">In the Show </w:t>
      </w:r>
      <w:proofErr w:type="spellStart"/>
      <w:r>
        <w:t>CfT</w:t>
      </w:r>
      <w:proofErr w:type="spellEnd"/>
      <w:r>
        <w:t xml:space="preserve"> Menu for the competition click on the “Expression of Interest” in the drop-down menu  </w:t>
      </w:r>
    </w:p>
    <w:p w14:paraId="1D548E3A" w14:textId="77777777" w:rsidR="00412033" w:rsidRDefault="00994BB5">
      <w:pPr>
        <w:numPr>
          <w:ilvl w:val="0"/>
          <w:numId w:val="14"/>
        </w:numPr>
        <w:spacing w:after="0" w:line="260" w:lineRule="auto"/>
        <w:ind w:right="11" w:hanging="417"/>
        <w:jc w:val="left"/>
      </w:pPr>
      <w:r>
        <w:t xml:space="preserve">Complete the “Association with the </w:t>
      </w:r>
      <w:proofErr w:type="spellStart"/>
      <w:r>
        <w:t>CfT</w:t>
      </w:r>
      <w:proofErr w:type="spellEnd"/>
      <w:r>
        <w:t xml:space="preserve">” tab.  </w:t>
      </w:r>
    </w:p>
    <w:p w14:paraId="4FE0FF6A" w14:textId="77777777" w:rsidR="00412033" w:rsidRDefault="00994BB5">
      <w:pPr>
        <w:numPr>
          <w:ilvl w:val="0"/>
          <w:numId w:val="14"/>
        </w:numPr>
        <w:spacing w:after="0" w:line="260" w:lineRule="auto"/>
        <w:ind w:right="11" w:hanging="417"/>
        <w:jc w:val="left"/>
      </w:pPr>
      <w:r>
        <w:t xml:space="preserve">This will then provide you with a link to “Tender” under the Show </w:t>
      </w:r>
      <w:proofErr w:type="spellStart"/>
      <w:r>
        <w:t>CfT</w:t>
      </w:r>
      <w:proofErr w:type="spellEnd"/>
      <w:r>
        <w:t xml:space="preserve"> Menu  </w:t>
      </w:r>
    </w:p>
    <w:p w14:paraId="05B37621" w14:textId="77777777" w:rsidR="00412033" w:rsidRDefault="00994BB5">
      <w:pPr>
        <w:spacing w:after="0" w:line="259" w:lineRule="auto"/>
        <w:ind w:left="16" w:firstLine="0"/>
        <w:jc w:val="left"/>
      </w:pPr>
      <w:r>
        <w:t xml:space="preserve"> </w:t>
      </w:r>
    </w:p>
    <w:p w14:paraId="50C783B0" w14:textId="77777777" w:rsidR="00412033" w:rsidRDefault="00994BB5">
      <w:pPr>
        <w:pStyle w:val="Heading3"/>
        <w:tabs>
          <w:tab w:val="center" w:pos="617"/>
          <w:tab w:val="center" w:pos="2360"/>
        </w:tabs>
        <w:ind w:left="0" w:firstLine="0"/>
      </w:pPr>
      <w:r>
        <w:rPr>
          <w:b w:val="0"/>
        </w:rPr>
        <w:lastRenderedPageBreak/>
        <w:tab/>
      </w:r>
      <w:r>
        <w:t>6.2.3</w:t>
      </w:r>
      <w:r>
        <w:rPr>
          <w:rFonts w:ascii="Arial" w:eastAsia="Arial" w:hAnsi="Arial" w:cs="Arial"/>
        </w:rPr>
        <w:t xml:space="preserve"> </w:t>
      </w:r>
      <w:r>
        <w:rPr>
          <w:rFonts w:ascii="Arial" w:eastAsia="Arial" w:hAnsi="Arial" w:cs="Arial"/>
        </w:rPr>
        <w:tab/>
      </w:r>
      <w:r>
        <w:t xml:space="preserve">Submitting your Response  </w:t>
      </w:r>
    </w:p>
    <w:p w14:paraId="1113DD84" w14:textId="77777777" w:rsidR="00412033" w:rsidRDefault="00994BB5">
      <w:pPr>
        <w:spacing w:after="112"/>
        <w:ind w:left="11" w:right="22"/>
      </w:pPr>
      <w:r>
        <w:t xml:space="preserve">In responding to a competition without an electronic ESPD, a number of steps are required. The final step involves clicking on a Submit button and receiving the following status:  </w:t>
      </w:r>
    </w:p>
    <w:p w14:paraId="4225DDFB" w14:textId="77777777" w:rsidR="00412033" w:rsidRDefault="00994BB5">
      <w:pPr>
        <w:spacing w:after="105" w:line="259" w:lineRule="auto"/>
        <w:ind w:left="32" w:firstLine="0"/>
        <w:jc w:val="center"/>
      </w:pPr>
      <w:r>
        <w:rPr>
          <w:noProof/>
        </w:rPr>
        <w:drawing>
          <wp:inline distT="0" distB="0" distL="0" distR="0" wp14:anchorId="57C6173B" wp14:editId="6576291E">
            <wp:extent cx="1960753" cy="734695"/>
            <wp:effectExtent l="0" t="0" r="0" b="0"/>
            <wp:docPr id="5678" name="Picture 5678"/>
            <wp:cNvGraphicFramePr/>
            <a:graphic xmlns:a="http://schemas.openxmlformats.org/drawingml/2006/main">
              <a:graphicData uri="http://schemas.openxmlformats.org/drawingml/2006/picture">
                <pic:pic xmlns:pic="http://schemas.openxmlformats.org/drawingml/2006/picture">
                  <pic:nvPicPr>
                    <pic:cNvPr id="5678" name="Picture 5678"/>
                    <pic:cNvPicPr/>
                  </pic:nvPicPr>
                  <pic:blipFill>
                    <a:blip r:embed="rId25"/>
                    <a:stretch>
                      <a:fillRect/>
                    </a:stretch>
                  </pic:blipFill>
                  <pic:spPr>
                    <a:xfrm>
                      <a:off x="0" y="0"/>
                      <a:ext cx="1960753" cy="734695"/>
                    </a:xfrm>
                    <a:prstGeom prst="rect">
                      <a:avLst/>
                    </a:prstGeom>
                  </pic:spPr>
                </pic:pic>
              </a:graphicData>
            </a:graphic>
          </wp:inline>
        </w:drawing>
      </w:r>
      <w:r>
        <w:t xml:space="preserve"> </w:t>
      </w:r>
    </w:p>
    <w:p w14:paraId="41C1B588" w14:textId="77777777" w:rsidR="00412033" w:rsidRDefault="00994BB5">
      <w:pPr>
        <w:ind w:left="11" w:right="22"/>
      </w:pPr>
      <w:r>
        <w:t xml:space="preserve">If you do not receive a message similar to above, you have not submitted your response.  </w:t>
      </w:r>
    </w:p>
    <w:p w14:paraId="3F5E09F5" w14:textId="77777777" w:rsidR="00412033" w:rsidRDefault="00994BB5">
      <w:pPr>
        <w:spacing w:after="246"/>
        <w:ind w:left="11" w:right="22"/>
      </w:pPr>
      <w:r>
        <w:t xml:space="preserve">Please note that the screen may say </w:t>
      </w:r>
      <w:r>
        <w:rPr>
          <w:b/>
        </w:rPr>
        <w:t>OFFLINE</w:t>
      </w:r>
      <w:r>
        <w:t xml:space="preserve">, this is a technical feature of </w:t>
      </w:r>
      <w:proofErr w:type="spellStart"/>
      <w:r>
        <w:t>etenders</w:t>
      </w:r>
      <w:proofErr w:type="spellEnd"/>
      <w:r>
        <w:t xml:space="preserve"> and does not mean you cannot submit. Also please note you may see the percentage field also saying 100% before you submit, this still requires you to go through the submit button.  </w:t>
      </w:r>
    </w:p>
    <w:p w14:paraId="15B0D6E5" w14:textId="77777777" w:rsidR="00412033" w:rsidRDefault="00994BB5">
      <w:pPr>
        <w:pStyle w:val="Heading1"/>
        <w:spacing w:after="48" w:line="265" w:lineRule="auto"/>
        <w:ind w:left="0" w:firstLine="0"/>
        <w:jc w:val="center"/>
      </w:pPr>
      <w:r>
        <w:t xml:space="preserve">Please upload your response as a </w:t>
      </w:r>
      <w:r>
        <w:rPr>
          <w:b/>
        </w:rPr>
        <w:t>ZIP FILE</w:t>
      </w:r>
      <w:r>
        <w:t xml:space="preserve"> to protect the integrity of the file names</w:t>
      </w:r>
      <w:r>
        <w:rPr>
          <w:b/>
        </w:rPr>
        <w:t xml:space="preserve"> </w:t>
      </w:r>
    </w:p>
    <w:p w14:paraId="3C30CF55" w14:textId="77777777" w:rsidR="00412033" w:rsidRDefault="00994BB5">
      <w:pPr>
        <w:spacing w:after="201"/>
        <w:ind w:left="11" w:right="22"/>
      </w:pPr>
      <w:r>
        <w:t xml:space="preserve">It is the responsibility of the Tenderer to ensure that their tender is complete and is uploaded in accordance with the instructions provided on </w:t>
      </w:r>
      <w:proofErr w:type="spellStart"/>
      <w:r>
        <w:t>eTenders</w:t>
      </w:r>
      <w:proofErr w:type="spellEnd"/>
      <w:r>
        <w:t xml:space="preserve"> prior to the deadline as per the front page. </w:t>
      </w:r>
    </w:p>
    <w:p w14:paraId="378EB5F0" w14:textId="77777777" w:rsidR="00412033" w:rsidRDefault="00994BB5">
      <w:pPr>
        <w:pStyle w:val="Heading2"/>
        <w:ind w:left="379"/>
      </w:pPr>
      <w:r>
        <w:t>6.3</w:t>
      </w:r>
      <w:r>
        <w:rPr>
          <w:rFonts w:ascii="Arial" w:eastAsia="Arial" w:hAnsi="Arial" w:cs="Arial"/>
        </w:rPr>
        <w:t xml:space="preserve"> </w:t>
      </w:r>
      <w:r>
        <w:t xml:space="preserve">Queries </w:t>
      </w:r>
    </w:p>
    <w:p w14:paraId="78E68BA8" w14:textId="77777777" w:rsidR="00412033" w:rsidRDefault="00994BB5">
      <w:pPr>
        <w:ind w:left="11" w:right="22"/>
      </w:pPr>
      <w:r>
        <w:t xml:space="preserve">The closing date for submitting queries is specified on the title page. </w:t>
      </w:r>
    </w:p>
    <w:p w14:paraId="3F889335" w14:textId="77777777" w:rsidR="00412033" w:rsidRDefault="00994BB5">
      <w:pPr>
        <w:ind w:left="11" w:right="22"/>
      </w:pPr>
      <w:r>
        <w:t xml:space="preserve">All queries regarding this tender should be through the messaging facility on </w:t>
      </w:r>
      <w:hyperlink r:id="rId26">
        <w:r>
          <w:rPr>
            <w:color w:val="0563C1"/>
            <w:u w:val="single" w:color="0563C1"/>
          </w:rPr>
          <w:t>www.etenders.gov.ie</w:t>
        </w:r>
      </w:hyperlink>
      <w:hyperlink r:id="rId27">
        <w:r>
          <w:t>,</w:t>
        </w:r>
      </w:hyperlink>
      <w:r>
        <w:t xml:space="preserve"> including any omissions which would prevent Tenderers from submitting a comprehensive tender. Please submit queries as soon as possible. </w:t>
      </w:r>
    </w:p>
    <w:p w14:paraId="758436BC" w14:textId="77777777" w:rsidR="00412033" w:rsidRDefault="00994BB5">
      <w:pPr>
        <w:spacing w:after="202"/>
        <w:ind w:left="11" w:right="22"/>
      </w:pPr>
      <w:r>
        <w:t xml:space="preserve">In circulating responses, queries will be edited to avoid disclosing the identity of the querist and will be circulated to all parties who have expressed an interest in the procurement on the </w:t>
      </w:r>
      <w:proofErr w:type="spellStart"/>
      <w:r>
        <w:t>eTenders</w:t>
      </w:r>
      <w:proofErr w:type="spellEnd"/>
      <w:r>
        <w:t xml:space="preserve"> website. </w:t>
      </w:r>
    </w:p>
    <w:p w14:paraId="6C34CC5F" w14:textId="77777777" w:rsidR="00412033" w:rsidRDefault="00994BB5">
      <w:pPr>
        <w:pStyle w:val="Heading2"/>
        <w:ind w:left="379"/>
      </w:pPr>
      <w:r>
        <w:t>6.4</w:t>
      </w:r>
      <w:r>
        <w:rPr>
          <w:rFonts w:ascii="Arial" w:eastAsia="Arial" w:hAnsi="Arial" w:cs="Arial"/>
        </w:rPr>
        <w:t xml:space="preserve"> </w:t>
      </w:r>
      <w:r>
        <w:t xml:space="preserve">Extension of the Tender Deadline </w:t>
      </w:r>
    </w:p>
    <w:p w14:paraId="40913EF0" w14:textId="77777777" w:rsidR="00412033" w:rsidRDefault="00994BB5">
      <w:pPr>
        <w:ind w:left="11" w:right="22"/>
      </w:pPr>
      <w:r>
        <w:t xml:space="preserve">The Contracting Authority reserves the right, at its sole discretion, to extend the closing date for receipt of tenders by giving notice in writing (by post or electronic means) to all parties who have expressed an interest in the notice via </w:t>
      </w:r>
      <w:proofErr w:type="spellStart"/>
      <w:r>
        <w:t>eTenders</w:t>
      </w:r>
      <w:proofErr w:type="spellEnd"/>
      <w:r>
        <w:t xml:space="preserve"> no later than six days before the original closing date. </w:t>
      </w:r>
    </w:p>
    <w:p w14:paraId="1F2862B8" w14:textId="77777777" w:rsidR="00412033" w:rsidRDefault="00994BB5">
      <w:pPr>
        <w:ind w:left="11" w:right="22"/>
      </w:pPr>
      <w:r>
        <w:t xml:space="preserve">Tenderers will be responsible for any costs incurred by them in the event that they are required to attend clarification or other meetings or make a presentation of their proposals. </w:t>
      </w:r>
    </w:p>
    <w:p w14:paraId="6B5FE50A" w14:textId="77777777" w:rsidR="00412033" w:rsidRDefault="00994BB5">
      <w:pPr>
        <w:spacing w:after="206" w:line="259" w:lineRule="auto"/>
        <w:ind w:left="16" w:firstLine="0"/>
        <w:jc w:val="left"/>
      </w:pPr>
      <w:r>
        <w:t xml:space="preserve"> </w:t>
      </w:r>
    </w:p>
    <w:p w14:paraId="58E29350" w14:textId="77777777" w:rsidR="00412033" w:rsidRDefault="00994BB5">
      <w:pPr>
        <w:pStyle w:val="Heading2"/>
        <w:ind w:left="379"/>
      </w:pPr>
      <w:r>
        <w:t>6.5</w:t>
      </w:r>
      <w:r>
        <w:rPr>
          <w:rFonts w:ascii="Arial" w:eastAsia="Arial" w:hAnsi="Arial" w:cs="Arial"/>
        </w:rPr>
        <w:t xml:space="preserve"> </w:t>
      </w:r>
      <w:r>
        <w:t xml:space="preserve">Tender Validity Period </w:t>
      </w:r>
    </w:p>
    <w:p w14:paraId="073A4672" w14:textId="77777777" w:rsidR="00412033" w:rsidRDefault="00994BB5">
      <w:pPr>
        <w:ind w:left="11" w:right="22"/>
      </w:pPr>
      <w:r>
        <w:t xml:space="preserve">To allow sufficient time for tender assessment a tender validity period of 12 months is required, this period commencing on the closing date by which the tenders are to be returned. </w:t>
      </w:r>
    </w:p>
    <w:p w14:paraId="61AD49D8" w14:textId="77777777" w:rsidR="00412033" w:rsidRDefault="00994BB5">
      <w:pPr>
        <w:pStyle w:val="Heading2"/>
        <w:ind w:left="379"/>
      </w:pPr>
      <w:r>
        <w:lastRenderedPageBreak/>
        <w:t>6.6</w:t>
      </w:r>
      <w:r>
        <w:rPr>
          <w:rFonts w:ascii="Arial" w:eastAsia="Arial" w:hAnsi="Arial" w:cs="Arial"/>
        </w:rPr>
        <w:t xml:space="preserve"> </w:t>
      </w:r>
      <w:r>
        <w:t xml:space="preserve">Discrepancies between Documents </w:t>
      </w:r>
    </w:p>
    <w:p w14:paraId="4FF6D9C8" w14:textId="77777777" w:rsidR="00412033" w:rsidRDefault="00994BB5">
      <w:pPr>
        <w:spacing w:after="202"/>
        <w:ind w:left="11" w:right="22"/>
      </w:pPr>
      <w:r>
        <w:t xml:space="preserve">A pdf version of the Request for Tender has been made available on </w:t>
      </w:r>
      <w:proofErr w:type="spellStart"/>
      <w:r>
        <w:t>eTenders</w:t>
      </w:r>
      <w:proofErr w:type="spellEnd"/>
      <w:r>
        <w:t xml:space="preserve">. This document will be considered as the primary source document in this procurement process, word versions of documents where they are provided are being made available to assist Tenderers in responding to the tender competition. Where there is a discrepancy between a pdf version and a word version, the pdf version will take precedence. Tenderers are requested to notify the Contracting Authority immediately of any anomaly. Where applicable the Contracting Authority will issue amended versions. </w:t>
      </w:r>
    </w:p>
    <w:p w14:paraId="4C0DA03A" w14:textId="77777777" w:rsidR="00412033" w:rsidRDefault="00994BB5">
      <w:pPr>
        <w:pStyle w:val="Heading2"/>
        <w:ind w:left="379"/>
      </w:pPr>
      <w:r>
        <w:t>6.7</w:t>
      </w:r>
      <w:r>
        <w:rPr>
          <w:rFonts w:ascii="Arial" w:eastAsia="Arial" w:hAnsi="Arial" w:cs="Arial"/>
        </w:rPr>
        <w:t xml:space="preserve"> </w:t>
      </w:r>
      <w:r>
        <w:t xml:space="preserve">Formatting of Tenders / Amending Tender Documents </w:t>
      </w:r>
    </w:p>
    <w:p w14:paraId="41C8B15A" w14:textId="77777777" w:rsidR="00412033" w:rsidRDefault="00994BB5">
      <w:pPr>
        <w:ind w:left="11" w:right="22"/>
      </w:pPr>
      <w:r>
        <w:t xml:space="preserve">Tenderers must ensure they use the Tender Response Document (TRD) when preparing their submission. </w:t>
      </w:r>
    </w:p>
    <w:p w14:paraId="4B48B332" w14:textId="77777777" w:rsidR="00412033" w:rsidRDefault="00994BB5">
      <w:pPr>
        <w:spacing w:after="202"/>
        <w:ind w:left="11" w:right="22"/>
      </w:pPr>
      <w:r>
        <w:t xml:space="preserve">Tenderers are prohibited from amending any text or content of forms or declarations or templates provided as part of this tender competition in their tender responses. Where amendments have been identified, the Contracting Authority may at its discretion eliminate the Tenderer from further consideration. Likewise, failure to use the template documentation provided particularly in relation to costing / pricing may result in tenders being eliminated. </w:t>
      </w:r>
    </w:p>
    <w:p w14:paraId="3F0F556A" w14:textId="77777777" w:rsidR="00412033" w:rsidRDefault="00994BB5">
      <w:pPr>
        <w:pStyle w:val="Heading2"/>
        <w:ind w:left="379"/>
      </w:pPr>
      <w:r>
        <w:t>6.8</w:t>
      </w:r>
      <w:r>
        <w:rPr>
          <w:rFonts w:ascii="Arial" w:eastAsia="Arial" w:hAnsi="Arial" w:cs="Arial"/>
        </w:rPr>
        <w:t xml:space="preserve"> </w:t>
      </w:r>
      <w:r>
        <w:t xml:space="preserve">Collusive Tendering </w:t>
      </w:r>
    </w:p>
    <w:p w14:paraId="4A4C8B97" w14:textId="77777777" w:rsidR="00412033" w:rsidRDefault="00994BB5">
      <w:pPr>
        <w:spacing w:after="201"/>
        <w:ind w:left="11" w:right="22"/>
      </w:pPr>
      <w:r>
        <w:t xml:space="preserve">If any tendering Party is found to have, at any time, offered to give or to have agreed to offer or give to any person, any bribe, gift, gratuity, commission or consideration of any kind as an inducement or reward for taking or forbearing to take any action in relation to the obtaining of its tenders, or for showing or forbearing to show any favour or disfavour to any person in relation to its tenders, the bid submitted by such tendering party shall be automatically disqualified and the circumstances surrounding such action shall be referred to the appropriate authority. </w:t>
      </w:r>
    </w:p>
    <w:p w14:paraId="7593EFA7" w14:textId="77777777" w:rsidR="00412033" w:rsidRDefault="00994BB5">
      <w:pPr>
        <w:pStyle w:val="Heading2"/>
        <w:ind w:left="379"/>
      </w:pPr>
      <w:r>
        <w:t>6.9</w:t>
      </w:r>
      <w:r>
        <w:rPr>
          <w:rFonts w:ascii="Arial" w:eastAsia="Arial" w:hAnsi="Arial" w:cs="Arial"/>
        </w:rPr>
        <w:t xml:space="preserve"> </w:t>
      </w:r>
      <w:r>
        <w:t xml:space="preserve">Confidentiality </w:t>
      </w:r>
    </w:p>
    <w:p w14:paraId="475DC4AA" w14:textId="77777777" w:rsidR="00412033" w:rsidRDefault="00994BB5">
      <w:pPr>
        <w:ind w:left="11" w:right="22"/>
      </w:pPr>
      <w:r>
        <w:t xml:space="preserve">After the official opening of tenders, information relating to the examination, clarification, evaluation and comparison of tenders and recommendations will not be disclosed to Tenderers or other persons not officially concerned with such process until the award decision with the successful Tenderer has been announced and in conformity with national laws.  </w:t>
      </w:r>
    </w:p>
    <w:p w14:paraId="734E9648" w14:textId="77777777" w:rsidR="00412033" w:rsidRDefault="00994BB5">
      <w:pPr>
        <w:ind w:left="11" w:right="22"/>
      </w:pPr>
      <w:r>
        <w:t xml:space="preserve">Tenderers shall treat the details of all documents supplied to them in connection with this contract as private and confidential and shall not disclose the contents to a third party without the permission of the Contracting Authority. </w:t>
      </w:r>
    </w:p>
    <w:p w14:paraId="28E830E8" w14:textId="77777777" w:rsidR="00412033" w:rsidRDefault="00994BB5">
      <w:pPr>
        <w:spacing w:after="182"/>
        <w:ind w:left="11" w:right="22"/>
      </w:pPr>
      <w:r>
        <w:t xml:space="preserve">Any effort by the Tenderer to influence the Contracting Authority or their staff in the process of examination, clarification, evaluation and comparison of tenders and in decisions concerning the award of the contract may result in the rejection of that tender. </w:t>
      </w:r>
    </w:p>
    <w:p w14:paraId="6EA90BB8" w14:textId="77777777" w:rsidR="00412033" w:rsidRDefault="00994BB5">
      <w:pPr>
        <w:pStyle w:val="Heading2"/>
        <w:ind w:left="379"/>
      </w:pPr>
      <w:r>
        <w:t xml:space="preserve">6.10Clarification of Tenders </w:t>
      </w:r>
    </w:p>
    <w:p w14:paraId="66339112" w14:textId="77777777" w:rsidR="00412033" w:rsidRDefault="00994BB5">
      <w:pPr>
        <w:ind w:left="11" w:right="22"/>
      </w:pPr>
      <w:r>
        <w:t xml:space="preserve">The Contracting Authority is entitled, but not obliged, to seek clarification of tenders, including pricing breakdowns in the course of the evaluation process. No change in the price or substance of the tender shall be sought, offered or permitted. To assist in finalising the tender evaluation, selected Tenderers may be invited to attend clarification meetings with the Contracting Authority. </w:t>
      </w:r>
    </w:p>
    <w:p w14:paraId="635149DC" w14:textId="77777777" w:rsidR="00412033" w:rsidRDefault="00994BB5">
      <w:pPr>
        <w:pStyle w:val="Heading2"/>
        <w:ind w:left="379"/>
      </w:pPr>
      <w:r>
        <w:lastRenderedPageBreak/>
        <w:t xml:space="preserve">6.11Correction of errors </w:t>
      </w:r>
    </w:p>
    <w:p w14:paraId="408B7375" w14:textId="77777777" w:rsidR="00412033" w:rsidRDefault="00994BB5">
      <w:pPr>
        <w:ind w:left="11" w:right="22"/>
      </w:pPr>
      <w:r>
        <w:t xml:space="preserve">Detailed pricing of all tenders will be examined for errors that might alter the tender pricing as determined from the figures on the tender form or as between the hard copy and electronic versions of the tender (if applicable). In general, the following approach will be applied to manifest errors - where there is a discrepancy between the unit price and the total amount derived from the multiplication of the unit price and the quantity, the unit price as quoted will normally govern.  </w:t>
      </w:r>
    </w:p>
    <w:p w14:paraId="40D936FB" w14:textId="77777777" w:rsidR="00412033" w:rsidRDefault="00994BB5">
      <w:pPr>
        <w:ind w:left="11" w:right="22"/>
      </w:pPr>
      <w:r>
        <w:t xml:space="preserve">The amount stated in the tender form will be adjusted by the Contracting Authority in accordance with the above procedure and, with the agreement of the Tenderer, shall be considered as binding upon the Tenderer. Without prejudice to the above, a Tenderer not accepting the correction of their tender as outlined may have their tender rejected. </w:t>
      </w:r>
    </w:p>
    <w:p w14:paraId="681F0F1A" w14:textId="77777777" w:rsidR="00412033" w:rsidRDefault="00994BB5">
      <w:pPr>
        <w:ind w:left="11" w:right="22"/>
      </w:pPr>
      <w:r>
        <w:t xml:space="preserve">Where the Total Quote function has been activated on </w:t>
      </w:r>
      <w:proofErr w:type="spellStart"/>
      <w:r>
        <w:t>eTenders</w:t>
      </w:r>
      <w:proofErr w:type="spellEnd"/>
      <w:r>
        <w:t xml:space="preserve"> and a discrepancy arises between the amount in the Total Quote box and the tender submission, the amount in the tender submission shall take precedence. </w:t>
      </w:r>
    </w:p>
    <w:p w14:paraId="0A934312" w14:textId="77777777" w:rsidR="00412033" w:rsidRDefault="00994BB5">
      <w:pPr>
        <w:pStyle w:val="Heading2"/>
        <w:ind w:left="379"/>
      </w:pPr>
      <w:r>
        <w:t xml:space="preserve">6.12Change in the composition of a Tender </w:t>
      </w:r>
    </w:p>
    <w:p w14:paraId="4E80CF39" w14:textId="77777777" w:rsidR="00412033" w:rsidRDefault="00994BB5">
      <w:pPr>
        <w:ind w:left="11" w:right="22"/>
      </w:pPr>
      <w:r>
        <w:t xml:space="preserve">Where a change in composition of a tender arises, this must be notified in writing to the Contracting Authority and formally approved by them. </w:t>
      </w:r>
    </w:p>
    <w:p w14:paraId="3E9A94B3" w14:textId="77777777" w:rsidR="00412033" w:rsidRDefault="00994BB5">
      <w:pPr>
        <w:ind w:left="11" w:right="22"/>
      </w:pPr>
      <w:r>
        <w:t xml:space="preserve">The Contracting Authority reserves the right, but is not obliged, to disqualify any Tenderer that makes any change to its composition after submission of a tender. </w:t>
      </w:r>
    </w:p>
    <w:p w14:paraId="4B476C72" w14:textId="77777777" w:rsidR="00412033" w:rsidRDefault="00994BB5">
      <w:pPr>
        <w:pStyle w:val="Heading2"/>
        <w:ind w:left="379"/>
      </w:pPr>
      <w:r>
        <w:t xml:space="preserve">6.13Interference and Inducement to Purchase </w:t>
      </w:r>
    </w:p>
    <w:p w14:paraId="0E182DF4" w14:textId="77777777" w:rsidR="00412033" w:rsidRDefault="00994BB5">
      <w:pPr>
        <w:ind w:left="11" w:right="22"/>
      </w:pPr>
      <w:r>
        <w:t xml:space="preserve">Any effort by the Tenderer to unduly influence the Contracting Authority, relevant agency personnel or any other relevant persons or bodies in the process of examination, clarification, evaluation and comparison of tenders and in decisions concerning the Award of Contract shall have their tender rejected. The presumptions (including as to any gift, consideration or advantage) and other provisions under the Criminal Justice Act 2018, and all other measures for the time being governing the </w:t>
      </w:r>
      <w:proofErr w:type="spellStart"/>
      <w:r>
        <w:t>subjectmatter</w:t>
      </w:r>
      <w:proofErr w:type="spellEnd"/>
      <w:r>
        <w:t xml:space="preserve"> in any applicable jurisdiction, shall be applicable. </w:t>
      </w:r>
    </w:p>
    <w:p w14:paraId="50A7A9A1" w14:textId="77777777" w:rsidR="00412033" w:rsidRDefault="00994BB5">
      <w:pPr>
        <w:pStyle w:val="Heading2"/>
        <w:ind w:left="379"/>
      </w:pPr>
      <w:r>
        <w:t xml:space="preserve">6.14Conflict of Interest </w:t>
      </w:r>
    </w:p>
    <w:p w14:paraId="4B2363F9" w14:textId="77777777" w:rsidR="00412033" w:rsidRDefault="00994BB5">
      <w:pPr>
        <w:ind w:left="11" w:right="22"/>
      </w:pPr>
      <w:r>
        <w:t xml:space="preserve">Any 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Failure to disclose a conflict of interest may disqualify a Tenderer or invalidate an award of contract, depending on when the conflict of interest comes to light. </w:t>
      </w:r>
    </w:p>
    <w:p w14:paraId="27BF232C" w14:textId="77777777" w:rsidR="00412033" w:rsidRDefault="00994BB5">
      <w:pPr>
        <w:pStyle w:val="Heading2"/>
        <w:ind w:left="379"/>
      </w:pPr>
      <w:r>
        <w:t xml:space="preserve">6.15Publicity </w:t>
      </w:r>
    </w:p>
    <w:p w14:paraId="6AB50F0C" w14:textId="77777777" w:rsidR="00412033" w:rsidRDefault="00994BB5">
      <w:pPr>
        <w:ind w:left="11" w:right="22"/>
      </w:pPr>
      <w:r>
        <w:t xml:space="preserve">Tenderers shall not undertake (or permit to be undertaken) at any time, whether at this stage or after the award of the contract, any publicity activity with any section of the media in relation to this tender / agreement other than with the prior written consent of the Contracting Authority. Such consent shall extend to the content of any publicity. For the purposes of this paragraph, the word “media” includes </w:t>
      </w:r>
      <w:r>
        <w:lastRenderedPageBreak/>
        <w:t xml:space="preserve">(but is not limited to) radio, television, newspapers, trade and specialist press, the Internet and email, accessible by the public at large and the representatives of such media. </w:t>
      </w:r>
    </w:p>
    <w:p w14:paraId="3F0F24D0" w14:textId="77777777" w:rsidR="00412033" w:rsidRDefault="00994BB5">
      <w:pPr>
        <w:ind w:left="11" w:right="22"/>
      </w:pPr>
      <w:r>
        <w:t xml:space="preserve">The Contracting Authority will have the right to publicise or otherwise disclose to any third-party information regarding this process and the agreement. </w:t>
      </w:r>
    </w:p>
    <w:p w14:paraId="43041727" w14:textId="77777777" w:rsidR="00412033" w:rsidRDefault="00994BB5">
      <w:pPr>
        <w:pStyle w:val="Heading2"/>
        <w:ind w:left="379"/>
      </w:pPr>
      <w:r>
        <w:t xml:space="preserve">6.16Right Not to Award </w:t>
      </w:r>
    </w:p>
    <w:p w14:paraId="0EF919F9" w14:textId="77777777" w:rsidR="00412033" w:rsidRDefault="00994BB5">
      <w:pPr>
        <w:ind w:left="11" w:right="22"/>
      </w:pPr>
      <w:r>
        <w:t xml:space="preserve">The Contracting Authority does not bind itself to accept the most economically advantageous tender or any tender. It also reserves the right to accept or reject in whole or in part any or all tenders received, and, in particular, to source the requirement with more than one service provider.  </w:t>
      </w:r>
    </w:p>
    <w:p w14:paraId="05662107" w14:textId="77777777" w:rsidR="00412033" w:rsidRDefault="00994BB5">
      <w:pPr>
        <w:ind w:left="11" w:right="22"/>
      </w:pPr>
      <w:r>
        <w:t xml:space="preserve">The Request for Tender is issued in good faith; however, the Contracting Authority at its sole discretion shall not be obliged to award a contract or proceed to further stages in the procurement process and reserves the right to cancel the procurement process. </w:t>
      </w:r>
    </w:p>
    <w:p w14:paraId="3A0DCC88" w14:textId="77777777" w:rsidR="00412033" w:rsidRDefault="00994BB5">
      <w:pPr>
        <w:pStyle w:val="Heading2"/>
        <w:ind w:left="379"/>
      </w:pPr>
      <w:r>
        <w:t xml:space="preserve">6.17Notification of Tender Evaluations </w:t>
      </w:r>
    </w:p>
    <w:p w14:paraId="3E6C3FB8" w14:textId="77777777" w:rsidR="00412033" w:rsidRDefault="00994BB5">
      <w:pPr>
        <w:ind w:left="11" w:right="22"/>
      </w:pPr>
      <w:r>
        <w:t xml:space="preserve">All Tenderers will be informed of the outcome of their tenders following tender evaluation and any necessary clarifications. </w:t>
      </w:r>
    </w:p>
    <w:p w14:paraId="59D5462A" w14:textId="77777777" w:rsidR="00412033" w:rsidRDefault="00994BB5">
      <w:pPr>
        <w:spacing w:after="199"/>
        <w:ind w:left="11" w:right="22"/>
      </w:pPr>
      <w:r>
        <w:t xml:space="preserve">Potential outcomes can be:  </w:t>
      </w:r>
    </w:p>
    <w:p w14:paraId="65F1AEAB" w14:textId="77777777" w:rsidR="00412033" w:rsidRDefault="00994BB5">
      <w:pPr>
        <w:numPr>
          <w:ilvl w:val="0"/>
          <w:numId w:val="15"/>
        </w:numPr>
        <w:spacing w:after="13"/>
        <w:ind w:right="22" w:hanging="353"/>
      </w:pPr>
      <w:r>
        <w:t xml:space="preserve">Establishment of Framework / Award of Contract  </w:t>
      </w:r>
    </w:p>
    <w:p w14:paraId="03C6C82A" w14:textId="77777777" w:rsidR="00412033" w:rsidRDefault="00994BB5">
      <w:pPr>
        <w:numPr>
          <w:ilvl w:val="0"/>
          <w:numId w:val="15"/>
        </w:numPr>
        <w:spacing w:after="13"/>
        <w:ind w:right="22" w:hanging="353"/>
      </w:pPr>
      <w:r>
        <w:t xml:space="preserve">Letter of Regret </w:t>
      </w:r>
    </w:p>
    <w:p w14:paraId="7BF9B843" w14:textId="77777777" w:rsidR="00412033" w:rsidRDefault="00994BB5">
      <w:pPr>
        <w:numPr>
          <w:ilvl w:val="0"/>
          <w:numId w:val="15"/>
        </w:numPr>
        <w:spacing w:after="122"/>
        <w:ind w:right="22" w:hanging="353"/>
      </w:pPr>
      <w:r>
        <w:t xml:space="preserve">Decision not to proceed with the establishment of the Framework </w:t>
      </w:r>
    </w:p>
    <w:p w14:paraId="361EEDB5" w14:textId="77777777" w:rsidR="00412033" w:rsidRDefault="00994BB5">
      <w:pPr>
        <w:ind w:left="11" w:right="22"/>
      </w:pPr>
      <w:r>
        <w:t xml:space="preserve">The following information will be provided in the Letter of Regret – name of successful Tenderer designate; the applicable standstill period (for EU tenders only); scores of Tenderer being notified and that of the successful Tenderer; the features and characteristics of the successful Tenderer where they scored higher marks in specific criteria.  </w:t>
      </w:r>
    </w:p>
    <w:p w14:paraId="5B920CE6" w14:textId="77777777" w:rsidR="00412033" w:rsidRDefault="00994BB5">
      <w:pPr>
        <w:ind w:left="11" w:right="22"/>
      </w:pPr>
      <w:r>
        <w:t xml:space="preserve">In the case of EU tenders only, the Contracting Authority will undertake not to award the contract for a period of at least 14 (or whatever period is stated in the notification letters) days from the date of notification of unsuccessful Tenderers (‘standstill period’). </w:t>
      </w:r>
    </w:p>
    <w:p w14:paraId="0D05ACB9" w14:textId="77777777" w:rsidR="00412033" w:rsidRDefault="00994BB5">
      <w:pPr>
        <w:pStyle w:val="Heading2"/>
        <w:ind w:left="379"/>
      </w:pPr>
      <w:r>
        <w:t xml:space="preserve">6.18Award Notices </w:t>
      </w:r>
    </w:p>
    <w:p w14:paraId="2DBFEE87" w14:textId="77777777" w:rsidR="00412033" w:rsidRDefault="00994BB5">
      <w:pPr>
        <w:ind w:left="11" w:right="22"/>
      </w:pPr>
      <w:r>
        <w:t xml:space="preserve">Following the award of contract, an award notice will be dispatched to the Official Journal of the European Union announcing the results of the competition. It should be noted that it is standard practice for the Contracting Authority to include the price of the winning tender or the range of prices of tenders received in the publication of the award notice as required under European procurement rules. </w:t>
      </w:r>
    </w:p>
    <w:p w14:paraId="372E8929" w14:textId="77777777" w:rsidR="00412033" w:rsidRDefault="00994BB5">
      <w:pPr>
        <w:pStyle w:val="Heading2"/>
        <w:ind w:left="379"/>
      </w:pPr>
      <w:r>
        <w:t xml:space="preserve">6.19Policy on Personal Debriefings </w:t>
      </w:r>
    </w:p>
    <w:p w14:paraId="0F50B4C0" w14:textId="77777777" w:rsidR="00412033" w:rsidRDefault="00994BB5">
      <w:pPr>
        <w:ind w:left="11" w:right="22"/>
      </w:pPr>
      <w:r>
        <w:t xml:space="preserve">Based on the provision of the information to unsuccessful Tenderers as outlined above and due to resourcing constraints, the Contracting Authority will not be offering individual debriefing meetings to unsuccessful bidders. </w:t>
      </w:r>
    </w:p>
    <w:p w14:paraId="2632EED6" w14:textId="77777777" w:rsidR="00412033" w:rsidRDefault="00994BB5">
      <w:pPr>
        <w:pStyle w:val="Heading2"/>
        <w:ind w:left="379"/>
      </w:pPr>
      <w:r>
        <w:lastRenderedPageBreak/>
        <w:t xml:space="preserve">6.20Copyright </w:t>
      </w:r>
    </w:p>
    <w:p w14:paraId="0B014D5B" w14:textId="77777777" w:rsidR="00412033" w:rsidRDefault="00994BB5">
      <w:pPr>
        <w:ind w:left="11" w:right="22"/>
      </w:pPr>
      <w:r>
        <w:t xml:space="preserve">The Contracting Authority will have copyright ownership of any material developed for use by the Contracting Authority under the terms of this tender. The service provider may have a non-exclusive licence to use such material but only for its own purposes (to be agreed with the successful Tenderer). </w:t>
      </w:r>
    </w:p>
    <w:p w14:paraId="4C0145B8" w14:textId="77777777" w:rsidR="00412033" w:rsidRDefault="00994BB5">
      <w:pPr>
        <w:spacing w:after="202" w:line="254" w:lineRule="auto"/>
        <w:ind w:left="379"/>
        <w:jc w:val="left"/>
      </w:pPr>
      <w:r>
        <w:rPr>
          <w:b/>
          <w:sz w:val="24"/>
        </w:rPr>
        <w:t xml:space="preserve">6.21Brand Names, etc. </w:t>
      </w:r>
    </w:p>
    <w:p w14:paraId="67DC7D62" w14:textId="77777777" w:rsidR="00412033" w:rsidRDefault="00994BB5">
      <w:pPr>
        <w:ind w:left="11" w:right="22"/>
      </w:pPr>
      <w:r>
        <w:t xml:space="preserve">Please note in relation to this tender document; where reference is made to a particular make, source, process, trademark, type or patent, that this is not to be regarded as a de facto requirement. In all such cases it should be understood that the reference in question is accompanied by the words "or equivalent.” </w:t>
      </w:r>
    </w:p>
    <w:p w14:paraId="10C2F4C4" w14:textId="77777777" w:rsidR="00412033" w:rsidRDefault="00994BB5">
      <w:pPr>
        <w:pStyle w:val="Heading2"/>
        <w:ind w:left="379"/>
      </w:pPr>
      <w:r>
        <w:t xml:space="preserve">6.22Environmental Aspects </w:t>
      </w:r>
    </w:p>
    <w:p w14:paraId="2234C6B7" w14:textId="77777777" w:rsidR="00412033" w:rsidRDefault="00994BB5">
      <w:pPr>
        <w:ind w:left="11" w:right="22"/>
      </w:pPr>
      <w:r>
        <w:t xml:space="preserve">The Contracting Authority is committed to the principles of environmental management in its activities, and it encourages the implementation of sustainability principles in its procurement practices and throughout the delivery of all contracts. </w:t>
      </w:r>
    </w:p>
    <w:p w14:paraId="5DB82735" w14:textId="77777777" w:rsidR="00412033" w:rsidRDefault="00994BB5">
      <w:pPr>
        <w:pStyle w:val="Heading2"/>
        <w:ind w:left="379"/>
      </w:pPr>
      <w:r>
        <w:t xml:space="preserve">6.23Knowledge and Skills Transfer </w:t>
      </w:r>
    </w:p>
    <w:p w14:paraId="7CC4F617" w14:textId="77777777" w:rsidR="00412033" w:rsidRDefault="00994BB5">
      <w:pPr>
        <w:ind w:left="11" w:right="22"/>
      </w:pPr>
      <w:r>
        <w:t xml:space="preserve">It will be a condition of the contract that opportunities for the transfer of skills and / or knowledge from the successful Tenderer’s staff to the Contracting Authority staff will be availed of during the course of the contract or prior to the handing over of the finished work / product. </w:t>
      </w:r>
    </w:p>
    <w:p w14:paraId="2B21C864" w14:textId="77777777" w:rsidR="00412033" w:rsidRDefault="00994BB5">
      <w:pPr>
        <w:pStyle w:val="Heading2"/>
        <w:ind w:left="379"/>
      </w:pPr>
      <w:r>
        <w:t xml:space="preserve">6.24Currency and Payments </w:t>
      </w:r>
    </w:p>
    <w:p w14:paraId="4A117DDE" w14:textId="77777777" w:rsidR="00412033" w:rsidRDefault="00994BB5">
      <w:pPr>
        <w:ind w:left="11" w:right="22"/>
      </w:pPr>
      <w:r>
        <w:t xml:space="preserve">The currency and invoices in which all prices and rates shall be tendered, and which payments under the contract will be paid, shall be euro (€). </w:t>
      </w:r>
    </w:p>
    <w:p w14:paraId="1C1689D0" w14:textId="77777777" w:rsidR="00412033" w:rsidRDefault="00994BB5">
      <w:pPr>
        <w:ind w:left="11" w:right="22"/>
      </w:pPr>
      <w:r>
        <w:t xml:space="preserve">All prices and rates quoted should be on the basis of both VAT exclusive and VAT inclusive costs, clearly identifying the applicable rate of VAT.  </w:t>
      </w:r>
    </w:p>
    <w:p w14:paraId="27B1B413" w14:textId="77777777" w:rsidR="00412033" w:rsidRDefault="00994BB5">
      <w:pPr>
        <w:ind w:left="11" w:right="22"/>
      </w:pPr>
      <w:r>
        <w:t xml:space="preserve">A schedule of payments will be agreed with the successful Tenderer and invoices shall be submitted in accordance with the terms agreed with the Contracting Authority. </w:t>
      </w:r>
    </w:p>
    <w:p w14:paraId="675609A0" w14:textId="77777777" w:rsidR="00412033" w:rsidRDefault="00994BB5">
      <w:pPr>
        <w:pStyle w:val="Heading2"/>
        <w:ind w:left="379"/>
      </w:pPr>
      <w:r>
        <w:t xml:space="preserve">6.25Irish Legislation and Law </w:t>
      </w:r>
    </w:p>
    <w:p w14:paraId="6ABC3F53" w14:textId="77777777" w:rsidR="00412033" w:rsidRDefault="00994BB5">
      <w:pPr>
        <w:spacing w:after="182"/>
        <w:ind w:left="11" w:right="22"/>
      </w:pPr>
      <w:r>
        <w:t xml:space="preserve">Tenderers 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contract(s) awarded on foot of this tender process will be governed by Irish law. </w:t>
      </w:r>
    </w:p>
    <w:p w14:paraId="52D64B30" w14:textId="77777777" w:rsidR="00412033" w:rsidRDefault="00994BB5">
      <w:pPr>
        <w:pStyle w:val="Heading2"/>
        <w:ind w:left="379"/>
      </w:pPr>
      <w:r>
        <w:t xml:space="preserve">6.26Anti-Competitive Conduct </w:t>
      </w:r>
    </w:p>
    <w:p w14:paraId="020F49D5" w14:textId="77777777" w:rsidR="00412033" w:rsidRDefault="00994BB5">
      <w:pPr>
        <w:ind w:left="11" w:right="22"/>
      </w:pPr>
      <w:r>
        <w:t xml:space="preserve">Tenderers should take notice of the Competition Act 2002 (as amended, the “2002 Act”), which makes it a criminal offence for Tenderers to collude on prices or any other aspects relating to this procurement competition. </w:t>
      </w:r>
    </w:p>
    <w:p w14:paraId="1F90183E" w14:textId="77777777" w:rsidR="00412033" w:rsidRDefault="00994BB5">
      <w:pPr>
        <w:pStyle w:val="Heading2"/>
        <w:ind w:left="379"/>
      </w:pPr>
      <w:r>
        <w:lastRenderedPageBreak/>
        <w:t xml:space="preserve">6.27Accessibility / Dignity at Work </w:t>
      </w:r>
    </w:p>
    <w:p w14:paraId="75FECE46" w14:textId="77777777" w:rsidR="00412033" w:rsidRDefault="00994BB5">
      <w:pPr>
        <w:ind w:left="11" w:right="22"/>
      </w:pPr>
      <w:r>
        <w:t xml:space="preserve">The successful Tenderer(s) shall comply with all relevant legislation relating to dignity at work. As a public body and employer, the Contracting Authority is committed to a policy of equality of opportunity for all personnel.  </w:t>
      </w:r>
    </w:p>
    <w:p w14:paraId="4B3C5CC6" w14:textId="77777777" w:rsidR="00412033" w:rsidRDefault="00994BB5">
      <w:pPr>
        <w:ind w:left="11" w:right="22"/>
      </w:pPr>
      <w:r>
        <w:t xml:space="preserve">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 </w:t>
      </w:r>
    </w:p>
    <w:p w14:paraId="65BFEFD2" w14:textId="77777777" w:rsidR="00412033" w:rsidRDefault="00994BB5">
      <w:pPr>
        <w:pStyle w:val="Heading2"/>
        <w:ind w:left="379"/>
      </w:pPr>
      <w:r>
        <w:t xml:space="preserve">6.28Withholding Tax </w:t>
      </w:r>
    </w:p>
    <w:p w14:paraId="0F60279B" w14:textId="77777777" w:rsidR="00412033" w:rsidRDefault="00994BB5">
      <w:pPr>
        <w:ind w:left="11" w:right="22"/>
      </w:pPr>
      <w:r>
        <w:t xml:space="preserve">Where applicable, payments shall be subject to Irish ‘Professional Services Withholding Tax’ at the prevailing rate (currently at 20%) as laid down by the Revenue Commissioners in Ireland. </w:t>
      </w:r>
      <w:proofErr w:type="spellStart"/>
      <w:r>
        <w:t>Nonresidents</w:t>
      </w:r>
      <w:proofErr w:type="spellEnd"/>
      <w:r>
        <w:t xml:space="preserve"> may be able to reclaim such deducted Tax from the Office of the Revenue Commissioners in Ireland, International Claims Section located currently at Government Buildings, Nenagh, Co. Tipperary, Ireland (Tel: +353 (0) 67 63400). </w:t>
      </w:r>
    </w:p>
    <w:p w14:paraId="76DC1064" w14:textId="77777777" w:rsidR="00412033" w:rsidRDefault="00994BB5">
      <w:pPr>
        <w:pStyle w:val="Heading2"/>
        <w:ind w:left="379"/>
      </w:pPr>
      <w:r>
        <w:t xml:space="preserve">6.29Freedom of Information </w:t>
      </w:r>
    </w:p>
    <w:p w14:paraId="736DB72C" w14:textId="77777777" w:rsidR="00412033" w:rsidRDefault="00994BB5">
      <w:pPr>
        <w:ind w:left="11" w:right="22"/>
      </w:pPr>
      <w:r>
        <w:t xml:space="preserve">All responses to this Request for Tender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 </w:t>
      </w:r>
    </w:p>
    <w:p w14:paraId="53191416" w14:textId="77777777" w:rsidR="00412033" w:rsidRDefault="00994BB5">
      <w:pPr>
        <w:ind w:left="11" w:right="22"/>
      </w:pPr>
      <w:r>
        <w:t xml:space="preserve">Tenderers are asked to consider if any of the information supplied by them in response to this request for tenders should not be disclosed because of its sensitivity. However, any blanket or </w:t>
      </w:r>
      <w:proofErr w:type="spellStart"/>
      <w:r>
        <w:t>allencompassing</w:t>
      </w:r>
      <w:proofErr w:type="spellEnd"/>
      <w:r>
        <w:t xml:space="preserve"> request for exemption from disclosure is not acceptable; Tenderers must identify explicitly any such information and give relevant reasons for considering it to be economically sensitive or confidential in nature. If this is the case, Tenderers should specify the information that is sensitive and the reasons for its sensitivity. The Contracting Authority cannot guarantee that any information provided by Tenderers, either in response to this tender or in the course of any contract awarded as a result thereof, will not be released pursuant to the Contracting Authority’s obligations under law, including the Freedom of Information Act 2014, or to those under EU and Irish Government Procurement rules. The Contracting Authority accepts no liability whatsoever in respect of any information provided which is subsequently released, or in respect of any consequential damage suffered as a result of such disclosure. </w:t>
      </w:r>
    </w:p>
    <w:p w14:paraId="042468A3" w14:textId="77777777" w:rsidR="00412033" w:rsidRDefault="00994BB5">
      <w:pPr>
        <w:pStyle w:val="Heading2"/>
        <w:ind w:left="379"/>
      </w:pPr>
      <w:r>
        <w:t xml:space="preserve">6.30Late Payment </w:t>
      </w:r>
    </w:p>
    <w:p w14:paraId="03CEE420" w14:textId="77777777" w:rsidR="00412033" w:rsidRDefault="00994BB5">
      <w:pPr>
        <w:ind w:left="11" w:right="22"/>
      </w:pPr>
      <w:r>
        <w:t xml:space="preserve">The Contracting Authority operates in accordance with Directive 2011 / 7 / EU on combating Late Payment in commercial Transactions transposed into national legislation as S.I. 580 of 2012 and amended by S.I. No. 281 of 2016. </w:t>
      </w:r>
    </w:p>
    <w:p w14:paraId="331247DD" w14:textId="77777777" w:rsidR="00412033" w:rsidRDefault="00994BB5">
      <w:pPr>
        <w:pStyle w:val="Heading2"/>
        <w:ind w:left="379"/>
      </w:pPr>
      <w:r>
        <w:t xml:space="preserve">6.31Data Protection </w:t>
      </w:r>
    </w:p>
    <w:p w14:paraId="5F5BB184" w14:textId="77777777" w:rsidR="00412033" w:rsidRDefault="00994BB5">
      <w:pPr>
        <w:ind w:left="11" w:right="22"/>
      </w:pPr>
      <w:r>
        <w:t xml:space="preserve">“Data Protection Laws” means all applicable national and EU data protection laws, regulations and guidelines including but not limited to Regulation (EU) 2016 / 679 (“General Data Protection Regulation” (GDPR)) on the protection of natural persons with regard to the processing of personal </w:t>
      </w:r>
      <w:r>
        <w:lastRenderedPageBreak/>
        <w:t xml:space="preserve">data and on the free movement of such data, and any guidelines and codes of practice issued by the Data Protection Commission or other supervisory authority for data protection in Ireland from time to time.  </w:t>
      </w:r>
    </w:p>
    <w:p w14:paraId="5BB5F2B0" w14:textId="77777777" w:rsidR="00412033" w:rsidRDefault="00994BB5">
      <w:pPr>
        <w:ind w:left="11" w:right="22"/>
      </w:pPr>
      <w:r>
        <w:t xml:space="preserve">The Contracting Authority will be a Controller (where Controller has the meaning given under the Data Protection Laws) in respect of any Personal Data (where Personal Data has the meaning given under the Data Protection Laws) required to be provided by the Tenderer in response to this Request for Tender.  </w:t>
      </w:r>
    </w:p>
    <w:p w14:paraId="6E2C2CB1" w14:textId="77777777" w:rsidR="00412033" w:rsidRDefault="00994BB5">
      <w:pPr>
        <w:ind w:left="11" w:right="22"/>
      </w:pPr>
      <w:r>
        <w:t xml:space="preserve">The Tenderer, as Controller in respect of any Personal Data provided by it in its Tender, is required to confirm by way of statement in the “Declarations” section of the accompanying Tender Response Document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w:t>
      </w:r>
      <w:proofErr w:type="spellStart"/>
      <w:r>
        <w:t>eTenders</w:t>
      </w:r>
      <w:proofErr w:type="spellEnd"/>
      <w:r>
        <w:t xml:space="preserve"> website, for the purposes of the participation of the Tenderer in this Competition or that the Tenderer otherwise has a legal basis for providing such Personal Data to the Contracting Authority for the purposes of its participation in this Competition. </w:t>
      </w:r>
    </w:p>
    <w:p w14:paraId="2FBB6B94" w14:textId="77777777" w:rsidR="00412033" w:rsidRDefault="00994BB5">
      <w:pPr>
        <w:pStyle w:val="Heading2"/>
        <w:ind w:left="379"/>
      </w:pPr>
      <w:r>
        <w:t xml:space="preserve">6.32Responsibility of Successful Party </w:t>
      </w:r>
    </w:p>
    <w:p w14:paraId="441AC82F" w14:textId="77777777" w:rsidR="00412033" w:rsidRDefault="00994BB5">
      <w:pPr>
        <w:ind w:left="11" w:right="22"/>
      </w:pPr>
      <w:r>
        <w:t xml:space="preserve">As a condition of award, it shall be the successful Tenderer’s sole responsibility to ensure they have taken account of all obligations under the Contract including factors which might arise based on the withdrawal of the United Kingdom from membership of the EU. </w:t>
      </w:r>
    </w:p>
    <w:p w14:paraId="4996A24E" w14:textId="2723CF63" w:rsidR="00412033" w:rsidRDefault="00412033" w:rsidP="004A5FAB">
      <w:pPr>
        <w:spacing w:after="184" w:line="259" w:lineRule="auto"/>
        <w:ind w:left="16" w:firstLine="0"/>
        <w:jc w:val="left"/>
      </w:pPr>
    </w:p>
    <w:p w14:paraId="32DD606E" w14:textId="71966D63" w:rsidR="00412033" w:rsidRDefault="00994BB5">
      <w:pPr>
        <w:spacing w:after="0" w:line="259" w:lineRule="auto"/>
        <w:ind w:left="0" w:right="515" w:firstLine="0"/>
        <w:jc w:val="right"/>
      </w:pPr>
      <w:r>
        <w:t xml:space="preserve"> </w:t>
      </w:r>
    </w:p>
    <w:sectPr w:rsidR="00412033">
      <w:footerReference w:type="even" r:id="rId28"/>
      <w:footerReference w:type="default" r:id="rId29"/>
      <w:footerReference w:type="first" r:id="rId30"/>
      <w:footnotePr>
        <w:numRestart w:val="eachPage"/>
      </w:footnotePr>
      <w:pgSz w:w="11904" w:h="16832"/>
      <w:pgMar w:top="1450" w:right="1405" w:bottom="1418" w:left="1426" w:header="720" w:footer="6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135C" w14:textId="77777777" w:rsidR="00994BB5" w:rsidRDefault="00994BB5">
      <w:pPr>
        <w:spacing w:after="0" w:line="240" w:lineRule="auto"/>
      </w:pPr>
      <w:r>
        <w:separator/>
      </w:r>
    </w:p>
  </w:endnote>
  <w:endnote w:type="continuationSeparator" w:id="0">
    <w:p w14:paraId="1B5D8186" w14:textId="77777777" w:rsidR="00994BB5" w:rsidRDefault="0099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BD11" w14:textId="77777777" w:rsidR="00412033" w:rsidRDefault="00412033">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7B9C" w14:textId="77777777" w:rsidR="00412033" w:rsidRDefault="00412033">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3872" w14:textId="77777777" w:rsidR="00412033" w:rsidRDefault="00412033">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351E" w14:textId="77777777" w:rsidR="00412033" w:rsidRDefault="00994BB5">
    <w:pPr>
      <w:tabs>
        <w:tab w:val="center" w:pos="4710"/>
        <w:tab w:val="right" w:pos="9073"/>
      </w:tabs>
      <w:spacing w:after="0" w:line="259" w:lineRule="auto"/>
      <w:ind w:left="0" w:firstLine="0"/>
      <w:jc w:val="left"/>
    </w:pPr>
    <w:r>
      <w:t xml:space="preserve">July 2024 </w:t>
    </w:r>
    <w:r>
      <w:tab/>
      <w:t xml:space="preserve"> </w:t>
    </w:r>
    <w:r>
      <w:tab/>
    </w:r>
    <w:r>
      <w:fldChar w:fldCharType="begin"/>
    </w:r>
    <w:r>
      <w:instrText xml:space="preserve"> PAGE   \* MERGEFORMAT </w:instrText>
    </w:r>
    <w:r>
      <w:fldChar w:fldCharType="separate"/>
    </w:r>
    <w:r>
      <w:t>1</w:t>
    </w:r>
    <w:r>
      <w:fldChar w:fldCharType="end"/>
    </w:r>
    <w:r>
      <w:t xml:space="preserve"> </w:t>
    </w:r>
  </w:p>
  <w:p w14:paraId="427B7C4A" w14:textId="77777777" w:rsidR="00412033" w:rsidRDefault="00994BB5">
    <w:pPr>
      <w:spacing w:after="0" w:line="259" w:lineRule="auto"/>
      <w:ind w:left="16"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3C3C" w14:textId="557EE4D1" w:rsidR="00412033" w:rsidRDefault="009E144E">
    <w:pPr>
      <w:tabs>
        <w:tab w:val="center" w:pos="4710"/>
        <w:tab w:val="right" w:pos="9073"/>
      </w:tabs>
      <w:spacing w:after="0" w:line="259" w:lineRule="auto"/>
      <w:ind w:left="0" w:firstLine="0"/>
      <w:jc w:val="left"/>
    </w:pPr>
    <w:r>
      <w:t>July</w:t>
    </w:r>
    <w:r w:rsidR="00994BB5">
      <w:t xml:space="preserve"> 202</w:t>
    </w:r>
    <w:r w:rsidR="00EB320E">
      <w:t>6</w:t>
    </w:r>
    <w:r w:rsidR="00994BB5">
      <w:t xml:space="preserve"> </w:t>
    </w:r>
    <w:r w:rsidR="00994BB5">
      <w:tab/>
      <w:t xml:space="preserve"> </w:t>
    </w:r>
    <w:r w:rsidR="00994BB5">
      <w:tab/>
    </w:r>
    <w:r w:rsidR="00994BB5">
      <w:fldChar w:fldCharType="begin"/>
    </w:r>
    <w:r w:rsidR="00994BB5">
      <w:instrText xml:space="preserve"> PAGE   \* MERGEFORMAT </w:instrText>
    </w:r>
    <w:r w:rsidR="00994BB5">
      <w:fldChar w:fldCharType="separate"/>
    </w:r>
    <w:r w:rsidR="00994BB5">
      <w:t>1</w:t>
    </w:r>
    <w:r w:rsidR="00994BB5">
      <w:fldChar w:fldCharType="end"/>
    </w:r>
    <w:r w:rsidR="00994BB5">
      <w:t xml:space="preserve"> </w:t>
    </w:r>
  </w:p>
  <w:p w14:paraId="3552C49B" w14:textId="77777777" w:rsidR="00412033" w:rsidRDefault="00994BB5">
    <w:pPr>
      <w:spacing w:after="0" w:line="259" w:lineRule="auto"/>
      <w:ind w:left="16"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5EC0" w14:textId="77777777" w:rsidR="00412033" w:rsidRDefault="00994BB5">
    <w:pPr>
      <w:tabs>
        <w:tab w:val="center" w:pos="4710"/>
        <w:tab w:val="right" w:pos="9073"/>
      </w:tabs>
      <w:spacing w:after="0" w:line="259" w:lineRule="auto"/>
      <w:ind w:left="0" w:firstLine="0"/>
      <w:jc w:val="left"/>
    </w:pPr>
    <w:r>
      <w:t xml:space="preserve">July 2024 </w:t>
    </w:r>
    <w:r>
      <w:tab/>
      <w:t xml:space="preserve"> </w:t>
    </w:r>
    <w:r>
      <w:tab/>
    </w:r>
    <w:r>
      <w:fldChar w:fldCharType="begin"/>
    </w:r>
    <w:r>
      <w:instrText xml:space="preserve"> PAGE   \* MERGEFORMAT </w:instrText>
    </w:r>
    <w:r>
      <w:fldChar w:fldCharType="separate"/>
    </w:r>
    <w:r>
      <w:t>1</w:t>
    </w:r>
    <w:r>
      <w:fldChar w:fldCharType="end"/>
    </w:r>
    <w:r>
      <w:t xml:space="preserve"> </w:t>
    </w:r>
  </w:p>
  <w:p w14:paraId="1F249F01" w14:textId="77777777" w:rsidR="00412033" w:rsidRDefault="00994BB5">
    <w:pPr>
      <w:spacing w:after="0" w:line="259" w:lineRule="auto"/>
      <w:ind w:left="16"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6E68" w14:textId="77777777" w:rsidR="00412033" w:rsidRDefault="00994BB5">
      <w:pPr>
        <w:spacing w:after="0" w:line="239" w:lineRule="auto"/>
        <w:ind w:left="16" w:right="17" w:firstLine="0"/>
      </w:pPr>
      <w:r>
        <w:separator/>
      </w:r>
    </w:p>
  </w:footnote>
  <w:footnote w:type="continuationSeparator" w:id="0">
    <w:p w14:paraId="593B141B" w14:textId="77777777" w:rsidR="00412033" w:rsidRDefault="00994BB5">
      <w:pPr>
        <w:spacing w:after="0" w:line="239" w:lineRule="auto"/>
        <w:ind w:left="16" w:right="17" w:firstLine="0"/>
      </w:pPr>
      <w:r>
        <w:continuationSeparator/>
      </w:r>
    </w:p>
  </w:footnote>
  <w:footnote w:id="1">
    <w:p w14:paraId="7932B71F" w14:textId="77777777" w:rsidR="00412033" w:rsidRDefault="00994BB5">
      <w:pPr>
        <w:pStyle w:val="footnotedescription"/>
      </w:pPr>
      <w:r>
        <w:rPr>
          <w:rStyle w:val="footnotemark"/>
        </w:rPr>
        <w:footnoteRef/>
      </w:r>
      <w:r>
        <w:t xml:space="preserve"> ‘Economic operator’ means any natural or legal person or public entity or group of such persons and / or entities, including any temporary association of undertakings, which offers the execution of works and / or a work, the supply of products or the provision of services on the market; (Art 2(10) of Directive 2014 / 24 / EU). </w:t>
      </w:r>
    </w:p>
    <w:p w14:paraId="29A81D05" w14:textId="77777777" w:rsidR="00412033" w:rsidRDefault="00994BB5">
      <w:pPr>
        <w:pStyle w:val="footnotedescription"/>
        <w:spacing w:line="259" w:lineRule="auto"/>
        <w:ind w:right="0"/>
        <w:jc w:val="lef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EAA"/>
    <w:multiLevelType w:val="hybridMultilevel"/>
    <w:tmpl w:val="F6721CBC"/>
    <w:lvl w:ilvl="0" w:tplc="D03AD942">
      <w:start w:val="1"/>
      <w:numFmt w:val="lowerLetter"/>
      <w:lvlText w:val="%1."/>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D2F112">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E42F24">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260780">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3687D6">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48B8D8">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AC864E">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72FAF4">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F40FC6">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A05ECC"/>
    <w:multiLevelType w:val="hybridMultilevel"/>
    <w:tmpl w:val="1ECE07C8"/>
    <w:lvl w:ilvl="0" w:tplc="E1F633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F87980">
      <w:start w:val="1"/>
      <w:numFmt w:val="bullet"/>
      <w:lvlText w:val="o"/>
      <w:lvlJc w:val="left"/>
      <w:pPr>
        <w:ind w:left="1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105C78">
      <w:start w:val="1"/>
      <w:numFmt w:val="bullet"/>
      <w:lvlText w:val="▪"/>
      <w:lvlJc w:val="left"/>
      <w:pPr>
        <w:ind w:left="2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7C3E22">
      <w:start w:val="1"/>
      <w:numFmt w:val="bullet"/>
      <w:lvlText w:val="•"/>
      <w:lvlJc w:val="left"/>
      <w:pPr>
        <w:ind w:left="3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D0D000">
      <w:start w:val="1"/>
      <w:numFmt w:val="bullet"/>
      <w:lvlText w:val="o"/>
      <w:lvlJc w:val="left"/>
      <w:pPr>
        <w:ind w:left="3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C0034A">
      <w:start w:val="1"/>
      <w:numFmt w:val="bullet"/>
      <w:lvlText w:val="▪"/>
      <w:lvlJc w:val="left"/>
      <w:pPr>
        <w:ind w:left="4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066178">
      <w:start w:val="1"/>
      <w:numFmt w:val="bullet"/>
      <w:lvlText w:val="•"/>
      <w:lvlJc w:val="left"/>
      <w:pPr>
        <w:ind w:left="5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D08414">
      <w:start w:val="1"/>
      <w:numFmt w:val="bullet"/>
      <w:lvlText w:val="o"/>
      <w:lvlJc w:val="left"/>
      <w:pPr>
        <w:ind w:left="5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A0C550">
      <w:start w:val="1"/>
      <w:numFmt w:val="bullet"/>
      <w:lvlText w:val="▪"/>
      <w:lvlJc w:val="left"/>
      <w:pPr>
        <w:ind w:left="6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7C494D"/>
    <w:multiLevelType w:val="hybridMultilevel"/>
    <w:tmpl w:val="9A10FB80"/>
    <w:lvl w:ilvl="0" w:tplc="08CAA208">
      <w:start w:val="1"/>
      <w:numFmt w:val="bullet"/>
      <w:lvlText w:val="-"/>
      <w:lvlJc w:val="left"/>
      <w:pPr>
        <w:ind w:left="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90D9A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94F02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C0665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62915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F65B1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6CBB8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DAC92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5256F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77393C"/>
    <w:multiLevelType w:val="hybridMultilevel"/>
    <w:tmpl w:val="BF22363A"/>
    <w:lvl w:ilvl="0" w:tplc="A2CE2140">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7A838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D4BE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E49B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96B7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0EB17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C024C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BACB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38DD8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F27E97"/>
    <w:multiLevelType w:val="hybridMultilevel"/>
    <w:tmpl w:val="79A88966"/>
    <w:lvl w:ilvl="0" w:tplc="7B24AA06">
      <w:start w:val="1"/>
      <w:numFmt w:val="lowerLetter"/>
      <w:lvlText w:val="%1."/>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660392">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C87F30">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36B8AE">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B83416">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422F4C">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DC0E5A">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6CBEE0">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1A15A4">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0B44C0"/>
    <w:multiLevelType w:val="hybridMultilevel"/>
    <w:tmpl w:val="6BDE7A46"/>
    <w:lvl w:ilvl="0" w:tplc="3E383EAE">
      <w:start w:val="1"/>
      <w:numFmt w:val="lowerLetter"/>
      <w:lvlText w:val="%1."/>
      <w:lvlJc w:val="left"/>
      <w:pPr>
        <w:ind w:left="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28CDA6">
      <w:start w:val="1"/>
      <w:numFmt w:val="lowerLetter"/>
      <w:lvlText w:val="%2"/>
      <w:lvlJc w:val="left"/>
      <w:pPr>
        <w:ind w:left="1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8C5F0E">
      <w:start w:val="1"/>
      <w:numFmt w:val="lowerRoman"/>
      <w:lvlText w:val="%3"/>
      <w:lvlJc w:val="left"/>
      <w:pPr>
        <w:ind w:left="2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8C5CE6">
      <w:start w:val="1"/>
      <w:numFmt w:val="decimal"/>
      <w:lvlText w:val="%4"/>
      <w:lvlJc w:val="left"/>
      <w:pPr>
        <w:ind w:left="2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9CAB06">
      <w:start w:val="1"/>
      <w:numFmt w:val="lowerLetter"/>
      <w:lvlText w:val="%5"/>
      <w:lvlJc w:val="left"/>
      <w:pPr>
        <w:ind w:left="3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24B426">
      <w:start w:val="1"/>
      <w:numFmt w:val="lowerRoman"/>
      <w:lvlText w:val="%6"/>
      <w:lvlJc w:val="left"/>
      <w:pPr>
        <w:ind w:left="4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7C3EE0">
      <w:start w:val="1"/>
      <w:numFmt w:val="decimal"/>
      <w:lvlText w:val="%7"/>
      <w:lvlJc w:val="left"/>
      <w:pPr>
        <w:ind w:left="5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180218">
      <w:start w:val="1"/>
      <w:numFmt w:val="lowerLetter"/>
      <w:lvlText w:val="%8"/>
      <w:lvlJc w:val="left"/>
      <w:pPr>
        <w:ind w:left="5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784DAE">
      <w:start w:val="1"/>
      <w:numFmt w:val="lowerRoman"/>
      <w:lvlText w:val="%9"/>
      <w:lvlJc w:val="left"/>
      <w:pPr>
        <w:ind w:left="6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4D6A1A"/>
    <w:multiLevelType w:val="hybridMultilevel"/>
    <w:tmpl w:val="85A0CE1C"/>
    <w:lvl w:ilvl="0" w:tplc="9438D428">
      <w:start w:val="1"/>
      <w:numFmt w:val="decimal"/>
      <w:lvlText w:val="%1)"/>
      <w:lvlJc w:val="left"/>
      <w:pPr>
        <w:ind w:left="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FA1C8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08DA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B2FF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7CA91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B4D59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A6885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5005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CA6F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127346"/>
    <w:multiLevelType w:val="hybridMultilevel"/>
    <w:tmpl w:val="1AD0F052"/>
    <w:lvl w:ilvl="0" w:tplc="F81E1C92">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D6ED84">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10201A">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FCBA68">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1EDB36">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DE861E">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163FFA">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3EA058">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C23E4A">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9077BB"/>
    <w:multiLevelType w:val="hybridMultilevel"/>
    <w:tmpl w:val="20B88634"/>
    <w:lvl w:ilvl="0" w:tplc="004A8144">
      <w:start w:val="1"/>
      <w:numFmt w:val="lowerLetter"/>
      <w:lvlText w:val="(%1)"/>
      <w:lvlJc w:val="left"/>
      <w:pPr>
        <w:ind w:left="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88106C">
      <w:start w:val="1"/>
      <w:numFmt w:val="lowerLetter"/>
      <w:lvlText w:val="%2"/>
      <w:lvlJc w:val="left"/>
      <w:pPr>
        <w:ind w:left="1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7E12CA">
      <w:start w:val="1"/>
      <w:numFmt w:val="lowerRoman"/>
      <w:lvlText w:val="%3"/>
      <w:lvlJc w:val="left"/>
      <w:pPr>
        <w:ind w:left="1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BCCDBC">
      <w:start w:val="1"/>
      <w:numFmt w:val="decimal"/>
      <w:lvlText w:val="%4"/>
      <w:lvlJc w:val="left"/>
      <w:pPr>
        <w:ind w:left="2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0E94D0">
      <w:start w:val="1"/>
      <w:numFmt w:val="lowerLetter"/>
      <w:lvlText w:val="%5"/>
      <w:lvlJc w:val="left"/>
      <w:pPr>
        <w:ind w:left="3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E491B8">
      <w:start w:val="1"/>
      <w:numFmt w:val="lowerRoman"/>
      <w:lvlText w:val="%6"/>
      <w:lvlJc w:val="left"/>
      <w:pPr>
        <w:ind w:left="4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88D040">
      <w:start w:val="1"/>
      <w:numFmt w:val="decimal"/>
      <w:lvlText w:val="%7"/>
      <w:lvlJc w:val="left"/>
      <w:pPr>
        <w:ind w:left="4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846EF4">
      <w:start w:val="1"/>
      <w:numFmt w:val="lowerLetter"/>
      <w:lvlText w:val="%8"/>
      <w:lvlJc w:val="left"/>
      <w:pPr>
        <w:ind w:left="5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8C25CE">
      <w:start w:val="1"/>
      <w:numFmt w:val="lowerRoman"/>
      <w:lvlText w:val="%9"/>
      <w:lvlJc w:val="left"/>
      <w:pPr>
        <w:ind w:left="6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EBD6F37"/>
    <w:multiLevelType w:val="hybridMultilevel"/>
    <w:tmpl w:val="D828385C"/>
    <w:lvl w:ilvl="0" w:tplc="B1BC0834">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9CB404">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A6E450">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2439E6">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78FE96">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26BF5C">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20E148">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40D704">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E6F3EA">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2072131"/>
    <w:multiLevelType w:val="multilevel"/>
    <w:tmpl w:val="2520899A"/>
    <w:lvl w:ilvl="0">
      <w:start w:val="1"/>
      <w:numFmt w:val="decimal"/>
      <w:lvlText w:val="%1."/>
      <w:lvlJc w:val="left"/>
      <w:pPr>
        <w:ind w:left="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1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481DEB"/>
    <w:multiLevelType w:val="hybridMultilevel"/>
    <w:tmpl w:val="DCC614B2"/>
    <w:lvl w:ilvl="0" w:tplc="6EF2C54C">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C2E2BE">
      <w:start w:val="1"/>
      <w:numFmt w:val="bullet"/>
      <w:lvlText w:val="o"/>
      <w:lvlJc w:val="left"/>
      <w:pPr>
        <w:ind w:left="1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E48E4A">
      <w:start w:val="1"/>
      <w:numFmt w:val="bullet"/>
      <w:lvlText w:val="▪"/>
      <w:lvlJc w:val="left"/>
      <w:pPr>
        <w:ind w:left="1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02205E">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8464BC">
      <w:start w:val="1"/>
      <w:numFmt w:val="bullet"/>
      <w:lvlText w:val="o"/>
      <w:lvlJc w:val="left"/>
      <w:pPr>
        <w:ind w:left="3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AA6D4A">
      <w:start w:val="1"/>
      <w:numFmt w:val="bullet"/>
      <w:lvlText w:val="▪"/>
      <w:lvlJc w:val="left"/>
      <w:pPr>
        <w:ind w:left="4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420BF0">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34FE40">
      <w:start w:val="1"/>
      <w:numFmt w:val="bullet"/>
      <w:lvlText w:val="o"/>
      <w:lvlJc w:val="left"/>
      <w:pPr>
        <w:ind w:left="5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CC8DB0">
      <w:start w:val="1"/>
      <w:numFmt w:val="bullet"/>
      <w:lvlText w:val="▪"/>
      <w:lvlJc w:val="left"/>
      <w:pPr>
        <w:ind w:left="6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9A25CD4"/>
    <w:multiLevelType w:val="multilevel"/>
    <w:tmpl w:val="D0107BC8"/>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E0E17FE"/>
    <w:multiLevelType w:val="hybridMultilevel"/>
    <w:tmpl w:val="5B844668"/>
    <w:lvl w:ilvl="0" w:tplc="7EEC8BF0">
      <w:start w:val="2"/>
      <w:numFmt w:val="lowerLetter"/>
      <w:lvlText w:val="%1)"/>
      <w:lvlJc w:val="left"/>
      <w:pPr>
        <w:ind w:left="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D6DECA">
      <w:start w:val="1"/>
      <w:numFmt w:val="lowerLetter"/>
      <w:lvlText w:val="%2"/>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E01A7C">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0A56B0">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38A004">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8E012A">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6C682C">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681B54">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62908A">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8E6EEC"/>
    <w:multiLevelType w:val="hybridMultilevel"/>
    <w:tmpl w:val="26445A16"/>
    <w:lvl w:ilvl="0" w:tplc="783862D4">
      <w:start w:val="1"/>
      <w:numFmt w:val="bullet"/>
      <w:lvlText w:val="-"/>
      <w:lvlJc w:val="left"/>
      <w:pPr>
        <w:ind w:left="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300CB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62785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8AC82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FA736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FC644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10E85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5266C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F4384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EF74BCF"/>
    <w:multiLevelType w:val="hybridMultilevel"/>
    <w:tmpl w:val="345652FA"/>
    <w:lvl w:ilvl="0" w:tplc="D6BEC8F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D69262">
      <w:start w:val="1"/>
      <w:numFmt w:val="bullet"/>
      <w:lvlText w:val="o"/>
      <w:lvlJc w:val="left"/>
      <w:pPr>
        <w:ind w:left="1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26766C">
      <w:start w:val="1"/>
      <w:numFmt w:val="bullet"/>
      <w:lvlText w:val="▪"/>
      <w:lvlJc w:val="left"/>
      <w:pPr>
        <w:ind w:left="2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F8AE1A">
      <w:start w:val="1"/>
      <w:numFmt w:val="bullet"/>
      <w:lvlText w:val="•"/>
      <w:lvlJc w:val="left"/>
      <w:pPr>
        <w:ind w:left="3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0A2754">
      <w:start w:val="1"/>
      <w:numFmt w:val="bullet"/>
      <w:lvlText w:val="o"/>
      <w:lvlJc w:val="left"/>
      <w:pPr>
        <w:ind w:left="3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B0F09E">
      <w:start w:val="1"/>
      <w:numFmt w:val="bullet"/>
      <w:lvlText w:val="▪"/>
      <w:lvlJc w:val="left"/>
      <w:pPr>
        <w:ind w:left="4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3E9062">
      <w:start w:val="1"/>
      <w:numFmt w:val="bullet"/>
      <w:lvlText w:val="•"/>
      <w:lvlJc w:val="left"/>
      <w:pPr>
        <w:ind w:left="5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DEFFA4">
      <w:start w:val="1"/>
      <w:numFmt w:val="bullet"/>
      <w:lvlText w:val="o"/>
      <w:lvlJc w:val="left"/>
      <w:pPr>
        <w:ind w:left="5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BC01A0">
      <w:start w:val="1"/>
      <w:numFmt w:val="bullet"/>
      <w:lvlText w:val="▪"/>
      <w:lvlJc w:val="left"/>
      <w:pPr>
        <w:ind w:left="6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F013D5"/>
    <w:multiLevelType w:val="hybridMultilevel"/>
    <w:tmpl w:val="F094DC58"/>
    <w:lvl w:ilvl="0" w:tplc="9C223500">
      <w:start w:val="1"/>
      <w:numFmt w:val="lowerLetter"/>
      <w:lvlText w:val="(%1)"/>
      <w:lvlJc w:val="left"/>
      <w:pPr>
        <w:ind w:left="1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1CEB72">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AA082A">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3AD918">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22387A">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7E5A68">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94F3F2">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90CFDE">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D23624">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8EB1350"/>
    <w:multiLevelType w:val="hybridMultilevel"/>
    <w:tmpl w:val="1A9C55EC"/>
    <w:lvl w:ilvl="0" w:tplc="A1D0404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F00654">
      <w:start w:val="1"/>
      <w:numFmt w:val="bullet"/>
      <w:lvlText w:val="o"/>
      <w:lvlJc w:val="left"/>
      <w:pPr>
        <w:ind w:left="1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CAD74A">
      <w:start w:val="1"/>
      <w:numFmt w:val="bullet"/>
      <w:lvlText w:val="▪"/>
      <w:lvlJc w:val="left"/>
      <w:pPr>
        <w:ind w:left="2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CA4D92">
      <w:start w:val="1"/>
      <w:numFmt w:val="bullet"/>
      <w:lvlText w:val="•"/>
      <w:lvlJc w:val="left"/>
      <w:pPr>
        <w:ind w:left="3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CC55EE">
      <w:start w:val="1"/>
      <w:numFmt w:val="bullet"/>
      <w:lvlText w:val="o"/>
      <w:lvlJc w:val="left"/>
      <w:pPr>
        <w:ind w:left="3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E22D10">
      <w:start w:val="1"/>
      <w:numFmt w:val="bullet"/>
      <w:lvlText w:val="▪"/>
      <w:lvlJc w:val="left"/>
      <w:pPr>
        <w:ind w:left="4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D68F42">
      <w:start w:val="1"/>
      <w:numFmt w:val="bullet"/>
      <w:lvlText w:val="•"/>
      <w:lvlJc w:val="left"/>
      <w:pPr>
        <w:ind w:left="5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E43F40">
      <w:start w:val="1"/>
      <w:numFmt w:val="bullet"/>
      <w:lvlText w:val="o"/>
      <w:lvlJc w:val="left"/>
      <w:pPr>
        <w:ind w:left="5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B01674">
      <w:start w:val="1"/>
      <w:numFmt w:val="bullet"/>
      <w:lvlText w:val="▪"/>
      <w:lvlJc w:val="left"/>
      <w:pPr>
        <w:ind w:left="6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A7D7138"/>
    <w:multiLevelType w:val="hybridMultilevel"/>
    <w:tmpl w:val="A6E670D6"/>
    <w:lvl w:ilvl="0" w:tplc="4DF070E2">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92F3D6">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042674">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E66EB0">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92767C">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A078F0">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4817A">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DEA618">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C4734A">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B774955"/>
    <w:multiLevelType w:val="multilevel"/>
    <w:tmpl w:val="1E981D6E"/>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3B59C5"/>
    <w:multiLevelType w:val="hybridMultilevel"/>
    <w:tmpl w:val="64B6FBDC"/>
    <w:lvl w:ilvl="0" w:tplc="DA0EF56E">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EE6338">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184480">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5E05AC">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14FD4E">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1ED97C">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8E713A">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EB09A">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34678C">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87695575">
    <w:abstractNumId w:val="10"/>
  </w:num>
  <w:num w:numId="2" w16cid:durableId="422847221">
    <w:abstractNumId w:val="19"/>
  </w:num>
  <w:num w:numId="3" w16cid:durableId="2138184125">
    <w:abstractNumId w:val="12"/>
  </w:num>
  <w:num w:numId="4" w16cid:durableId="1205554851">
    <w:abstractNumId w:val="6"/>
  </w:num>
  <w:num w:numId="5" w16cid:durableId="1808551195">
    <w:abstractNumId w:val="2"/>
  </w:num>
  <w:num w:numId="6" w16cid:durableId="1135443445">
    <w:abstractNumId w:val="14"/>
  </w:num>
  <w:num w:numId="7" w16cid:durableId="1282885362">
    <w:abstractNumId w:val="4"/>
  </w:num>
  <w:num w:numId="8" w16cid:durableId="2004503533">
    <w:abstractNumId w:val="0"/>
  </w:num>
  <w:num w:numId="9" w16cid:durableId="1470510053">
    <w:abstractNumId w:val="11"/>
  </w:num>
  <w:num w:numId="10" w16cid:durableId="1172645879">
    <w:abstractNumId w:val="18"/>
  </w:num>
  <w:num w:numId="11" w16cid:durableId="2143229559">
    <w:abstractNumId w:val="3"/>
  </w:num>
  <w:num w:numId="12" w16cid:durableId="1749379964">
    <w:abstractNumId w:val="20"/>
  </w:num>
  <w:num w:numId="13" w16cid:durableId="1646084810">
    <w:abstractNumId w:val="5"/>
  </w:num>
  <w:num w:numId="14" w16cid:durableId="167185199">
    <w:abstractNumId w:val="16"/>
  </w:num>
  <w:num w:numId="15" w16cid:durableId="267003156">
    <w:abstractNumId w:val="9"/>
  </w:num>
  <w:num w:numId="16" w16cid:durableId="275478821">
    <w:abstractNumId w:val="8"/>
  </w:num>
  <w:num w:numId="17" w16cid:durableId="2053532233">
    <w:abstractNumId w:val="13"/>
  </w:num>
  <w:num w:numId="18" w16cid:durableId="1954828075">
    <w:abstractNumId w:val="7"/>
  </w:num>
  <w:num w:numId="19" w16cid:durableId="1496804907">
    <w:abstractNumId w:val="1"/>
  </w:num>
  <w:num w:numId="20" w16cid:durableId="2043020831">
    <w:abstractNumId w:val="17"/>
  </w:num>
  <w:num w:numId="21" w16cid:durableId="20269001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033"/>
    <w:rsid w:val="000548BA"/>
    <w:rsid w:val="000C5D3F"/>
    <w:rsid w:val="00124152"/>
    <w:rsid w:val="00136856"/>
    <w:rsid w:val="0014463E"/>
    <w:rsid w:val="00156AEB"/>
    <w:rsid w:val="001917E8"/>
    <w:rsid w:val="001973C7"/>
    <w:rsid w:val="001B25E8"/>
    <w:rsid w:val="00242F00"/>
    <w:rsid w:val="00341608"/>
    <w:rsid w:val="003620B7"/>
    <w:rsid w:val="003B0395"/>
    <w:rsid w:val="003C3FA5"/>
    <w:rsid w:val="00406951"/>
    <w:rsid w:val="00412033"/>
    <w:rsid w:val="00415BE2"/>
    <w:rsid w:val="004A5FAB"/>
    <w:rsid w:val="004C1DDE"/>
    <w:rsid w:val="005B2167"/>
    <w:rsid w:val="005C39A5"/>
    <w:rsid w:val="006A4D12"/>
    <w:rsid w:val="006B0016"/>
    <w:rsid w:val="006E23EE"/>
    <w:rsid w:val="006E29A2"/>
    <w:rsid w:val="00782FC5"/>
    <w:rsid w:val="007901F8"/>
    <w:rsid w:val="007B581E"/>
    <w:rsid w:val="00802731"/>
    <w:rsid w:val="00854CFE"/>
    <w:rsid w:val="00994BB5"/>
    <w:rsid w:val="009E144E"/>
    <w:rsid w:val="009F19FE"/>
    <w:rsid w:val="009F5490"/>
    <w:rsid w:val="00A41441"/>
    <w:rsid w:val="00A76B7D"/>
    <w:rsid w:val="00AC6AE4"/>
    <w:rsid w:val="00AF6110"/>
    <w:rsid w:val="00B10732"/>
    <w:rsid w:val="00B5446C"/>
    <w:rsid w:val="00B913D3"/>
    <w:rsid w:val="00BC198E"/>
    <w:rsid w:val="00BE52D1"/>
    <w:rsid w:val="00C30D16"/>
    <w:rsid w:val="00C7040A"/>
    <w:rsid w:val="00C73E00"/>
    <w:rsid w:val="00C81C40"/>
    <w:rsid w:val="00CE0665"/>
    <w:rsid w:val="00DC41EB"/>
    <w:rsid w:val="00E27239"/>
    <w:rsid w:val="00E7322A"/>
    <w:rsid w:val="00E74383"/>
    <w:rsid w:val="00EA2661"/>
    <w:rsid w:val="00EB320E"/>
    <w:rsid w:val="00ED7EE2"/>
    <w:rsid w:val="00F03883"/>
    <w:rsid w:val="00F425A4"/>
    <w:rsid w:val="00F65C68"/>
    <w:rsid w:val="00F74442"/>
    <w:rsid w:val="00F952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D67D"/>
  <w15:docId w15:val="{E04D7F60-C440-48D9-A7F8-8E3ACFDD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64"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00284A"/>
      <w:spacing w:after="111" w:line="259" w:lineRule="auto"/>
      <w:ind w:left="10" w:hanging="10"/>
      <w:outlineLvl w:val="0"/>
    </w:pPr>
    <w:rPr>
      <w:rFonts w:ascii="Calibri" w:eastAsia="Calibri" w:hAnsi="Calibri" w:cs="Calibri"/>
      <w:color w:val="FFFFFF"/>
      <w:sz w:val="32"/>
    </w:rPr>
  </w:style>
  <w:style w:type="paragraph" w:styleId="Heading2">
    <w:name w:val="heading 2"/>
    <w:next w:val="Normal"/>
    <w:link w:val="Heading2Char"/>
    <w:uiPriority w:val="9"/>
    <w:unhideWhenUsed/>
    <w:qFormat/>
    <w:pPr>
      <w:keepNext/>
      <w:keepLines/>
      <w:spacing w:after="202" w:line="254" w:lineRule="auto"/>
      <w:ind w:left="26"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233" w:line="259" w:lineRule="auto"/>
      <w:ind w:left="26" w:hanging="10"/>
      <w:outlineLvl w:val="2"/>
    </w:pPr>
    <w:rPr>
      <w:rFonts w:ascii="Calibri" w:eastAsia="Calibri" w:hAnsi="Calibri" w:cs="Calibri"/>
      <w:b/>
      <w:color w:val="000000"/>
      <w:sz w:val="22"/>
    </w:rPr>
  </w:style>
  <w:style w:type="paragraph" w:styleId="Heading4">
    <w:name w:val="heading 4"/>
    <w:next w:val="Normal"/>
    <w:link w:val="Heading4Char"/>
    <w:uiPriority w:val="9"/>
    <w:unhideWhenUsed/>
    <w:qFormat/>
    <w:pPr>
      <w:keepNext/>
      <w:keepLines/>
      <w:spacing w:after="5" w:line="259" w:lineRule="auto"/>
      <w:ind w:left="394" w:hanging="10"/>
      <w:outlineLvl w:val="3"/>
    </w:pPr>
    <w:rPr>
      <w:rFonts w:ascii="Calibri" w:eastAsia="Calibri" w:hAnsi="Calibri" w:cs="Calibri"/>
      <w:i/>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i/>
      <w:color w:val="2F5496"/>
      <w:sz w:val="22"/>
    </w:rPr>
  </w:style>
  <w:style w:type="paragraph" w:customStyle="1" w:styleId="footnotedescription">
    <w:name w:val="footnote description"/>
    <w:next w:val="Normal"/>
    <w:link w:val="footnotedescriptionChar"/>
    <w:hidden/>
    <w:pPr>
      <w:spacing w:after="0" w:line="239" w:lineRule="auto"/>
      <w:ind w:left="16" w:right="17"/>
      <w:jc w:val="both"/>
    </w:pPr>
    <w:rPr>
      <w:rFonts w:ascii="Calibri" w:eastAsia="Calibri" w:hAnsi="Calibri" w:cs="Calibri"/>
      <w:color w:val="000000"/>
      <w:sz w:val="21"/>
    </w:rPr>
  </w:style>
  <w:style w:type="character" w:customStyle="1" w:styleId="footnotedescriptionChar">
    <w:name w:val="footnote description Char"/>
    <w:link w:val="footnotedescription"/>
    <w:rPr>
      <w:rFonts w:ascii="Calibri" w:eastAsia="Calibri" w:hAnsi="Calibri" w:cs="Calibri"/>
      <w:color w:val="000000"/>
      <w:sz w:val="21"/>
    </w:rPr>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color w:val="FFFFFF"/>
      <w:sz w:val="32"/>
    </w:rPr>
  </w:style>
  <w:style w:type="character" w:customStyle="1" w:styleId="footnotemark">
    <w:name w:val="footnote mark"/>
    <w:hidden/>
    <w:rPr>
      <w:rFonts w:ascii="Calibri" w:eastAsia="Calibri" w:hAnsi="Calibri" w:cs="Calibri"/>
      <w:color w:val="000000"/>
      <w:sz w:val="21"/>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B3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20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278867">
      <w:bodyDiv w:val="1"/>
      <w:marLeft w:val="0"/>
      <w:marRight w:val="0"/>
      <w:marTop w:val="0"/>
      <w:marBottom w:val="0"/>
      <w:divBdr>
        <w:top w:val="none" w:sz="0" w:space="0" w:color="auto"/>
        <w:left w:val="none" w:sz="0" w:space="0" w:color="auto"/>
        <w:bottom w:val="none" w:sz="0" w:space="0" w:color="auto"/>
        <w:right w:val="none" w:sz="0" w:space="0" w:color="auto"/>
      </w:divBdr>
    </w:div>
    <w:div w:id="185395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3.png@01DC0DFB.4011C110" TargetMode="External"/><Relationship Id="rId13" Type="http://schemas.openxmlformats.org/officeDocument/2006/relationships/footer" Target="footer3.xml"/><Relationship Id="rId18" Type="http://schemas.openxmlformats.org/officeDocument/2006/relationships/hyperlink" Target="https://www.gov.ie/en/organisation-information/f20e02-bodies-under-the-aegis-of-the-department-of-justice-and-equality/" TargetMode="External"/><Relationship Id="rId26" Type="http://schemas.openxmlformats.org/officeDocument/2006/relationships/hyperlink" Target="http://www.etenders.gov.ie/" TargetMode="External"/><Relationship Id="rId3" Type="http://schemas.openxmlformats.org/officeDocument/2006/relationships/settings" Target="settings.xml"/><Relationship Id="rId21" Type="http://schemas.openxmlformats.org/officeDocument/2006/relationships/hyperlink" Target="http://www.justice.ie/"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gov.ie/en/organisation-information/f20e02-bodies-under-the-aegis-of-the-department-of-justice-and-equality/" TargetMode="External"/><Relationship Id="rId25" Type="http://schemas.openxmlformats.org/officeDocument/2006/relationships/image" Target="media/image2.jpg"/><Relationship Id="rId2" Type="http://schemas.openxmlformats.org/officeDocument/2006/relationships/styles" Target="styles.xml"/><Relationship Id="rId16" Type="http://schemas.openxmlformats.org/officeDocument/2006/relationships/hyperlink" Target="https://www.gov.ie/en/organisation-information/f20e02-bodies-under-the-aegis-of-the-department-of-justice-and-equality/" TargetMode="External"/><Relationship Id="rId20" Type="http://schemas.openxmlformats.org/officeDocument/2006/relationships/hyperlink" Target="http://www.justice.ie/"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etenders.gov.i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ie/en/organisation-information/f20e02-bodies-under-the-aegis-of-the-department-of-justice-and-equality/" TargetMode="External"/><Relationship Id="rId23" Type="http://schemas.openxmlformats.org/officeDocument/2006/relationships/hyperlink" Target="https://eur04.safelinks.protection.outlook.com/?url=https%3A%2F%2Fwww.irishstatutebook.ie%2Feli%2F2011%2Fsi%2F151%2Fmade%2Fen%2Fprint&amp;data=05%7C02%7Cmichael.swan%40greenville.ie%7C9b6c439a900c4562dc7a08dc8923d9e3%7C8c0ae5f984124a6db01f6506d317db21%7C0%7C0%7C638536034300050993%7CUnknown%7CTWFpbGZsb3d8eyJWIjoiMC4wLjAwMDAiLCJQIjoiV2luMzIiLCJBTiI6Ik1haWwiLCJXVCI6Mn0%3D%7C0%7C%7C%7C&amp;sdata=APB2B2OHuD3qPz%2FqxmcuX%2BzMiSRMsp9KABgemuY3v74%3D&amp;reserved=0" TargetMode="External"/><Relationship Id="rId28" Type="http://schemas.openxmlformats.org/officeDocument/2006/relationships/footer" Target="footer4.xml"/><Relationship Id="rId10" Type="http://schemas.openxmlformats.org/officeDocument/2006/relationships/hyperlink" Target="http://www.etenders.gov.ie/" TargetMode="External"/><Relationship Id="rId19" Type="http://schemas.openxmlformats.org/officeDocument/2006/relationships/hyperlink" Target="https://www.gov.ie/en/organisation-information/f20e02-bodies-under-the-aegis-of-the-department-of-justice-and-equalit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tenders.gov.ie/" TargetMode="External"/><Relationship Id="rId14" Type="http://schemas.openxmlformats.org/officeDocument/2006/relationships/hyperlink" Target="https://www.gov.ie/en/organisation-information/f20e02-bodies-under-the-aegis-of-the-department-of-justice-and-equality/" TargetMode="External"/><Relationship Id="rId22" Type="http://schemas.openxmlformats.org/officeDocument/2006/relationships/hyperlink" Target="https://eur04.safelinks.protection.outlook.com/?url=https%3A%2F%2Fwww.irishstatutebook.ie%2Feli%2F2011%2Fsi%2F151%2Fmade%2Fen%2Fprint&amp;data=05%7C02%7Cmichael.swan%40greenville.ie%7C9b6c439a900c4562dc7a08dc8923d9e3%7C8c0ae5f984124a6db01f6506d317db21%7C0%7C0%7C638536034300050993%7CUnknown%7CTWFpbGZsb3d8eyJWIjoiMC4wLjAwMDAiLCJQIjoiV2luMzIiLCJBTiI6Ik1haWwiLCJXVCI6Mn0%3D%7C0%7C%7C%7C&amp;sdata=APB2B2OHuD3qPz%2FqxmcuX%2BzMiSRMsp9KABgemuY3v74%3D&amp;reserved=0" TargetMode="External"/><Relationship Id="rId27" Type="http://schemas.openxmlformats.org/officeDocument/2006/relationships/hyperlink" Target="http://www.etenders.gov.ie/" TargetMode="Externa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491</TotalTime>
  <Pages>33</Pages>
  <Words>12361</Words>
  <Characters>70461</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82657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McSwiney</dc:creator>
  <cp:keywords/>
  <cp:lastModifiedBy>Eoin O. Moran</cp:lastModifiedBy>
  <cp:revision>39</cp:revision>
  <dcterms:created xsi:type="dcterms:W3CDTF">2025-11-18T13:05:00Z</dcterms:created>
  <dcterms:modified xsi:type="dcterms:W3CDTF">2026-07-09T14:09:00Z</dcterms:modified>
</cp:coreProperties>
</file>