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54CE" w14:textId="77777777" w:rsidR="005074B0" w:rsidRDefault="005074B0" w:rsidP="00975F90">
      <w:pPr>
        <w:spacing w:after="5" w:line="249" w:lineRule="auto"/>
        <w:ind w:right="115"/>
        <w:rPr>
          <w:color w:val="385623" w:themeColor="accent6" w:themeShade="80"/>
          <w:sz w:val="36"/>
          <w:szCs w:val="36"/>
        </w:rPr>
      </w:pPr>
      <w:bookmarkStart w:id="0" w:name="_Hlk13228320"/>
    </w:p>
    <w:p w14:paraId="39E02E89" w14:textId="77777777" w:rsidR="00975F90" w:rsidRDefault="00975F90" w:rsidP="00975F90">
      <w:pPr>
        <w:spacing w:after="5" w:line="249" w:lineRule="auto"/>
        <w:ind w:right="115"/>
        <w:rPr>
          <w:color w:val="385623" w:themeColor="accent6" w:themeShade="80"/>
          <w:sz w:val="36"/>
          <w:szCs w:val="36"/>
        </w:rPr>
      </w:pPr>
    </w:p>
    <w:p w14:paraId="6866033A" w14:textId="77777777" w:rsidR="00975F90" w:rsidRDefault="00975F90" w:rsidP="00975F90">
      <w:pPr>
        <w:spacing w:after="5" w:line="249" w:lineRule="auto"/>
        <w:ind w:right="115"/>
        <w:rPr>
          <w:color w:val="385623" w:themeColor="accent6" w:themeShade="80"/>
          <w:sz w:val="36"/>
          <w:szCs w:val="36"/>
        </w:rPr>
      </w:pPr>
    </w:p>
    <w:p w14:paraId="2C96B086" w14:textId="77777777" w:rsidR="00975F90" w:rsidRPr="00C97F65" w:rsidRDefault="00975F90" w:rsidP="00975F90">
      <w:pPr>
        <w:spacing w:after="5" w:line="249" w:lineRule="auto"/>
        <w:ind w:right="115"/>
        <w:rPr>
          <w:color w:val="385623" w:themeColor="accent6" w:themeShade="80"/>
          <w:sz w:val="36"/>
          <w:szCs w:val="36"/>
        </w:rPr>
      </w:pPr>
    </w:p>
    <w:p w14:paraId="2BFEC019" w14:textId="1925B86F" w:rsidR="00975F90" w:rsidRDefault="00080769" w:rsidP="00975F90">
      <w:pPr>
        <w:spacing w:after="5" w:line="249" w:lineRule="auto"/>
        <w:ind w:right="115"/>
        <w:jc w:val="center"/>
        <w:rPr>
          <w:color w:val="385623" w:themeColor="accent6" w:themeShade="80"/>
          <w:sz w:val="36"/>
          <w:szCs w:val="36"/>
        </w:rPr>
      </w:pPr>
      <w:r w:rsidRPr="00080769">
        <w:rPr>
          <w:noProof/>
          <w:color w:val="385623" w:themeColor="accent6" w:themeShade="80"/>
          <w:sz w:val="36"/>
          <w:szCs w:val="36"/>
        </w:rPr>
        <w:drawing>
          <wp:inline distT="0" distB="0" distL="0" distR="0" wp14:anchorId="57213DAF" wp14:editId="07BB4FF6">
            <wp:extent cx="5731510" cy="3660140"/>
            <wp:effectExtent l="0" t="0" r="2540" b="0"/>
            <wp:docPr id="16109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0327" name=""/>
                    <pic:cNvPicPr/>
                  </pic:nvPicPr>
                  <pic:blipFill>
                    <a:blip r:embed="rId8"/>
                    <a:stretch>
                      <a:fillRect/>
                    </a:stretch>
                  </pic:blipFill>
                  <pic:spPr>
                    <a:xfrm>
                      <a:off x="0" y="0"/>
                      <a:ext cx="5731510" cy="3660140"/>
                    </a:xfrm>
                    <a:prstGeom prst="rect">
                      <a:avLst/>
                    </a:prstGeom>
                  </pic:spPr>
                </pic:pic>
              </a:graphicData>
            </a:graphic>
          </wp:inline>
        </w:drawing>
      </w:r>
    </w:p>
    <w:p w14:paraId="671C5A7E" w14:textId="77777777" w:rsidR="00975F90" w:rsidRDefault="00975F90" w:rsidP="00975F90">
      <w:pPr>
        <w:spacing w:after="5" w:line="249" w:lineRule="auto"/>
        <w:ind w:right="115"/>
        <w:jc w:val="center"/>
        <w:rPr>
          <w:color w:val="385623" w:themeColor="accent6" w:themeShade="80"/>
          <w:sz w:val="36"/>
          <w:szCs w:val="36"/>
        </w:rPr>
      </w:pPr>
    </w:p>
    <w:p w14:paraId="45C884B1" w14:textId="77777777" w:rsidR="00975F90" w:rsidRPr="00C97F65" w:rsidRDefault="00975F90" w:rsidP="00975F90">
      <w:pPr>
        <w:spacing w:after="5" w:line="249" w:lineRule="auto"/>
        <w:ind w:right="115"/>
        <w:jc w:val="center"/>
        <w:rPr>
          <w:color w:val="385623" w:themeColor="accent6" w:themeShade="80"/>
          <w:sz w:val="36"/>
          <w:szCs w:val="36"/>
        </w:rPr>
      </w:pPr>
    </w:p>
    <w:p w14:paraId="389749E0" w14:textId="77777777" w:rsidR="00975F90" w:rsidRDefault="00975F90" w:rsidP="00975F90">
      <w:pPr>
        <w:spacing w:after="5" w:line="249" w:lineRule="auto"/>
        <w:ind w:right="115"/>
        <w:jc w:val="center"/>
        <w:rPr>
          <w:color w:val="385623" w:themeColor="accent6" w:themeShade="80"/>
          <w:sz w:val="36"/>
          <w:szCs w:val="36"/>
        </w:rPr>
      </w:pPr>
      <w:r w:rsidRPr="00C97F65">
        <w:rPr>
          <w:color w:val="385623" w:themeColor="accent6" w:themeShade="80"/>
          <w:sz w:val="36"/>
          <w:szCs w:val="36"/>
        </w:rPr>
        <w:t>REQUEST FOR QUOTATION</w:t>
      </w:r>
    </w:p>
    <w:p w14:paraId="1EF9EC78" w14:textId="77777777" w:rsidR="00975F90" w:rsidRDefault="00975F90" w:rsidP="00975F90">
      <w:pPr>
        <w:spacing w:after="5" w:line="249" w:lineRule="auto"/>
        <w:ind w:right="115"/>
        <w:jc w:val="center"/>
        <w:rPr>
          <w:color w:val="385623" w:themeColor="accent6" w:themeShade="80"/>
          <w:sz w:val="36"/>
          <w:szCs w:val="36"/>
        </w:rPr>
      </w:pPr>
    </w:p>
    <w:p w14:paraId="74F1861E" w14:textId="77777777" w:rsidR="00975F90" w:rsidRPr="00C97F65" w:rsidRDefault="00975F90" w:rsidP="00975F90">
      <w:pPr>
        <w:spacing w:after="5" w:line="249" w:lineRule="auto"/>
        <w:ind w:right="115"/>
        <w:jc w:val="center"/>
        <w:rPr>
          <w:color w:val="385623" w:themeColor="accent6" w:themeShade="80"/>
          <w:sz w:val="36"/>
          <w:szCs w:val="36"/>
        </w:rPr>
      </w:pPr>
    </w:p>
    <w:p w14:paraId="70B31486" w14:textId="4090E87B" w:rsidR="00975F90" w:rsidRDefault="006C0908" w:rsidP="00975F90">
      <w:pPr>
        <w:spacing w:after="5" w:line="249" w:lineRule="auto"/>
        <w:ind w:right="115"/>
        <w:jc w:val="center"/>
        <w:rPr>
          <w:color w:val="385623" w:themeColor="accent6" w:themeShade="80"/>
          <w:sz w:val="36"/>
          <w:szCs w:val="36"/>
        </w:rPr>
      </w:pPr>
      <w:r>
        <w:rPr>
          <w:color w:val="385623" w:themeColor="accent6" w:themeShade="80"/>
          <w:sz w:val="36"/>
          <w:szCs w:val="36"/>
        </w:rPr>
        <w:t>Doyle Catering Meats</w:t>
      </w:r>
    </w:p>
    <w:p w14:paraId="21273A9D" w14:textId="77777777" w:rsidR="00975F90" w:rsidRDefault="00975F90" w:rsidP="00975F90">
      <w:pPr>
        <w:spacing w:after="5" w:line="249" w:lineRule="auto"/>
        <w:ind w:right="115"/>
        <w:jc w:val="center"/>
        <w:rPr>
          <w:color w:val="385623" w:themeColor="accent6" w:themeShade="80"/>
          <w:sz w:val="36"/>
          <w:szCs w:val="36"/>
        </w:rPr>
      </w:pPr>
    </w:p>
    <w:p w14:paraId="79005C18" w14:textId="77777777" w:rsidR="00975F90" w:rsidRPr="00C97F65" w:rsidRDefault="00975F90" w:rsidP="00975F90">
      <w:pPr>
        <w:spacing w:after="5" w:line="249" w:lineRule="auto"/>
        <w:ind w:right="115"/>
        <w:jc w:val="center"/>
        <w:rPr>
          <w:color w:val="385623" w:themeColor="accent6" w:themeShade="80"/>
          <w:sz w:val="36"/>
          <w:szCs w:val="36"/>
        </w:rPr>
      </w:pPr>
    </w:p>
    <w:p w14:paraId="1DD9F45D" w14:textId="4E422B92" w:rsidR="00975F90" w:rsidRPr="00C97F65" w:rsidRDefault="00C7561C" w:rsidP="00975F90">
      <w:pPr>
        <w:spacing w:after="5" w:line="249" w:lineRule="auto"/>
        <w:ind w:right="115"/>
        <w:jc w:val="center"/>
        <w:rPr>
          <w:color w:val="385623" w:themeColor="accent6" w:themeShade="80"/>
          <w:sz w:val="36"/>
          <w:szCs w:val="36"/>
        </w:rPr>
      </w:pPr>
      <w:r>
        <w:rPr>
          <w:color w:val="385623" w:themeColor="accent6" w:themeShade="80"/>
          <w:sz w:val="36"/>
          <w:szCs w:val="36"/>
        </w:rPr>
        <w:t xml:space="preserve">Supply of </w:t>
      </w:r>
      <w:r w:rsidR="00254CA1">
        <w:rPr>
          <w:color w:val="385623" w:themeColor="accent6" w:themeShade="80"/>
          <w:sz w:val="36"/>
          <w:szCs w:val="36"/>
        </w:rPr>
        <w:t>Meat</w:t>
      </w:r>
      <w:r>
        <w:rPr>
          <w:color w:val="385623" w:themeColor="accent6" w:themeShade="80"/>
          <w:sz w:val="36"/>
          <w:szCs w:val="36"/>
        </w:rPr>
        <w:t xml:space="preserve"> Processing Equipment</w:t>
      </w:r>
    </w:p>
    <w:p w14:paraId="4D806023" w14:textId="77777777" w:rsidR="00975F90" w:rsidRDefault="00975F90" w:rsidP="00975F90">
      <w:pPr>
        <w:spacing w:after="5" w:line="249" w:lineRule="auto"/>
        <w:ind w:right="115"/>
      </w:pPr>
    </w:p>
    <w:p w14:paraId="50F4FC13" w14:textId="77777777" w:rsidR="00975F90" w:rsidRDefault="00975F90" w:rsidP="00975F90">
      <w:pPr>
        <w:spacing w:after="5" w:line="249" w:lineRule="auto"/>
        <w:ind w:right="115"/>
      </w:pPr>
    </w:p>
    <w:p w14:paraId="799750EF" w14:textId="77777777" w:rsidR="00BF7F7C" w:rsidRDefault="00BF7F7C" w:rsidP="00BF7F7C">
      <w:pPr>
        <w:spacing w:after="5" w:line="249" w:lineRule="auto"/>
        <w:ind w:right="115"/>
      </w:pPr>
    </w:p>
    <w:p w14:paraId="3D08E406" w14:textId="5A6208D1" w:rsidR="00BF7F7C" w:rsidRPr="00BF7F7C" w:rsidRDefault="00C7561C" w:rsidP="00BF7F7C">
      <w:pPr>
        <w:spacing w:after="5" w:line="249" w:lineRule="auto"/>
        <w:ind w:right="115"/>
        <w:jc w:val="center"/>
        <w:rPr>
          <w:color w:val="385623" w:themeColor="accent6" w:themeShade="80"/>
          <w:sz w:val="36"/>
          <w:szCs w:val="36"/>
        </w:rPr>
      </w:pPr>
      <w:r>
        <w:rPr>
          <w:color w:val="385623" w:themeColor="accent6" w:themeShade="80"/>
          <w:sz w:val="36"/>
          <w:szCs w:val="36"/>
        </w:rPr>
        <w:t>July 2026</w:t>
      </w:r>
    </w:p>
    <w:p w14:paraId="61774B2E" w14:textId="77777777" w:rsidR="00975F90" w:rsidRDefault="00975F90" w:rsidP="00975F90">
      <w:pPr>
        <w:spacing w:after="5" w:line="249" w:lineRule="auto"/>
        <w:ind w:right="115"/>
      </w:pPr>
    </w:p>
    <w:p w14:paraId="388BFB3A" w14:textId="77777777" w:rsidR="00975F90" w:rsidRDefault="00975F90" w:rsidP="00975F90">
      <w:pPr>
        <w:spacing w:after="5" w:line="249" w:lineRule="auto"/>
        <w:ind w:right="115"/>
      </w:pPr>
    </w:p>
    <w:p w14:paraId="6D31BFE7" w14:textId="77777777" w:rsidR="00975F90" w:rsidRDefault="00975F90" w:rsidP="00975F90">
      <w:pPr>
        <w:spacing w:after="5" w:line="249" w:lineRule="auto"/>
        <w:ind w:right="115"/>
      </w:pPr>
    </w:p>
    <w:p w14:paraId="289BE6F9" w14:textId="77777777" w:rsidR="00975F90" w:rsidRDefault="00975F90" w:rsidP="00975F90">
      <w:pPr>
        <w:spacing w:after="5" w:line="249" w:lineRule="auto"/>
        <w:ind w:right="115"/>
      </w:pPr>
    </w:p>
    <w:p w14:paraId="7FF8A137" w14:textId="77777777" w:rsidR="00975F90" w:rsidRDefault="00975F90" w:rsidP="00975F90">
      <w:pPr>
        <w:spacing w:after="5" w:line="249" w:lineRule="auto"/>
        <w:ind w:right="115"/>
      </w:pPr>
    </w:p>
    <w:p w14:paraId="004DB51E" w14:textId="77777777" w:rsidR="00975F90" w:rsidRDefault="00975F90" w:rsidP="00975F90">
      <w:pPr>
        <w:spacing w:after="5" w:line="249" w:lineRule="auto"/>
        <w:ind w:right="115"/>
      </w:pPr>
    </w:p>
    <w:p w14:paraId="4029F65F" w14:textId="77777777" w:rsidR="00975F90" w:rsidRDefault="00975F90" w:rsidP="00975F90">
      <w:pPr>
        <w:spacing w:after="5" w:line="249" w:lineRule="auto"/>
        <w:ind w:right="115"/>
      </w:pPr>
    </w:p>
    <w:p w14:paraId="7D22C044" w14:textId="6693BEEB" w:rsidR="00BF7F7C" w:rsidRPr="00BF7F7C" w:rsidRDefault="00BF7F7C" w:rsidP="00BF7F7C">
      <w:pPr>
        <w:spacing w:after="5" w:line="249" w:lineRule="auto"/>
        <w:ind w:right="115"/>
        <w:rPr>
          <w:b/>
          <w:bCs/>
        </w:rPr>
      </w:pPr>
      <w:r w:rsidRPr="00BF7F7C">
        <w:rPr>
          <w:b/>
          <w:bCs/>
        </w:rPr>
        <w:t>OUTLINE PROPOSAL</w:t>
      </w:r>
      <w:r w:rsidR="009E2286">
        <w:rPr>
          <w:b/>
          <w:bCs/>
        </w:rPr>
        <w:t xml:space="preserve">  </w:t>
      </w:r>
    </w:p>
    <w:p w14:paraId="3936FA7F" w14:textId="77777777" w:rsidR="00BF7F7C" w:rsidRDefault="00BF7F7C" w:rsidP="00BF7F7C">
      <w:pPr>
        <w:spacing w:after="5" w:line="249" w:lineRule="auto"/>
        <w:ind w:right="115"/>
      </w:pPr>
    </w:p>
    <w:bookmarkEnd w:id="0"/>
    <w:p w14:paraId="263428F2" w14:textId="77777777" w:rsidR="00902CE7" w:rsidRPr="00902CE7" w:rsidRDefault="00902CE7" w:rsidP="00902CE7">
      <w:pPr>
        <w:spacing w:after="5" w:line="249" w:lineRule="auto"/>
        <w:ind w:right="115"/>
        <w:rPr>
          <w:lang w:val="en-GB"/>
        </w:rPr>
      </w:pPr>
      <w:r w:rsidRPr="00902CE7">
        <w:rPr>
          <w:lang w:val="en-GB"/>
        </w:rPr>
        <w:t>Doyle Catering Meats invites suitably qualified suppliers to submit quotations for the supply, delivery, installation and commissioning of food processing equipment for use within its meat processing facility.</w:t>
      </w:r>
    </w:p>
    <w:p w14:paraId="3A139425" w14:textId="77777777" w:rsidR="00902CE7" w:rsidRPr="00902CE7" w:rsidRDefault="00902CE7" w:rsidP="00902CE7">
      <w:pPr>
        <w:spacing w:after="5" w:line="249" w:lineRule="auto"/>
        <w:ind w:right="115"/>
        <w:rPr>
          <w:lang w:val="en-GB"/>
        </w:rPr>
      </w:pPr>
      <w:r w:rsidRPr="00902CE7">
        <w:rPr>
          <w:lang w:val="en-GB"/>
        </w:rPr>
        <w:t>The objective of this tender is to obtain competitive quotations from suppliers offering equipment that meets the functional and performance requirements specified below. Suppliers may offer equipment from any manufacturer provided it meets or exceeds the minimum specification.</w:t>
      </w:r>
    </w:p>
    <w:p w14:paraId="1C272D2E" w14:textId="77777777" w:rsidR="00902CE7" w:rsidRPr="00902CE7" w:rsidRDefault="00902CE7" w:rsidP="00902CE7">
      <w:pPr>
        <w:spacing w:after="5" w:line="249" w:lineRule="auto"/>
        <w:ind w:right="115"/>
        <w:rPr>
          <w:lang w:val="en-GB"/>
        </w:rPr>
      </w:pPr>
      <w:r w:rsidRPr="00902CE7">
        <w:rPr>
          <w:lang w:val="en-GB"/>
        </w:rPr>
        <w:t>Proposals shall include:</w:t>
      </w:r>
    </w:p>
    <w:p w14:paraId="25FCFA1B" w14:textId="77777777" w:rsidR="00902CE7" w:rsidRPr="00902CE7" w:rsidRDefault="00902CE7" w:rsidP="00902CE7">
      <w:pPr>
        <w:numPr>
          <w:ilvl w:val="0"/>
          <w:numId w:val="6"/>
        </w:numPr>
        <w:spacing w:after="5" w:line="249" w:lineRule="auto"/>
        <w:ind w:right="115"/>
        <w:rPr>
          <w:lang w:val="en-GB"/>
        </w:rPr>
      </w:pPr>
      <w:r w:rsidRPr="00902CE7">
        <w:rPr>
          <w:lang w:val="en-GB"/>
        </w:rPr>
        <w:t>Supply of all equipment.</w:t>
      </w:r>
    </w:p>
    <w:p w14:paraId="7513A0B7" w14:textId="77777777" w:rsidR="00902CE7" w:rsidRPr="00902CE7" w:rsidRDefault="00902CE7" w:rsidP="00902CE7">
      <w:pPr>
        <w:numPr>
          <w:ilvl w:val="0"/>
          <w:numId w:val="6"/>
        </w:numPr>
        <w:spacing w:after="5" w:line="249" w:lineRule="auto"/>
        <w:ind w:right="115"/>
        <w:rPr>
          <w:lang w:val="en-GB"/>
        </w:rPr>
      </w:pPr>
      <w:r w:rsidRPr="00902CE7">
        <w:rPr>
          <w:lang w:val="en-GB"/>
        </w:rPr>
        <w:t>Delivery to site.</w:t>
      </w:r>
    </w:p>
    <w:p w14:paraId="0D09948E" w14:textId="77777777" w:rsidR="00902CE7" w:rsidRPr="00902CE7" w:rsidRDefault="00902CE7" w:rsidP="00902CE7">
      <w:pPr>
        <w:numPr>
          <w:ilvl w:val="0"/>
          <w:numId w:val="6"/>
        </w:numPr>
        <w:spacing w:after="5" w:line="249" w:lineRule="auto"/>
        <w:ind w:right="115"/>
        <w:rPr>
          <w:lang w:val="en-GB"/>
        </w:rPr>
      </w:pPr>
      <w:r w:rsidRPr="00902CE7">
        <w:rPr>
          <w:lang w:val="en-GB"/>
        </w:rPr>
        <w:t>Installation and commissioning.</w:t>
      </w:r>
    </w:p>
    <w:p w14:paraId="4394B9AB" w14:textId="77777777" w:rsidR="00902CE7" w:rsidRPr="00902CE7" w:rsidRDefault="00902CE7" w:rsidP="00902CE7">
      <w:pPr>
        <w:numPr>
          <w:ilvl w:val="0"/>
          <w:numId w:val="6"/>
        </w:numPr>
        <w:spacing w:after="5" w:line="249" w:lineRule="auto"/>
        <w:ind w:right="115"/>
        <w:rPr>
          <w:lang w:val="en-GB"/>
        </w:rPr>
      </w:pPr>
      <w:r w:rsidRPr="00902CE7">
        <w:rPr>
          <w:lang w:val="en-GB"/>
        </w:rPr>
        <w:t>Operator training.</w:t>
      </w:r>
    </w:p>
    <w:p w14:paraId="3BA3A3CC" w14:textId="77777777" w:rsidR="00902CE7" w:rsidRPr="00902CE7" w:rsidRDefault="00902CE7" w:rsidP="00902CE7">
      <w:pPr>
        <w:numPr>
          <w:ilvl w:val="0"/>
          <w:numId w:val="6"/>
        </w:numPr>
        <w:spacing w:after="5" w:line="249" w:lineRule="auto"/>
        <w:ind w:right="115"/>
        <w:rPr>
          <w:lang w:val="en-GB"/>
        </w:rPr>
      </w:pPr>
      <w:r w:rsidRPr="00902CE7">
        <w:rPr>
          <w:lang w:val="en-GB"/>
        </w:rPr>
        <w:t>Full technical specification for each item offered.</w:t>
      </w:r>
    </w:p>
    <w:p w14:paraId="0FCF9850" w14:textId="77777777" w:rsidR="00902CE7" w:rsidRPr="00902CE7" w:rsidRDefault="00902CE7" w:rsidP="00902CE7">
      <w:pPr>
        <w:numPr>
          <w:ilvl w:val="0"/>
          <w:numId w:val="6"/>
        </w:numPr>
        <w:spacing w:after="5" w:line="249" w:lineRule="auto"/>
        <w:ind w:right="115"/>
        <w:rPr>
          <w:lang w:val="en-GB"/>
        </w:rPr>
      </w:pPr>
      <w:r w:rsidRPr="00902CE7">
        <w:rPr>
          <w:lang w:val="en-GB"/>
        </w:rPr>
        <w:t>Warranty details.</w:t>
      </w:r>
    </w:p>
    <w:p w14:paraId="2A12E851" w14:textId="77777777" w:rsidR="00902CE7" w:rsidRPr="00902CE7" w:rsidRDefault="00902CE7" w:rsidP="00902CE7">
      <w:pPr>
        <w:numPr>
          <w:ilvl w:val="0"/>
          <w:numId w:val="6"/>
        </w:numPr>
        <w:spacing w:after="5" w:line="249" w:lineRule="auto"/>
        <w:ind w:right="115"/>
        <w:rPr>
          <w:lang w:val="en-GB"/>
        </w:rPr>
      </w:pPr>
      <w:r w:rsidRPr="00902CE7">
        <w:rPr>
          <w:lang w:val="en-GB"/>
        </w:rPr>
        <w:t>Delivery lead time.</w:t>
      </w:r>
    </w:p>
    <w:p w14:paraId="32672832" w14:textId="77777777" w:rsidR="00902CE7" w:rsidRPr="00902CE7" w:rsidRDefault="00902CE7" w:rsidP="00902CE7">
      <w:pPr>
        <w:numPr>
          <w:ilvl w:val="0"/>
          <w:numId w:val="6"/>
        </w:numPr>
        <w:spacing w:after="5" w:line="249" w:lineRule="auto"/>
        <w:ind w:right="115"/>
        <w:rPr>
          <w:lang w:val="en-GB"/>
        </w:rPr>
      </w:pPr>
      <w:r w:rsidRPr="00902CE7">
        <w:rPr>
          <w:lang w:val="en-GB"/>
        </w:rPr>
        <w:t>Details of after-sales service and maintenance support available in Ireland.</w:t>
      </w:r>
    </w:p>
    <w:p w14:paraId="3A7DC58E" w14:textId="77777777" w:rsidR="00902CE7" w:rsidRPr="00902CE7" w:rsidRDefault="00902CE7" w:rsidP="00902CE7">
      <w:pPr>
        <w:numPr>
          <w:ilvl w:val="0"/>
          <w:numId w:val="6"/>
        </w:numPr>
        <w:spacing w:after="5" w:line="249" w:lineRule="auto"/>
        <w:ind w:right="115"/>
        <w:rPr>
          <w:lang w:val="en-GB"/>
        </w:rPr>
      </w:pPr>
      <w:r w:rsidRPr="00902CE7">
        <w:rPr>
          <w:lang w:val="en-GB"/>
        </w:rPr>
        <w:t>Availability of spare parts.</w:t>
      </w:r>
    </w:p>
    <w:p w14:paraId="0610A5B1" w14:textId="77777777" w:rsidR="00902CE7" w:rsidRPr="00902CE7" w:rsidRDefault="00902CE7" w:rsidP="00902CE7">
      <w:pPr>
        <w:numPr>
          <w:ilvl w:val="0"/>
          <w:numId w:val="6"/>
        </w:numPr>
        <w:spacing w:after="5" w:line="249" w:lineRule="auto"/>
        <w:ind w:right="115"/>
        <w:rPr>
          <w:lang w:val="en-GB"/>
        </w:rPr>
      </w:pPr>
      <w:r w:rsidRPr="00902CE7">
        <w:rPr>
          <w:lang w:val="en-GB"/>
        </w:rPr>
        <w:t>Total purchase price excluding VAT.</w:t>
      </w:r>
    </w:p>
    <w:p w14:paraId="47B12741" w14:textId="77777777" w:rsidR="00902CE7" w:rsidRPr="00902CE7" w:rsidRDefault="00902CE7" w:rsidP="00902CE7">
      <w:pPr>
        <w:numPr>
          <w:ilvl w:val="0"/>
          <w:numId w:val="6"/>
        </w:numPr>
        <w:spacing w:after="5" w:line="249" w:lineRule="auto"/>
        <w:ind w:right="115"/>
        <w:rPr>
          <w:lang w:val="en-GB"/>
        </w:rPr>
      </w:pPr>
      <w:r w:rsidRPr="00902CE7">
        <w:rPr>
          <w:lang w:val="en-GB"/>
        </w:rPr>
        <w:t>Optional accessories or extended warranties (clearly identified as optional).</w:t>
      </w:r>
    </w:p>
    <w:p w14:paraId="34F5A62C" w14:textId="77777777" w:rsidR="00975F90" w:rsidRPr="00902CE7" w:rsidRDefault="00975F90" w:rsidP="00975F90">
      <w:pPr>
        <w:spacing w:after="5" w:line="249" w:lineRule="auto"/>
        <w:ind w:right="115"/>
      </w:pPr>
    </w:p>
    <w:p w14:paraId="447801F6" w14:textId="62515E19" w:rsidR="003704D2" w:rsidRDefault="003704D2" w:rsidP="003704D2">
      <w:pPr>
        <w:spacing w:after="5" w:line="249" w:lineRule="auto"/>
        <w:ind w:right="115"/>
        <w:rPr>
          <w:lang w:val="en-GB"/>
        </w:rPr>
      </w:pPr>
      <w:r>
        <w:rPr>
          <w:b/>
          <w:bCs/>
        </w:rPr>
        <w:t>ORGANISATION DETAILS</w:t>
      </w:r>
    </w:p>
    <w:p w14:paraId="0641594F" w14:textId="305EEB5C" w:rsidR="003704D2" w:rsidRPr="003704D2" w:rsidRDefault="003704D2" w:rsidP="003704D2">
      <w:pPr>
        <w:spacing w:after="5" w:line="249" w:lineRule="auto"/>
        <w:ind w:right="115"/>
        <w:rPr>
          <w:lang w:val="en-GB"/>
        </w:rPr>
      </w:pPr>
      <w:r w:rsidRPr="003704D2">
        <w:rPr>
          <w:lang w:val="en-GB"/>
        </w:rPr>
        <w:t>Doyle Catering Meats is an Irish meat processing business supplying high-quality fresh meat products to the catering, foodservice and retail sectors. The company is committed to producing products that meet the highest standards of food safety, quality, traceability and customer service.</w:t>
      </w:r>
    </w:p>
    <w:p w14:paraId="140BEA6B" w14:textId="77777777" w:rsidR="003704D2" w:rsidRPr="003704D2" w:rsidRDefault="003704D2" w:rsidP="003704D2">
      <w:pPr>
        <w:spacing w:after="5" w:line="249" w:lineRule="auto"/>
        <w:ind w:right="115"/>
        <w:rPr>
          <w:lang w:val="en-GB"/>
        </w:rPr>
      </w:pPr>
      <w:r w:rsidRPr="003704D2">
        <w:rPr>
          <w:lang w:val="en-GB"/>
        </w:rPr>
        <w:t>As part of its ongoing investment programme, Doyle Catering Meats is seeking to modernise and improve production efficiency, product consistency and operational performance through the procurement of new equipment.</w:t>
      </w:r>
    </w:p>
    <w:p w14:paraId="61960762" w14:textId="77777777" w:rsidR="00975F90" w:rsidRDefault="00975F90" w:rsidP="00975F90">
      <w:pPr>
        <w:spacing w:after="5" w:line="249" w:lineRule="auto"/>
        <w:ind w:right="115"/>
      </w:pPr>
    </w:p>
    <w:p w14:paraId="647963DF" w14:textId="77777777" w:rsidR="00806BC7" w:rsidRDefault="00806BC7" w:rsidP="00975F90">
      <w:pPr>
        <w:spacing w:after="5" w:line="249" w:lineRule="auto"/>
        <w:ind w:right="115"/>
      </w:pPr>
    </w:p>
    <w:p w14:paraId="3D2A6269" w14:textId="1E71FBE1" w:rsidR="00806BC7" w:rsidRPr="00BF7F7C" w:rsidRDefault="00806BC7" w:rsidP="00975F90">
      <w:pPr>
        <w:spacing w:after="5" w:line="249" w:lineRule="auto"/>
        <w:ind w:right="115"/>
        <w:rPr>
          <w:b/>
          <w:bCs/>
        </w:rPr>
      </w:pPr>
      <w:r w:rsidRPr="00BF7F7C">
        <w:rPr>
          <w:b/>
          <w:bCs/>
        </w:rPr>
        <w:t>TE</w:t>
      </w:r>
      <w:r w:rsidR="00BF7F7C">
        <w:rPr>
          <w:b/>
          <w:bCs/>
        </w:rPr>
        <w:t>CH</w:t>
      </w:r>
      <w:r w:rsidRPr="00BF7F7C">
        <w:rPr>
          <w:b/>
          <w:bCs/>
        </w:rPr>
        <w:t xml:space="preserve">NICAL SPECIFICATION </w:t>
      </w:r>
    </w:p>
    <w:p w14:paraId="36133B39" w14:textId="77777777" w:rsidR="0004064E" w:rsidRDefault="0004064E" w:rsidP="0004064E">
      <w:pPr>
        <w:spacing w:after="5" w:line="249" w:lineRule="auto"/>
        <w:ind w:right="115"/>
        <w:rPr>
          <w:b/>
          <w:bCs/>
          <w:color w:val="auto"/>
          <w:lang w:val="en-GB"/>
        </w:rPr>
      </w:pPr>
    </w:p>
    <w:p w14:paraId="1B7F6D44" w14:textId="5B21ADBE" w:rsidR="0004064E" w:rsidRPr="0004064E" w:rsidRDefault="0004064E" w:rsidP="0004064E">
      <w:pPr>
        <w:spacing w:after="5" w:line="249" w:lineRule="auto"/>
        <w:ind w:right="115"/>
        <w:rPr>
          <w:b/>
          <w:bCs/>
          <w:color w:val="auto"/>
          <w:lang w:val="en-GB"/>
        </w:rPr>
      </w:pPr>
      <w:r w:rsidRPr="0004064E">
        <w:rPr>
          <w:b/>
          <w:bCs/>
          <w:color w:val="auto"/>
          <w:lang w:val="en-GB"/>
        </w:rPr>
        <w:t>Item 1 – Automatic Steak Portioning Machine</w:t>
      </w:r>
    </w:p>
    <w:p w14:paraId="028F910A" w14:textId="77777777" w:rsidR="0004064E" w:rsidRPr="0004064E" w:rsidRDefault="0004064E" w:rsidP="0004064E">
      <w:pPr>
        <w:spacing w:after="5" w:line="249" w:lineRule="auto"/>
        <w:ind w:right="115"/>
        <w:rPr>
          <w:b/>
          <w:bCs/>
          <w:color w:val="auto"/>
          <w:lang w:val="en-GB"/>
        </w:rPr>
      </w:pPr>
      <w:r w:rsidRPr="0004064E">
        <w:rPr>
          <w:b/>
          <w:bCs/>
          <w:color w:val="auto"/>
          <w:lang w:val="en-GB"/>
        </w:rPr>
        <w:t>Minimum Requirements</w:t>
      </w:r>
    </w:p>
    <w:p w14:paraId="58BBDD1C"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Automatic vision-guided meat portioning machine.</w:t>
      </w:r>
    </w:p>
    <w:p w14:paraId="3A1E6905"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Suitable for fresh boneless meat products.</w:t>
      </w:r>
    </w:p>
    <w:p w14:paraId="3BAFBA3C"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Dual-camera (or equivalent) scanning technology.</w:t>
      </w:r>
    </w:p>
    <w:p w14:paraId="5F886C55"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Automatic weight-controlled cutting.</w:t>
      </w:r>
    </w:p>
    <w:p w14:paraId="0FB0DF3C"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High portion weight accuracy.</w:t>
      </w:r>
    </w:p>
    <w:p w14:paraId="0F70B8EC"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Hygienic stainless steel construction.</w:t>
      </w:r>
    </w:p>
    <w:p w14:paraId="7272EB15"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Modular food-grade conveyor system.</w:t>
      </w:r>
    </w:p>
    <w:p w14:paraId="3DB16B0E"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Touchscreen operator controls.</w:t>
      </w:r>
    </w:p>
    <w:p w14:paraId="5A64DD9D"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Easy-clean design.</w:t>
      </w:r>
    </w:p>
    <w:p w14:paraId="6A96AE98"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CE compliant safety guarding.</w:t>
      </w:r>
    </w:p>
    <w:p w14:paraId="31B4DFE7" w14:textId="77777777" w:rsidR="0004064E" w:rsidRPr="0004064E" w:rsidRDefault="0004064E" w:rsidP="0004064E">
      <w:pPr>
        <w:numPr>
          <w:ilvl w:val="0"/>
          <w:numId w:val="7"/>
        </w:numPr>
        <w:spacing w:after="5" w:line="249" w:lineRule="auto"/>
        <w:ind w:right="115"/>
        <w:rPr>
          <w:color w:val="auto"/>
          <w:lang w:val="en-GB"/>
        </w:rPr>
      </w:pPr>
      <w:r w:rsidRPr="0004064E">
        <w:rPr>
          <w:color w:val="auto"/>
          <w:lang w:val="en-GB"/>
        </w:rPr>
        <w:t>Installation, commissioning and operator training included.</w:t>
      </w:r>
    </w:p>
    <w:p w14:paraId="02FE5CDD" w14:textId="1AD3D473" w:rsidR="0004064E" w:rsidRPr="0004064E" w:rsidRDefault="0004064E" w:rsidP="0004064E">
      <w:pPr>
        <w:spacing w:after="5" w:line="249" w:lineRule="auto"/>
        <w:ind w:right="115"/>
        <w:rPr>
          <w:color w:val="auto"/>
          <w:lang w:val="en-GB"/>
        </w:rPr>
      </w:pPr>
    </w:p>
    <w:p w14:paraId="733D49BF" w14:textId="77777777" w:rsidR="0004064E" w:rsidRPr="0004064E" w:rsidRDefault="0004064E" w:rsidP="0004064E">
      <w:pPr>
        <w:spacing w:after="5" w:line="249" w:lineRule="auto"/>
        <w:ind w:right="115"/>
        <w:rPr>
          <w:b/>
          <w:bCs/>
          <w:color w:val="auto"/>
          <w:lang w:val="en-GB"/>
        </w:rPr>
      </w:pPr>
      <w:r w:rsidRPr="0004064E">
        <w:rPr>
          <w:b/>
          <w:bCs/>
          <w:color w:val="auto"/>
          <w:lang w:val="en-GB"/>
        </w:rPr>
        <w:t>Item 2 – Automatic Burger Forming Machine</w:t>
      </w:r>
    </w:p>
    <w:p w14:paraId="11431ED3" w14:textId="77777777" w:rsidR="0004064E" w:rsidRPr="0004064E" w:rsidRDefault="0004064E" w:rsidP="0004064E">
      <w:pPr>
        <w:spacing w:after="5" w:line="249" w:lineRule="auto"/>
        <w:ind w:right="115"/>
        <w:rPr>
          <w:b/>
          <w:bCs/>
          <w:color w:val="auto"/>
          <w:lang w:val="en-GB"/>
        </w:rPr>
      </w:pPr>
      <w:r w:rsidRPr="0004064E">
        <w:rPr>
          <w:b/>
          <w:bCs/>
          <w:color w:val="auto"/>
          <w:lang w:val="en-GB"/>
        </w:rPr>
        <w:t>Minimum Requirements</w:t>
      </w:r>
    </w:p>
    <w:p w14:paraId="57024790"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Commercial automatic burger former.</w:t>
      </w:r>
    </w:p>
    <w:p w14:paraId="0D804106"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lastRenderedPageBreak/>
        <w:t>Minimum production capacity approximately 2,000 burgers per hour.</w:t>
      </w:r>
    </w:p>
    <w:p w14:paraId="0C4B3144"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Consistent weight and diameter control.</w:t>
      </w:r>
    </w:p>
    <w:p w14:paraId="3BADA604"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Stainless steel construction.</w:t>
      </w:r>
    </w:p>
    <w:p w14:paraId="0FC6B6A8"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Hopper capacity approximately 75 litres.</w:t>
      </w:r>
    </w:p>
    <w:p w14:paraId="5559FE48"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Supplied with forming drum approximately 120 mm diameter (or equivalent).</w:t>
      </w:r>
    </w:p>
    <w:p w14:paraId="787CF349"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Extended discharge conveyor.</w:t>
      </w:r>
    </w:p>
    <w:p w14:paraId="6C8E1D45"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Automatic wire cleaning system.</w:t>
      </w:r>
    </w:p>
    <w:p w14:paraId="2305D3AF"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Automatic paper interleaving attachment.</w:t>
      </w:r>
    </w:p>
    <w:p w14:paraId="31969E8B"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Easy dismantling for cleaning.</w:t>
      </w:r>
    </w:p>
    <w:p w14:paraId="7A4CF649"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CE certified.</w:t>
      </w:r>
    </w:p>
    <w:p w14:paraId="75914CC5" w14:textId="77777777" w:rsidR="0004064E" w:rsidRPr="0004064E" w:rsidRDefault="0004064E" w:rsidP="0004064E">
      <w:pPr>
        <w:numPr>
          <w:ilvl w:val="0"/>
          <w:numId w:val="8"/>
        </w:numPr>
        <w:spacing w:after="5" w:line="249" w:lineRule="auto"/>
        <w:ind w:right="115"/>
        <w:rPr>
          <w:color w:val="auto"/>
          <w:lang w:val="en-GB"/>
        </w:rPr>
      </w:pPr>
      <w:r w:rsidRPr="0004064E">
        <w:rPr>
          <w:color w:val="auto"/>
          <w:lang w:val="en-GB"/>
        </w:rPr>
        <w:t>Installation, commissioning and training included.</w:t>
      </w:r>
    </w:p>
    <w:p w14:paraId="623B2451" w14:textId="231C52A5" w:rsidR="0004064E" w:rsidRPr="0004064E" w:rsidRDefault="0004064E" w:rsidP="0004064E">
      <w:pPr>
        <w:spacing w:after="5" w:line="249" w:lineRule="auto"/>
        <w:ind w:right="115"/>
        <w:rPr>
          <w:color w:val="auto"/>
          <w:lang w:val="en-GB"/>
        </w:rPr>
      </w:pPr>
    </w:p>
    <w:p w14:paraId="11ED0FEB" w14:textId="77777777" w:rsidR="0004064E" w:rsidRPr="0004064E" w:rsidRDefault="0004064E" w:rsidP="0004064E">
      <w:pPr>
        <w:spacing w:after="5" w:line="249" w:lineRule="auto"/>
        <w:ind w:right="115"/>
        <w:rPr>
          <w:b/>
          <w:bCs/>
          <w:color w:val="auto"/>
          <w:lang w:val="en-GB"/>
        </w:rPr>
      </w:pPr>
      <w:r w:rsidRPr="0004064E">
        <w:rPr>
          <w:b/>
          <w:bCs/>
          <w:color w:val="auto"/>
          <w:lang w:val="en-GB"/>
        </w:rPr>
        <w:t>Item 3 – Double Chamber Vacuum Packing Machine</w:t>
      </w:r>
    </w:p>
    <w:p w14:paraId="4E8871B4" w14:textId="77777777" w:rsidR="0004064E" w:rsidRPr="0004064E" w:rsidRDefault="0004064E" w:rsidP="0004064E">
      <w:pPr>
        <w:spacing w:after="5" w:line="249" w:lineRule="auto"/>
        <w:ind w:right="115"/>
        <w:rPr>
          <w:b/>
          <w:bCs/>
          <w:color w:val="auto"/>
          <w:lang w:val="en-GB"/>
        </w:rPr>
      </w:pPr>
      <w:r w:rsidRPr="0004064E">
        <w:rPr>
          <w:b/>
          <w:bCs/>
          <w:color w:val="auto"/>
          <w:lang w:val="en-GB"/>
        </w:rPr>
        <w:t>Minimum Requirements</w:t>
      </w:r>
    </w:p>
    <w:p w14:paraId="637EDD3B"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Floor-standing double chamber vacuum packer.</w:t>
      </w:r>
    </w:p>
    <w:p w14:paraId="14FA0E48"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Suitable for continuous commercial meat production.</w:t>
      </w:r>
    </w:p>
    <w:p w14:paraId="58029E92"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Stainless steel construction.</w:t>
      </w:r>
    </w:p>
    <w:p w14:paraId="778A2CA4"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Industrial vacuum pump with minimum capacity approximately 300 m³/hour.</w:t>
      </w:r>
    </w:p>
    <w:p w14:paraId="0ADF751C"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Digital programmable controls.</w:t>
      </w:r>
    </w:p>
    <w:p w14:paraId="399C6B72"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Soft air return function.</w:t>
      </w:r>
    </w:p>
    <w:p w14:paraId="40D2B7B3"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Adjustable sealing time.</w:t>
      </w:r>
    </w:p>
    <w:p w14:paraId="6EDE2C36"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Heavy-duty transparent lids.</w:t>
      </w:r>
    </w:p>
    <w:p w14:paraId="5C52F9D1"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CE certified.</w:t>
      </w:r>
    </w:p>
    <w:p w14:paraId="7646BDD6" w14:textId="77777777" w:rsidR="0004064E" w:rsidRPr="0004064E" w:rsidRDefault="0004064E" w:rsidP="0004064E">
      <w:pPr>
        <w:numPr>
          <w:ilvl w:val="0"/>
          <w:numId w:val="9"/>
        </w:numPr>
        <w:spacing w:after="5" w:line="249" w:lineRule="auto"/>
        <w:ind w:right="115"/>
        <w:rPr>
          <w:color w:val="auto"/>
          <w:lang w:val="en-GB"/>
        </w:rPr>
      </w:pPr>
      <w:r w:rsidRPr="0004064E">
        <w:rPr>
          <w:color w:val="auto"/>
          <w:lang w:val="en-GB"/>
        </w:rPr>
        <w:t>Installation and commissioning included.</w:t>
      </w:r>
    </w:p>
    <w:p w14:paraId="12ED9EB3" w14:textId="109B4103" w:rsidR="0004064E" w:rsidRPr="0004064E" w:rsidRDefault="0004064E" w:rsidP="0004064E">
      <w:pPr>
        <w:spacing w:after="5" w:line="249" w:lineRule="auto"/>
        <w:ind w:right="115"/>
        <w:rPr>
          <w:color w:val="auto"/>
          <w:lang w:val="en-GB"/>
        </w:rPr>
      </w:pPr>
    </w:p>
    <w:p w14:paraId="40EDF87E" w14:textId="77777777" w:rsidR="0004064E" w:rsidRPr="0004064E" w:rsidRDefault="0004064E" w:rsidP="0004064E">
      <w:pPr>
        <w:spacing w:after="5" w:line="249" w:lineRule="auto"/>
        <w:ind w:right="115"/>
        <w:rPr>
          <w:b/>
          <w:bCs/>
          <w:color w:val="auto"/>
          <w:lang w:val="en-GB"/>
        </w:rPr>
      </w:pPr>
      <w:r w:rsidRPr="0004064E">
        <w:rPr>
          <w:b/>
          <w:bCs/>
          <w:color w:val="auto"/>
          <w:lang w:val="en-GB"/>
        </w:rPr>
        <w:t>General Requirements</w:t>
      </w:r>
    </w:p>
    <w:p w14:paraId="0462CDD9" w14:textId="77777777" w:rsidR="0004064E" w:rsidRPr="0004064E" w:rsidRDefault="0004064E" w:rsidP="0004064E">
      <w:pPr>
        <w:spacing w:after="5" w:line="249" w:lineRule="auto"/>
        <w:ind w:right="115"/>
        <w:rPr>
          <w:color w:val="auto"/>
          <w:lang w:val="en-GB"/>
        </w:rPr>
      </w:pPr>
      <w:r w:rsidRPr="0004064E">
        <w:rPr>
          <w:color w:val="auto"/>
          <w:lang w:val="en-GB"/>
        </w:rPr>
        <w:t>All equipment supplied shall:</w:t>
      </w:r>
    </w:p>
    <w:p w14:paraId="5D7FA9AA"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Be new and unused.</w:t>
      </w:r>
    </w:p>
    <w:p w14:paraId="059CC291"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Be CE marked.</w:t>
      </w:r>
    </w:p>
    <w:p w14:paraId="69E0E60D"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Be suitable for commercial food production.</w:t>
      </w:r>
    </w:p>
    <w:p w14:paraId="73E67575"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Comply with all current food hygiene and machinery safety legislation.</w:t>
      </w:r>
    </w:p>
    <w:p w14:paraId="6B35098E"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Include operating manuals in English.</w:t>
      </w:r>
    </w:p>
    <w:p w14:paraId="6CBC76C2"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Include installation, commissioning and operator training.</w:t>
      </w:r>
    </w:p>
    <w:p w14:paraId="1524D928"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Include a minimum 12-month warranty.</w:t>
      </w:r>
    </w:p>
    <w:p w14:paraId="41AB7D91"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State recommended maintenance requirements.</w:t>
      </w:r>
    </w:p>
    <w:p w14:paraId="6AFCF9B1"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State availability of spare parts.</w:t>
      </w:r>
    </w:p>
    <w:p w14:paraId="0603E939" w14:textId="77777777" w:rsidR="0004064E" w:rsidRPr="0004064E" w:rsidRDefault="0004064E" w:rsidP="0004064E">
      <w:pPr>
        <w:numPr>
          <w:ilvl w:val="0"/>
          <w:numId w:val="10"/>
        </w:numPr>
        <w:spacing w:after="5" w:line="249" w:lineRule="auto"/>
        <w:ind w:right="115"/>
        <w:rPr>
          <w:color w:val="auto"/>
          <w:lang w:val="en-GB"/>
        </w:rPr>
      </w:pPr>
      <w:r w:rsidRPr="0004064E">
        <w:rPr>
          <w:color w:val="auto"/>
          <w:lang w:val="en-GB"/>
        </w:rPr>
        <w:t>State delivery lead time.</w:t>
      </w:r>
    </w:p>
    <w:p w14:paraId="732B1562" w14:textId="77777777" w:rsidR="00BF7F7C" w:rsidRPr="0004064E" w:rsidRDefault="00BF7F7C" w:rsidP="00975F90">
      <w:pPr>
        <w:spacing w:after="5" w:line="249" w:lineRule="auto"/>
        <w:ind w:right="115"/>
        <w:rPr>
          <w:color w:val="auto"/>
        </w:rPr>
      </w:pPr>
    </w:p>
    <w:p w14:paraId="7751F787" w14:textId="4422A403" w:rsidR="00BF7F7C" w:rsidRDefault="00BF7F7C" w:rsidP="00975F90">
      <w:pPr>
        <w:spacing w:after="5" w:line="249" w:lineRule="auto"/>
        <w:ind w:right="115"/>
        <w:rPr>
          <w:i/>
          <w:iCs/>
          <w:color w:val="FF0000"/>
        </w:rPr>
      </w:pPr>
    </w:p>
    <w:p w14:paraId="1CA464BD" w14:textId="77777777" w:rsidR="00774C24" w:rsidRDefault="00774C24" w:rsidP="00975F90">
      <w:pPr>
        <w:spacing w:after="5" w:line="249" w:lineRule="auto"/>
        <w:ind w:right="115"/>
        <w:rPr>
          <w:i/>
          <w:iCs/>
          <w:color w:val="FF0000"/>
        </w:rPr>
      </w:pPr>
    </w:p>
    <w:p w14:paraId="10E6D60D" w14:textId="77777777" w:rsidR="00774C24" w:rsidRDefault="00774C24" w:rsidP="00975F90">
      <w:pPr>
        <w:spacing w:after="5" w:line="249" w:lineRule="auto"/>
        <w:ind w:right="115"/>
        <w:rPr>
          <w:i/>
          <w:iCs/>
          <w:color w:val="FF0000"/>
        </w:rPr>
      </w:pPr>
    </w:p>
    <w:p w14:paraId="5E9E17B5" w14:textId="77777777" w:rsidR="00BF7F7C" w:rsidRDefault="00BF7F7C" w:rsidP="00975F90">
      <w:pPr>
        <w:spacing w:after="5" w:line="249" w:lineRule="auto"/>
        <w:ind w:right="115"/>
        <w:rPr>
          <w:i/>
          <w:iCs/>
          <w:color w:val="FF0000"/>
        </w:rPr>
      </w:pPr>
    </w:p>
    <w:p w14:paraId="0AA700E5" w14:textId="77777777" w:rsidR="0004064E" w:rsidRDefault="0004064E">
      <w:pPr>
        <w:spacing w:line="259" w:lineRule="auto"/>
        <w:rPr>
          <w:b/>
          <w:bCs/>
        </w:rPr>
      </w:pPr>
      <w:r>
        <w:rPr>
          <w:b/>
          <w:bCs/>
        </w:rPr>
        <w:br w:type="page"/>
      </w:r>
    </w:p>
    <w:p w14:paraId="7F3344D5" w14:textId="43DA02A5" w:rsidR="005115C8" w:rsidRPr="00774C24" w:rsidRDefault="005115C8" w:rsidP="005115C8">
      <w:pPr>
        <w:spacing w:after="5" w:line="249" w:lineRule="auto"/>
        <w:ind w:right="115"/>
        <w:rPr>
          <w:b/>
          <w:bCs/>
        </w:rPr>
      </w:pPr>
      <w:r>
        <w:rPr>
          <w:b/>
          <w:bCs/>
        </w:rPr>
        <w:lastRenderedPageBreak/>
        <w:t>BUDGET</w:t>
      </w:r>
      <w:r w:rsidRPr="00774C24">
        <w:rPr>
          <w:b/>
          <w:bCs/>
        </w:rPr>
        <w:t xml:space="preserve"> </w:t>
      </w:r>
    </w:p>
    <w:p w14:paraId="12F92E8A" w14:textId="77777777" w:rsidR="00BF7F7C" w:rsidRPr="00774C24" w:rsidRDefault="00BF7F7C" w:rsidP="00975F90">
      <w:pPr>
        <w:spacing w:after="5" w:line="249" w:lineRule="auto"/>
        <w:ind w:right="115"/>
        <w:rPr>
          <w:i/>
          <w:iCs/>
          <w:color w:val="FF0000"/>
        </w:rPr>
      </w:pPr>
    </w:p>
    <w:p w14:paraId="1E9530C1" w14:textId="79DCD5E6" w:rsidR="005115C8" w:rsidRPr="00774C24" w:rsidRDefault="005115C8" w:rsidP="005115C8">
      <w:pPr>
        <w:spacing w:after="0" w:line="360" w:lineRule="auto"/>
        <w:jc w:val="both"/>
        <w:rPr>
          <w:color w:val="auto"/>
        </w:rPr>
      </w:pPr>
      <w:r w:rsidRPr="00774C24">
        <w:rPr>
          <w:color w:val="auto"/>
        </w:rPr>
        <w:t>All tenders</w:t>
      </w:r>
      <w:r w:rsidRPr="00774C24">
        <w:rPr>
          <w:b/>
          <w:bCs/>
          <w:color w:val="auto"/>
        </w:rPr>
        <w:t xml:space="preserve"> </w:t>
      </w:r>
      <w:r w:rsidRPr="00774C24">
        <w:rPr>
          <w:color w:val="auto"/>
        </w:rPr>
        <w:t>to be submitted in Euros. Unquantified costs will not be accepted. It is expected that the tender will</w:t>
      </w:r>
      <w:r w:rsidRPr="00774C24">
        <w:rPr>
          <w:b/>
          <w:bCs/>
          <w:color w:val="auto"/>
        </w:rPr>
        <w:t xml:space="preserve"> </w:t>
      </w:r>
      <w:r w:rsidRPr="00774C24">
        <w:rPr>
          <w:color w:val="auto"/>
        </w:rPr>
        <w:t>not exceed</w:t>
      </w:r>
      <w:r w:rsidRPr="00964961">
        <w:rPr>
          <w:color w:val="auto"/>
        </w:rPr>
        <w:t xml:space="preserve"> </w:t>
      </w:r>
      <w:r w:rsidR="00964961" w:rsidRPr="00964961">
        <w:rPr>
          <w:b/>
          <w:bCs/>
          <w:color w:val="auto"/>
        </w:rPr>
        <w:t>€</w:t>
      </w:r>
      <w:r w:rsidR="00964961">
        <w:rPr>
          <w:b/>
          <w:bCs/>
          <w:color w:val="auto"/>
        </w:rPr>
        <w:t>240</w:t>
      </w:r>
      <w:r w:rsidR="008F3604">
        <w:rPr>
          <w:b/>
          <w:bCs/>
          <w:color w:val="auto"/>
        </w:rPr>
        <w:t>,</w:t>
      </w:r>
      <w:r w:rsidR="00964961">
        <w:rPr>
          <w:b/>
          <w:bCs/>
          <w:color w:val="auto"/>
        </w:rPr>
        <w:t>000.00</w:t>
      </w:r>
      <w:r w:rsidRPr="00003F70">
        <w:rPr>
          <w:color w:val="FF0000"/>
        </w:rPr>
        <w:t xml:space="preserve"> </w:t>
      </w:r>
      <w:r w:rsidRPr="00003F70">
        <w:rPr>
          <w:color w:val="auto"/>
        </w:rPr>
        <w:t xml:space="preserve">inclusive </w:t>
      </w:r>
      <w:r w:rsidRPr="00774C24">
        <w:rPr>
          <w:color w:val="auto"/>
        </w:rPr>
        <w:t xml:space="preserve">of any VAT and associated costs. </w:t>
      </w:r>
    </w:p>
    <w:p w14:paraId="24BD388B" w14:textId="77777777" w:rsidR="00BF7F7C" w:rsidRDefault="00BF7F7C" w:rsidP="00975F90">
      <w:pPr>
        <w:spacing w:after="5" w:line="249" w:lineRule="auto"/>
        <w:ind w:right="115"/>
        <w:rPr>
          <w:i/>
          <w:iCs/>
          <w:color w:val="FF0000"/>
        </w:rPr>
      </w:pPr>
    </w:p>
    <w:p w14:paraId="3D9B0A23" w14:textId="77777777" w:rsidR="005115C8" w:rsidRDefault="005115C8" w:rsidP="00975F90">
      <w:pPr>
        <w:spacing w:after="5" w:line="249" w:lineRule="auto"/>
        <w:ind w:right="115"/>
        <w:rPr>
          <w:i/>
          <w:iCs/>
          <w:color w:val="FF0000"/>
        </w:rPr>
      </w:pPr>
    </w:p>
    <w:p w14:paraId="151E64E0" w14:textId="429C4B16" w:rsidR="005115C8" w:rsidRDefault="005115C8" w:rsidP="005115C8">
      <w:pPr>
        <w:pStyle w:val="ListParagraph"/>
        <w:spacing w:line="360" w:lineRule="auto"/>
        <w:ind w:left="0"/>
        <w:jc w:val="both"/>
        <w:rPr>
          <w:b/>
          <w:bCs/>
        </w:rPr>
      </w:pPr>
      <w:r w:rsidRPr="00E237D3">
        <w:rPr>
          <w:b/>
          <w:bCs/>
        </w:rPr>
        <w:t xml:space="preserve">EVALUATION CRITERIA: </w:t>
      </w:r>
      <w:r w:rsidR="00774C24">
        <w:rPr>
          <w:b/>
          <w:bCs/>
        </w:rPr>
        <w:t xml:space="preserve"> </w:t>
      </w:r>
    </w:p>
    <w:p w14:paraId="41B407BE" w14:textId="1560DC7B" w:rsidR="00774C24" w:rsidRDefault="00774C24" w:rsidP="00774C24">
      <w:pPr>
        <w:spacing w:line="360" w:lineRule="auto"/>
        <w:jc w:val="both"/>
      </w:pPr>
      <w:r w:rsidRPr="00544D0E">
        <w:rPr>
          <w:u w:val="single"/>
        </w:rPr>
        <w:t>Most Economically Advantageous Tender (MEAT)</w:t>
      </w:r>
      <w:r>
        <w:t xml:space="preserve"> </w:t>
      </w:r>
    </w:p>
    <w:p w14:paraId="25126810" w14:textId="2806CF65" w:rsidR="00774C24" w:rsidRDefault="00774C24" w:rsidP="00003F70">
      <w:pPr>
        <w:spacing w:after="0" w:line="360" w:lineRule="auto"/>
      </w:pPr>
      <w:r w:rsidRPr="0083155F">
        <w:t>The tender evaluation committee will award the contract to the Most Economically Advantageous Tender (MEAT), based on the following award Criteria:</w:t>
      </w:r>
      <w:r w:rsidR="0083155F">
        <w:t xml:space="preserve"> </w:t>
      </w:r>
    </w:p>
    <w:tbl>
      <w:tblPr>
        <w:tblW w:w="8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2032"/>
        <w:gridCol w:w="1784"/>
      </w:tblGrid>
      <w:tr w:rsidR="0083155F" w:rsidRPr="0083155F" w14:paraId="3C776A1F" w14:textId="77777777" w:rsidTr="00003F70">
        <w:trPr>
          <w:trHeight w:val="621"/>
        </w:trPr>
        <w:tc>
          <w:tcPr>
            <w:tcW w:w="5163" w:type="dxa"/>
            <w:shd w:val="clear" w:color="auto" w:fill="D9D9D9" w:themeFill="background1" w:themeFillShade="D9"/>
          </w:tcPr>
          <w:p w14:paraId="4E2F01CE" w14:textId="77777777" w:rsidR="00774C24" w:rsidRPr="007317E8" w:rsidRDefault="00774C24" w:rsidP="00556B36">
            <w:pPr>
              <w:spacing w:line="360" w:lineRule="auto"/>
              <w:ind w:left="179"/>
              <w:jc w:val="center"/>
              <w:rPr>
                <w:b/>
                <w:color w:val="auto"/>
              </w:rPr>
            </w:pPr>
            <w:r w:rsidRPr="007317E8">
              <w:rPr>
                <w:b/>
                <w:color w:val="auto"/>
              </w:rPr>
              <w:t>Criterion</w:t>
            </w:r>
          </w:p>
        </w:tc>
        <w:tc>
          <w:tcPr>
            <w:tcW w:w="2032" w:type="dxa"/>
            <w:shd w:val="clear" w:color="auto" w:fill="D9D9D9" w:themeFill="background1" w:themeFillShade="D9"/>
          </w:tcPr>
          <w:p w14:paraId="7C652D6D" w14:textId="77777777" w:rsidR="00774C24" w:rsidRPr="007317E8" w:rsidRDefault="00774C24" w:rsidP="00556B36">
            <w:pPr>
              <w:spacing w:line="360" w:lineRule="auto"/>
              <w:jc w:val="center"/>
              <w:rPr>
                <w:b/>
                <w:color w:val="auto"/>
              </w:rPr>
            </w:pPr>
            <w:r w:rsidRPr="007317E8">
              <w:rPr>
                <w:b/>
                <w:color w:val="auto"/>
              </w:rPr>
              <w:t>Weighting %</w:t>
            </w:r>
          </w:p>
        </w:tc>
        <w:tc>
          <w:tcPr>
            <w:tcW w:w="1784" w:type="dxa"/>
            <w:shd w:val="clear" w:color="auto" w:fill="D9D9D9" w:themeFill="background1" w:themeFillShade="D9"/>
          </w:tcPr>
          <w:p w14:paraId="508C9686" w14:textId="77777777" w:rsidR="00774C24" w:rsidRPr="007317E8" w:rsidRDefault="00774C24" w:rsidP="00556B36">
            <w:pPr>
              <w:spacing w:line="360" w:lineRule="auto"/>
              <w:jc w:val="center"/>
              <w:rPr>
                <w:b/>
                <w:color w:val="auto"/>
              </w:rPr>
            </w:pPr>
            <w:r w:rsidRPr="007317E8">
              <w:rPr>
                <w:b/>
                <w:color w:val="auto"/>
              </w:rPr>
              <w:t>Minimum Required*</w:t>
            </w:r>
          </w:p>
        </w:tc>
      </w:tr>
      <w:tr w:rsidR="0083155F" w:rsidRPr="0083155F" w14:paraId="01827E7A" w14:textId="77777777" w:rsidTr="00003F70">
        <w:trPr>
          <w:trHeight w:val="453"/>
        </w:trPr>
        <w:tc>
          <w:tcPr>
            <w:tcW w:w="5163" w:type="dxa"/>
          </w:tcPr>
          <w:p w14:paraId="4C2F0020" w14:textId="77777777" w:rsidR="00774C24" w:rsidRPr="008F3604" w:rsidRDefault="00774C24" w:rsidP="00556B36">
            <w:pPr>
              <w:spacing w:line="240" w:lineRule="auto"/>
              <w:rPr>
                <w:color w:val="000000" w:themeColor="text1"/>
              </w:rPr>
            </w:pPr>
            <w:r w:rsidRPr="008F3604">
              <w:rPr>
                <w:color w:val="000000" w:themeColor="text1"/>
              </w:rPr>
              <w:t>Availability and ability to deliver the project on time</w:t>
            </w:r>
          </w:p>
        </w:tc>
        <w:tc>
          <w:tcPr>
            <w:tcW w:w="2032" w:type="dxa"/>
          </w:tcPr>
          <w:p w14:paraId="4224B5CC" w14:textId="77777777" w:rsidR="00774C24" w:rsidRPr="008F3604" w:rsidRDefault="00774C24" w:rsidP="00556B36">
            <w:pPr>
              <w:spacing w:line="240" w:lineRule="auto"/>
              <w:jc w:val="center"/>
              <w:rPr>
                <w:color w:val="000000" w:themeColor="text1"/>
              </w:rPr>
            </w:pPr>
            <w:r w:rsidRPr="008F3604">
              <w:rPr>
                <w:color w:val="000000" w:themeColor="text1"/>
              </w:rPr>
              <w:t>5%</w:t>
            </w:r>
          </w:p>
        </w:tc>
        <w:tc>
          <w:tcPr>
            <w:tcW w:w="1784" w:type="dxa"/>
          </w:tcPr>
          <w:p w14:paraId="155F3BB6" w14:textId="77777777" w:rsidR="00774C24" w:rsidRPr="008F3604" w:rsidRDefault="00774C24" w:rsidP="00556B36">
            <w:pPr>
              <w:spacing w:line="240" w:lineRule="auto"/>
              <w:jc w:val="center"/>
              <w:rPr>
                <w:color w:val="000000" w:themeColor="text1"/>
              </w:rPr>
            </w:pPr>
            <w:r w:rsidRPr="008F3604">
              <w:rPr>
                <w:color w:val="000000" w:themeColor="text1"/>
              </w:rPr>
              <w:t>2.5%</w:t>
            </w:r>
          </w:p>
        </w:tc>
      </w:tr>
      <w:tr w:rsidR="0083155F" w:rsidRPr="0083155F" w14:paraId="040F90B4" w14:textId="77777777" w:rsidTr="00003F70">
        <w:trPr>
          <w:trHeight w:val="453"/>
        </w:trPr>
        <w:tc>
          <w:tcPr>
            <w:tcW w:w="5163" w:type="dxa"/>
          </w:tcPr>
          <w:p w14:paraId="063ABB22" w14:textId="77777777" w:rsidR="00774C24" w:rsidRPr="008F3604" w:rsidRDefault="00774C24" w:rsidP="00556B36">
            <w:pPr>
              <w:spacing w:line="240" w:lineRule="auto"/>
              <w:rPr>
                <w:color w:val="000000" w:themeColor="text1"/>
              </w:rPr>
            </w:pPr>
            <w:r w:rsidRPr="008F3604">
              <w:rPr>
                <w:color w:val="000000" w:themeColor="text1"/>
              </w:rPr>
              <w:t>Experience of the tenderer including their expertise and qualifications</w:t>
            </w:r>
          </w:p>
        </w:tc>
        <w:tc>
          <w:tcPr>
            <w:tcW w:w="2032" w:type="dxa"/>
          </w:tcPr>
          <w:p w14:paraId="1629AC4C" w14:textId="4E9BA872" w:rsidR="00774C24" w:rsidRPr="008F3604" w:rsidRDefault="0083155F" w:rsidP="00556B36">
            <w:pPr>
              <w:spacing w:line="240" w:lineRule="auto"/>
              <w:jc w:val="center"/>
              <w:rPr>
                <w:color w:val="000000" w:themeColor="text1"/>
              </w:rPr>
            </w:pPr>
            <w:r w:rsidRPr="008F3604">
              <w:rPr>
                <w:color w:val="000000" w:themeColor="text1"/>
              </w:rPr>
              <w:t>2</w:t>
            </w:r>
            <w:r w:rsidR="00774C24" w:rsidRPr="008F3604">
              <w:rPr>
                <w:color w:val="000000" w:themeColor="text1"/>
              </w:rPr>
              <w:t>0%</w:t>
            </w:r>
          </w:p>
        </w:tc>
        <w:tc>
          <w:tcPr>
            <w:tcW w:w="1784" w:type="dxa"/>
          </w:tcPr>
          <w:p w14:paraId="57C38D46" w14:textId="20AE5A7B" w:rsidR="00774C24" w:rsidRPr="008F3604" w:rsidRDefault="0083155F" w:rsidP="00556B36">
            <w:pPr>
              <w:spacing w:line="240" w:lineRule="auto"/>
              <w:jc w:val="center"/>
              <w:rPr>
                <w:color w:val="000000" w:themeColor="text1"/>
              </w:rPr>
            </w:pPr>
            <w:r w:rsidRPr="008F3604">
              <w:rPr>
                <w:color w:val="000000" w:themeColor="text1"/>
              </w:rPr>
              <w:t>10</w:t>
            </w:r>
            <w:r w:rsidR="00774C24" w:rsidRPr="008F3604">
              <w:rPr>
                <w:color w:val="000000" w:themeColor="text1"/>
              </w:rPr>
              <w:t>%</w:t>
            </w:r>
          </w:p>
        </w:tc>
      </w:tr>
      <w:tr w:rsidR="0083155F" w:rsidRPr="0083155F" w14:paraId="5E24C487" w14:textId="77777777" w:rsidTr="00003F70">
        <w:trPr>
          <w:trHeight w:val="453"/>
        </w:trPr>
        <w:tc>
          <w:tcPr>
            <w:tcW w:w="5163" w:type="dxa"/>
          </w:tcPr>
          <w:p w14:paraId="642F0003" w14:textId="34FCD584" w:rsidR="00774C24" w:rsidRPr="008F3604" w:rsidRDefault="0083155F" w:rsidP="00556B36">
            <w:pPr>
              <w:spacing w:line="240" w:lineRule="auto"/>
              <w:rPr>
                <w:color w:val="000000" w:themeColor="text1"/>
              </w:rPr>
            </w:pPr>
            <w:r w:rsidRPr="008F3604">
              <w:rPr>
                <w:color w:val="000000" w:themeColor="text1"/>
              </w:rPr>
              <w:t>Meeting the technical specification</w:t>
            </w:r>
          </w:p>
        </w:tc>
        <w:tc>
          <w:tcPr>
            <w:tcW w:w="2032" w:type="dxa"/>
          </w:tcPr>
          <w:p w14:paraId="7A205CE3" w14:textId="77777777" w:rsidR="00774C24" w:rsidRPr="008F3604" w:rsidRDefault="00774C24" w:rsidP="00556B36">
            <w:pPr>
              <w:spacing w:line="240" w:lineRule="auto"/>
              <w:jc w:val="center"/>
              <w:rPr>
                <w:color w:val="000000" w:themeColor="text1"/>
              </w:rPr>
            </w:pPr>
            <w:r w:rsidRPr="008F3604">
              <w:rPr>
                <w:color w:val="000000" w:themeColor="text1"/>
              </w:rPr>
              <w:t>30%</w:t>
            </w:r>
          </w:p>
        </w:tc>
        <w:tc>
          <w:tcPr>
            <w:tcW w:w="1784" w:type="dxa"/>
          </w:tcPr>
          <w:p w14:paraId="46985C96" w14:textId="77777777" w:rsidR="00774C24" w:rsidRPr="008F3604" w:rsidRDefault="00774C24" w:rsidP="00556B36">
            <w:pPr>
              <w:spacing w:line="240" w:lineRule="auto"/>
              <w:jc w:val="center"/>
              <w:rPr>
                <w:color w:val="000000" w:themeColor="text1"/>
              </w:rPr>
            </w:pPr>
            <w:r w:rsidRPr="008F3604">
              <w:rPr>
                <w:color w:val="000000" w:themeColor="text1"/>
              </w:rPr>
              <w:t>15%</w:t>
            </w:r>
          </w:p>
        </w:tc>
      </w:tr>
      <w:tr w:rsidR="0083155F" w:rsidRPr="0083155F" w14:paraId="224EB690" w14:textId="77777777" w:rsidTr="00003F70">
        <w:trPr>
          <w:trHeight w:val="401"/>
        </w:trPr>
        <w:tc>
          <w:tcPr>
            <w:tcW w:w="5163" w:type="dxa"/>
          </w:tcPr>
          <w:p w14:paraId="27C51275" w14:textId="42AF65EC" w:rsidR="00774C24" w:rsidRPr="008F3604" w:rsidRDefault="00774C24" w:rsidP="00556B36">
            <w:pPr>
              <w:spacing w:line="240" w:lineRule="auto"/>
              <w:rPr>
                <w:color w:val="000000" w:themeColor="text1"/>
              </w:rPr>
            </w:pPr>
            <w:r w:rsidRPr="008F3604">
              <w:rPr>
                <w:color w:val="000000" w:themeColor="text1"/>
              </w:rPr>
              <w:t>Cost (</w:t>
            </w:r>
            <w:r w:rsidR="0083155F" w:rsidRPr="008F3604">
              <w:rPr>
                <w:color w:val="000000" w:themeColor="text1"/>
              </w:rPr>
              <w:t>Incl.</w:t>
            </w:r>
            <w:r w:rsidRPr="008F3604">
              <w:rPr>
                <w:color w:val="000000" w:themeColor="text1"/>
              </w:rPr>
              <w:t xml:space="preserve"> VAT</w:t>
            </w:r>
            <w:r w:rsidR="0083155F" w:rsidRPr="008F3604">
              <w:rPr>
                <w:color w:val="000000" w:themeColor="text1"/>
              </w:rPr>
              <w:t>, f</w:t>
            </w:r>
            <w:r w:rsidRPr="008F3604">
              <w:rPr>
                <w:color w:val="000000" w:themeColor="text1"/>
              </w:rPr>
              <w:t>ees, expenses, and incidentals</w:t>
            </w:r>
            <w:r w:rsidR="0083155F" w:rsidRPr="008F3604">
              <w:rPr>
                <w:color w:val="000000" w:themeColor="text1"/>
              </w:rPr>
              <w:t>)</w:t>
            </w:r>
          </w:p>
        </w:tc>
        <w:tc>
          <w:tcPr>
            <w:tcW w:w="2032" w:type="dxa"/>
          </w:tcPr>
          <w:p w14:paraId="4E61E932" w14:textId="2A310577" w:rsidR="00774C24" w:rsidRPr="008F3604" w:rsidRDefault="0083155F" w:rsidP="00556B36">
            <w:pPr>
              <w:spacing w:line="240" w:lineRule="auto"/>
              <w:jc w:val="center"/>
              <w:rPr>
                <w:color w:val="000000" w:themeColor="text1"/>
              </w:rPr>
            </w:pPr>
            <w:r w:rsidRPr="008F3604">
              <w:rPr>
                <w:color w:val="000000" w:themeColor="text1"/>
              </w:rPr>
              <w:t>45</w:t>
            </w:r>
            <w:r w:rsidR="00774C24" w:rsidRPr="008F3604">
              <w:rPr>
                <w:color w:val="000000" w:themeColor="text1"/>
              </w:rPr>
              <w:t>%</w:t>
            </w:r>
          </w:p>
        </w:tc>
        <w:tc>
          <w:tcPr>
            <w:tcW w:w="1784" w:type="dxa"/>
          </w:tcPr>
          <w:p w14:paraId="1D3C0313" w14:textId="77777777" w:rsidR="00774C24" w:rsidRPr="008F3604" w:rsidRDefault="00774C24" w:rsidP="00556B36">
            <w:pPr>
              <w:spacing w:line="240" w:lineRule="auto"/>
              <w:jc w:val="center"/>
              <w:rPr>
                <w:color w:val="000000" w:themeColor="text1"/>
              </w:rPr>
            </w:pPr>
            <w:r w:rsidRPr="008F3604">
              <w:rPr>
                <w:color w:val="000000" w:themeColor="text1"/>
              </w:rPr>
              <w:t>N/A</w:t>
            </w:r>
          </w:p>
        </w:tc>
      </w:tr>
    </w:tbl>
    <w:p w14:paraId="40BE70CE" w14:textId="77777777" w:rsidR="00774C24" w:rsidRDefault="00774C24" w:rsidP="00774C24">
      <w:pPr>
        <w:spacing w:after="0" w:line="276" w:lineRule="auto"/>
        <w:ind w:left="567" w:hanging="567"/>
        <w:jc w:val="both"/>
        <w:rPr>
          <w:b/>
          <w:bCs/>
          <w:sz w:val="20"/>
          <w:szCs w:val="20"/>
        </w:rPr>
      </w:pPr>
    </w:p>
    <w:p w14:paraId="105E6E08" w14:textId="77777777" w:rsidR="00774C24" w:rsidRPr="00544D0E" w:rsidRDefault="00774C24" w:rsidP="007317E8">
      <w:pPr>
        <w:spacing w:line="276" w:lineRule="auto"/>
        <w:ind w:left="284" w:hanging="284"/>
        <w:rPr>
          <w:b/>
          <w:bCs/>
        </w:rPr>
      </w:pPr>
      <w:r w:rsidRPr="00544D0E">
        <w:rPr>
          <w:b/>
          <w:bCs/>
        </w:rPr>
        <w:t>*</w:t>
      </w:r>
      <w:r w:rsidRPr="00544D0E">
        <w:rPr>
          <w:b/>
          <w:bCs/>
        </w:rPr>
        <w:tab/>
        <w:t>Failure to meet the minimum requirement in any category will result in automatic elimination from the competition.</w:t>
      </w:r>
    </w:p>
    <w:p w14:paraId="1EA7B744" w14:textId="2356F4EB" w:rsidR="0083155F" w:rsidRPr="00544D0E" w:rsidRDefault="0083155F" w:rsidP="007317E8">
      <w:pPr>
        <w:spacing w:line="276" w:lineRule="auto"/>
      </w:pPr>
      <w:r w:rsidRPr="00544D0E">
        <w:t xml:space="preserve">For Full Transparency and clarity, please note the below scoring mechanism and rationale will be operated by the Project Promoter for non-cost criteria. </w:t>
      </w:r>
    </w:p>
    <w:tbl>
      <w:tblPr>
        <w:tblStyle w:val="TableGrid"/>
        <w:tblW w:w="8931" w:type="dxa"/>
        <w:tblInd w:w="-5" w:type="dxa"/>
        <w:tblLook w:val="04A0" w:firstRow="1" w:lastRow="0" w:firstColumn="1" w:lastColumn="0" w:noHBand="0" w:noVBand="1"/>
      </w:tblPr>
      <w:tblGrid>
        <w:gridCol w:w="2212"/>
        <w:gridCol w:w="6719"/>
      </w:tblGrid>
      <w:tr w:rsidR="0083155F" w:rsidRPr="00544D0E" w14:paraId="4EEB01D9" w14:textId="77777777" w:rsidTr="00003F70">
        <w:trPr>
          <w:trHeight w:val="268"/>
        </w:trPr>
        <w:tc>
          <w:tcPr>
            <w:tcW w:w="2212" w:type="dxa"/>
            <w:shd w:val="clear" w:color="auto" w:fill="D9D9D9" w:themeFill="background1" w:themeFillShade="D9"/>
          </w:tcPr>
          <w:p w14:paraId="232E76C9" w14:textId="77777777" w:rsidR="0083155F" w:rsidRPr="00544D0E" w:rsidRDefault="0083155F" w:rsidP="00556B36">
            <w:pPr>
              <w:spacing w:line="276" w:lineRule="auto"/>
              <w:jc w:val="both"/>
              <w:rPr>
                <w:b/>
                <w:bCs/>
                <w:sz w:val="22"/>
                <w:szCs w:val="22"/>
              </w:rPr>
            </w:pPr>
            <w:r w:rsidRPr="00544D0E">
              <w:rPr>
                <w:b/>
                <w:bCs/>
                <w:sz w:val="22"/>
                <w:szCs w:val="22"/>
              </w:rPr>
              <w:t>Score</w:t>
            </w:r>
          </w:p>
        </w:tc>
        <w:tc>
          <w:tcPr>
            <w:tcW w:w="6719" w:type="dxa"/>
            <w:shd w:val="clear" w:color="auto" w:fill="D9D9D9" w:themeFill="background1" w:themeFillShade="D9"/>
          </w:tcPr>
          <w:p w14:paraId="488FC7A6" w14:textId="77777777" w:rsidR="0083155F" w:rsidRPr="00544D0E" w:rsidRDefault="0083155F" w:rsidP="00556B36">
            <w:pPr>
              <w:spacing w:line="276" w:lineRule="auto"/>
              <w:jc w:val="both"/>
              <w:rPr>
                <w:b/>
                <w:bCs/>
                <w:sz w:val="22"/>
                <w:szCs w:val="22"/>
              </w:rPr>
            </w:pPr>
            <w:r w:rsidRPr="00544D0E">
              <w:rPr>
                <w:b/>
                <w:bCs/>
                <w:sz w:val="22"/>
                <w:szCs w:val="22"/>
              </w:rPr>
              <w:t>Interpretation</w:t>
            </w:r>
          </w:p>
        </w:tc>
      </w:tr>
      <w:tr w:rsidR="0083155F" w:rsidRPr="00544D0E" w14:paraId="652A7466" w14:textId="77777777" w:rsidTr="00003F70">
        <w:trPr>
          <w:trHeight w:val="552"/>
        </w:trPr>
        <w:tc>
          <w:tcPr>
            <w:tcW w:w="2212" w:type="dxa"/>
          </w:tcPr>
          <w:p w14:paraId="28B2B3CE" w14:textId="77777777" w:rsidR="0083155F" w:rsidRPr="00544D0E" w:rsidRDefault="0083155F" w:rsidP="00544D0E">
            <w:pPr>
              <w:spacing w:line="276" w:lineRule="auto"/>
              <w:rPr>
                <w:sz w:val="22"/>
                <w:szCs w:val="22"/>
              </w:rPr>
            </w:pPr>
            <w:r w:rsidRPr="00544D0E">
              <w:rPr>
                <w:sz w:val="22"/>
                <w:szCs w:val="22"/>
              </w:rPr>
              <w:t>81% - 100% of the marks</w:t>
            </w:r>
          </w:p>
        </w:tc>
        <w:tc>
          <w:tcPr>
            <w:tcW w:w="6719" w:type="dxa"/>
          </w:tcPr>
          <w:p w14:paraId="6AA8B4BC" w14:textId="77777777" w:rsidR="0083155F" w:rsidRPr="00544D0E" w:rsidRDefault="0083155F" w:rsidP="00544D0E">
            <w:pPr>
              <w:spacing w:line="276" w:lineRule="auto"/>
              <w:rPr>
                <w:sz w:val="22"/>
                <w:szCs w:val="22"/>
              </w:rPr>
            </w:pPr>
            <w:r w:rsidRPr="00544D0E">
              <w:rPr>
                <w:sz w:val="22"/>
                <w:szCs w:val="22"/>
              </w:rPr>
              <w:t>Excellent response that fully meets or exceeds specification and provides comprehensive and convincing assurance that the Tenderer will deliver to an excellent standard.</w:t>
            </w:r>
          </w:p>
        </w:tc>
      </w:tr>
      <w:tr w:rsidR="0083155F" w:rsidRPr="00544D0E" w14:paraId="559C9210" w14:textId="77777777" w:rsidTr="00003F70">
        <w:trPr>
          <w:trHeight w:val="567"/>
        </w:trPr>
        <w:tc>
          <w:tcPr>
            <w:tcW w:w="2212" w:type="dxa"/>
          </w:tcPr>
          <w:p w14:paraId="28C060AC" w14:textId="77777777" w:rsidR="0083155F" w:rsidRPr="00544D0E" w:rsidRDefault="0083155F" w:rsidP="00544D0E">
            <w:pPr>
              <w:spacing w:line="276" w:lineRule="auto"/>
              <w:rPr>
                <w:sz w:val="22"/>
                <w:szCs w:val="22"/>
              </w:rPr>
            </w:pPr>
            <w:r w:rsidRPr="00544D0E">
              <w:rPr>
                <w:sz w:val="22"/>
                <w:szCs w:val="22"/>
              </w:rPr>
              <w:t>61% - 80% of the marks</w:t>
            </w:r>
          </w:p>
        </w:tc>
        <w:tc>
          <w:tcPr>
            <w:tcW w:w="6719" w:type="dxa"/>
          </w:tcPr>
          <w:p w14:paraId="7749645F" w14:textId="77777777" w:rsidR="0083155F" w:rsidRPr="00544D0E" w:rsidRDefault="0083155F" w:rsidP="00544D0E">
            <w:pPr>
              <w:spacing w:line="276" w:lineRule="auto"/>
              <w:rPr>
                <w:sz w:val="22"/>
                <w:szCs w:val="22"/>
              </w:rPr>
            </w:pPr>
            <w:r w:rsidRPr="00544D0E">
              <w:rPr>
                <w:sz w:val="22"/>
                <w:szCs w:val="22"/>
              </w:rPr>
              <w:t>A very good response that demonstrates real understanding of the specification and provides convincing assurance that the Tenderer will deliver to a very good or high standard.</w:t>
            </w:r>
          </w:p>
        </w:tc>
      </w:tr>
      <w:tr w:rsidR="0083155F" w:rsidRPr="00544D0E" w14:paraId="57C414B7" w14:textId="77777777" w:rsidTr="00003F70">
        <w:trPr>
          <w:trHeight w:val="821"/>
        </w:trPr>
        <w:tc>
          <w:tcPr>
            <w:tcW w:w="2212" w:type="dxa"/>
          </w:tcPr>
          <w:p w14:paraId="729C4BE6" w14:textId="77777777" w:rsidR="0083155F" w:rsidRPr="00544D0E" w:rsidRDefault="0083155F" w:rsidP="00544D0E">
            <w:pPr>
              <w:spacing w:line="276" w:lineRule="auto"/>
              <w:rPr>
                <w:sz w:val="22"/>
                <w:szCs w:val="22"/>
              </w:rPr>
            </w:pPr>
            <w:r w:rsidRPr="00544D0E">
              <w:rPr>
                <w:sz w:val="22"/>
                <w:szCs w:val="22"/>
              </w:rPr>
              <w:t>51% - 60% of the marks</w:t>
            </w:r>
          </w:p>
        </w:tc>
        <w:tc>
          <w:tcPr>
            <w:tcW w:w="6719" w:type="dxa"/>
          </w:tcPr>
          <w:p w14:paraId="71189975" w14:textId="77777777" w:rsidR="0083155F" w:rsidRPr="00544D0E" w:rsidRDefault="0083155F" w:rsidP="00544D0E">
            <w:pPr>
              <w:spacing w:line="276" w:lineRule="auto"/>
              <w:rPr>
                <w:sz w:val="22"/>
                <w:szCs w:val="22"/>
              </w:rPr>
            </w:pPr>
            <w:r w:rsidRPr="00544D0E">
              <w:rPr>
                <w:sz w:val="22"/>
                <w:szCs w:val="22"/>
              </w:rPr>
              <w:t>A satisfactory response which demonstrates a reasonable understanding of the specification and gives reasonable assurance of delivery to an adequate standard but does not provide sufficiently convincing assurance to award a higher mark.</w:t>
            </w:r>
          </w:p>
        </w:tc>
      </w:tr>
      <w:tr w:rsidR="0083155F" w:rsidRPr="00544D0E" w14:paraId="1EE709B2" w14:textId="77777777" w:rsidTr="00003F70">
        <w:trPr>
          <w:trHeight w:val="567"/>
        </w:trPr>
        <w:tc>
          <w:tcPr>
            <w:tcW w:w="2212" w:type="dxa"/>
          </w:tcPr>
          <w:p w14:paraId="185B8A06" w14:textId="77777777" w:rsidR="0083155F" w:rsidRPr="00544D0E" w:rsidRDefault="0083155F" w:rsidP="00544D0E">
            <w:pPr>
              <w:spacing w:line="276" w:lineRule="auto"/>
              <w:rPr>
                <w:sz w:val="22"/>
                <w:szCs w:val="22"/>
              </w:rPr>
            </w:pPr>
            <w:r w:rsidRPr="00544D0E">
              <w:rPr>
                <w:sz w:val="22"/>
                <w:szCs w:val="22"/>
              </w:rPr>
              <w:t>1% - 50% of the marks</w:t>
            </w:r>
          </w:p>
        </w:tc>
        <w:tc>
          <w:tcPr>
            <w:tcW w:w="6719" w:type="dxa"/>
          </w:tcPr>
          <w:p w14:paraId="0ACABDFB" w14:textId="59FE912B" w:rsidR="0083155F" w:rsidRPr="00544D0E" w:rsidRDefault="0083155F" w:rsidP="00544D0E">
            <w:pPr>
              <w:spacing w:line="276" w:lineRule="auto"/>
              <w:rPr>
                <w:sz w:val="22"/>
                <w:szCs w:val="22"/>
              </w:rPr>
            </w:pPr>
            <w:r w:rsidRPr="00544D0E">
              <w:rPr>
                <w:sz w:val="22"/>
                <w:szCs w:val="22"/>
              </w:rPr>
              <w:t>A response where reservations exist. Lacks detail and does not provide confidence that the required services will be successfully delivered.</w:t>
            </w:r>
          </w:p>
        </w:tc>
      </w:tr>
      <w:tr w:rsidR="0083155F" w:rsidRPr="00544D0E" w14:paraId="57D22F4B" w14:textId="77777777" w:rsidTr="00003F70">
        <w:trPr>
          <w:trHeight w:val="537"/>
        </w:trPr>
        <w:tc>
          <w:tcPr>
            <w:tcW w:w="2212" w:type="dxa"/>
          </w:tcPr>
          <w:p w14:paraId="206BBE65" w14:textId="77777777" w:rsidR="0083155F" w:rsidRPr="00544D0E" w:rsidRDefault="0083155F" w:rsidP="00544D0E">
            <w:pPr>
              <w:spacing w:line="276" w:lineRule="auto"/>
              <w:rPr>
                <w:sz w:val="22"/>
                <w:szCs w:val="22"/>
              </w:rPr>
            </w:pPr>
            <w:r w:rsidRPr="00544D0E">
              <w:rPr>
                <w:sz w:val="22"/>
                <w:szCs w:val="22"/>
              </w:rPr>
              <w:t>0</w:t>
            </w:r>
          </w:p>
        </w:tc>
        <w:tc>
          <w:tcPr>
            <w:tcW w:w="6719" w:type="dxa"/>
          </w:tcPr>
          <w:p w14:paraId="6073DC2A" w14:textId="77777777" w:rsidR="0083155F" w:rsidRPr="00544D0E" w:rsidRDefault="0083155F" w:rsidP="00544D0E">
            <w:pPr>
              <w:spacing w:line="276" w:lineRule="auto"/>
              <w:rPr>
                <w:sz w:val="22"/>
                <w:szCs w:val="22"/>
              </w:rPr>
            </w:pPr>
            <w:r w:rsidRPr="00544D0E">
              <w:rPr>
                <w:sz w:val="22"/>
                <w:szCs w:val="22"/>
              </w:rPr>
              <w:t>No response or partial response only and poor evidence provided in support of it, failure to meet the specification.</w:t>
            </w:r>
          </w:p>
        </w:tc>
      </w:tr>
    </w:tbl>
    <w:p w14:paraId="4A747391" w14:textId="77777777" w:rsidR="00544D0E" w:rsidRDefault="00544D0E" w:rsidP="00975F90">
      <w:pPr>
        <w:rPr>
          <w:lang w:eastAsia="en-US"/>
        </w:rPr>
      </w:pPr>
    </w:p>
    <w:p w14:paraId="36312A3A" w14:textId="77777777" w:rsidR="008F3604" w:rsidRDefault="008F3604" w:rsidP="00964961">
      <w:pPr>
        <w:spacing w:after="0" w:line="276" w:lineRule="auto"/>
        <w:rPr>
          <w:b/>
          <w:bCs/>
        </w:rPr>
      </w:pPr>
    </w:p>
    <w:p w14:paraId="50E1B1EC" w14:textId="77777777" w:rsidR="008F3604" w:rsidRDefault="008F3604" w:rsidP="00964961">
      <w:pPr>
        <w:spacing w:after="0" w:line="276" w:lineRule="auto"/>
        <w:rPr>
          <w:b/>
          <w:bCs/>
        </w:rPr>
      </w:pPr>
    </w:p>
    <w:p w14:paraId="363F51C8" w14:textId="172DBE14" w:rsidR="00964961" w:rsidRDefault="00964961" w:rsidP="00964961">
      <w:pPr>
        <w:spacing w:after="0" w:line="276" w:lineRule="auto"/>
        <w:rPr>
          <w:b/>
          <w:bCs/>
        </w:rPr>
      </w:pPr>
      <w:r>
        <w:rPr>
          <w:b/>
          <w:bCs/>
        </w:rPr>
        <w:lastRenderedPageBreak/>
        <w:t xml:space="preserve">INSTRUCTIONS TO </w:t>
      </w:r>
      <w:r w:rsidRPr="00087025">
        <w:rPr>
          <w:b/>
          <w:bCs/>
        </w:rPr>
        <w:t>TENDER</w:t>
      </w:r>
      <w:r>
        <w:rPr>
          <w:b/>
          <w:bCs/>
        </w:rPr>
        <w:t xml:space="preserve">ERS </w:t>
      </w:r>
    </w:p>
    <w:p w14:paraId="36314856" w14:textId="77777777" w:rsidR="00964961" w:rsidRPr="00087025" w:rsidRDefault="00964961" w:rsidP="00964961">
      <w:pPr>
        <w:spacing w:after="0" w:line="360" w:lineRule="auto"/>
        <w:rPr>
          <w:b/>
          <w:bCs/>
        </w:rPr>
      </w:pPr>
    </w:p>
    <w:p w14:paraId="1BB0ED8D" w14:textId="77777777" w:rsidR="00964961" w:rsidRPr="00544D0E" w:rsidRDefault="00964961" w:rsidP="00964961">
      <w:pPr>
        <w:spacing w:after="0" w:line="360" w:lineRule="auto"/>
        <w:rPr>
          <w:color w:val="auto"/>
        </w:rPr>
      </w:pPr>
      <w:r w:rsidRPr="00544D0E">
        <w:rPr>
          <w:color w:val="auto"/>
        </w:rPr>
        <w:t xml:space="preserve">Tenders </w:t>
      </w:r>
      <w:r w:rsidRPr="00544D0E">
        <w:rPr>
          <w:i/>
          <w:iCs/>
          <w:color w:val="auto"/>
          <w:u w:val="single"/>
        </w:rPr>
        <w:t xml:space="preserve">must include </w:t>
      </w:r>
      <w:r w:rsidRPr="00544D0E">
        <w:rPr>
          <w:b/>
          <w:bCs/>
          <w:i/>
          <w:iCs/>
          <w:color w:val="auto"/>
          <w:u w:val="single"/>
        </w:rPr>
        <w:t>ALL</w:t>
      </w:r>
      <w:r w:rsidRPr="00544D0E">
        <w:rPr>
          <w:i/>
          <w:iCs/>
          <w:color w:val="auto"/>
          <w:u w:val="single"/>
        </w:rPr>
        <w:t xml:space="preserve"> of the following items </w:t>
      </w:r>
      <w:r w:rsidRPr="00544D0E">
        <w:rPr>
          <w:color w:val="auto"/>
        </w:rPr>
        <w:t>as part of their Tender submission:</w:t>
      </w:r>
    </w:p>
    <w:p w14:paraId="6D95F9AF" w14:textId="454094AE" w:rsidR="00964961" w:rsidRPr="00544D0E" w:rsidRDefault="00964961" w:rsidP="00964961">
      <w:pPr>
        <w:pStyle w:val="ListParagraph"/>
        <w:numPr>
          <w:ilvl w:val="0"/>
          <w:numId w:val="4"/>
        </w:numPr>
        <w:spacing w:after="0" w:line="360" w:lineRule="auto"/>
        <w:rPr>
          <w:color w:val="auto"/>
        </w:rPr>
      </w:pPr>
      <w:r w:rsidRPr="00544D0E">
        <w:rPr>
          <w:color w:val="auto"/>
        </w:rPr>
        <w:t>Name &amp; contact details of individual/organisation submitting the tender</w:t>
      </w:r>
      <w:r w:rsidR="008F3604">
        <w:rPr>
          <w:color w:val="auto"/>
        </w:rPr>
        <w:t>.</w:t>
      </w:r>
    </w:p>
    <w:p w14:paraId="2D98A902" w14:textId="77777777" w:rsidR="00964961" w:rsidRPr="00544D0E" w:rsidRDefault="00964961" w:rsidP="00964961">
      <w:pPr>
        <w:pStyle w:val="ListParagraph"/>
        <w:numPr>
          <w:ilvl w:val="0"/>
          <w:numId w:val="4"/>
        </w:numPr>
        <w:tabs>
          <w:tab w:val="left" w:pos="851"/>
        </w:tabs>
        <w:spacing w:line="360" w:lineRule="auto"/>
        <w:rPr>
          <w:color w:val="auto"/>
        </w:rPr>
      </w:pPr>
      <w:r w:rsidRPr="00544D0E">
        <w:rPr>
          <w:color w:val="auto"/>
        </w:rPr>
        <w:t xml:space="preserve">Details of qualifications &amp; experience of the Tenderer. </w:t>
      </w:r>
    </w:p>
    <w:p w14:paraId="54988412" w14:textId="77777777" w:rsidR="00964961" w:rsidRPr="00544D0E" w:rsidRDefault="00964961" w:rsidP="00964961">
      <w:pPr>
        <w:pStyle w:val="ListParagraph"/>
        <w:numPr>
          <w:ilvl w:val="0"/>
          <w:numId w:val="4"/>
        </w:numPr>
        <w:tabs>
          <w:tab w:val="left" w:pos="851"/>
        </w:tabs>
        <w:spacing w:line="360" w:lineRule="auto"/>
        <w:rPr>
          <w:color w:val="auto"/>
        </w:rPr>
      </w:pPr>
      <w:r w:rsidRPr="00544D0E">
        <w:rPr>
          <w:color w:val="auto"/>
        </w:rPr>
        <w:t>Timeframe &amp; availability to complete the project in line with estimate</w:t>
      </w:r>
      <w:r>
        <w:rPr>
          <w:color w:val="auto"/>
        </w:rPr>
        <w:t>d</w:t>
      </w:r>
      <w:r w:rsidRPr="00544D0E">
        <w:rPr>
          <w:color w:val="auto"/>
        </w:rPr>
        <w:t xml:space="preserve"> project programme</w:t>
      </w:r>
      <w:r>
        <w:rPr>
          <w:color w:val="auto"/>
        </w:rPr>
        <w:t xml:space="preserve">. </w:t>
      </w:r>
    </w:p>
    <w:p w14:paraId="7A0F9847" w14:textId="77777777" w:rsidR="00964961" w:rsidRPr="00544D0E" w:rsidRDefault="00964961" w:rsidP="00964961">
      <w:pPr>
        <w:pStyle w:val="ListParagraph"/>
        <w:numPr>
          <w:ilvl w:val="0"/>
          <w:numId w:val="4"/>
        </w:numPr>
        <w:spacing w:after="0" w:line="360" w:lineRule="auto"/>
        <w:rPr>
          <w:color w:val="FF0000"/>
        </w:rPr>
      </w:pPr>
      <w:r w:rsidRPr="00B359C7">
        <w:rPr>
          <w:color w:val="auto"/>
        </w:rPr>
        <w:t>Confirmation of ability to provide up-to-date Tax Clearance Cert</w:t>
      </w:r>
      <w:r w:rsidRPr="00544D0E">
        <w:rPr>
          <w:color w:val="FF0000"/>
        </w:rPr>
        <w:t xml:space="preserve"> </w:t>
      </w:r>
    </w:p>
    <w:p w14:paraId="4351D1A8" w14:textId="77777777" w:rsidR="00964961" w:rsidRPr="007317E8" w:rsidRDefault="00964961" w:rsidP="00964961">
      <w:pPr>
        <w:pStyle w:val="ListParagraph"/>
        <w:numPr>
          <w:ilvl w:val="0"/>
          <w:numId w:val="4"/>
        </w:numPr>
        <w:spacing w:after="0" w:line="360" w:lineRule="auto"/>
        <w:rPr>
          <w:rFonts w:eastAsia="Times New Roman"/>
          <w:i/>
          <w:iCs/>
          <w:color w:val="FF0000"/>
          <w:lang w:eastAsia="en-US"/>
        </w:rPr>
      </w:pPr>
      <w:r w:rsidRPr="00B359C7">
        <w:rPr>
          <w:color w:val="auto"/>
        </w:rPr>
        <w:t xml:space="preserve">Confirmation of ability to provide Insurance </w:t>
      </w:r>
    </w:p>
    <w:p w14:paraId="34E4E93B" w14:textId="77777777" w:rsidR="00964961" w:rsidRDefault="00964961" w:rsidP="00964961">
      <w:pPr>
        <w:pStyle w:val="ListParagraph"/>
        <w:numPr>
          <w:ilvl w:val="0"/>
          <w:numId w:val="4"/>
        </w:numPr>
        <w:spacing w:after="0" w:line="360" w:lineRule="auto"/>
        <w:rPr>
          <w:color w:val="auto"/>
        </w:rPr>
      </w:pPr>
      <w:r w:rsidRPr="00B359C7">
        <w:rPr>
          <w:color w:val="auto"/>
        </w:rPr>
        <w:t xml:space="preserve">Quote Validity Period (it is assumed that the validity period on Quote prices is </w:t>
      </w:r>
      <w:r w:rsidRPr="00B359C7">
        <w:rPr>
          <w:b/>
          <w:bCs/>
          <w:color w:val="auto"/>
        </w:rPr>
        <w:t>six</w:t>
      </w:r>
      <w:r w:rsidRPr="00B359C7">
        <w:rPr>
          <w:color w:val="auto"/>
        </w:rPr>
        <w:t xml:space="preserve"> months). </w:t>
      </w:r>
    </w:p>
    <w:p w14:paraId="4CD4560C" w14:textId="77777777" w:rsidR="00964961" w:rsidRPr="00B359C7" w:rsidRDefault="00964961" w:rsidP="00964961">
      <w:pPr>
        <w:pStyle w:val="ListParagraph"/>
        <w:numPr>
          <w:ilvl w:val="0"/>
          <w:numId w:val="4"/>
        </w:numPr>
        <w:spacing w:after="0" w:line="360" w:lineRule="auto"/>
        <w:rPr>
          <w:color w:val="auto"/>
        </w:rPr>
      </w:pPr>
      <w:r>
        <w:rPr>
          <w:color w:val="auto"/>
        </w:rPr>
        <w:t xml:space="preserve">Access to view site by arrangement only.  Please contact </w:t>
      </w:r>
      <w:r w:rsidRPr="00AC722F">
        <w:rPr>
          <w:color w:val="auto"/>
        </w:rPr>
        <w:t>Alex at alex@doylecateringmeats.com</w:t>
      </w:r>
      <w:r>
        <w:rPr>
          <w:color w:val="auto"/>
        </w:rPr>
        <w:t xml:space="preserve">. </w:t>
      </w:r>
    </w:p>
    <w:p w14:paraId="08F5ED7E" w14:textId="77777777" w:rsidR="00964961" w:rsidRPr="00544D0E" w:rsidRDefault="00964961" w:rsidP="00964961">
      <w:pPr>
        <w:pStyle w:val="ListParagraph"/>
        <w:numPr>
          <w:ilvl w:val="0"/>
          <w:numId w:val="4"/>
        </w:numPr>
        <w:spacing w:after="0" w:line="360" w:lineRule="auto"/>
        <w:rPr>
          <w:color w:val="FF0000"/>
        </w:rPr>
      </w:pPr>
      <w:r w:rsidRPr="00B359C7">
        <w:rPr>
          <w:iCs/>
          <w:color w:val="auto"/>
        </w:rPr>
        <w:t xml:space="preserve">Queries and clarifications you may have in relation to this Request for Quote can be accepted </w:t>
      </w:r>
      <w:r>
        <w:rPr>
          <w:iCs/>
          <w:color w:val="auto"/>
        </w:rPr>
        <w:t xml:space="preserve">by </w:t>
      </w:r>
      <w:r w:rsidRPr="00B359C7">
        <w:rPr>
          <w:b/>
          <w:bCs/>
          <w:iCs/>
          <w:color w:val="auto"/>
        </w:rPr>
        <w:t>email</w:t>
      </w:r>
      <w:r w:rsidRPr="00B359C7">
        <w:rPr>
          <w:iCs/>
          <w:color w:val="auto"/>
        </w:rPr>
        <w:t xml:space="preserve"> </w:t>
      </w:r>
      <w:r w:rsidRPr="00B359C7">
        <w:rPr>
          <w:bCs/>
          <w:color w:val="auto"/>
        </w:rPr>
        <w:t>up to</w:t>
      </w:r>
      <w:r w:rsidRPr="00B359C7">
        <w:rPr>
          <w:b/>
          <w:bCs/>
          <w:color w:val="auto"/>
        </w:rPr>
        <w:t xml:space="preserve"> </w:t>
      </w:r>
      <w:r w:rsidRPr="00AC722F">
        <w:rPr>
          <w:color w:val="auto"/>
          <w:u w:val="single"/>
        </w:rPr>
        <w:t>31/07/2026.</w:t>
      </w:r>
      <w:r w:rsidRPr="00AC722F">
        <w:rPr>
          <w:color w:val="auto"/>
        </w:rPr>
        <w:t xml:space="preserve"> </w:t>
      </w:r>
      <w:r w:rsidRPr="00B359C7">
        <w:rPr>
          <w:color w:val="auto"/>
        </w:rPr>
        <w:t>Please be aware, that we are obliged to share clarification questions and responses with anyone who has expressed an interest in quoting.</w:t>
      </w:r>
    </w:p>
    <w:p w14:paraId="5DA4BA29" w14:textId="77777777" w:rsidR="00964961" w:rsidRPr="00B359C7" w:rsidRDefault="00964961" w:rsidP="00964961">
      <w:pPr>
        <w:pStyle w:val="ListParagraph"/>
        <w:numPr>
          <w:ilvl w:val="0"/>
          <w:numId w:val="4"/>
        </w:numPr>
        <w:spacing w:after="0" w:line="360" w:lineRule="auto"/>
        <w:jc w:val="both"/>
        <w:rPr>
          <w:color w:val="auto"/>
        </w:rPr>
      </w:pPr>
      <w:r w:rsidRPr="00B359C7">
        <w:rPr>
          <w:color w:val="auto"/>
        </w:rPr>
        <w:t>Tenders which are considered to be incomplete will not be evaluated.</w:t>
      </w:r>
    </w:p>
    <w:p w14:paraId="1386AA5D" w14:textId="77777777" w:rsidR="00964961" w:rsidRPr="00AC722F" w:rsidRDefault="00964961" w:rsidP="00964961">
      <w:pPr>
        <w:pStyle w:val="ListParagraph"/>
        <w:numPr>
          <w:ilvl w:val="0"/>
          <w:numId w:val="4"/>
        </w:numPr>
        <w:spacing w:after="0" w:line="360" w:lineRule="auto"/>
        <w:jc w:val="both"/>
        <w:rPr>
          <w:color w:val="auto"/>
        </w:rPr>
      </w:pPr>
      <w:r w:rsidRPr="00B359C7">
        <w:rPr>
          <w:color w:val="auto"/>
        </w:rPr>
        <w:t xml:space="preserve">Access to view the </w:t>
      </w:r>
      <w:r w:rsidRPr="007317E8">
        <w:rPr>
          <w:color w:val="auto"/>
        </w:rPr>
        <w:t xml:space="preserve">site / building </w:t>
      </w:r>
      <w:r w:rsidRPr="0028407C">
        <w:rPr>
          <w:color w:val="auto"/>
        </w:rPr>
        <w:t xml:space="preserve">by appointment only.  </w:t>
      </w:r>
      <w:r w:rsidRPr="00AC722F">
        <w:rPr>
          <w:color w:val="auto"/>
        </w:rPr>
        <w:t>Please contact Alex on alex@doylecateringmeats.com, by 31/07/2026</w:t>
      </w:r>
    </w:p>
    <w:p w14:paraId="304261BE" w14:textId="75E3308A" w:rsidR="00964961" w:rsidRPr="0028407C" w:rsidRDefault="00964961" w:rsidP="00964961">
      <w:pPr>
        <w:pStyle w:val="ListParagraph"/>
        <w:numPr>
          <w:ilvl w:val="0"/>
          <w:numId w:val="4"/>
        </w:numPr>
        <w:spacing w:after="0" w:line="360" w:lineRule="auto"/>
        <w:jc w:val="both"/>
        <w:rPr>
          <w:color w:val="FF0000"/>
        </w:rPr>
      </w:pPr>
      <w:r w:rsidRPr="00335185">
        <w:rPr>
          <w:color w:val="auto"/>
        </w:rPr>
        <w:t xml:space="preserve">Closing Date for receipt of Quotes </w:t>
      </w:r>
      <w:r w:rsidRPr="0004064E">
        <w:rPr>
          <w:color w:val="auto"/>
        </w:rPr>
        <w:t xml:space="preserve">is: </w:t>
      </w:r>
      <w:r w:rsidR="008F3604">
        <w:rPr>
          <w:color w:val="auto"/>
        </w:rPr>
        <w:t>08</w:t>
      </w:r>
      <w:r w:rsidRPr="00AC722F">
        <w:rPr>
          <w:color w:val="auto"/>
        </w:rPr>
        <w:t>/08/2026</w:t>
      </w:r>
      <w:r w:rsidRPr="00AC722F">
        <w:rPr>
          <w:b/>
          <w:bCs/>
          <w:color w:val="auto"/>
          <w:u w:val="single"/>
        </w:rPr>
        <w:t>.</w:t>
      </w:r>
    </w:p>
    <w:p w14:paraId="7DAC7316" w14:textId="77777777" w:rsidR="00964961" w:rsidRDefault="00964961" w:rsidP="00964961">
      <w:pPr>
        <w:pStyle w:val="ListParagraph"/>
        <w:numPr>
          <w:ilvl w:val="0"/>
          <w:numId w:val="4"/>
        </w:numPr>
        <w:spacing w:after="0" w:line="360" w:lineRule="auto"/>
        <w:rPr>
          <w:color w:val="auto"/>
        </w:rPr>
      </w:pPr>
      <w:r w:rsidRPr="0028407C">
        <w:rPr>
          <w:color w:val="auto"/>
        </w:rPr>
        <w:t>The onus is on the tenderer to ensure that their tender is delivered by the date specified.</w:t>
      </w:r>
    </w:p>
    <w:p w14:paraId="5BC8149E" w14:textId="77777777" w:rsidR="00964961" w:rsidRPr="0028407C" w:rsidRDefault="00964961" w:rsidP="00964961">
      <w:pPr>
        <w:pStyle w:val="ListParagraph"/>
        <w:numPr>
          <w:ilvl w:val="0"/>
          <w:numId w:val="4"/>
        </w:numPr>
        <w:spacing w:after="0" w:line="360" w:lineRule="auto"/>
        <w:rPr>
          <w:color w:val="auto"/>
        </w:rPr>
      </w:pPr>
      <w:r>
        <w:rPr>
          <w:color w:val="auto"/>
        </w:rPr>
        <w:t>The</w:t>
      </w:r>
      <w:r>
        <w:rPr>
          <w:lang w:eastAsia="en-US"/>
        </w:rPr>
        <w:t xml:space="preserve"> quote must include the VAT rate, the date and quote number.</w:t>
      </w:r>
    </w:p>
    <w:p w14:paraId="25CBD488" w14:textId="77777777" w:rsidR="00964961" w:rsidRPr="00AC722F" w:rsidRDefault="00964961" w:rsidP="00964961">
      <w:pPr>
        <w:pStyle w:val="ListParagraph"/>
        <w:numPr>
          <w:ilvl w:val="0"/>
          <w:numId w:val="4"/>
        </w:numPr>
        <w:spacing w:after="0" w:line="360" w:lineRule="auto"/>
        <w:rPr>
          <w:color w:val="auto"/>
        </w:rPr>
      </w:pPr>
      <w:r w:rsidRPr="0028407C">
        <w:rPr>
          <w:color w:val="auto"/>
        </w:rPr>
        <w:t>For any other queries, please contact</w:t>
      </w:r>
      <w:r w:rsidRPr="00544D0E">
        <w:rPr>
          <w:color w:val="FF0000"/>
        </w:rPr>
        <w:t xml:space="preserve"> </w:t>
      </w:r>
      <w:r w:rsidRPr="00AC722F">
        <w:rPr>
          <w:color w:val="auto"/>
        </w:rPr>
        <w:t>Alex via alex@doylecateringmeats.com.</w:t>
      </w:r>
    </w:p>
    <w:p w14:paraId="17A524CC" w14:textId="77777777" w:rsidR="00964961" w:rsidRPr="00544D0E" w:rsidRDefault="00964961" w:rsidP="00964961">
      <w:pPr>
        <w:rPr>
          <w:color w:val="FF0000"/>
          <w:lang w:eastAsia="en-US"/>
        </w:rPr>
      </w:pPr>
    </w:p>
    <w:p w14:paraId="35817336" w14:textId="77777777" w:rsidR="00964961" w:rsidRDefault="00964961" w:rsidP="00964961">
      <w:pPr>
        <w:spacing w:after="0" w:line="240" w:lineRule="auto"/>
        <w:ind w:firstLine="360"/>
        <w:rPr>
          <w:rFonts w:eastAsia="Times New Roman"/>
          <w:lang w:eastAsia="en-US"/>
        </w:rPr>
      </w:pPr>
    </w:p>
    <w:p w14:paraId="422DB4EF" w14:textId="77777777" w:rsidR="00964961" w:rsidRDefault="00964961" w:rsidP="00964961"/>
    <w:p w14:paraId="6E831840" w14:textId="77777777" w:rsidR="00964961" w:rsidRDefault="00964961" w:rsidP="00964961">
      <w:r w:rsidRPr="00831259">
        <w:rPr>
          <w:i/>
          <w:iCs/>
        </w:rPr>
        <w:t xml:space="preserve">Non-resident suppliers/contractors must also provide an Irish Tax Clearance Certificate. Further guidance on Tax Clearance for non-residents is available on the Revenue website at </w:t>
      </w:r>
      <w:hyperlink r:id="rId9" w:history="1">
        <w:r>
          <w:rPr>
            <w:rStyle w:val="Hyperlink"/>
          </w:rPr>
          <w:t>Non-resident applications (revenue.ie)</w:t>
        </w:r>
      </w:hyperlink>
      <w:r>
        <w:t xml:space="preserve"> </w:t>
      </w:r>
    </w:p>
    <w:p w14:paraId="7A4F0F68" w14:textId="77777777" w:rsidR="006065AA" w:rsidRDefault="006065AA">
      <w:pPr>
        <w:rPr>
          <w:i/>
          <w:iCs/>
        </w:rPr>
      </w:pPr>
    </w:p>
    <w:p w14:paraId="2279961F" w14:textId="77777777" w:rsidR="006065AA" w:rsidRPr="00831259" w:rsidRDefault="006065AA">
      <w:pPr>
        <w:rPr>
          <w:i/>
          <w:iCs/>
        </w:rPr>
      </w:pPr>
    </w:p>
    <w:p w14:paraId="23A7F866" w14:textId="3AA77B98" w:rsidR="00735AF7" w:rsidRDefault="00735AF7"/>
    <w:p w14:paraId="276D16BD" w14:textId="1F0E13B9" w:rsidR="00735AF7" w:rsidRDefault="00735AF7"/>
    <w:p w14:paraId="233D47CA" w14:textId="00F7D46C" w:rsidR="00735AF7" w:rsidRDefault="00735AF7"/>
    <w:p w14:paraId="1B8C73E6" w14:textId="77777777" w:rsidR="00FA39EB" w:rsidRDefault="00FA39EB"/>
    <w:sectPr w:rsidR="00FA39EB" w:rsidSect="00975F9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AAC"/>
    <w:multiLevelType w:val="multilevel"/>
    <w:tmpl w:val="50B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05FC0"/>
    <w:multiLevelType w:val="hybridMultilevel"/>
    <w:tmpl w:val="7E6C77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72323"/>
    <w:multiLevelType w:val="multilevel"/>
    <w:tmpl w:val="3CE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879A8"/>
    <w:multiLevelType w:val="multilevel"/>
    <w:tmpl w:val="F688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16A1C"/>
    <w:multiLevelType w:val="hybridMultilevel"/>
    <w:tmpl w:val="6D421FD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69FB1EF5"/>
    <w:multiLevelType w:val="multilevel"/>
    <w:tmpl w:val="94E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A4772"/>
    <w:multiLevelType w:val="hybridMultilevel"/>
    <w:tmpl w:val="9AC87168"/>
    <w:lvl w:ilvl="0" w:tplc="58F40C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33AC1"/>
    <w:multiLevelType w:val="multilevel"/>
    <w:tmpl w:val="9DD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518E2"/>
    <w:multiLevelType w:val="hybridMultilevel"/>
    <w:tmpl w:val="8338A2A4"/>
    <w:lvl w:ilvl="0" w:tplc="A79445B4">
      <w:start w:val="1"/>
      <w:numFmt w:val="decimal"/>
      <w:lvlText w:val="%1."/>
      <w:lvlJc w:val="left"/>
      <w:pPr>
        <w:ind w:left="435" w:hanging="435"/>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8B6F41"/>
    <w:multiLevelType w:val="hybridMultilevel"/>
    <w:tmpl w:val="436048D0"/>
    <w:lvl w:ilvl="0" w:tplc="08090005">
      <w:start w:val="1"/>
      <w:numFmt w:val="bullet"/>
      <w:lvlText w:val=""/>
      <w:lvlJc w:val="left"/>
      <w:pPr>
        <w:ind w:left="795" w:hanging="360"/>
      </w:pPr>
      <w:rPr>
        <w:rFonts w:ascii="Wingdings" w:hAnsi="Wingding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num w:numId="1" w16cid:durableId="219488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084111">
    <w:abstractNumId w:val="6"/>
  </w:num>
  <w:num w:numId="3" w16cid:durableId="1663656444">
    <w:abstractNumId w:val="1"/>
  </w:num>
  <w:num w:numId="4" w16cid:durableId="645086503">
    <w:abstractNumId w:val="8"/>
  </w:num>
  <w:num w:numId="5" w16cid:durableId="1438209497">
    <w:abstractNumId w:val="9"/>
  </w:num>
  <w:num w:numId="6" w16cid:durableId="752817938">
    <w:abstractNumId w:val="0"/>
  </w:num>
  <w:num w:numId="7" w16cid:durableId="856116221">
    <w:abstractNumId w:val="3"/>
  </w:num>
  <w:num w:numId="8" w16cid:durableId="1301039763">
    <w:abstractNumId w:val="7"/>
  </w:num>
  <w:num w:numId="9" w16cid:durableId="1686515590">
    <w:abstractNumId w:val="2"/>
  </w:num>
  <w:num w:numId="10" w16cid:durableId="1649674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90"/>
    <w:rsid w:val="00003F70"/>
    <w:rsid w:val="0004064E"/>
    <w:rsid w:val="00080769"/>
    <w:rsid w:val="00083DA0"/>
    <w:rsid w:val="001957CE"/>
    <w:rsid w:val="00254CA1"/>
    <w:rsid w:val="00271D06"/>
    <w:rsid w:val="0028407C"/>
    <w:rsid w:val="00335185"/>
    <w:rsid w:val="003704D2"/>
    <w:rsid w:val="003E2384"/>
    <w:rsid w:val="003F56E9"/>
    <w:rsid w:val="00445C45"/>
    <w:rsid w:val="004928D4"/>
    <w:rsid w:val="005071E5"/>
    <w:rsid w:val="005074B0"/>
    <w:rsid w:val="005115C8"/>
    <w:rsid w:val="00544D0E"/>
    <w:rsid w:val="006065AA"/>
    <w:rsid w:val="006C0908"/>
    <w:rsid w:val="007317E8"/>
    <w:rsid w:val="00735AF7"/>
    <w:rsid w:val="00774C24"/>
    <w:rsid w:val="007C3D2D"/>
    <w:rsid w:val="00806BC7"/>
    <w:rsid w:val="0082381B"/>
    <w:rsid w:val="00826AB4"/>
    <w:rsid w:val="00831259"/>
    <w:rsid w:val="0083155F"/>
    <w:rsid w:val="008427D1"/>
    <w:rsid w:val="008734DE"/>
    <w:rsid w:val="00895123"/>
    <w:rsid w:val="008C1DAB"/>
    <w:rsid w:val="008F0FEA"/>
    <w:rsid w:val="008F3604"/>
    <w:rsid w:val="00902CE7"/>
    <w:rsid w:val="00964961"/>
    <w:rsid w:val="00975F90"/>
    <w:rsid w:val="0099385F"/>
    <w:rsid w:val="009D06F9"/>
    <w:rsid w:val="009E2286"/>
    <w:rsid w:val="009F29D0"/>
    <w:rsid w:val="00B15781"/>
    <w:rsid w:val="00B359C7"/>
    <w:rsid w:val="00BF76D2"/>
    <w:rsid w:val="00BF7F7C"/>
    <w:rsid w:val="00C02ACB"/>
    <w:rsid w:val="00C7561C"/>
    <w:rsid w:val="00D6522D"/>
    <w:rsid w:val="00DE07C5"/>
    <w:rsid w:val="00E8747B"/>
    <w:rsid w:val="00FA3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C153"/>
  <w15:chartTrackingRefBased/>
  <w15:docId w15:val="{D15423AE-448F-44AC-8C9D-4E0D0BD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90"/>
    <w:pPr>
      <w:spacing w:line="256" w:lineRule="auto"/>
    </w:pPr>
    <w:rPr>
      <w:rFonts w:ascii="Calibri" w:eastAsia="Calibri" w:hAnsi="Calibri" w:cs="Calibri"/>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F7C"/>
    <w:pPr>
      <w:ind w:left="720"/>
      <w:contextualSpacing/>
    </w:pPr>
  </w:style>
  <w:style w:type="table" w:styleId="TableGrid">
    <w:name w:val="Table Grid"/>
    <w:basedOn w:val="TableNormal"/>
    <w:uiPriority w:val="39"/>
    <w:rsid w:val="00774C2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D0E"/>
    <w:rPr>
      <w:color w:val="0563C1" w:themeColor="hyperlink"/>
      <w:u w:val="single"/>
    </w:rPr>
  </w:style>
  <w:style w:type="character" w:styleId="UnresolvedMention">
    <w:name w:val="Unresolved Mention"/>
    <w:basedOn w:val="DefaultParagraphFont"/>
    <w:uiPriority w:val="99"/>
    <w:semiHidden/>
    <w:unhideWhenUsed/>
    <w:rsid w:val="006065AA"/>
    <w:rPr>
      <w:color w:val="605E5C"/>
      <w:shd w:val="clear" w:color="auto" w:fill="E1DFDD"/>
    </w:rPr>
  </w:style>
  <w:style w:type="character" w:styleId="FollowedHyperlink">
    <w:name w:val="FollowedHyperlink"/>
    <w:basedOn w:val="DefaultParagraphFont"/>
    <w:uiPriority w:val="99"/>
    <w:semiHidden/>
    <w:unhideWhenUsed/>
    <w:rsid w:val="00606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enue.ie/en/starting-a-business/tax-clearance/apply-for-tax-clearance-certificate/non-resident-app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302ac-cc63-469d-b1a5-3a4c65b9b528">
      <Terms xmlns="http://schemas.microsoft.com/office/infopath/2007/PartnerControls"/>
    </lcf76f155ced4ddcb4097134ff3c332f>
    <TaxCatchAll xmlns="bf4e8861-0e43-40a1-a380-8540b0db52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B731D6A6034459E2450FCC63930E1" ma:contentTypeVersion="23" ma:contentTypeDescription="Create a new document." ma:contentTypeScope="" ma:versionID="e37e60b43b4751eb3ad7cc5b7bc01e3a">
  <xsd:schema xmlns:xsd="http://www.w3.org/2001/XMLSchema" xmlns:xs="http://www.w3.org/2001/XMLSchema" xmlns:p="http://schemas.microsoft.com/office/2006/metadata/properties" xmlns:ns2="3b8302ac-cc63-469d-b1a5-3a4c65b9b528" xmlns:ns3="bf4e8861-0e43-40a1-a380-8540b0db5200" targetNamespace="http://schemas.microsoft.com/office/2006/metadata/properties" ma:root="true" ma:fieldsID="ab143139599bc3668de70b8593c52c3a" ns2:_="" ns3:_="">
    <xsd:import namespace="3b8302ac-cc63-469d-b1a5-3a4c65b9b528"/>
    <xsd:import namespace="bf4e8861-0e43-40a1-a380-8540b0db5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02ac-cc63-469d-b1a5-3a4c65b9b5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7c52e2-c53e-4e1b-b71c-253cb38b8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e8861-0e43-40a1-a380-8540b0db52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d6379c-4982-4557-8405-a90852022576}" ma:internalName="TaxCatchAll" ma:showField="CatchAllData" ma:web="bf4e8861-0e43-40a1-a380-8540b0d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4D06A-3D9E-448D-8785-6A5E011784D5}">
  <ds:schemaRefs>
    <ds:schemaRef ds:uri="http://schemas.microsoft.com/office/2006/metadata/properties"/>
    <ds:schemaRef ds:uri="http://schemas.microsoft.com/office/infopath/2007/PartnerControls"/>
    <ds:schemaRef ds:uri="3b8302ac-cc63-469d-b1a5-3a4c65b9b528"/>
    <ds:schemaRef ds:uri="bf4e8861-0e43-40a1-a380-8540b0db5200"/>
  </ds:schemaRefs>
</ds:datastoreItem>
</file>

<file path=customXml/itemProps2.xml><?xml version="1.0" encoding="utf-8"?>
<ds:datastoreItem xmlns:ds="http://schemas.openxmlformats.org/officeDocument/2006/customXml" ds:itemID="{C1B2CCB0-3C62-4333-9B6E-7BA58D98D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302ac-cc63-469d-b1a5-3a4c65b9b528"/>
    <ds:schemaRef ds:uri="bf4e8861-0e43-40a1-a380-8540b0db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B522F-2EEC-401A-AFE5-DE94F20AD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Manoli</dc:creator>
  <cp:keywords/>
  <dc:description/>
  <cp:lastModifiedBy>Orla O'Halloran</cp:lastModifiedBy>
  <cp:revision>3</cp:revision>
  <dcterms:created xsi:type="dcterms:W3CDTF">2026-07-09T09:24:00Z</dcterms:created>
  <dcterms:modified xsi:type="dcterms:W3CDTF">2026-07-09T10:03:00Z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0x01010090CB731D6A6034459E2450FCC63930E1</vt:lpwstr>
  </property>
  <property fmtid="{D5CDD505-2E9C-101B-9397-08002B2CF9AE}" pid="3" name="MediaServiceImageTags">
    <vt:lpwstr/>
  </property>
  <property fmtid="{D5CDD505-2E9C-101B-9397-08002B2CF9AE}" pid="4" name="MSIP_Label_6c80604e-e5c6-4327-a855-d5b9a866d46f_Enabled">
    <vt:lpwstr>true</vt:lpwstr>
  </property>
  <property fmtid="{D5CDD505-2E9C-101B-9397-08002B2CF9AE}" pid="5" name="MSIP_Label_6c80604e-e5c6-4327-a855-d5b9a866d46f_SetDate">
    <vt:lpwstr>2023-12-07T16:33:41Z</vt:lpwstr>
  </property>
  <property fmtid="{D5CDD505-2E9C-101B-9397-08002B2CF9AE}" pid="6" name="MSIP_Label_6c80604e-e5c6-4327-a855-d5b9a866d46f_Method">
    <vt:lpwstr>Standard</vt:lpwstr>
  </property>
  <property fmtid="{D5CDD505-2E9C-101B-9397-08002B2CF9AE}" pid="7" name="MSIP_Label_6c80604e-e5c6-4327-a855-d5b9a866d46f_Name">
    <vt:lpwstr>Public</vt:lpwstr>
  </property>
  <property fmtid="{D5CDD505-2E9C-101B-9397-08002B2CF9AE}" pid="8" name="MSIP_Label_6c80604e-e5c6-4327-a855-d5b9a866d46f_SiteId">
    <vt:lpwstr>5a0edb76-4d80-4b4d-a927-c0d3b828598b</vt:lpwstr>
  </property>
  <property fmtid="{D5CDD505-2E9C-101B-9397-08002B2CF9AE}" pid="9" name="MSIP_Label_6c80604e-e5c6-4327-a855-d5b9a866d46f_ActionId">
    <vt:lpwstr>30e413b6-e870-42e4-a81d-a03ee3a3d5be</vt:lpwstr>
  </property>
  <property fmtid="{D5CDD505-2E9C-101B-9397-08002B2CF9AE}" pid="10" name="MSIP_Label_6c80604e-e5c6-4327-a855-d5b9a866d46f_ContentBits">
    <vt:lpwstr>0</vt:lpwstr>
  </property>
</Properties>
</file>