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873"/>
        <w:tblW w:w="12469" w:type="dxa"/>
        <w:tblLook w:val="04A0" w:firstRow="1" w:lastRow="0" w:firstColumn="1" w:lastColumn="0" w:noHBand="0" w:noVBand="1"/>
      </w:tblPr>
      <w:tblGrid>
        <w:gridCol w:w="1242"/>
        <w:gridCol w:w="5245"/>
        <w:gridCol w:w="5982"/>
      </w:tblGrid>
      <w:tr w:rsidR="0030444B" w14:paraId="65CDA187" w14:textId="77777777" w:rsidTr="0030444B">
        <w:tc>
          <w:tcPr>
            <w:tcW w:w="1242" w:type="dxa"/>
            <w:shd w:val="clear" w:color="auto" w:fill="2E74B5" w:themeFill="accent1" w:themeFillShade="BF"/>
          </w:tcPr>
          <w:p w14:paraId="720AA543" w14:textId="77777777" w:rsidR="0030444B" w:rsidRPr="00BC3A3B" w:rsidRDefault="0030444B" w:rsidP="0030444B">
            <w:pPr>
              <w:rPr>
                <w:b/>
                <w:color w:val="FFFFFF" w:themeColor="background1"/>
              </w:rPr>
            </w:pPr>
            <w:r w:rsidRPr="00BC3A3B">
              <w:rPr>
                <w:b/>
                <w:color w:val="FFFFFF" w:themeColor="background1"/>
              </w:rPr>
              <w:t>Message Ref No.</w:t>
            </w:r>
          </w:p>
        </w:tc>
        <w:tc>
          <w:tcPr>
            <w:tcW w:w="5245" w:type="dxa"/>
            <w:shd w:val="clear" w:color="auto" w:fill="2E74B5" w:themeFill="accent1" w:themeFillShade="BF"/>
          </w:tcPr>
          <w:p w14:paraId="1D72FE9E" w14:textId="77777777" w:rsidR="0030444B" w:rsidRPr="00BC3A3B" w:rsidRDefault="0030444B" w:rsidP="0030444B">
            <w:pPr>
              <w:rPr>
                <w:b/>
                <w:color w:val="FFFFFF" w:themeColor="background1"/>
              </w:rPr>
            </w:pPr>
            <w:r w:rsidRPr="00BC3A3B">
              <w:rPr>
                <w:b/>
                <w:color w:val="FFFFFF" w:themeColor="background1"/>
              </w:rPr>
              <w:t>Question</w:t>
            </w:r>
          </w:p>
        </w:tc>
        <w:tc>
          <w:tcPr>
            <w:tcW w:w="5982" w:type="dxa"/>
            <w:shd w:val="clear" w:color="auto" w:fill="2E74B5" w:themeFill="accent1" w:themeFillShade="BF"/>
          </w:tcPr>
          <w:p w14:paraId="5F9EAFDD" w14:textId="77777777" w:rsidR="0030444B" w:rsidRPr="00BC3A3B" w:rsidRDefault="0030444B" w:rsidP="0030444B">
            <w:pPr>
              <w:rPr>
                <w:b/>
                <w:color w:val="FFFFFF" w:themeColor="background1"/>
              </w:rPr>
            </w:pPr>
            <w:r w:rsidRPr="00BC3A3B">
              <w:rPr>
                <w:b/>
                <w:color w:val="FFFFFF" w:themeColor="background1"/>
              </w:rPr>
              <w:t>Contracting Authorities Response</w:t>
            </w:r>
          </w:p>
        </w:tc>
      </w:tr>
      <w:tr w:rsidR="0030444B" w14:paraId="21F84F28" w14:textId="77777777" w:rsidTr="0030444B">
        <w:tc>
          <w:tcPr>
            <w:tcW w:w="1242" w:type="dxa"/>
          </w:tcPr>
          <w:p w14:paraId="1CBA95A2" w14:textId="4402B430" w:rsidR="0030444B" w:rsidRPr="005836CE" w:rsidRDefault="005836CE" w:rsidP="005836CE">
            <w:pPr>
              <w:jc w:val="center"/>
              <w:rPr>
                <w:iCs/>
              </w:rPr>
            </w:pPr>
            <w:r w:rsidRPr="005836CE">
              <w:rPr>
                <w:iCs/>
              </w:rPr>
              <w:t>1</w:t>
            </w:r>
          </w:p>
        </w:tc>
        <w:tc>
          <w:tcPr>
            <w:tcW w:w="5245" w:type="dxa"/>
            <w:shd w:val="clear" w:color="auto" w:fill="FFE599" w:themeFill="accent4" w:themeFillTint="66"/>
          </w:tcPr>
          <w:p w14:paraId="0DB0AA01" w14:textId="77777777" w:rsidR="002F688D" w:rsidRPr="002F688D" w:rsidRDefault="002F688D" w:rsidP="002F688D">
            <w:pPr>
              <w:rPr>
                <w:iCs/>
              </w:rPr>
            </w:pPr>
            <w:r w:rsidRPr="002F688D">
              <w:rPr>
                <w:iCs/>
              </w:rPr>
              <w:t>With reference to this public tender, we wish to seek clarification regarding the relevant experience requirement set out at [Section 3.2, Referencing</w:t>
            </w:r>
          </w:p>
          <w:p w14:paraId="4D76AA86" w14:textId="77777777" w:rsidR="002F688D" w:rsidRPr="002F688D" w:rsidRDefault="002F688D" w:rsidP="002F688D">
            <w:pPr>
              <w:rPr>
                <w:iCs/>
              </w:rPr>
            </w:pPr>
          </w:p>
          <w:p w14:paraId="5C78BF6E" w14:textId="77777777" w:rsidR="002F688D" w:rsidRPr="002F688D" w:rsidRDefault="002F688D" w:rsidP="002F688D">
            <w:pPr>
              <w:rPr>
                <w:iCs/>
              </w:rPr>
            </w:pPr>
            <w:r w:rsidRPr="002F688D">
              <w:rPr>
                <w:iCs/>
              </w:rPr>
              <w:t>We intend to rely on the following public sector reference projects. The client identities below are provided in confidence and are addressed further at the end of this query.</w:t>
            </w:r>
          </w:p>
          <w:p w14:paraId="1F54B641" w14:textId="77777777" w:rsidR="002F688D" w:rsidRPr="002F688D" w:rsidRDefault="002F688D" w:rsidP="002F688D">
            <w:pPr>
              <w:rPr>
                <w:iCs/>
              </w:rPr>
            </w:pPr>
          </w:p>
          <w:p w14:paraId="0FE0A68B" w14:textId="4424DB67" w:rsidR="002F688D" w:rsidRPr="002F688D" w:rsidRDefault="002F688D" w:rsidP="002F688D">
            <w:pPr>
              <w:rPr>
                <w:iCs/>
              </w:rPr>
            </w:pPr>
            <w:r w:rsidRPr="002F688D">
              <w:rPr>
                <w:iCs/>
              </w:rPr>
              <w:t xml:space="preserve">1. </w:t>
            </w:r>
            <w:proofErr w:type="spellStart"/>
            <w:r>
              <w:rPr>
                <w:iCs/>
              </w:rPr>
              <w:t>xxxxx</w:t>
            </w:r>
            <w:proofErr w:type="spellEnd"/>
            <w:r w:rsidRPr="002F688D">
              <w:rPr>
                <w:iCs/>
              </w:rPr>
              <w:t>.</w:t>
            </w:r>
          </w:p>
          <w:p w14:paraId="3861EE8D" w14:textId="77777777" w:rsidR="002F688D" w:rsidRPr="002F688D" w:rsidRDefault="002F688D" w:rsidP="002F688D">
            <w:pPr>
              <w:rPr>
                <w:iCs/>
              </w:rPr>
            </w:pPr>
          </w:p>
          <w:p w14:paraId="219D0E84" w14:textId="6B4B963F" w:rsidR="002F688D" w:rsidRDefault="002F688D" w:rsidP="002F688D">
            <w:pPr>
              <w:rPr>
                <w:iCs/>
              </w:rPr>
            </w:pPr>
            <w:r w:rsidRPr="002F688D">
              <w:rPr>
                <w:iCs/>
              </w:rPr>
              <w:t xml:space="preserve">2. </w:t>
            </w:r>
            <w:proofErr w:type="spellStart"/>
            <w:r>
              <w:rPr>
                <w:iCs/>
              </w:rPr>
              <w:t>xxxxx</w:t>
            </w:r>
            <w:proofErr w:type="spellEnd"/>
          </w:p>
          <w:p w14:paraId="38F80670" w14:textId="77777777" w:rsidR="002F688D" w:rsidRPr="002F688D" w:rsidRDefault="002F688D" w:rsidP="002F688D">
            <w:pPr>
              <w:rPr>
                <w:iCs/>
              </w:rPr>
            </w:pPr>
          </w:p>
          <w:p w14:paraId="2142B3F9" w14:textId="1C12F692" w:rsidR="002F688D" w:rsidRPr="002F688D" w:rsidRDefault="002F688D" w:rsidP="002F688D">
            <w:pPr>
              <w:rPr>
                <w:iCs/>
              </w:rPr>
            </w:pPr>
            <w:r w:rsidRPr="002F688D">
              <w:rPr>
                <w:iCs/>
              </w:rPr>
              <w:t xml:space="preserve">3. </w:t>
            </w:r>
            <w:proofErr w:type="spellStart"/>
            <w:r>
              <w:rPr>
                <w:iCs/>
              </w:rPr>
              <w:t>xxxxx</w:t>
            </w:r>
            <w:proofErr w:type="spellEnd"/>
          </w:p>
          <w:p w14:paraId="16FF1F04" w14:textId="77777777" w:rsidR="002F688D" w:rsidRPr="002F688D" w:rsidRDefault="002F688D" w:rsidP="002F688D">
            <w:pPr>
              <w:rPr>
                <w:iCs/>
              </w:rPr>
            </w:pPr>
          </w:p>
          <w:p w14:paraId="3D0B164F" w14:textId="5455A1D6" w:rsidR="0030444B" w:rsidRPr="005836CE" w:rsidRDefault="002F688D" w:rsidP="002F688D">
            <w:pPr>
              <w:rPr>
                <w:iCs/>
              </w:rPr>
            </w:pPr>
            <w:r w:rsidRPr="002F688D">
              <w:rPr>
                <w:iCs/>
              </w:rPr>
              <w:t>Could the Authority please confirm whether reference projects of this functional and technical nature would be considered to demonstrate the relevant experience required notwithstanding that they were delivered in service domains that differ from the subject matter of this competition. In particular, we would be grateful for confirmation as to whether relevant experience is assessed by reference to the technical nature, scale and complexity of a project, or by reference to the specific service domain in which it was delivered.</w:t>
            </w:r>
          </w:p>
        </w:tc>
        <w:tc>
          <w:tcPr>
            <w:tcW w:w="5982" w:type="dxa"/>
          </w:tcPr>
          <w:p w14:paraId="2FE6E412" w14:textId="77777777" w:rsidR="005836CE" w:rsidRDefault="005836CE" w:rsidP="0030444B"/>
          <w:p w14:paraId="6D639FDA" w14:textId="491B7C7C" w:rsidR="002F688D" w:rsidRDefault="002F688D" w:rsidP="0030444B">
            <w:r>
              <w:t>Please note it is up to Tenderers to decide relevant comparable references as per the TRD. The Contracting Authority will then decide if the references submitted meet the Pass Criteria</w:t>
            </w:r>
            <w:r w:rsidR="003C005E">
              <w:t>. Tenderers should read Appendix 1 and then decide what are the most comparable projects</w:t>
            </w:r>
          </w:p>
        </w:tc>
      </w:tr>
      <w:tr w:rsidR="0030444B" w14:paraId="1AEB4982" w14:textId="77777777" w:rsidTr="0030444B">
        <w:tc>
          <w:tcPr>
            <w:tcW w:w="1242" w:type="dxa"/>
          </w:tcPr>
          <w:p w14:paraId="4E0166CE" w14:textId="2A904970" w:rsidR="0030444B" w:rsidRPr="005836CE" w:rsidRDefault="0030444B" w:rsidP="005836CE">
            <w:pPr>
              <w:jc w:val="center"/>
              <w:rPr>
                <w:iCs/>
              </w:rPr>
            </w:pPr>
          </w:p>
        </w:tc>
        <w:tc>
          <w:tcPr>
            <w:tcW w:w="5245" w:type="dxa"/>
            <w:shd w:val="clear" w:color="auto" w:fill="FFE599" w:themeFill="accent4" w:themeFillTint="66"/>
          </w:tcPr>
          <w:p w14:paraId="26D1CC4C" w14:textId="10DB505B" w:rsidR="0030444B" w:rsidRPr="005836CE" w:rsidRDefault="0030444B" w:rsidP="00CA6274">
            <w:pPr>
              <w:ind w:firstLine="720"/>
              <w:rPr>
                <w:iCs/>
              </w:rPr>
            </w:pPr>
          </w:p>
        </w:tc>
        <w:tc>
          <w:tcPr>
            <w:tcW w:w="5982" w:type="dxa"/>
          </w:tcPr>
          <w:p w14:paraId="599742D2" w14:textId="783E80AC" w:rsidR="00A81223" w:rsidRDefault="00A81223" w:rsidP="0030444B"/>
        </w:tc>
      </w:tr>
      <w:tr w:rsidR="0030444B" w14:paraId="0AB14ABA" w14:textId="77777777" w:rsidTr="0030444B">
        <w:tc>
          <w:tcPr>
            <w:tcW w:w="1242" w:type="dxa"/>
          </w:tcPr>
          <w:p w14:paraId="4F6FC430" w14:textId="77777777" w:rsidR="0030444B" w:rsidRPr="005836CE" w:rsidRDefault="0030444B" w:rsidP="005836CE">
            <w:pPr>
              <w:jc w:val="center"/>
              <w:rPr>
                <w:iCs/>
              </w:rPr>
            </w:pPr>
          </w:p>
        </w:tc>
        <w:tc>
          <w:tcPr>
            <w:tcW w:w="5245" w:type="dxa"/>
            <w:shd w:val="clear" w:color="auto" w:fill="FFE599" w:themeFill="accent4" w:themeFillTint="66"/>
          </w:tcPr>
          <w:p w14:paraId="0DC6359D" w14:textId="33FA58F5" w:rsidR="0030444B" w:rsidRPr="005836CE" w:rsidRDefault="0030444B" w:rsidP="0030444B">
            <w:pPr>
              <w:rPr>
                <w:iCs/>
              </w:rPr>
            </w:pPr>
          </w:p>
        </w:tc>
        <w:tc>
          <w:tcPr>
            <w:tcW w:w="5982" w:type="dxa"/>
          </w:tcPr>
          <w:p w14:paraId="08038927" w14:textId="48A66EED" w:rsidR="0030444B" w:rsidRDefault="0030444B" w:rsidP="0030444B"/>
        </w:tc>
      </w:tr>
      <w:tr w:rsidR="0030444B" w14:paraId="06071255" w14:textId="77777777" w:rsidTr="0030444B">
        <w:tc>
          <w:tcPr>
            <w:tcW w:w="1242" w:type="dxa"/>
          </w:tcPr>
          <w:p w14:paraId="4E8C85D4" w14:textId="77777777" w:rsidR="0030444B" w:rsidRPr="005836CE" w:rsidRDefault="0030444B" w:rsidP="005836CE">
            <w:pPr>
              <w:jc w:val="center"/>
              <w:rPr>
                <w:iCs/>
              </w:rPr>
            </w:pPr>
          </w:p>
        </w:tc>
        <w:tc>
          <w:tcPr>
            <w:tcW w:w="5245" w:type="dxa"/>
            <w:shd w:val="clear" w:color="auto" w:fill="FFE599" w:themeFill="accent4" w:themeFillTint="66"/>
          </w:tcPr>
          <w:p w14:paraId="7FF7020F" w14:textId="21D65AFD" w:rsidR="0030444B" w:rsidRPr="005836CE" w:rsidRDefault="0030444B" w:rsidP="0030444B">
            <w:pPr>
              <w:rPr>
                <w:iCs/>
              </w:rPr>
            </w:pPr>
          </w:p>
        </w:tc>
        <w:tc>
          <w:tcPr>
            <w:tcW w:w="5982" w:type="dxa"/>
          </w:tcPr>
          <w:p w14:paraId="4216F6CE" w14:textId="26338732" w:rsidR="0030444B" w:rsidRPr="00793F7D" w:rsidRDefault="0030444B" w:rsidP="0030444B">
            <w:pPr>
              <w:rPr>
                <w:iCs/>
              </w:rPr>
            </w:pPr>
          </w:p>
        </w:tc>
      </w:tr>
      <w:tr w:rsidR="0030444B" w14:paraId="49ECA189" w14:textId="77777777" w:rsidTr="0030444B">
        <w:tc>
          <w:tcPr>
            <w:tcW w:w="1242" w:type="dxa"/>
          </w:tcPr>
          <w:p w14:paraId="58570405" w14:textId="77777777" w:rsidR="0030444B" w:rsidRPr="005836CE" w:rsidRDefault="0030444B" w:rsidP="005836CE">
            <w:pPr>
              <w:jc w:val="center"/>
              <w:rPr>
                <w:iCs/>
              </w:rPr>
            </w:pPr>
          </w:p>
        </w:tc>
        <w:tc>
          <w:tcPr>
            <w:tcW w:w="5245" w:type="dxa"/>
            <w:shd w:val="clear" w:color="auto" w:fill="FFE599" w:themeFill="accent4" w:themeFillTint="66"/>
          </w:tcPr>
          <w:p w14:paraId="1D42160D" w14:textId="77777777" w:rsidR="0030444B" w:rsidRPr="005836CE" w:rsidRDefault="0030444B" w:rsidP="0030444B">
            <w:pPr>
              <w:tabs>
                <w:tab w:val="left" w:pos="1185"/>
              </w:tabs>
              <w:rPr>
                <w:iCs/>
              </w:rPr>
            </w:pPr>
          </w:p>
        </w:tc>
        <w:tc>
          <w:tcPr>
            <w:tcW w:w="5982" w:type="dxa"/>
          </w:tcPr>
          <w:p w14:paraId="0B54A939" w14:textId="77777777" w:rsidR="0030444B" w:rsidRDefault="0030444B" w:rsidP="0030444B"/>
        </w:tc>
      </w:tr>
      <w:tr w:rsidR="0030444B" w14:paraId="03BAEEF4" w14:textId="77777777" w:rsidTr="0030444B">
        <w:tc>
          <w:tcPr>
            <w:tcW w:w="1242" w:type="dxa"/>
          </w:tcPr>
          <w:p w14:paraId="15FDD698" w14:textId="77777777" w:rsidR="0030444B" w:rsidRPr="005836CE" w:rsidRDefault="0030444B" w:rsidP="005836CE">
            <w:pPr>
              <w:jc w:val="center"/>
              <w:rPr>
                <w:iCs/>
              </w:rPr>
            </w:pPr>
          </w:p>
        </w:tc>
        <w:tc>
          <w:tcPr>
            <w:tcW w:w="5245" w:type="dxa"/>
            <w:shd w:val="clear" w:color="auto" w:fill="FFE599" w:themeFill="accent4" w:themeFillTint="66"/>
          </w:tcPr>
          <w:p w14:paraId="461E462E" w14:textId="77777777" w:rsidR="0030444B" w:rsidRPr="005836CE" w:rsidRDefault="0030444B" w:rsidP="0030444B">
            <w:pPr>
              <w:rPr>
                <w:iCs/>
              </w:rPr>
            </w:pPr>
          </w:p>
        </w:tc>
        <w:tc>
          <w:tcPr>
            <w:tcW w:w="5982" w:type="dxa"/>
          </w:tcPr>
          <w:p w14:paraId="12773F0F" w14:textId="77777777" w:rsidR="0030444B" w:rsidRDefault="0030444B" w:rsidP="0030444B"/>
        </w:tc>
      </w:tr>
      <w:tr w:rsidR="0030444B" w14:paraId="69E84D6E" w14:textId="77777777" w:rsidTr="0030444B">
        <w:tc>
          <w:tcPr>
            <w:tcW w:w="1242" w:type="dxa"/>
          </w:tcPr>
          <w:p w14:paraId="356DCB93" w14:textId="77777777" w:rsidR="0030444B" w:rsidRPr="005836CE" w:rsidRDefault="0030444B" w:rsidP="005836CE">
            <w:pPr>
              <w:jc w:val="center"/>
              <w:rPr>
                <w:iCs/>
              </w:rPr>
            </w:pPr>
          </w:p>
        </w:tc>
        <w:tc>
          <w:tcPr>
            <w:tcW w:w="5245" w:type="dxa"/>
            <w:shd w:val="clear" w:color="auto" w:fill="FFE599" w:themeFill="accent4" w:themeFillTint="66"/>
          </w:tcPr>
          <w:p w14:paraId="5027A470" w14:textId="77777777" w:rsidR="0030444B" w:rsidRPr="005836CE" w:rsidRDefault="0030444B" w:rsidP="0030444B">
            <w:pPr>
              <w:rPr>
                <w:iCs/>
              </w:rPr>
            </w:pPr>
          </w:p>
        </w:tc>
        <w:tc>
          <w:tcPr>
            <w:tcW w:w="5982" w:type="dxa"/>
          </w:tcPr>
          <w:p w14:paraId="1BDC34F5" w14:textId="77777777" w:rsidR="0030444B" w:rsidRDefault="0030444B" w:rsidP="0030444B"/>
        </w:tc>
      </w:tr>
    </w:tbl>
    <w:p w14:paraId="7CD8E389" w14:textId="459FF070" w:rsidR="00B22397" w:rsidRDefault="00B22397" w:rsidP="00994353">
      <w:pPr>
        <w:pStyle w:val="ListParagraph"/>
      </w:pPr>
    </w:p>
    <w:sectPr w:rsidR="00B22397" w:rsidSect="00985F93">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9AB9" w14:textId="77777777" w:rsidR="00577746" w:rsidRDefault="00577746" w:rsidP="00BC3A3B">
      <w:pPr>
        <w:spacing w:after="0" w:line="240" w:lineRule="auto"/>
      </w:pPr>
      <w:r>
        <w:separator/>
      </w:r>
    </w:p>
  </w:endnote>
  <w:endnote w:type="continuationSeparator" w:id="0">
    <w:p w14:paraId="43799D13" w14:textId="77777777" w:rsidR="00577746" w:rsidRDefault="00577746" w:rsidP="00BC3A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D789" w14:textId="77777777" w:rsidR="00577746" w:rsidRDefault="00577746" w:rsidP="00BC3A3B">
      <w:pPr>
        <w:spacing w:after="0" w:line="240" w:lineRule="auto"/>
      </w:pPr>
      <w:r>
        <w:separator/>
      </w:r>
    </w:p>
  </w:footnote>
  <w:footnote w:type="continuationSeparator" w:id="0">
    <w:p w14:paraId="3E2685BB" w14:textId="77777777" w:rsidR="00577746" w:rsidRDefault="00577746" w:rsidP="00BC3A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D2B79" w14:textId="74898281" w:rsidR="00BC3A3B" w:rsidRDefault="00BC3A3B" w:rsidP="00C04877">
    <w:pPr>
      <w:pStyle w:val="Header"/>
      <w:jc w:val="center"/>
      <w:rPr>
        <w:b/>
        <w:color w:val="002060"/>
      </w:rPr>
    </w:pPr>
    <w:r>
      <w:rPr>
        <w:b/>
        <w:color w:val="002060"/>
      </w:rPr>
      <w:t xml:space="preserve">Clarification </w:t>
    </w:r>
    <w:r w:rsidR="00CF5F21">
      <w:rPr>
        <w:b/>
        <w:color w:val="002060"/>
      </w:rPr>
      <w:t xml:space="preserve">Response </w:t>
    </w:r>
    <w:r>
      <w:rPr>
        <w:b/>
        <w:color w:val="002060"/>
      </w:rPr>
      <w:t xml:space="preserve">Form </w:t>
    </w:r>
    <w:r w:rsidRPr="006A03A0">
      <w:rPr>
        <w:b/>
        <w:color w:val="002060"/>
      </w:rPr>
      <w:t>–</w:t>
    </w:r>
    <w:r w:rsidR="00480BB4" w:rsidRPr="00480BB4">
      <w:rPr>
        <w:b/>
        <w:color w:val="002060"/>
      </w:rPr>
      <w:t xml:space="preserve"> </w:t>
    </w:r>
    <w:r w:rsidR="002F688D" w:rsidRPr="002F688D">
      <w:rPr>
        <w:b/>
        <w:color w:val="002060"/>
      </w:rPr>
      <w:t>Online Digital Reference Content for School</w:t>
    </w:r>
    <w:r w:rsidR="002F688D">
      <w:rPr>
        <w:b/>
        <w:color w:val="002060"/>
      </w:rPr>
      <w:t>s</w:t>
    </w:r>
  </w:p>
  <w:p w14:paraId="4426DEE4" w14:textId="77777777" w:rsidR="002F688D" w:rsidRDefault="002F688D" w:rsidP="00C04877">
    <w:pPr>
      <w:pStyle w:val="Header"/>
      <w:jc w:val="center"/>
    </w:pPr>
  </w:p>
  <w:p w14:paraId="4AECE2EC" w14:textId="77777777" w:rsidR="002F688D" w:rsidRDefault="002F688D" w:rsidP="00C0487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134F5B"/>
    <w:multiLevelType w:val="hybridMultilevel"/>
    <w:tmpl w:val="5C12A958"/>
    <w:lvl w:ilvl="0" w:tplc="8DC0632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6E7BED"/>
    <w:multiLevelType w:val="hybridMultilevel"/>
    <w:tmpl w:val="A70CE812"/>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DCC5AE4"/>
    <w:multiLevelType w:val="hybridMultilevel"/>
    <w:tmpl w:val="741612AE"/>
    <w:lvl w:ilvl="0" w:tplc="18090019">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50DE2C7A"/>
    <w:multiLevelType w:val="hybridMultilevel"/>
    <w:tmpl w:val="32A43EEE"/>
    <w:lvl w:ilvl="0" w:tplc="8DC06326">
      <w:numFmt w:val="bullet"/>
      <w:lvlText w:val=""/>
      <w:lvlJc w:val="left"/>
      <w:pPr>
        <w:ind w:left="720" w:hanging="360"/>
      </w:pPr>
      <w:rPr>
        <w:rFonts w:ascii="Symbol" w:eastAsiaTheme="minorHAnsi" w:hAnsi="Symbol"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56B22C2D"/>
    <w:multiLevelType w:val="hybridMultilevel"/>
    <w:tmpl w:val="C38A1656"/>
    <w:lvl w:ilvl="0" w:tplc="0470B336">
      <w:start w:val="1"/>
      <w:numFmt w:val="lowerLetter"/>
      <w:lvlText w:val="%1)"/>
      <w:lvlJc w:val="left"/>
      <w:pPr>
        <w:ind w:left="405" w:hanging="360"/>
      </w:pPr>
      <w:rPr>
        <w:rFonts w:hint="default"/>
      </w:rPr>
    </w:lvl>
    <w:lvl w:ilvl="1" w:tplc="18090019" w:tentative="1">
      <w:start w:val="1"/>
      <w:numFmt w:val="lowerLetter"/>
      <w:lvlText w:val="%2."/>
      <w:lvlJc w:val="left"/>
      <w:pPr>
        <w:ind w:left="1125" w:hanging="360"/>
      </w:pPr>
    </w:lvl>
    <w:lvl w:ilvl="2" w:tplc="1809001B" w:tentative="1">
      <w:start w:val="1"/>
      <w:numFmt w:val="lowerRoman"/>
      <w:lvlText w:val="%3."/>
      <w:lvlJc w:val="right"/>
      <w:pPr>
        <w:ind w:left="1845" w:hanging="180"/>
      </w:pPr>
    </w:lvl>
    <w:lvl w:ilvl="3" w:tplc="1809000F" w:tentative="1">
      <w:start w:val="1"/>
      <w:numFmt w:val="decimal"/>
      <w:lvlText w:val="%4."/>
      <w:lvlJc w:val="left"/>
      <w:pPr>
        <w:ind w:left="2565" w:hanging="360"/>
      </w:pPr>
    </w:lvl>
    <w:lvl w:ilvl="4" w:tplc="18090019" w:tentative="1">
      <w:start w:val="1"/>
      <w:numFmt w:val="lowerLetter"/>
      <w:lvlText w:val="%5."/>
      <w:lvlJc w:val="left"/>
      <w:pPr>
        <w:ind w:left="3285" w:hanging="360"/>
      </w:pPr>
    </w:lvl>
    <w:lvl w:ilvl="5" w:tplc="1809001B" w:tentative="1">
      <w:start w:val="1"/>
      <w:numFmt w:val="lowerRoman"/>
      <w:lvlText w:val="%6."/>
      <w:lvlJc w:val="right"/>
      <w:pPr>
        <w:ind w:left="4005" w:hanging="180"/>
      </w:pPr>
    </w:lvl>
    <w:lvl w:ilvl="6" w:tplc="1809000F" w:tentative="1">
      <w:start w:val="1"/>
      <w:numFmt w:val="decimal"/>
      <w:lvlText w:val="%7."/>
      <w:lvlJc w:val="left"/>
      <w:pPr>
        <w:ind w:left="4725" w:hanging="360"/>
      </w:pPr>
    </w:lvl>
    <w:lvl w:ilvl="7" w:tplc="18090019" w:tentative="1">
      <w:start w:val="1"/>
      <w:numFmt w:val="lowerLetter"/>
      <w:lvlText w:val="%8."/>
      <w:lvlJc w:val="left"/>
      <w:pPr>
        <w:ind w:left="5445" w:hanging="360"/>
      </w:pPr>
    </w:lvl>
    <w:lvl w:ilvl="8" w:tplc="1809001B" w:tentative="1">
      <w:start w:val="1"/>
      <w:numFmt w:val="lowerRoman"/>
      <w:lvlText w:val="%9."/>
      <w:lvlJc w:val="right"/>
      <w:pPr>
        <w:ind w:left="6165" w:hanging="180"/>
      </w:pPr>
    </w:lvl>
  </w:abstractNum>
  <w:num w:numId="1" w16cid:durableId="377900486">
    <w:abstractNumId w:val="3"/>
  </w:num>
  <w:num w:numId="2" w16cid:durableId="536553783">
    <w:abstractNumId w:val="0"/>
  </w:num>
  <w:num w:numId="3" w16cid:durableId="2065448446">
    <w:abstractNumId w:val="4"/>
  </w:num>
  <w:num w:numId="4" w16cid:durableId="1267926937">
    <w:abstractNumId w:val="2"/>
  </w:num>
  <w:num w:numId="5" w16cid:durableId="59209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3B"/>
    <w:rsid w:val="000520FF"/>
    <w:rsid w:val="00074CF5"/>
    <w:rsid w:val="000A094D"/>
    <w:rsid w:val="000F54D6"/>
    <w:rsid w:val="00173741"/>
    <w:rsid w:val="002A55B5"/>
    <w:rsid w:val="002B718D"/>
    <w:rsid w:val="002C0132"/>
    <w:rsid w:val="002F688D"/>
    <w:rsid w:val="0030444B"/>
    <w:rsid w:val="0031337C"/>
    <w:rsid w:val="003320B8"/>
    <w:rsid w:val="00344C00"/>
    <w:rsid w:val="003A2D50"/>
    <w:rsid w:val="003C005E"/>
    <w:rsid w:val="00471983"/>
    <w:rsid w:val="00480BB4"/>
    <w:rsid w:val="004C1E31"/>
    <w:rsid w:val="004D75E7"/>
    <w:rsid w:val="004E6082"/>
    <w:rsid w:val="00577746"/>
    <w:rsid w:val="005836CE"/>
    <w:rsid w:val="00593408"/>
    <w:rsid w:val="005C45A5"/>
    <w:rsid w:val="00631E00"/>
    <w:rsid w:val="006879A0"/>
    <w:rsid w:val="006946A0"/>
    <w:rsid w:val="006A39A8"/>
    <w:rsid w:val="007232D3"/>
    <w:rsid w:val="00753942"/>
    <w:rsid w:val="00773A5D"/>
    <w:rsid w:val="00793F7D"/>
    <w:rsid w:val="007A575B"/>
    <w:rsid w:val="00804849"/>
    <w:rsid w:val="008B7870"/>
    <w:rsid w:val="00913824"/>
    <w:rsid w:val="00944E7F"/>
    <w:rsid w:val="00985F93"/>
    <w:rsid w:val="009932A7"/>
    <w:rsid w:val="00994353"/>
    <w:rsid w:val="00997D22"/>
    <w:rsid w:val="009F5734"/>
    <w:rsid w:val="00A81223"/>
    <w:rsid w:val="00A8736B"/>
    <w:rsid w:val="00A87AA4"/>
    <w:rsid w:val="00A93B31"/>
    <w:rsid w:val="00A9491E"/>
    <w:rsid w:val="00AA2624"/>
    <w:rsid w:val="00AF24B6"/>
    <w:rsid w:val="00B015CB"/>
    <w:rsid w:val="00B22397"/>
    <w:rsid w:val="00B81B71"/>
    <w:rsid w:val="00BC3A3B"/>
    <w:rsid w:val="00BD415A"/>
    <w:rsid w:val="00BE2414"/>
    <w:rsid w:val="00C04877"/>
    <w:rsid w:val="00CA6274"/>
    <w:rsid w:val="00CC2BCD"/>
    <w:rsid w:val="00CE5D5B"/>
    <w:rsid w:val="00CF2510"/>
    <w:rsid w:val="00CF5F21"/>
    <w:rsid w:val="00D12BCD"/>
    <w:rsid w:val="00D27D38"/>
    <w:rsid w:val="00D30E50"/>
    <w:rsid w:val="00D66F56"/>
    <w:rsid w:val="00D83DCB"/>
    <w:rsid w:val="00D956B0"/>
    <w:rsid w:val="00DA276F"/>
    <w:rsid w:val="00DA47D5"/>
    <w:rsid w:val="00E10397"/>
    <w:rsid w:val="00E76A90"/>
    <w:rsid w:val="00E92389"/>
    <w:rsid w:val="00EE5981"/>
    <w:rsid w:val="00F06129"/>
    <w:rsid w:val="00F30989"/>
    <w:rsid w:val="00FC7AC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35442"/>
  <w15:docId w15:val="{EFA779B1-BA72-401C-9873-225E1AA9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3A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3A3B"/>
  </w:style>
  <w:style w:type="paragraph" w:styleId="Footer">
    <w:name w:val="footer"/>
    <w:basedOn w:val="Normal"/>
    <w:link w:val="FooterChar"/>
    <w:uiPriority w:val="99"/>
    <w:unhideWhenUsed/>
    <w:rsid w:val="00BC3A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3A3B"/>
  </w:style>
  <w:style w:type="table" w:styleId="TableGrid">
    <w:name w:val="Table Grid"/>
    <w:basedOn w:val="TableNormal"/>
    <w:uiPriority w:val="39"/>
    <w:rsid w:val="00BC3A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3A3B"/>
    <w:pPr>
      <w:ind w:left="720"/>
      <w:contextualSpacing/>
    </w:pPr>
  </w:style>
  <w:style w:type="character" w:styleId="Hyperlink">
    <w:name w:val="Hyperlink"/>
    <w:basedOn w:val="DefaultParagraphFont"/>
    <w:uiPriority w:val="99"/>
    <w:semiHidden/>
    <w:unhideWhenUsed/>
    <w:rsid w:val="00CE5D5B"/>
    <w:rPr>
      <w:color w:val="0000FF"/>
      <w:u w:val="single"/>
    </w:rPr>
  </w:style>
  <w:style w:type="paragraph" w:customStyle="1" w:styleId="Default">
    <w:name w:val="Default"/>
    <w:rsid w:val="00997D2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BD41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1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04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C5691896C00D45AA11CD1B9AD8570A" ma:contentTypeVersion="12" ma:contentTypeDescription="Create a new document." ma:contentTypeScope="" ma:versionID="85ccc8f59901af6a9068e5fcd085347b">
  <xsd:schema xmlns:xsd="http://www.w3.org/2001/XMLSchema" xmlns:xs="http://www.w3.org/2001/XMLSchema" xmlns:p="http://schemas.microsoft.com/office/2006/metadata/properties" xmlns:ns2="9c592512-f7c3-428f-bb34-fa8b6307f9fb" xmlns:ns3="1b865148-fad6-4045-b209-459a5f271c4b" targetNamespace="http://schemas.microsoft.com/office/2006/metadata/properties" ma:root="true" ma:fieldsID="396f5afaa88191fd26809c1a7260bd50" ns2:_="" ns3:_="">
    <xsd:import namespace="9c592512-f7c3-428f-bb34-fa8b6307f9fb"/>
    <xsd:import namespace="1b865148-fad6-4045-b209-459a5f271c4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592512-f7c3-428f-bb34-fa8b6307f9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e3471aa-faad-45a0-8325-b92e6fdb4044"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65148-fad6-4045-b209-459a5f271c4b"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0146a57-7d6f-4d89-9917-f2474b528ee6}" ma:internalName="TaxCatchAll" ma:showField="CatchAllData" ma:web="1b865148-fad6-4045-b209-459a5f271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c592512-f7c3-428f-bb34-fa8b6307f9fb">
      <Terms xmlns="http://schemas.microsoft.com/office/infopath/2007/PartnerControls"/>
    </lcf76f155ced4ddcb4097134ff3c332f>
    <TaxCatchAll xmlns="1b865148-fad6-4045-b209-459a5f271c4b" xsi:nil="true"/>
  </documentManagement>
</p:properties>
</file>

<file path=customXml/itemProps1.xml><?xml version="1.0" encoding="utf-8"?>
<ds:datastoreItem xmlns:ds="http://schemas.openxmlformats.org/officeDocument/2006/customXml" ds:itemID="{7E19FC88-E7C2-4625-BDAC-06947CFAE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592512-f7c3-428f-bb34-fa8b6307f9fb"/>
    <ds:schemaRef ds:uri="1b865148-fad6-4045-b209-459a5f271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06BA02-26BC-46A2-94F7-18ABCC866FF0}">
  <ds:schemaRefs>
    <ds:schemaRef ds:uri="http://schemas.microsoft.com/sharepoint/v3/contenttype/forms"/>
  </ds:schemaRefs>
</ds:datastoreItem>
</file>

<file path=customXml/itemProps3.xml><?xml version="1.0" encoding="utf-8"?>
<ds:datastoreItem xmlns:ds="http://schemas.openxmlformats.org/officeDocument/2006/customXml" ds:itemID="{934A60B2-1842-4C56-BAB3-E1E68D3A94AC}">
  <ds:schemaRefs>
    <ds:schemaRef ds:uri="http://schemas.openxmlformats.org/officeDocument/2006/bibliography"/>
  </ds:schemaRefs>
</ds:datastoreItem>
</file>

<file path=customXml/itemProps4.xml><?xml version="1.0" encoding="utf-8"?>
<ds:datastoreItem xmlns:ds="http://schemas.openxmlformats.org/officeDocument/2006/customXml" ds:itemID="{1639B517-73CA-43C6-A206-B930497F5E3E}">
  <ds:schemaRefs>
    <ds:schemaRef ds:uri="http://schemas.microsoft.com/office/2006/metadata/properties"/>
    <ds:schemaRef ds:uri="http://schemas.microsoft.com/office/infopath/2007/PartnerControls"/>
    <ds:schemaRef ds:uri="9c592512-f7c3-428f-bb34-fa8b6307f9fb"/>
    <ds:schemaRef ds:uri="1b865148-fad6-4045-b209-459a5f271c4b"/>
  </ds:schemaRefs>
</ds:datastoreItem>
</file>

<file path=docProps/app.xml><?xml version="1.0" encoding="utf-8"?>
<Properties xmlns="http://schemas.openxmlformats.org/officeDocument/2006/extended-properties" xmlns:vt="http://schemas.openxmlformats.org/officeDocument/2006/docPropsVTypes">
  <Template>Normal</Template>
  <TotalTime>918</TotalTime>
  <Pages>2</Pages>
  <Words>187</Words>
  <Characters>1067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Defence Forces</Company>
  <LinksUpToDate>false</LinksUpToDate>
  <CharactersWithSpaces>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Cathal Daly</dc:creator>
  <cp:lastModifiedBy>Paul Behan</cp:lastModifiedBy>
  <cp:revision>4</cp:revision>
  <cp:lastPrinted>2026-01-07T11:51:00Z</cp:lastPrinted>
  <dcterms:created xsi:type="dcterms:W3CDTF">2026-07-08T17:11:00Z</dcterms:created>
  <dcterms:modified xsi:type="dcterms:W3CDTF">2026-07-09T10:37:00Z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0x01010001C5691896C00D45AA11CD1B9AD8570A</vt:lpwstr>
  </property>
</Properties>
</file>