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9D4AC" w14:textId="1430AEF5" w:rsidR="005F2611" w:rsidRPr="00264C47" w:rsidRDefault="003E2E71" w:rsidP="00264C47">
      <w:pPr>
        <w:jc w:val="center"/>
        <w:rPr>
          <w:b/>
          <w:bCs/>
          <w:sz w:val="28"/>
          <w:szCs w:val="28"/>
        </w:rPr>
      </w:pPr>
      <w:r w:rsidRPr="00264C47">
        <w:rPr>
          <w:b/>
          <w:bCs/>
          <w:sz w:val="28"/>
          <w:szCs w:val="28"/>
        </w:rPr>
        <w:t>Single Party Framework Agreement for the Provision of Real Estate and Property Management Consultancy Services.</w:t>
      </w:r>
    </w:p>
    <w:p w14:paraId="1B7C986C" w14:textId="06E7DA83" w:rsidR="741A7A98" w:rsidRPr="00264C47" w:rsidRDefault="741A7A98" w:rsidP="00264C47">
      <w:pPr>
        <w:jc w:val="center"/>
        <w:rPr>
          <w:b/>
          <w:bCs/>
          <w:sz w:val="24"/>
          <w:szCs w:val="24"/>
        </w:rPr>
      </w:pPr>
    </w:p>
    <w:p w14:paraId="6D4DBB55" w14:textId="0CC4E202" w:rsidR="09A49BC2" w:rsidRPr="00264C47" w:rsidRDefault="003E2E71" w:rsidP="00264C47">
      <w:pPr>
        <w:jc w:val="center"/>
        <w:rPr>
          <w:b/>
          <w:bCs/>
          <w:sz w:val="24"/>
          <w:szCs w:val="24"/>
        </w:rPr>
      </w:pPr>
      <w:r w:rsidRPr="00264C47">
        <w:rPr>
          <w:b/>
          <w:bCs/>
          <w:sz w:val="24"/>
          <w:szCs w:val="24"/>
        </w:rPr>
        <w:t>Appendix 1 – Requirements and Specifications</w:t>
      </w:r>
    </w:p>
    <w:p w14:paraId="1F1B3835" w14:textId="457A2A21" w:rsidR="00A762AA" w:rsidRPr="00884FA8" w:rsidRDefault="00A762AA" w:rsidP="00D5702F">
      <w:pPr>
        <w:pStyle w:val="Heading1"/>
      </w:pPr>
      <w:r w:rsidRPr="00884FA8">
        <w:t>Background</w:t>
      </w:r>
    </w:p>
    <w:p w14:paraId="5C3A8A9E" w14:textId="01366707" w:rsidR="09A49BC2" w:rsidRPr="00D5702F" w:rsidRDefault="09A49BC2" w:rsidP="00D5702F">
      <w:pPr>
        <w:pStyle w:val="Heading2"/>
      </w:pPr>
      <w:r w:rsidRPr="00D5702F">
        <w:t>Technological University Dublin Background Information</w:t>
      </w:r>
    </w:p>
    <w:p w14:paraId="513B13A5" w14:textId="298D5527" w:rsidR="09A49BC2" w:rsidRPr="00264C47" w:rsidRDefault="09A49BC2" w:rsidP="00264C47">
      <w:r w:rsidRPr="00264C47">
        <w:t>TU Dublin, Ireland’s first Technological University, is where career-focused students, dedicated staff and academic excellence in science, the arts, business, engineering and technology converge to create the leaders of tomorrow. We offer an inclusive and open learning experience with pathways to graduation, from Apprenticeship to PhD. Our 28,500 students learn in a practice-based environment informed by the latest research and enabled by technological advances.</w:t>
      </w:r>
    </w:p>
    <w:p w14:paraId="121C5611" w14:textId="4CD1A040" w:rsidR="09A49BC2" w:rsidRDefault="09A49BC2" w:rsidP="00264C47">
      <w:r w:rsidRPr="00DB02B5">
        <w:t>TU Dublin is an exciting new milestone in Irish Higher Education. With campuses in Dublin City, Tallaght and Blanchardstown, it spans the largest population centres of Ireland’s capital city. Building on the rich heritage of its founding organisations - DIT, IT Blanchardstown and IT Tallaght – TU Dublin is inclusive and adaptable, creating educational opportunities for students at all stages. TU Dublin students are socially responsible, open-minded global thinkers who are ambitious to change the world for the better. As graduates, they will be enterprising and daring in all their endeavours, ready to play their part in transforming the future.</w:t>
      </w:r>
    </w:p>
    <w:p w14:paraId="0BBF7BE2" w14:textId="5A0C98D9" w:rsidR="00707A4C" w:rsidRPr="00707A4C" w:rsidRDefault="00707A4C" w:rsidP="00D5702F">
      <w:pPr>
        <w:pStyle w:val="Heading2"/>
      </w:pPr>
      <w:r w:rsidRPr="00707A4C">
        <w:t xml:space="preserve">Strategic Objectives </w:t>
      </w:r>
    </w:p>
    <w:p w14:paraId="72B18058" w14:textId="4C00496B" w:rsidR="09A49BC2" w:rsidRDefault="00707A4C" w:rsidP="00264C47">
      <w:r w:rsidRPr="00707A4C">
        <w:t>TU Dublin strategic objectives are to provide a distinctive, high quality student experience with flexibility and diversity in provision, to provide a range of learning opportunities and to address regional skills needs through research and innovation. TU Dublin works closely with internal &amp; external stakeholders to create graduates that have a positive impact on the economic, social, cultural and environmental fabric of the region, nationally and globally. Our Strategic Intent 2030 set out the initial 10-year roadmap for the University. Developed with the input of over 2,500 stakeholders, it comprises the three key pillars; People, Planet and Partnership. The University has been delivering key strategic objectives under these pillars. The Strategic Intent Plan provides Key Performance Indicators which are specifically relevant to the development of the 3 Campus.</w:t>
      </w:r>
    </w:p>
    <w:p w14:paraId="63961EB1" w14:textId="3B94F23C" w:rsidR="00884FA8" w:rsidRPr="00884FA8" w:rsidRDefault="00884FA8" w:rsidP="00D5702F">
      <w:pPr>
        <w:pStyle w:val="Heading2"/>
      </w:pPr>
      <w:r w:rsidRPr="00884FA8">
        <w:t>Property Portfolio</w:t>
      </w:r>
    </w:p>
    <w:p w14:paraId="1124623E" w14:textId="2DE2A717" w:rsidR="00884FA8" w:rsidRPr="00884FA8" w:rsidRDefault="00884FA8" w:rsidP="00264C47">
      <w:r w:rsidRPr="00884FA8">
        <w:t xml:space="preserve">TU Dublin’s property portfolio currently comprises </w:t>
      </w:r>
      <w:r w:rsidR="003563B8">
        <w:t>over 40</w:t>
      </w:r>
      <w:r w:rsidRPr="00884FA8">
        <w:t xml:space="preserve"> properties. The most common uses are for teaching or administration activities, although other uses include cafes, libraries, sports halls, childcare facilities etc.</w:t>
      </w:r>
    </w:p>
    <w:p w14:paraId="3BD99441" w14:textId="77777777" w:rsidR="00884FA8" w:rsidRPr="00884FA8" w:rsidRDefault="00884FA8" w:rsidP="00264C47">
      <w:r w:rsidRPr="00884FA8">
        <w:t>The ownership of properties also varies between TU Dublin (owner occupier), other public entities (use under licenses or leases) and private entities (use under lease agreements).</w:t>
      </w:r>
    </w:p>
    <w:p w14:paraId="25195024" w14:textId="77777777" w:rsidR="00884FA8" w:rsidRPr="00884FA8" w:rsidRDefault="00884FA8" w:rsidP="00264C47">
      <w:r w:rsidRPr="00884FA8">
        <w:t>It is relevant to note TU Dublin operates:</w:t>
      </w:r>
    </w:p>
    <w:p w14:paraId="57243657" w14:textId="77777777" w:rsidR="00884FA8" w:rsidRPr="00884FA8" w:rsidRDefault="00884FA8" w:rsidP="00264C47">
      <w:r w:rsidRPr="00884FA8">
        <w:t>-</w:t>
      </w:r>
      <w:r w:rsidRPr="00884FA8">
        <w:tab/>
        <w:t>3 lease agreements as a tenant to private property owners;</w:t>
      </w:r>
    </w:p>
    <w:p w14:paraId="23458977" w14:textId="77777777" w:rsidR="00884FA8" w:rsidRPr="00884FA8" w:rsidRDefault="00884FA8" w:rsidP="00264C47">
      <w:r w:rsidRPr="00884FA8">
        <w:t>-</w:t>
      </w:r>
      <w:r w:rsidRPr="00884FA8">
        <w:tab/>
        <w:t>4 lease agreements as a landlord to other public bodies;</w:t>
      </w:r>
    </w:p>
    <w:p w14:paraId="3DB75640" w14:textId="77777777" w:rsidR="00884FA8" w:rsidRPr="00884FA8" w:rsidRDefault="00884FA8" w:rsidP="00264C47">
      <w:r w:rsidRPr="00884FA8">
        <w:t>-</w:t>
      </w:r>
      <w:r w:rsidRPr="00884FA8">
        <w:tab/>
        <w:t>4 license agreements for telecom roof installations.</w:t>
      </w:r>
    </w:p>
    <w:p w14:paraId="3D749BAF" w14:textId="43735711" w:rsidR="00884FA8" w:rsidRPr="00884FA8" w:rsidRDefault="00884FA8" w:rsidP="00264C47">
      <w:r w:rsidRPr="00884FA8">
        <w:t xml:space="preserve">All the above is constantly subject to review either for maintaining the current agreements, including renewals </w:t>
      </w:r>
      <w:r w:rsidRPr="00884FA8">
        <w:lastRenderedPageBreak/>
        <w:t>and reviews, or for adapting to the changing needs of the activities performed on each site.</w:t>
      </w:r>
    </w:p>
    <w:p w14:paraId="6F7B9258" w14:textId="317F5EA3" w:rsidR="000D61FE" w:rsidRPr="007A0B1F" w:rsidRDefault="000D61FE" w:rsidP="00264C47">
      <w:r>
        <w:t>TU Dublin also manages</w:t>
      </w:r>
      <w:r w:rsidR="008D3F48">
        <w:t xml:space="preserve"> multiple</w:t>
      </w:r>
      <w:r>
        <w:t xml:space="preserve"> </w:t>
      </w:r>
      <w:r w:rsidR="00FB02BB">
        <w:t xml:space="preserve">short term leases on 4x properties </w:t>
      </w:r>
      <w:r w:rsidR="00CF2E58">
        <w:t xml:space="preserve">used as incubation centers for startup companies with </w:t>
      </w:r>
      <w:r w:rsidR="008D3F48">
        <w:t xml:space="preserve">the goal of offering the connection between the academic </w:t>
      </w:r>
      <w:r w:rsidR="00A20931">
        <w:t xml:space="preserve">and the entrepreneurial </w:t>
      </w:r>
      <w:r w:rsidR="00F5428E">
        <w:t>industries.</w:t>
      </w:r>
    </w:p>
    <w:p w14:paraId="7D9697F4" w14:textId="77777777" w:rsidR="00677C02" w:rsidRDefault="00677C02" w:rsidP="00677C02">
      <w:pPr>
        <w:pStyle w:val="Heading1"/>
      </w:pPr>
      <w:r>
        <w:t>Scope of the Services to be provided</w:t>
      </w:r>
    </w:p>
    <w:p w14:paraId="15505930" w14:textId="298F12D4" w:rsidR="00677C02" w:rsidRDefault="0013638C" w:rsidP="00D5702F">
      <w:pPr>
        <w:pStyle w:val="Heading2"/>
      </w:pPr>
      <w:r>
        <w:t xml:space="preserve">General </w:t>
      </w:r>
      <w:r w:rsidR="00677C02">
        <w:t>Services Required</w:t>
      </w:r>
    </w:p>
    <w:p w14:paraId="467A4F7E" w14:textId="3685156C" w:rsidR="00677C02" w:rsidRDefault="00677C02" w:rsidP="00677C02">
      <w:r>
        <w:t>The Tenderer</w:t>
      </w:r>
      <w:r w:rsidR="00ED4C7E">
        <w:t>s</w:t>
      </w:r>
      <w:r>
        <w:t xml:space="preserve"> admitted to this framework will be required to provide technical specialist Property &amp; Real Estate Advisory consultancy services in respect of any property in the interest of the Contracting Authority.</w:t>
      </w:r>
    </w:p>
    <w:p w14:paraId="5D48726F" w14:textId="7E185E1E" w:rsidR="00677C02" w:rsidRDefault="00677C02" w:rsidP="00677C02">
      <w:r>
        <w:t xml:space="preserve">A </w:t>
      </w:r>
      <w:r w:rsidR="00FB0CB7">
        <w:t xml:space="preserve">minimum of 2 and up to a </w:t>
      </w:r>
      <w:r w:rsidR="00FF2FA9">
        <w:t>maximum of 5 (five)</w:t>
      </w:r>
      <w:r>
        <w:t xml:space="preserve"> </w:t>
      </w:r>
      <w:r w:rsidR="00E41102">
        <w:t xml:space="preserve">suppliers may </w:t>
      </w:r>
      <w:r>
        <w:t>be appointed to</w:t>
      </w:r>
      <w:r w:rsidR="00562AFD">
        <w:t xml:space="preserve"> the Framework.</w:t>
      </w:r>
      <w:r>
        <w:t xml:space="preserve"> A broad range of services is required under the following general headings including but not limited to:</w:t>
      </w:r>
    </w:p>
    <w:p w14:paraId="1D876792" w14:textId="77777777" w:rsidR="00677C02" w:rsidRDefault="00677C02" w:rsidP="00C13A23">
      <w:pPr>
        <w:pStyle w:val="ListParagraph"/>
      </w:pPr>
      <w:r>
        <w:t>•</w:t>
      </w:r>
      <w:r>
        <w:tab/>
        <w:t>New leases and licenses review, advice and representation</w:t>
      </w:r>
    </w:p>
    <w:p w14:paraId="6E9D0701" w14:textId="77777777" w:rsidR="00677C02" w:rsidRDefault="00677C02" w:rsidP="00C13A23">
      <w:pPr>
        <w:pStyle w:val="ListParagraph"/>
      </w:pPr>
      <w:r>
        <w:t>•</w:t>
      </w:r>
      <w:r>
        <w:tab/>
        <w:t>Existing leases and licenses review, advice and representation, including renewals, terminations and rent review processes</w:t>
      </w:r>
    </w:p>
    <w:p w14:paraId="1922AFB2" w14:textId="77777777" w:rsidR="00677C02" w:rsidRDefault="00677C02" w:rsidP="00C13A23">
      <w:pPr>
        <w:pStyle w:val="ListParagraph"/>
      </w:pPr>
      <w:r>
        <w:t>•</w:t>
      </w:r>
      <w:r>
        <w:tab/>
        <w:t>Schedule of conditions and dilapidation</w:t>
      </w:r>
    </w:p>
    <w:p w14:paraId="62BAFCBB" w14:textId="77777777" w:rsidR="00677C02" w:rsidRDefault="00677C02" w:rsidP="00C13A23">
      <w:pPr>
        <w:pStyle w:val="ListParagraph"/>
      </w:pPr>
      <w:r>
        <w:t>•</w:t>
      </w:r>
      <w:r>
        <w:tab/>
        <w:t>Property valuation services</w:t>
      </w:r>
    </w:p>
    <w:p w14:paraId="0477F48C" w14:textId="4C19E0A2" w:rsidR="000A04B9" w:rsidRDefault="00DF2DDA" w:rsidP="00C13A23">
      <w:pPr>
        <w:pStyle w:val="ListParagraph"/>
      </w:pPr>
      <w:r>
        <w:t>•</w:t>
      </w:r>
      <w:r>
        <w:tab/>
        <w:t>Property Brokerage services</w:t>
      </w:r>
    </w:p>
    <w:p w14:paraId="3A7E6D32" w14:textId="77777777" w:rsidR="00677C02" w:rsidRDefault="00677C02" w:rsidP="00C13A23">
      <w:pPr>
        <w:pStyle w:val="ListParagraph"/>
      </w:pPr>
      <w:r>
        <w:t>•</w:t>
      </w:r>
      <w:r>
        <w:tab/>
        <w:t>Surveying services and advice in respect of boundary issues</w:t>
      </w:r>
    </w:p>
    <w:p w14:paraId="1F2FFA26" w14:textId="77777777" w:rsidR="00677C02" w:rsidRDefault="00677C02" w:rsidP="00C13A23">
      <w:pPr>
        <w:pStyle w:val="ListParagraph"/>
      </w:pPr>
      <w:r>
        <w:t>•</w:t>
      </w:r>
      <w:r>
        <w:tab/>
        <w:t>Commercial rates advice</w:t>
      </w:r>
    </w:p>
    <w:p w14:paraId="0E9C3543" w14:textId="33C5F69D" w:rsidR="00677C02" w:rsidRDefault="00677C02" w:rsidP="00C13A23">
      <w:pPr>
        <w:pStyle w:val="ListParagraph"/>
      </w:pPr>
      <w:r>
        <w:t>•</w:t>
      </w:r>
      <w:r>
        <w:tab/>
      </w:r>
      <w:r w:rsidR="00541E5E">
        <w:t>R</w:t>
      </w:r>
      <w:r>
        <w:t>eview of properties and appraisals for rent, sale or purchase assessments</w:t>
      </w:r>
    </w:p>
    <w:p w14:paraId="19B3FA53" w14:textId="2282AA7B" w:rsidR="00677C02" w:rsidRDefault="00541E5E" w:rsidP="00C13A23">
      <w:pPr>
        <w:pStyle w:val="ListParagraph"/>
      </w:pPr>
      <w:r>
        <w:t>•</w:t>
      </w:r>
      <w:r>
        <w:tab/>
      </w:r>
      <w:r w:rsidR="00677C02">
        <w:t>Economic development advice in the context of the property market</w:t>
      </w:r>
    </w:p>
    <w:p w14:paraId="2896F15C" w14:textId="77777777" w:rsidR="00677C02" w:rsidRDefault="00677C02" w:rsidP="00C13A23">
      <w:pPr>
        <w:pStyle w:val="ListParagraph"/>
      </w:pPr>
      <w:r>
        <w:t>•</w:t>
      </w:r>
      <w:r>
        <w:tab/>
        <w:t>Income generation opportunity assessment</w:t>
      </w:r>
    </w:p>
    <w:p w14:paraId="41B61A88" w14:textId="60701BEF" w:rsidR="00677C02" w:rsidRDefault="00677C02" w:rsidP="00C13A23">
      <w:pPr>
        <w:pStyle w:val="ListParagraph"/>
      </w:pPr>
      <w:r>
        <w:t>•</w:t>
      </w:r>
      <w:r>
        <w:tab/>
        <w:t xml:space="preserve">Supporting multi-disciplinary teams for the purpose of generating business cases, multi-criteria analysis and overall support in case of Public Spending Code appraisals and/or projects involving property acquisition, disposal </w:t>
      </w:r>
      <w:r w:rsidR="00390F26">
        <w:t>etc.</w:t>
      </w:r>
      <w:r>
        <w:t xml:space="preserve"> as required</w:t>
      </w:r>
    </w:p>
    <w:p w14:paraId="0224B185" w14:textId="77777777" w:rsidR="00677C02" w:rsidRPr="00C13A23" w:rsidRDefault="00677C02" w:rsidP="00C13A23">
      <w:pPr>
        <w:pStyle w:val="ListParagraph"/>
      </w:pPr>
      <w:r w:rsidRPr="00C13A23">
        <w:t>•</w:t>
      </w:r>
      <w:r w:rsidRPr="00C13A23">
        <w:tab/>
        <w:t>Vat and Tax liabilities related to property transactions</w:t>
      </w:r>
    </w:p>
    <w:p w14:paraId="54BAF430" w14:textId="77777777" w:rsidR="00677C02" w:rsidRPr="00C13A23" w:rsidRDefault="00677C02" w:rsidP="00C13A23">
      <w:pPr>
        <w:pStyle w:val="ListParagraph"/>
      </w:pPr>
      <w:r w:rsidRPr="00C13A23">
        <w:t>•</w:t>
      </w:r>
      <w:r w:rsidRPr="00C13A23">
        <w:tab/>
        <w:t>Due Diligence Reports</w:t>
      </w:r>
    </w:p>
    <w:p w14:paraId="2336AA1C" w14:textId="77777777" w:rsidR="00677C02" w:rsidRPr="00C13A23" w:rsidRDefault="00677C02" w:rsidP="00C13A23">
      <w:pPr>
        <w:pStyle w:val="ListParagraph"/>
      </w:pPr>
      <w:r w:rsidRPr="00C13A23">
        <w:t>•</w:t>
      </w:r>
      <w:r w:rsidRPr="00C13A23">
        <w:tab/>
        <w:t>Rent reviews</w:t>
      </w:r>
    </w:p>
    <w:p w14:paraId="0328C865" w14:textId="77777777" w:rsidR="00677C02" w:rsidRPr="00C13A23" w:rsidRDefault="00677C02" w:rsidP="00C13A23">
      <w:pPr>
        <w:pStyle w:val="ListParagraph"/>
      </w:pPr>
      <w:r w:rsidRPr="00C13A23">
        <w:t>•</w:t>
      </w:r>
      <w:r w:rsidRPr="00C13A23">
        <w:tab/>
        <w:t>Procurement evaluation support</w:t>
      </w:r>
    </w:p>
    <w:p w14:paraId="4E9C8476" w14:textId="77777777" w:rsidR="00677C02" w:rsidRPr="00C13A23" w:rsidRDefault="00677C02" w:rsidP="00C13A23">
      <w:pPr>
        <w:pStyle w:val="ListParagraph"/>
      </w:pPr>
      <w:r w:rsidRPr="00C13A23">
        <w:t>•</w:t>
      </w:r>
      <w:r w:rsidRPr="00C13A23">
        <w:tab/>
        <w:t>Sinking fund and service charge management support</w:t>
      </w:r>
    </w:p>
    <w:p w14:paraId="50DB4EC6" w14:textId="65927E6E" w:rsidR="001B4DA1" w:rsidRPr="00C13A23" w:rsidRDefault="00677C02" w:rsidP="00C13A23">
      <w:pPr>
        <w:pStyle w:val="ListParagraph"/>
      </w:pPr>
      <w:r w:rsidRPr="00C13A23">
        <w:t>•</w:t>
      </w:r>
      <w:r w:rsidRPr="00C13A23">
        <w:tab/>
        <w:t>General advice and consultancy support regarding property management and real estate matters, market conditions, trends, risks, jurisprudence, benchmarking etc.</w:t>
      </w:r>
    </w:p>
    <w:p w14:paraId="753D46BD" w14:textId="39428945" w:rsidR="00EA5B24" w:rsidRDefault="0013638C" w:rsidP="00EA5B24">
      <w:pPr>
        <w:pStyle w:val="Heading2"/>
      </w:pPr>
      <w:r>
        <w:t xml:space="preserve">Detailed </w:t>
      </w:r>
      <w:r w:rsidR="00EA5B24">
        <w:t>Consultancy Service Requirements</w:t>
      </w:r>
    </w:p>
    <w:p w14:paraId="54817B8C" w14:textId="67BE3192" w:rsidR="00274BA3" w:rsidRDefault="00AA2E37" w:rsidP="00274BA3">
      <w:pPr>
        <w:pStyle w:val="Heading3"/>
      </w:pPr>
      <w:r>
        <w:t>Leases and Licenses</w:t>
      </w:r>
      <w:r w:rsidR="00274BA3">
        <w:t xml:space="preserve"> support services</w:t>
      </w:r>
    </w:p>
    <w:p w14:paraId="2541EEEB" w14:textId="6F9C989E" w:rsidR="00274BA3" w:rsidRDefault="006106B9" w:rsidP="00274BA3">
      <w:r>
        <w:t>F</w:t>
      </w:r>
      <w:r w:rsidR="00274BA3">
        <w:t>ramework member</w:t>
      </w:r>
      <w:r w:rsidR="000B4098">
        <w:t>s</w:t>
      </w:r>
      <w:r w:rsidR="00274BA3">
        <w:t xml:space="preserve"> may be </w:t>
      </w:r>
      <w:r w:rsidR="00361497">
        <w:t>appointed</w:t>
      </w:r>
      <w:r w:rsidR="00274BA3">
        <w:t xml:space="preserve"> to provide assistance and support in this regard, including</w:t>
      </w:r>
      <w:r w:rsidR="004B369D">
        <w:t xml:space="preserve"> but not limit</w:t>
      </w:r>
      <w:r w:rsidR="00895913">
        <w:t>ed to</w:t>
      </w:r>
      <w:r w:rsidR="00274BA3">
        <w:t xml:space="preserve"> the following:</w:t>
      </w:r>
    </w:p>
    <w:p w14:paraId="332B72A6" w14:textId="6C27EDEC" w:rsidR="00274BA3" w:rsidRPr="00DF35B4" w:rsidRDefault="00274BA3">
      <w:pPr>
        <w:pStyle w:val="ListParagraph"/>
        <w:numPr>
          <w:ilvl w:val="0"/>
          <w:numId w:val="2"/>
        </w:numPr>
        <w:ind w:hanging="720"/>
      </w:pPr>
      <w:r w:rsidRPr="00DF35B4">
        <w:lastRenderedPageBreak/>
        <w:t xml:space="preserve">Act </w:t>
      </w:r>
      <w:r w:rsidR="006C6201" w:rsidRPr="00DF35B4">
        <w:t xml:space="preserve">on behalf of the contracting authority </w:t>
      </w:r>
      <w:r w:rsidRPr="00DF35B4">
        <w:t xml:space="preserve">as first point of contact </w:t>
      </w:r>
      <w:r w:rsidR="00EE720B" w:rsidRPr="00DF35B4">
        <w:t>with</w:t>
      </w:r>
      <w:r w:rsidR="005632FD" w:rsidRPr="00DF35B4">
        <w:t xml:space="preserve"> the tenant / landlord / licensor</w:t>
      </w:r>
      <w:r w:rsidR="00EE720B" w:rsidRPr="00DF35B4">
        <w:t xml:space="preserve"> for any matters related to the tenancy / license agreement</w:t>
      </w:r>
      <w:r w:rsidRPr="00DF35B4">
        <w:t>.</w:t>
      </w:r>
    </w:p>
    <w:p w14:paraId="6B4D12FC" w14:textId="40678516" w:rsidR="007F0896" w:rsidRPr="00DF35B4" w:rsidRDefault="00D608BB">
      <w:pPr>
        <w:pStyle w:val="ListParagraph"/>
        <w:numPr>
          <w:ilvl w:val="0"/>
          <w:numId w:val="2"/>
        </w:numPr>
        <w:ind w:hanging="720"/>
      </w:pPr>
      <w:r w:rsidRPr="00DF35B4">
        <w:t>Support the management of service charges</w:t>
      </w:r>
      <w:r w:rsidR="007F0896" w:rsidRPr="00DF35B4">
        <w:t xml:space="preserve"> where the contracting authority acts as the managing agent</w:t>
      </w:r>
      <w:r w:rsidR="001313A0" w:rsidRPr="00DF35B4">
        <w:t xml:space="preserve"> in multi-tenanted properties, including</w:t>
      </w:r>
      <w:r w:rsidR="006A4647" w:rsidRPr="00DF35B4">
        <w:t xml:space="preserve"> support for service charges budgeting, report, conciliation and communication with tenants</w:t>
      </w:r>
      <w:r w:rsidR="007F0896" w:rsidRPr="00DF35B4">
        <w:t>.</w:t>
      </w:r>
    </w:p>
    <w:p w14:paraId="7F31DF89" w14:textId="63D769E4" w:rsidR="00274BA3" w:rsidRPr="00DF35B4" w:rsidRDefault="007F0896">
      <w:pPr>
        <w:pStyle w:val="ListParagraph"/>
        <w:numPr>
          <w:ilvl w:val="0"/>
          <w:numId w:val="2"/>
        </w:numPr>
        <w:ind w:hanging="720"/>
      </w:pPr>
      <w:r w:rsidRPr="00DF35B4">
        <w:t xml:space="preserve">Act as the managing agent </w:t>
      </w:r>
      <w:r w:rsidR="00197262" w:rsidRPr="00DF35B4">
        <w:t>to a multi-tenanted property, including management of a</w:t>
      </w:r>
      <w:r w:rsidR="00274BA3" w:rsidRPr="00DF35B4">
        <w:t>ny expenditure for</w:t>
      </w:r>
      <w:r w:rsidR="004C4507" w:rsidRPr="00DF35B4">
        <w:t xml:space="preserve"> minor</w:t>
      </w:r>
      <w:r w:rsidR="00274BA3" w:rsidRPr="00DF35B4">
        <w:t xml:space="preserve"> repairs/maintenance</w:t>
      </w:r>
      <w:r w:rsidR="004C4507" w:rsidRPr="00DF35B4">
        <w:t xml:space="preserve">, </w:t>
      </w:r>
      <w:r w:rsidR="00DD25F8" w:rsidRPr="00DF35B4">
        <w:t>which costs are</w:t>
      </w:r>
      <w:r w:rsidR="00274BA3" w:rsidRPr="00DF35B4">
        <w:t xml:space="preserve"> to be approved in advance by </w:t>
      </w:r>
      <w:r w:rsidR="00DD25F8" w:rsidRPr="00DF35B4">
        <w:t>the contracting authority</w:t>
      </w:r>
      <w:r w:rsidR="00274BA3" w:rsidRPr="00DF35B4">
        <w:t>. Quotations and schedule of works to be provided.</w:t>
      </w:r>
    </w:p>
    <w:p w14:paraId="157FAA92" w14:textId="25363CC7" w:rsidR="00274BA3" w:rsidRPr="00DF35B4" w:rsidRDefault="00274BA3">
      <w:pPr>
        <w:pStyle w:val="ListParagraph"/>
        <w:numPr>
          <w:ilvl w:val="0"/>
          <w:numId w:val="2"/>
        </w:numPr>
        <w:ind w:hanging="720"/>
      </w:pPr>
      <w:r w:rsidRPr="00DF35B4">
        <w:t xml:space="preserve">Advise </w:t>
      </w:r>
      <w:r w:rsidR="002A2E48" w:rsidRPr="00DF35B4">
        <w:t xml:space="preserve">the contracting authority and provide support for any matters </w:t>
      </w:r>
      <w:r w:rsidR="00961E5C" w:rsidRPr="00DF35B4">
        <w:t xml:space="preserve">leases or licenses agreements, including </w:t>
      </w:r>
      <w:r w:rsidR="00DF35B4" w:rsidRPr="00DF35B4">
        <w:t>but not limited to renewals, terminations and rent review processes</w:t>
      </w:r>
      <w:r w:rsidRPr="00DF35B4">
        <w:t>.</w:t>
      </w:r>
    </w:p>
    <w:p w14:paraId="4ACFA909" w14:textId="1D01650B" w:rsidR="00EA5B24" w:rsidRPr="00E202D4" w:rsidRDefault="00EA5B24" w:rsidP="00E202D4">
      <w:pPr>
        <w:pStyle w:val="Heading3"/>
      </w:pPr>
      <w:r w:rsidRPr="00E202D4">
        <w:t>Valuations and Surveying Services</w:t>
      </w:r>
    </w:p>
    <w:p w14:paraId="1B949929" w14:textId="00814379" w:rsidR="00EA5B24" w:rsidRDefault="00361497" w:rsidP="00EA5B24">
      <w:r>
        <w:t>Framework members may be appointed to provide v</w:t>
      </w:r>
      <w:r w:rsidR="00EA5B24">
        <w:t>aluation of properties as required by the Contracting Authority. In carrying out valuations, the framework member must be willing to consider all valuation methodologies (i.e., comparative, investment and cost approaches). Additionally, all valuations must be conducted in accordance with the Code of Ethical Principles for Professional Valuers of the International Valuation Standards Council, the relevant extracts of which are provided below:</w:t>
      </w:r>
    </w:p>
    <w:p w14:paraId="2EC47A09" w14:textId="77777777" w:rsidR="00EA5B24" w:rsidRDefault="00EA5B24" w:rsidP="00C13A23">
      <w:pPr>
        <w:pStyle w:val="ListParagraph"/>
      </w:pPr>
      <w:r>
        <w:t>•</w:t>
      </w:r>
      <w:r>
        <w:tab/>
        <w:t>Integrity: to be straightforward and honest in professional and business relationships;</w:t>
      </w:r>
    </w:p>
    <w:p w14:paraId="428A7154" w14:textId="77777777" w:rsidR="00EA5B24" w:rsidRDefault="00EA5B24" w:rsidP="00C13A23">
      <w:pPr>
        <w:pStyle w:val="ListParagraph"/>
      </w:pPr>
      <w:r>
        <w:t>•</w:t>
      </w:r>
      <w:r>
        <w:tab/>
        <w:t>Objectivity: not to allow conflict of interest, undue influence or bias to override professional or business judgement;</w:t>
      </w:r>
    </w:p>
    <w:p w14:paraId="542A76FC" w14:textId="77777777" w:rsidR="00EA5B24" w:rsidRDefault="00EA5B24" w:rsidP="00C13A23">
      <w:pPr>
        <w:pStyle w:val="ListParagraph"/>
      </w:pPr>
      <w:r>
        <w:t>•</w:t>
      </w:r>
      <w:r>
        <w:tab/>
        <w:t>Competence: to maintain the professional knowledge and skill required to ensure that a client or employer receives a service that is based on current developments in practice, legislation, and valuation techniques;</w:t>
      </w:r>
    </w:p>
    <w:p w14:paraId="7C2388B8" w14:textId="77777777" w:rsidR="00EA5B24" w:rsidRDefault="00EA5B24" w:rsidP="00C13A23">
      <w:pPr>
        <w:pStyle w:val="ListParagraph"/>
      </w:pPr>
      <w:r>
        <w:t>•</w:t>
      </w:r>
      <w:r>
        <w:tab/>
        <w:t>Confidentiality: to respect the confidentiality of information acquired as a result of professional and business relationships and not to disclose such information to third parties without proper and specific authority (unless there is a legal or professional right or duty to disclose), nor to use information for the personal advantage of the professional valuer or third parties;</w:t>
      </w:r>
    </w:p>
    <w:p w14:paraId="7A40FF9D" w14:textId="77777777" w:rsidR="00EA5B24" w:rsidRDefault="00EA5B24" w:rsidP="00C13A23">
      <w:pPr>
        <w:pStyle w:val="ListParagraph"/>
      </w:pPr>
      <w:r>
        <w:t>•</w:t>
      </w:r>
      <w:r>
        <w:tab/>
        <w:t>Professional behaviour: to act diligently and to produce work in a timely manner in accordance with applicable legal requirements, technical and professional standards. To always act in the public interest and to avoid any action that discredits the profession.</w:t>
      </w:r>
    </w:p>
    <w:p w14:paraId="2A9B2525" w14:textId="13C123A3" w:rsidR="00EA5B24" w:rsidRDefault="00EA5B24" w:rsidP="00EA5B24">
      <w:r>
        <w:t>To ensure compliance with these principles, in advance of accepting any instructions from the Contracting Authority under this framework agreement, the framework member will be expected to disclose any potential conflicts of interest and must discuss with the Contracting Authority proposed mitigation measures in respect of same. With regard to surveying services, it is envisioned that the framework member will be required to provide advice in respect of planning and boundary issues (including boundary definitions and the resolution of boundary disputes) as well as the conduct of structural and physical surveys.</w:t>
      </w:r>
    </w:p>
    <w:p w14:paraId="1CECC0B4" w14:textId="77777777" w:rsidR="00EA5B24" w:rsidRDefault="00EA5B24" w:rsidP="00E202D4">
      <w:pPr>
        <w:pStyle w:val="Heading3"/>
      </w:pPr>
      <w:r>
        <w:t>Advice Regarding Local Authority Commercial Rates</w:t>
      </w:r>
    </w:p>
    <w:p w14:paraId="41A97F13" w14:textId="20618013" w:rsidR="00EA5B24" w:rsidRDefault="00F24D3E" w:rsidP="00EA5B24">
      <w:r>
        <w:t xml:space="preserve">Framework members may be appointed to </w:t>
      </w:r>
      <w:r w:rsidR="00EA5B24">
        <w:t>assist the Contracting Authority in connection with its Commercial Rates obligations and must be fully familiar with the applicable provisions of the Valuation Act 2001. Additionally, assistance and advice may be required from time-to-time in connection with the appeal of a property’s rateable value.</w:t>
      </w:r>
    </w:p>
    <w:p w14:paraId="0DC64497" w14:textId="0A420377" w:rsidR="00AD0538" w:rsidRDefault="00AD0538" w:rsidP="00E202D4">
      <w:pPr>
        <w:pStyle w:val="Heading3"/>
      </w:pPr>
      <w:r>
        <w:t>Property Brokerage services</w:t>
      </w:r>
    </w:p>
    <w:p w14:paraId="3BB8532B" w14:textId="5DF80003" w:rsidR="005917EE" w:rsidRDefault="009F0743" w:rsidP="005917EE">
      <w:r>
        <w:t xml:space="preserve">Framework members may be appointed to provide </w:t>
      </w:r>
      <w:r w:rsidR="007E370B">
        <w:t xml:space="preserve">property brokerage </w:t>
      </w:r>
      <w:r w:rsidR="005917EE">
        <w:t>services</w:t>
      </w:r>
      <w:r w:rsidR="007E370B">
        <w:t xml:space="preserve">, </w:t>
      </w:r>
      <w:r w:rsidR="005917EE">
        <w:t xml:space="preserve">including </w:t>
      </w:r>
      <w:r w:rsidR="004B369D">
        <w:t xml:space="preserve">but not limited to </w:t>
      </w:r>
      <w:r w:rsidR="005917EE">
        <w:lastRenderedPageBreak/>
        <w:t>the following:</w:t>
      </w:r>
    </w:p>
    <w:p w14:paraId="3A6B0F5F" w14:textId="28146E67" w:rsidR="005917EE" w:rsidRDefault="00A24D1A" w:rsidP="00A24D1A">
      <w:pPr>
        <w:pStyle w:val="ListParagraph"/>
      </w:pPr>
      <w:r>
        <w:t>•</w:t>
      </w:r>
      <w:r>
        <w:tab/>
      </w:r>
      <w:r w:rsidR="005917EE">
        <w:t>Conduct a comprehensive property search aligned with TU Dublin’s functional, locational, and financial criteria.</w:t>
      </w:r>
    </w:p>
    <w:p w14:paraId="13DB38EA" w14:textId="32DC2FBF" w:rsidR="005917EE" w:rsidRDefault="00A24D1A" w:rsidP="00A24D1A">
      <w:pPr>
        <w:pStyle w:val="ListParagraph"/>
      </w:pPr>
      <w:r>
        <w:t>•</w:t>
      </w:r>
      <w:r>
        <w:tab/>
      </w:r>
      <w:r w:rsidR="005917EE">
        <w:t>Identify and shortlist suitable leasehold properties.</w:t>
      </w:r>
    </w:p>
    <w:p w14:paraId="4B78822A" w14:textId="714D7768" w:rsidR="005917EE" w:rsidRDefault="00A24D1A" w:rsidP="00A24D1A">
      <w:pPr>
        <w:pStyle w:val="ListParagraph"/>
      </w:pPr>
      <w:r>
        <w:t>•</w:t>
      </w:r>
      <w:r>
        <w:tab/>
      </w:r>
      <w:r w:rsidR="00F3142F" w:rsidRPr="00F3142F">
        <w:t>Support site inspections, due diligence, and feasibility assessments.</w:t>
      </w:r>
    </w:p>
    <w:p w14:paraId="0179C3FB" w14:textId="71ECA1D3" w:rsidR="005917EE" w:rsidRDefault="00A24D1A" w:rsidP="00A24D1A">
      <w:pPr>
        <w:pStyle w:val="ListParagraph"/>
      </w:pPr>
      <w:r>
        <w:t>•</w:t>
      </w:r>
      <w:r>
        <w:tab/>
      </w:r>
      <w:r w:rsidR="005917EE">
        <w:t>Represent TU Dublin in negotiations with landlords, agents, or property owners.</w:t>
      </w:r>
    </w:p>
    <w:p w14:paraId="7E31D7D3" w14:textId="1E0922FA" w:rsidR="005917EE" w:rsidRDefault="00A24D1A" w:rsidP="00A24D1A">
      <w:pPr>
        <w:pStyle w:val="ListParagraph"/>
      </w:pPr>
      <w:r>
        <w:t>•</w:t>
      </w:r>
      <w:r>
        <w:tab/>
      </w:r>
      <w:r w:rsidR="005917EE">
        <w:t>Provide advisory services on market conditions, lease terms, and commercial negotiations.</w:t>
      </w:r>
    </w:p>
    <w:p w14:paraId="045DF5B9" w14:textId="5F8F8618" w:rsidR="00AD0538" w:rsidRPr="00AD0538" w:rsidRDefault="00A24D1A" w:rsidP="00A24D1A">
      <w:pPr>
        <w:pStyle w:val="ListParagraph"/>
      </w:pPr>
      <w:r>
        <w:t>•</w:t>
      </w:r>
      <w:r>
        <w:tab/>
      </w:r>
      <w:r w:rsidR="005917EE">
        <w:t>Facilitate successful lease execution in accordance with TU Dublin’s procurement, legal, and governance standards.</w:t>
      </w:r>
    </w:p>
    <w:p w14:paraId="1E7CD2E5" w14:textId="26AE74DF" w:rsidR="00EA5B24" w:rsidRDefault="00EA5B24" w:rsidP="00E202D4">
      <w:pPr>
        <w:pStyle w:val="Heading3"/>
      </w:pPr>
      <w:r>
        <w:t>Economic Development Advice in the Context of the Property Market</w:t>
      </w:r>
    </w:p>
    <w:p w14:paraId="35B3709C" w14:textId="47614DE4" w:rsidR="00EA5B24" w:rsidRDefault="009F0743" w:rsidP="00EA5B24">
      <w:r>
        <w:t xml:space="preserve">Framework members may be appointed to provide </w:t>
      </w:r>
      <w:r w:rsidR="00EA5B24">
        <w:t>assistance and support in this regard</w:t>
      </w:r>
      <w:r w:rsidR="00954F19">
        <w:t>. Services may include but are not limited to</w:t>
      </w:r>
      <w:r w:rsidR="00EA5B24">
        <w:t>:</w:t>
      </w:r>
    </w:p>
    <w:p w14:paraId="3FF3ED35" w14:textId="77777777" w:rsidR="00EA5B24" w:rsidRDefault="00EA5B24" w:rsidP="00C13A23">
      <w:pPr>
        <w:pStyle w:val="ListParagraph"/>
      </w:pPr>
      <w:r>
        <w:t>•</w:t>
      </w:r>
      <w:r>
        <w:tab/>
        <w:t>The attainment of optimum value-for-money in the disposal of properties;</w:t>
      </w:r>
    </w:p>
    <w:p w14:paraId="0BDFF09C" w14:textId="77777777" w:rsidR="00EA5B24" w:rsidRDefault="00EA5B24" w:rsidP="00C13A23">
      <w:pPr>
        <w:pStyle w:val="ListParagraph"/>
      </w:pPr>
      <w:r>
        <w:t>•</w:t>
      </w:r>
      <w:r>
        <w:tab/>
        <w:t>Procure and appoint Architects and Engineers or other supporting consultants to carry out works in relation to the surveys, preparation and issuing of reports relating to the acquisition or disposal of properties;</w:t>
      </w:r>
    </w:p>
    <w:p w14:paraId="291E48CB" w14:textId="77777777" w:rsidR="00EA5B24" w:rsidRDefault="00EA5B24" w:rsidP="00C13A23">
      <w:pPr>
        <w:pStyle w:val="ListParagraph"/>
      </w:pPr>
      <w:r>
        <w:t>•</w:t>
      </w:r>
      <w:r>
        <w:tab/>
        <w:t>Coordinate and communicate with any other consultants and advisors appointed or to be appointed by the Contracting Authority, at all times communicating effectively and clearly within this role;</w:t>
      </w:r>
    </w:p>
    <w:p w14:paraId="09DB6F76" w14:textId="77777777" w:rsidR="00EA5B24" w:rsidRDefault="00EA5B24" w:rsidP="00C13A23">
      <w:pPr>
        <w:pStyle w:val="ListParagraph"/>
      </w:pPr>
      <w:r>
        <w:t>•</w:t>
      </w:r>
      <w:r>
        <w:tab/>
        <w:t>Provide information / advice for programmes, schedules, surveys, procurement and market testing for the acquisition or disposal of properties;</w:t>
      </w:r>
    </w:p>
    <w:p w14:paraId="424FC1EE" w14:textId="77777777" w:rsidR="00EA5B24" w:rsidRDefault="00EA5B24" w:rsidP="00C13A23">
      <w:pPr>
        <w:pStyle w:val="ListParagraph"/>
      </w:pPr>
      <w:r>
        <w:t>•</w:t>
      </w:r>
      <w:r>
        <w:tab/>
        <w:t>In conjunction with the Contracting Authority and any other consultants, examine the possibility of property development/disposal options as required, short list and evaluate each shortlisted option developing life cycle assessments and assist in the recommendation / report on the preferred option.</w:t>
      </w:r>
    </w:p>
    <w:p w14:paraId="08CFACEB" w14:textId="77777777" w:rsidR="00EA5B24" w:rsidRDefault="00EA5B24" w:rsidP="00C13A23">
      <w:pPr>
        <w:pStyle w:val="ListParagraph"/>
      </w:pPr>
      <w:r>
        <w:t>•</w:t>
      </w:r>
      <w:r>
        <w:tab/>
        <w:t>Advise and implement the most appropriate marketing approach for a particular property and will be required to consider both online and traditional media outlets when advertising a property for lease or for sale.</w:t>
      </w:r>
    </w:p>
    <w:p w14:paraId="10D9FDE1" w14:textId="77777777" w:rsidR="00FD7EFA" w:rsidRDefault="00FD7EFA" w:rsidP="00FD7EFA">
      <w:pPr>
        <w:pStyle w:val="Heading3"/>
      </w:pPr>
      <w:r>
        <w:t>Property Advisory Services</w:t>
      </w:r>
    </w:p>
    <w:p w14:paraId="74A3AFA1" w14:textId="1E2AF80C" w:rsidR="00FD7EFA" w:rsidRPr="00FD7EFA" w:rsidRDefault="002A7DBA" w:rsidP="00BB10F4">
      <w:r>
        <w:t xml:space="preserve">Framework members may be appointed to provide </w:t>
      </w:r>
      <w:r w:rsidR="00FD7EFA">
        <w:t>reliable, proactive, value-enhancing advice on all aspects of acquisitions, development, ownership, occupation and disposal of property assets, including:</w:t>
      </w:r>
      <w:r w:rsidR="00894AE5">
        <w:t xml:space="preserve"> </w:t>
      </w:r>
      <w:r w:rsidR="00FD7EFA" w:rsidRPr="00FD7EFA">
        <w:t>Site sourcing</w:t>
      </w:r>
      <w:r w:rsidR="00E67D05">
        <w:t xml:space="preserve">; </w:t>
      </w:r>
      <w:r w:rsidR="00FD7EFA" w:rsidRPr="00FD7EFA">
        <w:t>Site development advice</w:t>
      </w:r>
      <w:r w:rsidR="00E67D05">
        <w:t xml:space="preserve">; </w:t>
      </w:r>
      <w:r w:rsidR="00FD7EFA" w:rsidRPr="00FD7EFA">
        <w:t>Planning permission advice</w:t>
      </w:r>
      <w:r w:rsidR="00E67D05">
        <w:t xml:space="preserve">; </w:t>
      </w:r>
      <w:r w:rsidR="00FD7EFA" w:rsidRPr="00FD7EFA">
        <w:t>Dilapidations &amp; Lease Advice</w:t>
      </w:r>
      <w:r w:rsidR="00E67D05">
        <w:t xml:space="preserve">; </w:t>
      </w:r>
      <w:r w:rsidR="00FD7EFA" w:rsidRPr="00FD7EFA">
        <w:t xml:space="preserve">Reinstatement </w:t>
      </w:r>
      <w:r w:rsidR="0013513A">
        <w:t>valuation</w:t>
      </w:r>
      <w:r w:rsidR="00E67D05">
        <w:t xml:space="preserve">; </w:t>
      </w:r>
      <w:r w:rsidR="00FD7EFA" w:rsidRPr="00FD7EFA">
        <w:t>Compliance &amp; Risk Management Advice</w:t>
      </w:r>
      <w:r w:rsidR="00E67D05">
        <w:t xml:space="preserve">; </w:t>
      </w:r>
      <w:r w:rsidR="00FD7EFA" w:rsidRPr="00FD7EFA">
        <w:t>Dispute resolution and claim management advice</w:t>
      </w:r>
      <w:r w:rsidR="00E67D05">
        <w:t xml:space="preserve">; </w:t>
      </w:r>
      <w:r w:rsidR="00FD7EFA" w:rsidRPr="00FD7EFA">
        <w:t>Stakeholder engagement</w:t>
      </w:r>
      <w:r w:rsidR="00E67D05">
        <w:t xml:space="preserve">; </w:t>
      </w:r>
      <w:r w:rsidR="00FD7EFA" w:rsidRPr="00FD7EFA">
        <w:t>Cost of decommissioning</w:t>
      </w:r>
      <w:r w:rsidR="00BB10F4">
        <w:t xml:space="preserve">; </w:t>
      </w:r>
      <w:r w:rsidR="00FD7EFA" w:rsidRPr="00FD7EFA">
        <w:t>Adaptive space advice</w:t>
      </w:r>
      <w:r w:rsidR="00BB10F4">
        <w:t xml:space="preserve"> etc.</w:t>
      </w:r>
    </w:p>
    <w:p w14:paraId="0BCFCEF9" w14:textId="1357518B" w:rsidR="00327A81" w:rsidRDefault="00327A81" w:rsidP="00327A81">
      <w:pPr>
        <w:pStyle w:val="Heading3"/>
      </w:pPr>
      <w:r>
        <w:t xml:space="preserve">Property </w:t>
      </w:r>
      <w:r w:rsidR="00803CCD">
        <w:t xml:space="preserve">Management </w:t>
      </w:r>
      <w:r>
        <w:t>Advisory Services</w:t>
      </w:r>
    </w:p>
    <w:p w14:paraId="32C03555" w14:textId="08535094" w:rsidR="00B54FD6" w:rsidRDefault="002A7DBA" w:rsidP="00B54FD6">
      <w:r>
        <w:t xml:space="preserve">Framework members may be appointed to provide </w:t>
      </w:r>
      <w:r w:rsidR="00803CCD">
        <w:t>advice on multi-</w:t>
      </w:r>
      <w:r w:rsidR="00593F22">
        <w:t xml:space="preserve">tenanted </w:t>
      </w:r>
      <w:r w:rsidR="00803CCD">
        <w:t>property management, including</w:t>
      </w:r>
      <w:r w:rsidR="00593F22">
        <w:t>:</w:t>
      </w:r>
      <w:r w:rsidR="00803CCD">
        <w:t xml:space="preserve"> </w:t>
      </w:r>
      <w:r w:rsidR="00593F22">
        <w:t>S</w:t>
      </w:r>
      <w:r w:rsidR="006C2AD5">
        <w:t xml:space="preserve">ervice </w:t>
      </w:r>
      <w:r w:rsidR="00593F22">
        <w:t>C</w:t>
      </w:r>
      <w:r w:rsidR="006C2AD5">
        <w:t xml:space="preserve">harges </w:t>
      </w:r>
      <w:r w:rsidR="00593F22">
        <w:t>advice</w:t>
      </w:r>
      <w:r w:rsidR="006C2AD5">
        <w:t>, budgeting</w:t>
      </w:r>
      <w:r w:rsidR="00C76314">
        <w:t xml:space="preserve"> and</w:t>
      </w:r>
      <w:r w:rsidR="006C2AD5">
        <w:t xml:space="preserve"> </w:t>
      </w:r>
      <w:r w:rsidR="00C76314">
        <w:t>conciliation; S</w:t>
      </w:r>
      <w:r w:rsidR="006C2AD5">
        <w:t xml:space="preserve">inking fund </w:t>
      </w:r>
      <w:r w:rsidR="00BB10F4">
        <w:t xml:space="preserve">forecasting; </w:t>
      </w:r>
      <w:r w:rsidR="00C76314">
        <w:t>Tenant C</w:t>
      </w:r>
      <w:r w:rsidR="00BB10F4">
        <w:t>ommunications etc.</w:t>
      </w:r>
      <w:r w:rsidR="00954F19">
        <w:t xml:space="preserve"> </w:t>
      </w:r>
      <w:r w:rsidR="00B54FD6">
        <w:t>Services may include but are not limited to:</w:t>
      </w:r>
    </w:p>
    <w:p w14:paraId="12CACEBB" w14:textId="77777777" w:rsidR="00B54FD6" w:rsidRDefault="00B54FD6" w:rsidP="00B54FD6">
      <w:pPr>
        <w:pStyle w:val="ListParagraph"/>
      </w:pPr>
      <w:r>
        <w:t>•</w:t>
      </w:r>
      <w:r>
        <w:tab/>
        <w:t xml:space="preserve">Reviewing lease agreements to ensure robust cost recovery mechanisms. </w:t>
      </w:r>
      <w:r w:rsidRPr="00FC7111">
        <w:t>Advise on recoverable vs non-recoverable costs and ensure the charging structure is fair, consistent, and enforceable.</w:t>
      </w:r>
    </w:p>
    <w:p w14:paraId="09698F0A" w14:textId="77777777" w:rsidR="00B54FD6" w:rsidRDefault="00B54FD6" w:rsidP="00B54FD6">
      <w:pPr>
        <w:pStyle w:val="ListParagraph"/>
      </w:pPr>
      <w:r>
        <w:t>•</w:t>
      </w:r>
      <w:r>
        <w:tab/>
        <w:t>Ensure compliance with best practices such as the RICS Code of Practice.</w:t>
      </w:r>
    </w:p>
    <w:p w14:paraId="31A12177" w14:textId="77777777" w:rsidR="00B54FD6" w:rsidRDefault="00B54FD6" w:rsidP="00B54FD6">
      <w:pPr>
        <w:pStyle w:val="ListParagraph"/>
      </w:pPr>
      <w:r>
        <w:t>•</w:t>
      </w:r>
      <w:r>
        <w:tab/>
      </w:r>
      <w:r w:rsidRPr="005F76F9">
        <w:t>Prepare or assist in preparing annual service charge budgets for tenant circulation.</w:t>
      </w:r>
      <w:r>
        <w:t xml:space="preserve"> </w:t>
      </w:r>
      <w:r w:rsidRPr="005F76F9">
        <w:t xml:space="preserve">Prepare or review </w:t>
      </w:r>
      <w:r w:rsidRPr="005F76F9">
        <w:lastRenderedPageBreak/>
        <w:t>year-end service charge reconciliations and tenant statements.</w:t>
      </w:r>
    </w:p>
    <w:p w14:paraId="0D8D99DE" w14:textId="77777777" w:rsidR="00B54FD6" w:rsidRDefault="00B54FD6" w:rsidP="00B54FD6">
      <w:pPr>
        <w:pStyle w:val="ListParagraph"/>
      </w:pPr>
      <w:r>
        <w:t>•</w:t>
      </w:r>
      <w:r>
        <w:tab/>
        <w:t>Develop and oversee sinking fund strategies to ensure adequate reserves for future capital works, based on lifecycle planning and asset condition.</w:t>
      </w:r>
    </w:p>
    <w:p w14:paraId="0C547FA4" w14:textId="77777777" w:rsidR="00B54FD6" w:rsidRDefault="00B54FD6" w:rsidP="00B54FD6">
      <w:pPr>
        <w:pStyle w:val="ListParagraph"/>
      </w:pPr>
      <w:r>
        <w:t>•</w:t>
      </w:r>
      <w:r>
        <w:tab/>
        <w:t>Assist TU Dublin in engaging tenants regarding service charge and sinking fund matters. Draft explanatory notes, budgets, and supporting materials for annual statements or consultation meetings. Advise on strategies for resolving disputes or negotiating cost-sharing arrangements.</w:t>
      </w:r>
    </w:p>
    <w:p w14:paraId="4592FB51" w14:textId="77777777" w:rsidR="00B54FD6" w:rsidRDefault="00B54FD6" w:rsidP="00327A81"/>
    <w:p w14:paraId="23024DBF" w14:textId="2A6D4EC9" w:rsidR="00490493" w:rsidRDefault="00490493" w:rsidP="00490493">
      <w:pPr>
        <w:pStyle w:val="Heading3"/>
      </w:pPr>
      <w:r>
        <w:t>Income generation opportunity assessment</w:t>
      </w:r>
    </w:p>
    <w:p w14:paraId="282F11E9" w14:textId="7FD4158A" w:rsidR="00E76C49" w:rsidRDefault="002A7DBA" w:rsidP="00490493">
      <w:r>
        <w:t>Framework members may be appointed to provide</w:t>
      </w:r>
      <w:r w:rsidR="00490493">
        <w:t xml:space="preserve"> support</w:t>
      </w:r>
      <w:r w:rsidR="00783D02">
        <w:t xml:space="preserve"> to</w:t>
      </w:r>
      <w:r w:rsidR="00490493">
        <w:t xml:space="preserve"> TU Dublin in identifying, analysing, and advising on opportunities to generate income from existing or potential property assets. This will include strategic, market-based, and financial assessments to maximise value while aligning with the university’s mission, governance, and regulatory framework.</w:t>
      </w:r>
      <w:r w:rsidR="00FD543B">
        <w:t xml:space="preserve"> </w:t>
      </w:r>
      <w:r w:rsidR="00490493">
        <w:t>The services</w:t>
      </w:r>
      <w:r w:rsidR="00FD543B">
        <w:t xml:space="preserve"> may</w:t>
      </w:r>
      <w:r w:rsidR="00490493">
        <w:t xml:space="preserve"> include</w:t>
      </w:r>
      <w:r w:rsidR="00B54FD6">
        <w:t xml:space="preserve"> but are not limited to</w:t>
      </w:r>
      <w:r w:rsidR="00490493">
        <w:t>:</w:t>
      </w:r>
    </w:p>
    <w:p w14:paraId="4A98B2EF" w14:textId="24646E55" w:rsidR="00306D5F" w:rsidRDefault="00FD543B" w:rsidP="007C348E">
      <w:pPr>
        <w:pStyle w:val="ListParagraph"/>
      </w:pPr>
      <w:r>
        <w:t>•</w:t>
      </w:r>
      <w:r>
        <w:tab/>
      </w:r>
      <w:r w:rsidR="00306D5F">
        <w:t>Conduct a review of TU Dublin’s property and identify underutilised or strategically located assets that may offer potential for income generation.</w:t>
      </w:r>
    </w:p>
    <w:p w14:paraId="2BBA00AA" w14:textId="57D6BEB4" w:rsidR="00FD543B" w:rsidRDefault="00FD543B" w:rsidP="007C348E">
      <w:pPr>
        <w:pStyle w:val="ListParagraph"/>
      </w:pPr>
      <w:r>
        <w:t>•</w:t>
      </w:r>
      <w:r>
        <w:tab/>
      </w:r>
      <w:r w:rsidR="007C348E" w:rsidRPr="007C348E">
        <w:t xml:space="preserve">Research and analyse current market demand for various property uses (e.g., commercial, retail, residential, </w:t>
      </w:r>
      <w:r w:rsidR="007C348E">
        <w:t xml:space="preserve">student accommodation, </w:t>
      </w:r>
      <w:r w:rsidR="007C348E" w:rsidRPr="007C348E">
        <w:t>coworking, events, hospitality).</w:t>
      </w:r>
    </w:p>
    <w:p w14:paraId="039489EA" w14:textId="6BCAD696" w:rsidR="00BD115E" w:rsidRDefault="007C348E" w:rsidP="00AE6F63">
      <w:pPr>
        <w:pStyle w:val="ListParagraph"/>
      </w:pPr>
      <w:r>
        <w:t>•</w:t>
      </w:r>
      <w:r>
        <w:tab/>
      </w:r>
      <w:r w:rsidR="00BD115E">
        <w:t xml:space="preserve">Provide </w:t>
      </w:r>
      <w:r w:rsidR="00F35385">
        <w:t>comprehensive risk assessment.</w:t>
      </w:r>
    </w:p>
    <w:p w14:paraId="59BEA32E" w14:textId="43536548" w:rsidR="007C348E" w:rsidRDefault="004A65B4" w:rsidP="00AE6F63">
      <w:pPr>
        <w:pStyle w:val="ListParagraph"/>
      </w:pPr>
      <w:r>
        <w:t>•</w:t>
      </w:r>
      <w:r>
        <w:tab/>
      </w:r>
      <w:r w:rsidR="00AE6F63">
        <w:t>Model different income-generation scenarios</w:t>
      </w:r>
    </w:p>
    <w:p w14:paraId="6D18BBF0" w14:textId="7553D14D" w:rsidR="00F35385" w:rsidRDefault="00F35385" w:rsidP="00430751">
      <w:pPr>
        <w:pStyle w:val="ListParagraph"/>
      </w:pPr>
      <w:r>
        <w:t>•</w:t>
      </w:r>
      <w:r>
        <w:tab/>
        <w:t xml:space="preserve">Present a set of viable options for income generation, </w:t>
      </w:r>
      <w:r w:rsidR="00430751">
        <w:t>including</w:t>
      </w:r>
      <w:r>
        <w:t xml:space="preserve"> implementation roadmap for each option, including key steps, timelines, and resource requirements.</w:t>
      </w:r>
    </w:p>
    <w:p w14:paraId="5C896B80" w14:textId="6C72A786" w:rsidR="00930C23" w:rsidRDefault="00930C23" w:rsidP="00894AE5">
      <w:pPr>
        <w:pStyle w:val="Heading1"/>
      </w:pPr>
      <w:r>
        <w:t>About the Framework Agreement</w:t>
      </w:r>
    </w:p>
    <w:p w14:paraId="1EEDE8D7" w14:textId="12D06BE7" w:rsidR="00930C23" w:rsidRDefault="00930C23" w:rsidP="00930C23">
      <w:r>
        <w:t>The duration of the framework agreement will be two (2) years</w:t>
      </w:r>
      <w:r w:rsidR="00491024">
        <w:t>.</w:t>
      </w:r>
      <w:r>
        <w:t xml:space="preserve"> </w:t>
      </w:r>
      <w:r w:rsidR="00491024" w:rsidRPr="00491024">
        <w:t>The Contracting Authority reserves the right to extend the Term for a period or periods of up to 12 months with a maximum of 2 such extension or extensions on the same terms and conditions, subject to the Contracting Authority’s obligations at law.</w:t>
      </w:r>
      <w:r>
        <w:t>. For the avoidance of doubt, the period for delivery of any subsequent contracts entered into under the framework may extend beyond the date of expiry of the framework.</w:t>
      </w:r>
    </w:p>
    <w:p w14:paraId="280A43B1" w14:textId="6D101C9A" w:rsidR="00930C23" w:rsidRDefault="00930C23" w:rsidP="00930C23">
      <w:r>
        <w:t>The anticipated annual spend</w:t>
      </w:r>
      <w:r w:rsidR="00D53EC9">
        <w:t xml:space="preserve"> for recurring</w:t>
      </w:r>
      <w:r>
        <w:t xml:space="preserve"> services required under this framework agreement is in the region of €10,000 to €</w:t>
      </w:r>
      <w:r w:rsidR="00A67EC2">
        <w:t>3</w:t>
      </w:r>
      <w:r>
        <w:t>0,000, excluding VAT.</w:t>
      </w:r>
      <w:r w:rsidR="007824EF">
        <w:t xml:space="preserve"> </w:t>
      </w:r>
      <w:r w:rsidR="00A67EC2">
        <w:t xml:space="preserve">However, non-recurring projects may </w:t>
      </w:r>
      <w:r w:rsidR="009E432F">
        <w:t xml:space="preserve">attract spends of €100,000 to €200,000 in any given year under the </w:t>
      </w:r>
      <w:r w:rsidR="00D80A37">
        <w:t xml:space="preserve">Term. </w:t>
      </w:r>
      <w:r>
        <w:t>Tenderers should note that this figure is supplied for indicative purposes only as there is no guaranteed expenditure under the framework agreement.</w:t>
      </w:r>
    </w:p>
    <w:p w14:paraId="16B5C35F" w14:textId="3B049010" w:rsidR="00E3717C" w:rsidRDefault="00E3717C" w:rsidP="00E3717C">
      <w:r>
        <w:t xml:space="preserve">As and when requirements which fall under the scope of the framework agreement arise during the lifetime of the framework, the contracting authority will consult the framework </w:t>
      </w:r>
      <w:r w:rsidR="00C33C72">
        <w:t>members</w:t>
      </w:r>
      <w:r>
        <w:t xml:space="preserve"> in writing, requesting a tender for the requirements. However, the contracting authority at its sole discretion reserves the right to engage in a separate procurement procedure for any contract arising within the lifetime of the framework.</w:t>
      </w:r>
    </w:p>
    <w:p w14:paraId="733C6359" w14:textId="1123F5BC" w:rsidR="00B86E2B" w:rsidRDefault="00B86E2B" w:rsidP="00912A22">
      <w:pPr>
        <w:pStyle w:val="Heading1"/>
      </w:pPr>
      <w:r>
        <w:t>Conditions of Service Delivery</w:t>
      </w:r>
    </w:p>
    <w:p w14:paraId="45FD94DD" w14:textId="78E2159D" w:rsidR="00B86E2B" w:rsidRDefault="00B86E2B" w:rsidP="00912A22">
      <w:pPr>
        <w:pStyle w:val="Heading2"/>
      </w:pPr>
      <w:r>
        <w:t>Response times</w:t>
      </w:r>
    </w:p>
    <w:p w14:paraId="62E97531" w14:textId="4D060918" w:rsidR="00B86E2B" w:rsidRDefault="00B86E2B" w:rsidP="00B86E2B">
      <w:r>
        <w:t xml:space="preserve">The Contracting Authority requires a flexible and responsive service from its advisors. In general, the following </w:t>
      </w:r>
      <w:r>
        <w:lastRenderedPageBreak/>
        <w:t>response times are expected</w:t>
      </w:r>
      <w:r w:rsidR="000D7D6F">
        <w:t xml:space="preserve"> during call-off contracts</w:t>
      </w:r>
      <w:r>
        <w:t>:</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15"/>
        <w:gridCol w:w="6166"/>
      </w:tblGrid>
      <w:tr w:rsidR="00912A22" w14:paraId="03A61316" w14:textId="77777777" w:rsidTr="0074348C">
        <w:trPr>
          <w:trHeight w:val="413"/>
        </w:trPr>
        <w:tc>
          <w:tcPr>
            <w:tcW w:w="3615" w:type="dxa"/>
            <w:shd w:val="clear" w:color="auto" w:fill="95B3D7" w:themeFill="accent1" w:themeFillTint="99"/>
            <w:vAlign w:val="center"/>
          </w:tcPr>
          <w:p w14:paraId="065BEBB3" w14:textId="77777777" w:rsidR="00912A22" w:rsidRPr="0074348C" w:rsidRDefault="00912A22" w:rsidP="00254D45">
            <w:pPr>
              <w:pStyle w:val="TableParagraph"/>
              <w:spacing w:before="99"/>
              <w:ind w:left="141"/>
              <w:jc w:val="center"/>
              <w:rPr>
                <w:b/>
                <w:color w:val="000000" w:themeColor="text1"/>
              </w:rPr>
            </w:pPr>
            <w:r w:rsidRPr="0074348C">
              <w:rPr>
                <w:b/>
                <w:color w:val="000000" w:themeColor="text1"/>
                <w:spacing w:val="-4"/>
              </w:rPr>
              <w:t>Task</w:t>
            </w:r>
          </w:p>
        </w:tc>
        <w:tc>
          <w:tcPr>
            <w:tcW w:w="6166" w:type="dxa"/>
            <w:shd w:val="clear" w:color="auto" w:fill="95B3D7" w:themeFill="accent1" w:themeFillTint="99"/>
            <w:vAlign w:val="center"/>
          </w:tcPr>
          <w:p w14:paraId="0F6DD58C" w14:textId="77777777" w:rsidR="00912A22" w:rsidRPr="0074348C" w:rsidRDefault="00912A22" w:rsidP="00254D45">
            <w:pPr>
              <w:pStyle w:val="TableParagraph"/>
              <w:spacing w:before="99"/>
              <w:ind w:left="497" w:hanging="22"/>
              <w:jc w:val="center"/>
              <w:rPr>
                <w:b/>
                <w:color w:val="000000" w:themeColor="text1"/>
              </w:rPr>
            </w:pPr>
            <w:r w:rsidRPr="0074348C">
              <w:rPr>
                <w:b/>
                <w:color w:val="000000" w:themeColor="text1"/>
              </w:rPr>
              <w:t>Expected</w:t>
            </w:r>
            <w:r w:rsidRPr="0074348C">
              <w:rPr>
                <w:b/>
                <w:color w:val="000000" w:themeColor="text1"/>
                <w:spacing w:val="-16"/>
              </w:rPr>
              <w:t xml:space="preserve"> </w:t>
            </w:r>
            <w:r w:rsidRPr="0074348C">
              <w:rPr>
                <w:b/>
                <w:color w:val="000000" w:themeColor="text1"/>
              </w:rPr>
              <w:t>Response</w:t>
            </w:r>
            <w:r w:rsidRPr="0074348C">
              <w:rPr>
                <w:b/>
                <w:color w:val="000000" w:themeColor="text1"/>
                <w:spacing w:val="-14"/>
              </w:rPr>
              <w:t xml:space="preserve"> </w:t>
            </w:r>
            <w:r w:rsidRPr="0074348C">
              <w:rPr>
                <w:b/>
                <w:color w:val="000000" w:themeColor="text1"/>
                <w:spacing w:val="-4"/>
              </w:rPr>
              <w:t>Time</w:t>
            </w:r>
          </w:p>
        </w:tc>
      </w:tr>
      <w:tr w:rsidR="00912A22" w14:paraId="17CE20C3" w14:textId="77777777" w:rsidTr="0074348C">
        <w:trPr>
          <w:trHeight w:val="618"/>
        </w:trPr>
        <w:tc>
          <w:tcPr>
            <w:tcW w:w="3615" w:type="dxa"/>
            <w:vAlign w:val="center"/>
          </w:tcPr>
          <w:p w14:paraId="7573C3ED" w14:textId="77777777" w:rsidR="00912A22" w:rsidRDefault="00912A22" w:rsidP="00254D45">
            <w:pPr>
              <w:pStyle w:val="TableParagraph"/>
              <w:ind w:left="141"/>
              <w:jc w:val="center"/>
            </w:pPr>
            <w:r>
              <w:rPr>
                <w:spacing w:val="-2"/>
              </w:rPr>
              <w:t>Acknowledge</w:t>
            </w:r>
            <w:r>
              <w:rPr>
                <w:spacing w:val="4"/>
              </w:rPr>
              <w:t xml:space="preserve"> </w:t>
            </w:r>
            <w:r>
              <w:rPr>
                <w:spacing w:val="-2"/>
              </w:rPr>
              <w:t>e-mail/phone</w:t>
            </w:r>
            <w:r>
              <w:rPr>
                <w:spacing w:val="5"/>
              </w:rPr>
              <w:t xml:space="preserve"> </w:t>
            </w:r>
            <w:r>
              <w:rPr>
                <w:spacing w:val="-4"/>
              </w:rPr>
              <w:t>call</w:t>
            </w:r>
          </w:p>
        </w:tc>
        <w:tc>
          <w:tcPr>
            <w:tcW w:w="6166" w:type="dxa"/>
            <w:vAlign w:val="center"/>
          </w:tcPr>
          <w:p w14:paraId="5C3C7E82" w14:textId="5B78ADCA" w:rsidR="00912A22" w:rsidRDefault="00912A22" w:rsidP="00254D45">
            <w:pPr>
              <w:pStyle w:val="TableParagraph"/>
              <w:spacing w:before="100"/>
              <w:ind w:left="497" w:hanging="22"/>
              <w:jc w:val="center"/>
            </w:pPr>
            <w:r>
              <w:t>Same</w:t>
            </w:r>
            <w:r>
              <w:rPr>
                <w:spacing w:val="-8"/>
              </w:rPr>
              <w:t xml:space="preserve"> </w:t>
            </w:r>
            <w:r>
              <w:t>working</w:t>
            </w:r>
            <w:r>
              <w:rPr>
                <w:spacing w:val="-7"/>
              </w:rPr>
              <w:t xml:space="preserve"> </w:t>
            </w:r>
            <w:r>
              <w:t>day</w:t>
            </w:r>
            <w:r>
              <w:rPr>
                <w:spacing w:val="-8"/>
              </w:rPr>
              <w:t xml:space="preserve"> </w:t>
            </w:r>
            <w:r>
              <w:t>if</w:t>
            </w:r>
            <w:r>
              <w:rPr>
                <w:spacing w:val="-7"/>
              </w:rPr>
              <w:t xml:space="preserve"> </w:t>
            </w:r>
            <w:r>
              <w:t>received</w:t>
            </w:r>
            <w:r>
              <w:rPr>
                <w:spacing w:val="-8"/>
              </w:rPr>
              <w:t xml:space="preserve"> </w:t>
            </w:r>
            <w:r>
              <w:t>before</w:t>
            </w:r>
            <w:r>
              <w:rPr>
                <w:spacing w:val="-7"/>
              </w:rPr>
              <w:t xml:space="preserve"> </w:t>
            </w:r>
            <w:r>
              <w:t>noon,</w:t>
            </w:r>
            <w:r>
              <w:rPr>
                <w:spacing w:val="-8"/>
              </w:rPr>
              <w:t xml:space="preserve"> </w:t>
            </w:r>
            <w:r>
              <w:rPr>
                <w:spacing w:val="-5"/>
              </w:rPr>
              <w:t>and</w:t>
            </w:r>
            <w:r w:rsidR="00254D45">
              <w:rPr>
                <w:spacing w:val="-5"/>
              </w:rPr>
              <w:t xml:space="preserve"> </w:t>
            </w:r>
            <w:r>
              <w:t>on</w:t>
            </w:r>
            <w:r>
              <w:rPr>
                <w:spacing w:val="-5"/>
              </w:rPr>
              <w:t xml:space="preserve"> </w:t>
            </w:r>
            <w:r>
              <w:t>the</w:t>
            </w:r>
            <w:r>
              <w:rPr>
                <w:spacing w:val="-5"/>
              </w:rPr>
              <w:t xml:space="preserve"> </w:t>
            </w:r>
            <w:r>
              <w:t>morning</w:t>
            </w:r>
            <w:r>
              <w:rPr>
                <w:spacing w:val="-5"/>
              </w:rPr>
              <w:t xml:space="preserve"> </w:t>
            </w:r>
            <w:r>
              <w:t>of</w:t>
            </w:r>
            <w:r>
              <w:rPr>
                <w:spacing w:val="-5"/>
              </w:rPr>
              <w:t xml:space="preserve"> </w:t>
            </w:r>
            <w:r>
              <w:t>the</w:t>
            </w:r>
            <w:r>
              <w:rPr>
                <w:spacing w:val="-5"/>
              </w:rPr>
              <w:t xml:space="preserve"> </w:t>
            </w:r>
            <w:r>
              <w:t>next</w:t>
            </w:r>
            <w:r>
              <w:rPr>
                <w:spacing w:val="-5"/>
              </w:rPr>
              <w:t xml:space="preserve"> </w:t>
            </w:r>
            <w:r>
              <w:t>working</w:t>
            </w:r>
            <w:r>
              <w:rPr>
                <w:spacing w:val="-5"/>
              </w:rPr>
              <w:t xml:space="preserve"> </w:t>
            </w:r>
            <w:r>
              <w:t>day</w:t>
            </w:r>
            <w:r>
              <w:rPr>
                <w:spacing w:val="-6"/>
              </w:rPr>
              <w:t xml:space="preserve"> </w:t>
            </w:r>
            <w:r>
              <w:t>if received in the afternoon.</w:t>
            </w:r>
          </w:p>
        </w:tc>
      </w:tr>
      <w:tr w:rsidR="00912A22" w14:paraId="6803DA57" w14:textId="77777777" w:rsidTr="0074348C">
        <w:trPr>
          <w:trHeight w:val="289"/>
        </w:trPr>
        <w:tc>
          <w:tcPr>
            <w:tcW w:w="3615" w:type="dxa"/>
            <w:vAlign w:val="center"/>
          </w:tcPr>
          <w:p w14:paraId="59CBA305" w14:textId="77777777" w:rsidR="00912A22" w:rsidRDefault="00912A22" w:rsidP="00254D45">
            <w:pPr>
              <w:pStyle w:val="TableParagraph"/>
              <w:spacing w:before="99" w:line="276" w:lineRule="auto"/>
              <w:ind w:left="141" w:right="166"/>
              <w:jc w:val="center"/>
            </w:pPr>
            <w:r>
              <w:t>Respond</w:t>
            </w:r>
            <w:r>
              <w:rPr>
                <w:spacing w:val="-16"/>
              </w:rPr>
              <w:t xml:space="preserve"> </w:t>
            </w:r>
            <w:r>
              <w:t>to</w:t>
            </w:r>
            <w:r>
              <w:rPr>
                <w:spacing w:val="-15"/>
              </w:rPr>
              <w:t xml:space="preserve"> </w:t>
            </w:r>
            <w:r>
              <w:t xml:space="preserve">straightforward </w:t>
            </w:r>
            <w:r>
              <w:rPr>
                <w:spacing w:val="-2"/>
              </w:rPr>
              <w:t>queries</w:t>
            </w:r>
          </w:p>
        </w:tc>
        <w:tc>
          <w:tcPr>
            <w:tcW w:w="6166" w:type="dxa"/>
            <w:vAlign w:val="center"/>
          </w:tcPr>
          <w:p w14:paraId="7439C9E9" w14:textId="77777777" w:rsidR="00912A22" w:rsidRDefault="00912A22" w:rsidP="00254D45">
            <w:pPr>
              <w:pStyle w:val="TableParagraph"/>
              <w:spacing w:before="246"/>
              <w:ind w:left="497" w:right="1772" w:hanging="22"/>
              <w:jc w:val="center"/>
            </w:pPr>
            <w:r>
              <w:t>2</w:t>
            </w:r>
            <w:r>
              <w:rPr>
                <w:spacing w:val="-7"/>
              </w:rPr>
              <w:t xml:space="preserve"> </w:t>
            </w:r>
            <w:r>
              <w:t>working</w:t>
            </w:r>
            <w:r>
              <w:rPr>
                <w:spacing w:val="-5"/>
              </w:rPr>
              <w:t xml:space="preserve"> </w:t>
            </w:r>
            <w:r>
              <w:rPr>
                <w:spacing w:val="-4"/>
              </w:rPr>
              <w:t>days</w:t>
            </w:r>
          </w:p>
        </w:tc>
      </w:tr>
      <w:tr w:rsidR="00912A22" w14:paraId="1AEF88CC" w14:textId="77777777" w:rsidTr="0074348C">
        <w:trPr>
          <w:trHeight w:val="64"/>
        </w:trPr>
        <w:tc>
          <w:tcPr>
            <w:tcW w:w="3615" w:type="dxa"/>
            <w:vAlign w:val="center"/>
          </w:tcPr>
          <w:p w14:paraId="76DC2E9E" w14:textId="77777777" w:rsidR="00912A22" w:rsidRDefault="00912A22" w:rsidP="00254D45">
            <w:pPr>
              <w:pStyle w:val="TableParagraph"/>
              <w:spacing w:before="99"/>
              <w:ind w:left="141"/>
              <w:jc w:val="center"/>
            </w:pPr>
            <w:r>
              <w:t>Facilitate</w:t>
            </w:r>
            <w:r>
              <w:rPr>
                <w:spacing w:val="-13"/>
              </w:rPr>
              <w:t xml:space="preserve"> </w:t>
            </w:r>
            <w:r>
              <w:t>meeting</w:t>
            </w:r>
            <w:r>
              <w:rPr>
                <w:spacing w:val="-13"/>
              </w:rPr>
              <w:t xml:space="preserve"> </w:t>
            </w:r>
            <w:r>
              <w:rPr>
                <w:spacing w:val="-2"/>
              </w:rPr>
              <w:t>request</w:t>
            </w:r>
          </w:p>
        </w:tc>
        <w:tc>
          <w:tcPr>
            <w:tcW w:w="6166" w:type="dxa"/>
            <w:vAlign w:val="center"/>
          </w:tcPr>
          <w:p w14:paraId="77F55CA1" w14:textId="4CFAC75F" w:rsidR="00912A22" w:rsidRDefault="00315828" w:rsidP="00254D45">
            <w:pPr>
              <w:pStyle w:val="TableParagraph"/>
              <w:spacing w:before="99"/>
              <w:ind w:left="497" w:right="1772" w:hanging="22"/>
              <w:jc w:val="center"/>
            </w:pPr>
            <w:r>
              <w:rPr>
                <w:spacing w:val="-7"/>
              </w:rPr>
              <w:t>5</w:t>
            </w:r>
            <w:r w:rsidR="00912A22">
              <w:rPr>
                <w:spacing w:val="-7"/>
              </w:rPr>
              <w:t xml:space="preserve"> </w:t>
            </w:r>
            <w:r w:rsidR="00912A22">
              <w:t>working</w:t>
            </w:r>
            <w:r w:rsidR="00912A22">
              <w:rPr>
                <w:spacing w:val="-5"/>
              </w:rPr>
              <w:t xml:space="preserve"> </w:t>
            </w:r>
            <w:r w:rsidR="00912A22">
              <w:rPr>
                <w:spacing w:val="-4"/>
              </w:rPr>
              <w:t>days</w:t>
            </w:r>
          </w:p>
        </w:tc>
      </w:tr>
      <w:tr w:rsidR="00912A22" w14:paraId="076E628F" w14:textId="77777777" w:rsidTr="0074348C">
        <w:trPr>
          <w:trHeight w:val="64"/>
        </w:trPr>
        <w:tc>
          <w:tcPr>
            <w:tcW w:w="3615" w:type="dxa"/>
            <w:vAlign w:val="center"/>
          </w:tcPr>
          <w:p w14:paraId="725FBAC5" w14:textId="77777777" w:rsidR="00912A22" w:rsidRDefault="00912A22" w:rsidP="00254D45">
            <w:pPr>
              <w:pStyle w:val="TableParagraph"/>
              <w:spacing w:before="100"/>
              <w:ind w:left="141"/>
              <w:jc w:val="center"/>
            </w:pPr>
            <w:r>
              <w:t>Respond</w:t>
            </w:r>
            <w:r>
              <w:rPr>
                <w:spacing w:val="-10"/>
              </w:rPr>
              <w:t xml:space="preserve"> </w:t>
            </w:r>
            <w:r>
              <w:t>to</w:t>
            </w:r>
            <w:r>
              <w:rPr>
                <w:spacing w:val="-9"/>
              </w:rPr>
              <w:t xml:space="preserve"> </w:t>
            </w:r>
            <w:r>
              <w:t>complex</w:t>
            </w:r>
            <w:r>
              <w:rPr>
                <w:spacing w:val="-9"/>
              </w:rPr>
              <w:t xml:space="preserve"> </w:t>
            </w:r>
            <w:r>
              <w:rPr>
                <w:spacing w:val="-2"/>
              </w:rPr>
              <w:t>queries</w:t>
            </w:r>
          </w:p>
        </w:tc>
        <w:tc>
          <w:tcPr>
            <w:tcW w:w="6166" w:type="dxa"/>
            <w:vAlign w:val="center"/>
          </w:tcPr>
          <w:p w14:paraId="5D8D0E67" w14:textId="7FA6FB47" w:rsidR="00912A22" w:rsidRDefault="00315828" w:rsidP="00254D45">
            <w:pPr>
              <w:pStyle w:val="TableParagraph"/>
              <w:spacing w:before="100"/>
              <w:ind w:left="497" w:right="1771" w:hanging="22"/>
              <w:jc w:val="center"/>
            </w:pPr>
            <w:r>
              <w:rPr>
                <w:spacing w:val="-7"/>
              </w:rPr>
              <w:t>10</w:t>
            </w:r>
            <w:r w:rsidR="00912A22">
              <w:rPr>
                <w:spacing w:val="-7"/>
              </w:rPr>
              <w:t xml:space="preserve"> </w:t>
            </w:r>
            <w:r w:rsidR="00912A22">
              <w:t>working</w:t>
            </w:r>
            <w:r w:rsidR="00912A22">
              <w:rPr>
                <w:spacing w:val="-4"/>
              </w:rPr>
              <w:t xml:space="preserve"> days</w:t>
            </w:r>
          </w:p>
        </w:tc>
      </w:tr>
    </w:tbl>
    <w:p w14:paraId="7446C7E8" w14:textId="54A47659" w:rsidR="002B0A98" w:rsidRDefault="00B86E2B" w:rsidP="00B86E2B">
      <w:r>
        <w:t xml:space="preserve">In relation to meetings, Tenderers should note that meetings with the Framework member may be held online or at the Contracting Authority’s offices or at the location of a property of interest. No expenses in respect of travel time and mileage will be payable. Invoices must reflect </w:t>
      </w:r>
      <w:r w:rsidR="007D4287">
        <w:t>agreed fe</w:t>
      </w:r>
      <w:r w:rsidR="003800C6">
        <w:t>es</w:t>
      </w:r>
      <w:r w:rsidR="007D4287">
        <w:t xml:space="preserve">. If appointments are agreed on an hourly rate basis, </w:t>
      </w:r>
      <w:r>
        <w:t>timesheets must be accurately maintained and produced promptly upon request by the Client.</w:t>
      </w:r>
    </w:p>
    <w:p w14:paraId="5B7C39CB" w14:textId="4DC5C839" w:rsidR="00743171" w:rsidRDefault="00743171" w:rsidP="00743171">
      <w:pPr>
        <w:pStyle w:val="Heading2"/>
      </w:pPr>
      <w:r>
        <w:t>Contract Management</w:t>
      </w:r>
    </w:p>
    <w:p w14:paraId="7B6BB37C" w14:textId="3E9A41A9" w:rsidR="00743171" w:rsidRDefault="00743171" w:rsidP="00743171">
      <w:r>
        <w:t xml:space="preserve">Tenderers are required to nominate an account manager for the entire service who will act as an initial point of contact for any new </w:t>
      </w:r>
      <w:r w:rsidR="003800C6">
        <w:t>work requirement</w:t>
      </w:r>
      <w:r>
        <w:t>. The duties of this individual will include the following:</w:t>
      </w:r>
    </w:p>
    <w:p w14:paraId="6DD18A90" w14:textId="6395A212" w:rsidR="00743171" w:rsidRDefault="00743171" w:rsidP="00C13A23">
      <w:pPr>
        <w:pStyle w:val="ListParagraph"/>
      </w:pPr>
      <w:r>
        <w:t>•</w:t>
      </w:r>
      <w:r>
        <w:tab/>
        <w:t xml:space="preserve">Overall responsibility for a good working relationship with </w:t>
      </w:r>
      <w:r w:rsidR="00BB1501">
        <w:t>the Contracting Authority</w:t>
      </w:r>
      <w:r>
        <w:t>;</w:t>
      </w:r>
    </w:p>
    <w:p w14:paraId="7A9CBCDF" w14:textId="6F7DB011" w:rsidR="00743171" w:rsidRDefault="00743171" w:rsidP="00C13A23">
      <w:pPr>
        <w:pStyle w:val="ListParagraph"/>
      </w:pPr>
      <w:r>
        <w:t>•</w:t>
      </w:r>
      <w:r>
        <w:tab/>
        <w:t xml:space="preserve">Be familiar, at a high level, with the scope and volume of </w:t>
      </w:r>
      <w:r w:rsidR="00BB1501">
        <w:t>the Contracting Authority</w:t>
      </w:r>
      <w:r>
        <w:t>’s general workload and</w:t>
      </w:r>
      <w:r w:rsidR="00603DA9">
        <w:t xml:space="preserve"> </w:t>
      </w:r>
      <w:r>
        <w:t>be aware of any key matters;</w:t>
      </w:r>
    </w:p>
    <w:p w14:paraId="6A06A2C2" w14:textId="77777777" w:rsidR="00743171" w:rsidRDefault="00743171" w:rsidP="00C13A23">
      <w:pPr>
        <w:pStyle w:val="ListParagraph"/>
      </w:pPr>
      <w:r>
        <w:t>•</w:t>
      </w:r>
      <w:r>
        <w:tab/>
        <w:t>Meet as required to review the relationship and examine performance;</w:t>
      </w:r>
    </w:p>
    <w:p w14:paraId="1B9ECE1C" w14:textId="77777777" w:rsidR="00743171" w:rsidRDefault="00743171" w:rsidP="00C13A23">
      <w:pPr>
        <w:pStyle w:val="ListParagraph"/>
      </w:pPr>
      <w:r>
        <w:t>•</w:t>
      </w:r>
      <w:r>
        <w:tab/>
        <w:t>Deal with disputes, complaints or concerns that cannot be adequately resolved;</w:t>
      </w:r>
    </w:p>
    <w:p w14:paraId="3655D5A6" w14:textId="77777777" w:rsidR="00743171" w:rsidRDefault="00743171" w:rsidP="00C13A23">
      <w:pPr>
        <w:pStyle w:val="ListParagraph"/>
      </w:pPr>
      <w:r>
        <w:t>•</w:t>
      </w:r>
      <w:r>
        <w:tab/>
        <w:t>Regularly give and receive both formal and informal feedback on the relationship, workloads, processes, areas and suggestions for improvement and cost savings;</w:t>
      </w:r>
    </w:p>
    <w:p w14:paraId="02F9F846" w14:textId="71E92930" w:rsidR="00743171" w:rsidRDefault="00743171" w:rsidP="00C13A23">
      <w:pPr>
        <w:pStyle w:val="ListParagraph"/>
      </w:pPr>
      <w:r>
        <w:t>•</w:t>
      </w:r>
      <w:r>
        <w:tab/>
        <w:t xml:space="preserve">Proactively discuss with </w:t>
      </w:r>
      <w:r w:rsidR="00BB1501">
        <w:t xml:space="preserve">the Contracting Authority </w:t>
      </w:r>
      <w:r>
        <w:t>ways of improving efficiency regarding service delivery in general.</w:t>
      </w:r>
    </w:p>
    <w:p w14:paraId="4E963844" w14:textId="29A88B5A" w:rsidR="00743171" w:rsidRDefault="00743171" w:rsidP="00743171">
      <w:r>
        <w:t xml:space="preserve">Tenderers must ensure that their </w:t>
      </w:r>
      <w:r w:rsidR="000C1A2C">
        <w:t>fees</w:t>
      </w:r>
      <w:r>
        <w:t xml:space="preserve"> are inclusive of any account management activities as </w:t>
      </w:r>
      <w:r w:rsidR="00BB1501">
        <w:t xml:space="preserve">the Contracting Authority </w:t>
      </w:r>
      <w:r>
        <w:t xml:space="preserve">will not pay for the time spent by the account partner or any other employee on relationship management activities. </w:t>
      </w:r>
      <w:r w:rsidR="00BB1501">
        <w:t>The Contracting Authority</w:t>
      </w:r>
      <w:r>
        <w:t xml:space="preserve"> will nominate one person to liaise with the successful framework operator and delegate as required.</w:t>
      </w:r>
    </w:p>
    <w:p w14:paraId="16AA69D5" w14:textId="06E70C07" w:rsidR="002B0A98" w:rsidRDefault="00743171" w:rsidP="00743171">
      <w:r>
        <w:t xml:space="preserve">The </w:t>
      </w:r>
      <w:r w:rsidR="00F9718E">
        <w:t xml:space="preserve">Framework member may be appointed to </w:t>
      </w:r>
      <w:r w:rsidR="006C5F89">
        <w:t xml:space="preserve">join a multidisciplinary team, in which case they will </w:t>
      </w:r>
      <w:r>
        <w:t>be required</w:t>
      </w:r>
      <w:r w:rsidR="006C5F89">
        <w:t xml:space="preserve"> </w:t>
      </w:r>
      <w:r>
        <w:t xml:space="preserve">to integrate effectively and work as a team with other consultants procured by </w:t>
      </w:r>
      <w:r w:rsidR="00BB1501">
        <w:t>the Contracting Authority</w:t>
      </w:r>
      <w:r>
        <w:t>.</w:t>
      </w:r>
    </w:p>
    <w:p w14:paraId="47BC7F7A" w14:textId="5900391F" w:rsidR="00072378" w:rsidRDefault="00072378" w:rsidP="00072378">
      <w:pPr>
        <w:pStyle w:val="Heading2"/>
      </w:pPr>
      <w:r>
        <w:t>Health and Safety</w:t>
      </w:r>
    </w:p>
    <w:p w14:paraId="1D32A1F6" w14:textId="50FD7567" w:rsidR="005F2611" w:rsidRDefault="00072378" w:rsidP="00072378">
      <w:pPr>
        <w:pStyle w:val="BodyText"/>
      </w:pPr>
      <w:r>
        <w:t>When performing the Services, the successful Tenderer will be required to comply with, and to allocate adequate resources to enable it to comply with, its obligations under the Safety, Health and Welfare At Work Act 2005 and any subsequent Safety, Health and Welfare legislation and, in particular, the Safety, Health and Welfare At Work (Construction) Regulations 2006.</w:t>
      </w:r>
    </w:p>
    <w:p w14:paraId="5B6FB9C8" w14:textId="31CCD593" w:rsidR="00600447" w:rsidRDefault="00600447" w:rsidP="00600447">
      <w:pPr>
        <w:pStyle w:val="Heading2"/>
      </w:pPr>
      <w:r>
        <w:lastRenderedPageBreak/>
        <w:t>Continuity of Service</w:t>
      </w:r>
    </w:p>
    <w:p w14:paraId="6837150E" w14:textId="4E73B2CF" w:rsidR="00600447" w:rsidRDefault="00600447" w:rsidP="00600447">
      <w:pPr>
        <w:pStyle w:val="BodyText"/>
      </w:pPr>
      <w:r>
        <w:t xml:space="preserve">Due to the nature of likely drawdown requirements that may vary from strategic level </w:t>
      </w:r>
      <w:r w:rsidR="00567E47">
        <w:t>cross-cutting</w:t>
      </w:r>
      <w:r>
        <w:t xml:space="preserve"> review to resolution of particular issues it is critical that the </w:t>
      </w:r>
      <w:r w:rsidR="00567E47">
        <w:t>Framework member</w:t>
      </w:r>
      <w:r>
        <w:t xml:space="preserve"> develops and grows a body of understanding and knowledge of </w:t>
      </w:r>
      <w:r w:rsidR="00B115EC">
        <w:t>the Contracting Authority</w:t>
      </w:r>
      <w:r>
        <w:t>’s specific condition and needs over the course of the framework.</w:t>
      </w:r>
    </w:p>
    <w:p w14:paraId="242FAD67" w14:textId="353E7D31" w:rsidR="00600447" w:rsidRDefault="00600447" w:rsidP="00B115EC">
      <w:pPr>
        <w:pStyle w:val="Heading2"/>
      </w:pPr>
      <w:r>
        <w:t>Contractual Terms &amp; Conditions</w:t>
      </w:r>
    </w:p>
    <w:p w14:paraId="2FB283C2" w14:textId="0EF685FB" w:rsidR="00072378" w:rsidRDefault="00600447" w:rsidP="00600447">
      <w:pPr>
        <w:pStyle w:val="BodyText"/>
      </w:pPr>
      <w:r>
        <w:t>Formal acceptance of the terms and conditions of the Framework Agreement will be a condition for admission to the framework</w:t>
      </w:r>
      <w:r w:rsidR="006649A8">
        <w:t>.</w:t>
      </w:r>
    </w:p>
    <w:sectPr w:rsidR="00072378" w:rsidSect="00B936CD">
      <w:type w:val="continuous"/>
      <w:pgSz w:w="12240" w:h="15840"/>
      <w:pgMar w:top="1340" w:right="1080" w:bottom="1200" w:left="1440" w:header="722" w:footer="10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17CE5" w14:textId="77777777" w:rsidR="008F59D5" w:rsidRDefault="008F59D5" w:rsidP="00264C47">
      <w:r>
        <w:separator/>
      </w:r>
    </w:p>
  </w:endnote>
  <w:endnote w:type="continuationSeparator" w:id="0">
    <w:p w14:paraId="334A04A4" w14:textId="77777777" w:rsidR="008F59D5" w:rsidRDefault="008F59D5" w:rsidP="0026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8E6BB" w14:textId="77777777" w:rsidR="008F59D5" w:rsidRDefault="008F59D5" w:rsidP="00264C47">
      <w:r>
        <w:separator/>
      </w:r>
    </w:p>
  </w:footnote>
  <w:footnote w:type="continuationSeparator" w:id="0">
    <w:p w14:paraId="24A1A052" w14:textId="77777777" w:rsidR="008F59D5" w:rsidRDefault="008F59D5" w:rsidP="00264C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20D39"/>
    <w:multiLevelType w:val="multilevel"/>
    <w:tmpl w:val="AFB2B9D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6457B0"/>
    <w:multiLevelType w:val="hybridMultilevel"/>
    <w:tmpl w:val="8410CE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A6560B5"/>
    <w:multiLevelType w:val="hybridMultilevel"/>
    <w:tmpl w:val="89F293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AA76016"/>
    <w:multiLevelType w:val="hybridMultilevel"/>
    <w:tmpl w:val="0DF862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50247191">
    <w:abstractNumId w:val="0"/>
  </w:num>
  <w:num w:numId="2" w16cid:durableId="866989698">
    <w:abstractNumId w:val="3"/>
  </w:num>
  <w:num w:numId="3" w16cid:durableId="20976780">
    <w:abstractNumId w:val="2"/>
  </w:num>
  <w:num w:numId="4" w16cid:durableId="151984965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11"/>
    <w:rsid w:val="00007FE0"/>
    <w:rsid w:val="000169A6"/>
    <w:rsid w:val="00031817"/>
    <w:rsid w:val="00036DA0"/>
    <w:rsid w:val="00037F84"/>
    <w:rsid w:val="00044A8A"/>
    <w:rsid w:val="000576C9"/>
    <w:rsid w:val="00072378"/>
    <w:rsid w:val="000756D8"/>
    <w:rsid w:val="00091663"/>
    <w:rsid w:val="000A04B9"/>
    <w:rsid w:val="000A376B"/>
    <w:rsid w:val="000B4098"/>
    <w:rsid w:val="000C1080"/>
    <w:rsid w:val="000C1A2C"/>
    <w:rsid w:val="000C4FA8"/>
    <w:rsid w:val="000D61FE"/>
    <w:rsid w:val="000D63A7"/>
    <w:rsid w:val="000D7D6F"/>
    <w:rsid w:val="000E76A4"/>
    <w:rsid w:val="00127AEB"/>
    <w:rsid w:val="001313A0"/>
    <w:rsid w:val="0013513A"/>
    <w:rsid w:val="0013638C"/>
    <w:rsid w:val="0014231A"/>
    <w:rsid w:val="00150B34"/>
    <w:rsid w:val="001521B1"/>
    <w:rsid w:val="00156D5B"/>
    <w:rsid w:val="001870E7"/>
    <w:rsid w:val="00197262"/>
    <w:rsid w:val="001A582C"/>
    <w:rsid w:val="001A6447"/>
    <w:rsid w:val="001B4DA1"/>
    <w:rsid w:val="001C20F7"/>
    <w:rsid w:val="001F7014"/>
    <w:rsid w:val="00205BCA"/>
    <w:rsid w:val="00207826"/>
    <w:rsid w:val="00220863"/>
    <w:rsid w:val="0022589F"/>
    <w:rsid w:val="00242F6C"/>
    <w:rsid w:val="00247B2A"/>
    <w:rsid w:val="00253CA8"/>
    <w:rsid w:val="00254D45"/>
    <w:rsid w:val="00264C47"/>
    <w:rsid w:val="00264EB7"/>
    <w:rsid w:val="00274BA3"/>
    <w:rsid w:val="00286D2A"/>
    <w:rsid w:val="002876A6"/>
    <w:rsid w:val="002A2E48"/>
    <w:rsid w:val="002A7DBA"/>
    <w:rsid w:val="002B0A98"/>
    <w:rsid w:val="002C329E"/>
    <w:rsid w:val="00303D29"/>
    <w:rsid w:val="00306D5F"/>
    <w:rsid w:val="00307295"/>
    <w:rsid w:val="00315828"/>
    <w:rsid w:val="00326A4B"/>
    <w:rsid w:val="00327A81"/>
    <w:rsid w:val="003349D2"/>
    <w:rsid w:val="00335D4A"/>
    <w:rsid w:val="00336642"/>
    <w:rsid w:val="00341576"/>
    <w:rsid w:val="003563B8"/>
    <w:rsid w:val="00357320"/>
    <w:rsid w:val="0036009C"/>
    <w:rsid w:val="00361497"/>
    <w:rsid w:val="003750AD"/>
    <w:rsid w:val="003800C6"/>
    <w:rsid w:val="00386225"/>
    <w:rsid w:val="00390F26"/>
    <w:rsid w:val="003922F0"/>
    <w:rsid w:val="003A4F0B"/>
    <w:rsid w:val="003C2F87"/>
    <w:rsid w:val="003D0575"/>
    <w:rsid w:val="003D1DFF"/>
    <w:rsid w:val="003D4F13"/>
    <w:rsid w:val="003E2E71"/>
    <w:rsid w:val="00430751"/>
    <w:rsid w:val="004357D2"/>
    <w:rsid w:val="004370D4"/>
    <w:rsid w:val="004727D6"/>
    <w:rsid w:val="00477816"/>
    <w:rsid w:val="00487C38"/>
    <w:rsid w:val="00490493"/>
    <w:rsid w:val="004908DB"/>
    <w:rsid w:val="00491024"/>
    <w:rsid w:val="004A65B4"/>
    <w:rsid w:val="004B369D"/>
    <w:rsid w:val="004B37C7"/>
    <w:rsid w:val="004C4507"/>
    <w:rsid w:val="004E00C9"/>
    <w:rsid w:val="004E5619"/>
    <w:rsid w:val="004F6D02"/>
    <w:rsid w:val="00506BEE"/>
    <w:rsid w:val="00514629"/>
    <w:rsid w:val="00515AFE"/>
    <w:rsid w:val="0054009B"/>
    <w:rsid w:val="00541E5E"/>
    <w:rsid w:val="00556D4F"/>
    <w:rsid w:val="00557E61"/>
    <w:rsid w:val="00562AFD"/>
    <w:rsid w:val="005632FD"/>
    <w:rsid w:val="00566DF6"/>
    <w:rsid w:val="00567E47"/>
    <w:rsid w:val="00570450"/>
    <w:rsid w:val="00570A2A"/>
    <w:rsid w:val="00585B6C"/>
    <w:rsid w:val="00585BAD"/>
    <w:rsid w:val="005917EE"/>
    <w:rsid w:val="00593F22"/>
    <w:rsid w:val="0059506B"/>
    <w:rsid w:val="005B5636"/>
    <w:rsid w:val="005C3E02"/>
    <w:rsid w:val="005D17DD"/>
    <w:rsid w:val="005F0084"/>
    <w:rsid w:val="005F2611"/>
    <w:rsid w:val="005F76F9"/>
    <w:rsid w:val="00600447"/>
    <w:rsid w:val="006010D0"/>
    <w:rsid w:val="00603DA9"/>
    <w:rsid w:val="006106B9"/>
    <w:rsid w:val="00620F61"/>
    <w:rsid w:val="0062300E"/>
    <w:rsid w:val="00627264"/>
    <w:rsid w:val="00655AAC"/>
    <w:rsid w:val="006649A8"/>
    <w:rsid w:val="00666202"/>
    <w:rsid w:val="006668E2"/>
    <w:rsid w:val="00677C02"/>
    <w:rsid w:val="00695B44"/>
    <w:rsid w:val="006A4647"/>
    <w:rsid w:val="006C22BB"/>
    <w:rsid w:val="006C2AD5"/>
    <w:rsid w:val="006C5F89"/>
    <w:rsid w:val="006C6201"/>
    <w:rsid w:val="006F146E"/>
    <w:rsid w:val="00707A4C"/>
    <w:rsid w:val="00714730"/>
    <w:rsid w:val="00717A7E"/>
    <w:rsid w:val="0072030D"/>
    <w:rsid w:val="0072373B"/>
    <w:rsid w:val="00731AD4"/>
    <w:rsid w:val="00736461"/>
    <w:rsid w:val="00737682"/>
    <w:rsid w:val="00743171"/>
    <w:rsid w:val="0074348C"/>
    <w:rsid w:val="007607F4"/>
    <w:rsid w:val="007722A4"/>
    <w:rsid w:val="00772AC5"/>
    <w:rsid w:val="007754E9"/>
    <w:rsid w:val="007824EF"/>
    <w:rsid w:val="00783D02"/>
    <w:rsid w:val="007920A3"/>
    <w:rsid w:val="007A0B1F"/>
    <w:rsid w:val="007A5B77"/>
    <w:rsid w:val="007B5EB3"/>
    <w:rsid w:val="007C0381"/>
    <w:rsid w:val="007C348E"/>
    <w:rsid w:val="007C6084"/>
    <w:rsid w:val="007D228E"/>
    <w:rsid w:val="007D23F9"/>
    <w:rsid w:val="007D4287"/>
    <w:rsid w:val="007E370B"/>
    <w:rsid w:val="007F0896"/>
    <w:rsid w:val="00803CCD"/>
    <w:rsid w:val="00806853"/>
    <w:rsid w:val="00807244"/>
    <w:rsid w:val="00814EC9"/>
    <w:rsid w:val="00843550"/>
    <w:rsid w:val="00846730"/>
    <w:rsid w:val="008542E7"/>
    <w:rsid w:val="008613D4"/>
    <w:rsid w:val="008756F3"/>
    <w:rsid w:val="00884FA8"/>
    <w:rsid w:val="008926EF"/>
    <w:rsid w:val="00894AE5"/>
    <w:rsid w:val="00895913"/>
    <w:rsid w:val="0089790C"/>
    <w:rsid w:val="008A0976"/>
    <w:rsid w:val="008C11FA"/>
    <w:rsid w:val="008D2137"/>
    <w:rsid w:val="008D2605"/>
    <w:rsid w:val="008D2D00"/>
    <w:rsid w:val="008D3F48"/>
    <w:rsid w:val="008D744F"/>
    <w:rsid w:val="008E47B7"/>
    <w:rsid w:val="008F1B3C"/>
    <w:rsid w:val="008F59D5"/>
    <w:rsid w:val="00901A84"/>
    <w:rsid w:val="00912A22"/>
    <w:rsid w:val="00930A70"/>
    <w:rsid w:val="00930C23"/>
    <w:rsid w:val="00954F19"/>
    <w:rsid w:val="00961E5C"/>
    <w:rsid w:val="009A79BC"/>
    <w:rsid w:val="009B08A5"/>
    <w:rsid w:val="009C6BED"/>
    <w:rsid w:val="009C7F61"/>
    <w:rsid w:val="009D4708"/>
    <w:rsid w:val="009E2019"/>
    <w:rsid w:val="009E432F"/>
    <w:rsid w:val="009F0743"/>
    <w:rsid w:val="00A20931"/>
    <w:rsid w:val="00A24D1A"/>
    <w:rsid w:val="00A56DAD"/>
    <w:rsid w:val="00A67EC2"/>
    <w:rsid w:val="00A76092"/>
    <w:rsid w:val="00A762AA"/>
    <w:rsid w:val="00A83390"/>
    <w:rsid w:val="00A83F29"/>
    <w:rsid w:val="00A96FF3"/>
    <w:rsid w:val="00AA2E37"/>
    <w:rsid w:val="00AB144A"/>
    <w:rsid w:val="00AB169E"/>
    <w:rsid w:val="00AC6735"/>
    <w:rsid w:val="00AD0538"/>
    <w:rsid w:val="00AD0FF7"/>
    <w:rsid w:val="00AD7101"/>
    <w:rsid w:val="00AE0A96"/>
    <w:rsid w:val="00AE6F63"/>
    <w:rsid w:val="00AF4DFE"/>
    <w:rsid w:val="00B00B7E"/>
    <w:rsid w:val="00B0237C"/>
    <w:rsid w:val="00B0418F"/>
    <w:rsid w:val="00B04F88"/>
    <w:rsid w:val="00B06A8C"/>
    <w:rsid w:val="00B1034D"/>
    <w:rsid w:val="00B115EC"/>
    <w:rsid w:val="00B31C2B"/>
    <w:rsid w:val="00B44080"/>
    <w:rsid w:val="00B54D87"/>
    <w:rsid w:val="00B54FD6"/>
    <w:rsid w:val="00B55427"/>
    <w:rsid w:val="00B60788"/>
    <w:rsid w:val="00B60FD8"/>
    <w:rsid w:val="00B61984"/>
    <w:rsid w:val="00B745B8"/>
    <w:rsid w:val="00B86E2B"/>
    <w:rsid w:val="00B936CD"/>
    <w:rsid w:val="00BA5C35"/>
    <w:rsid w:val="00BA670A"/>
    <w:rsid w:val="00BB10F4"/>
    <w:rsid w:val="00BB1501"/>
    <w:rsid w:val="00BB4FFC"/>
    <w:rsid w:val="00BC5265"/>
    <w:rsid w:val="00BD03DE"/>
    <w:rsid w:val="00BD115E"/>
    <w:rsid w:val="00BF469A"/>
    <w:rsid w:val="00C01ECF"/>
    <w:rsid w:val="00C0519B"/>
    <w:rsid w:val="00C13A23"/>
    <w:rsid w:val="00C16167"/>
    <w:rsid w:val="00C33C72"/>
    <w:rsid w:val="00C4060D"/>
    <w:rsid w:val="00C411F3"/>
    <w:rsid w:val="00C46EBB"/>
    <w:rsid w:val="00C516C8"/>
    <w:rsid w:val="00C52D61"/>
    <w:rsid w:val="00C72F23"/>
    <w:rsid w:val="00C76314"/>
    <w:rsid w:val="00C80353"/>
    <w:rsid w:val="00C856E6"/>
    <w:rsid w:val="00C950D9"/>
    <w:rsid w:val="00C97C60"/>
    <w:rsid w:val="00CA058E"/>
    <w:rsid w:val="00CA72A1"/>
    <w:rsid w:val="00CC3998"/>
    <w:rsid w:val="00CD09BB"/>
    <w:rsid w:val="00CD1AE3"/>
    <w:rsid w:val="00CE63EA"/>
    <w:rsid w:val="00CF2E58"/>
    <w:rsid w:val="00D02CE2"/>
    <w:rsid w:val="00D1362F"/>
    <w:rsid w:val="00D213DB"/>
    <w:rsid w:val="00D2371E"/>
    <w:rsid w:val="00D41803"/>
    <w:rsid w:val="00D46136"/>
    <w:rsid w:val="00D47B03"/>
    <w:rsid w:val="00D53EC9"/>
    <w:rsid w:val="00D5702F"/>
    <w:rsid w:val="00D608BB"/>
    <w:rsid w:val="00D64DE3"/>
    <w:rsid w:val="00D80A37"/>
    <w:rsid w:val="00D83607"/>
    <w:rsid w:val="00DA56E3"/>
    <w:rsid w:val="00DB0039"/>
    <w:rsid w:val="00DB02B5"/>
    <w:rsid w:val="00DC151B"/>
    <w:rsid w:val="00DD1A7F"/>
    <w:rsid w:val="00DD25F8"/>
    <w:rsid w:val="00DF2DDA"/>
    <w:rsid w:val="00DF35B4"/>
    <w:rsid w:val="00E019B2"/>
    <w:rsid w:val="00E02373"/>
    <w:rsid w:val="00E07ADD"/>
    <w:rsid w:val="00E123BB"/>
    <w:rsid w:val="00E164E1"/>
    <w:rsid w:val="00E202D4"/>
    <w:rsid w:val="00E3717C"/>
    <w:rsid w:val="00E41102"/>
    <w:rsid w:val="00E422A5"/>
    <w:rsid w:val="00E4708A"/>
    <w:rsid w:val="00E47751"/>
    <w:rsid w:val="00E52FB5"/>
    <w:rsid w:val="00E53E5C"/>
    <w:rsid w:val="00E67D05"/>
    <w:rsid w:val="00E74AFB"/>
    <w:rsid w:val="00E74C55"/>
    <w:rsid w:val="00E76C49"/>
    <w:rsid w:val="00E8314F"/>
    <w:rsid w:val="00E8375B"/>
    <w:rsid w:val="00E95DFD"/>
    <w:rsid w:val="00EA5B24"/>
    <w:rsid w:val="00EA7CE8"/>
    <w:rsid w:val="00EC1E99"/>
    <w:rsid w:val="00ED4C7E"/>
    <w:rsid w:val="00ED747F"/>
    <w:rsid w:val="00EE720B"/>
    <w:rsid w:val="00F201CF"/>
    <w:rsid w:val="00F24D3E"/>
    <w:rsid w:val="00F3142F"/>
    <w:rsid w:val="00F33504"/>
    <w:rsid w:val="00F34BF3"/>
    <w:rsid w:val="00F35385"/>
    <w:rsid w:val="00F5428E"/>
    <w:rsid w:val="00F543A0"/>
    <w:rsid w:val="00F701D8"/>
    <w:rsid w:val="00F73314"/>
    <w:rsid w:val="00F808AA"/>
    <w:rsid w:val="00F84C39"/>
    <w:rsid w:val="00F86022"/>
    <w:rsid w:val="00F871A6"/>
    <w:rsid w:val="00F9718E"/>
    <w:rsid w:val="00F97FB4"/>
    <w:rsid w:val="00FB02BB"/>
    <w:rsid w:val="00FB0CB7"/>
    <w:rsid w:val="00FC004C"/>
    <w:rsid w:val="00FC4AAA"/>
    <w:rsid w:val="00FC59A0"/>
    <w:rsid w:val="00FC7111"/>
    <w:rsid w:val="00FD0627"/>
    <w:rsid w:val="00FD543B"/>
    <w:rsid w:val="00FD6713"/>
    <w:rsid w:val="00FD7EFA"/>
    <w:rsid w:val="00FF0D7F"/>
    <w:rsid w:val="00FF2FA9"/>
    <w:rsid w:val="00FF757E"/>
    <w:rsid w:val="00FF795B"/>
    <w:rsid w:val="0216B28B"/>
    <w:rsid w:val="031C5027"/>
    <w:rsid w:val="040B5DD7"/>
    <w:rsid w:val="055E8B12"/>
    <w:rsid w:val="0684735F"/>
    <w:rsid w:val="073A802B"/>
    <w:rsid w:val="08CDD319"/>
    <w:rsid w:val="08E70B4B"/>
    <w:rsid w:val="09A49BC2"/>
    <w:rsid w:val="0B2FAE4C"/>
    <w:rsid w:val="1015190B"/>
    <w:rsid w:val="1159C87E"/>
    <w:rsid w:val="1A51931D"/>
    <w:rsid w:val="1A668E33"/>
    <w:rsid w:val="1BF66973"/>
    <w:rsid w:val="1EE1A932"/>
    <w:rsid w:val="1FB43C9D"/>
    <w:rsid w:val="1FD526E0"/>
    <w:rsid w:val="20E31A5A"/>
    <w:rsid w:val="23DD2307"/>
    <w:rsid w:val="246BA184"/>
    <w:rsid w:val="24BCE635"/>
    <w:rsid w:val="2600F721"/>
    <w:rsid w:val="2624B15A"/>
    <w:rsid w:val="264C0BEF"/>
    <w:rsid w:val="26B1DD15"/>
    <w:rsid w:val="26EFC790"/>
    <w:rsid w:val="28C43B3F"/>
    <w:rsid w:val="2ABFCD5D"/>
    <w:rsid w:val="2BB20DC5"/>
    <w:rsid w:val="2C38C1FA"/>
    <w:rsid w:val="2C7BC6EB"/>
    <w:rsid w:val="2CF228C0"/>
    <w:rsid w:val="2EE08A33"/>
    <w:rsid w:val="329380DB"/>
    <w:rsid w:val="34E6FEA3"/>
    <w:rsid w:val="34EE0D1A"/>
    <w:rsid w:val="369184D9"/>
    <w:rsid w:val="398C73A8"/>
    <w:rsid w:val="3B31B07D"/>
    <w:rsid w:val="3F90FA74"/>
    <w:rsid w:val="435B9577"/>
    <w:rsid w:val="4564102D"/>
    <w:rsid w:val="47B8EC90"/>
    <w:rsid w:val="4A5A2417"/>
    <w:rsid w:val="4AB3E96D"/>
    <w:rsid w:val="4BA7FACD"/>
    <w:rsid w:val="4C2CC376"/>
    <w:rsid w:val="4D051FE2"/>
    <w:rsid w:val="4E51C225"/>
    <w:rsid w:val="4F5CA813"/>
    <w:rsid w:val="4FFF5FBC"/>
    <w:rsid w:val="53373E2E"/>
    <w:rsid w:val="53E167AE"/>
    <w:rsid w:val="545E05AB"/>
    <w:rsid w:val="55A52299"/>
    <w:rsid w:val="55E32B1A"/>
    <w:rsid w:val="582B9937"/>
    <w:rsid w:val="59774715"/>
    <w:rsid w:val="59F379C2"/>
    <w:rsid w:val="5C321695"/>
    <w:rsid w:val="5F4EF11F"/>
    <w:rsid w:val="5F6EB33D"/>
    <w:rsid w:val="61249141"/>
    <w:rsid w:val="61284B17"/>
    <w:rsid w:val="61336436"/>
    <w:rsid w:val="63895283"/>
    <w:rsid w:val="644F3196"/>
    <w:rsid w:val="65151BD9"/>
    <w:rsid w:val="65B43DFB"/>
    <w:rsid w:val="6724DC22"/>
    <w:rsid w:val="6A88E2B2"/>
    <w:rsid w:val="6BCFAA1D"/>
    <w:rsid w:val="6C919BA7"/>
    <w:rsid w:val="6DFD3C64"/>
    <w:rsid w:val="70398777"/>
    <w:rsid w:val="705A003C"/>
    <w:rsid w:val="71982984"/>
    <w:rsid w:val="71D39BAA"/>
    <w:rsid w:val="72E6A89B"/>
    <w:rsid w:val="741A7A98"/>
    <w:rsid w:val="7547FF8F"/>
    <w:rsid w:val="762738AB"/>
    <w:rsid w:val="77A27718"/>
    <w:rsid w:val="77FEBCAF"/>
    <w:rsid w:val="78695650"/>
    <w:rsid w:val="79677F62"/>
    <w:rsid w:val="79A6FD27"/>
    <w:rsid w:val="7D911963"/>
    <w:rsid w:val="7FABF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C47D"/>
  <w15:docId w15:val="{D1BCA341-E22D-4E80-8332-F932908A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C47"/>
    <w:pPr>
      <w:spacing w:before="120" w:after="120"/>
      <w:jc w:val="both"/>
    </w:pPr>
    <w:rPr>
      <w:rFonts w:eastAsia="Aptos" w:cstheme="minorHAnsi"/>
    </w:rPr>
  </w:style>
  <w:style w:type="paragraph" w:styleId="Heading1">
    <w:name w:val="heading 1"/>
    <w:basedOn w:val="Normal"/>
    <w:uiPriority w:val="9"/>
    <w:qFormat/>
    <w:rsid w:val="00884FA8"/>
    <w:pPr>
      <w:numPr>
        <w:numId w:val="1"/>
      </w:numPr>
      <w:spacing w:before="360" w:after="360"/>
      <w:outlineLvl w:val="0"/>
    </w:pPr>
    <w:rPr>
      <w:b/>
      <w:bCs/>
      <w:sz w:val="28"/>
      <w:szCs w:val="28"/>
      <w:u w:val="single" w:color="000000"/>
    </w:rPr>
  </w:style>
  <w:style w:type="paragraph" w:styleId="Heading2">
    <w:name w:val="heading 2"/>
    <w:basedOn w:val="Normal"/>
    <w:uiPriority w:val="9"/>
    <w:unhideWhenUsed/>
    <w:qFormat/>
    <w:rsid w:val="00D5702F"/>
    <w:pPr>
      <w:numPr>
        <w:ilvl w:val="1"/>
        <w:numId w:val="1"/>
      </w:numPr>
      <w:spacing w:before="240" w:after="240"/>
      <w:outlineLvl w:val="1"/>
    </w:pPr>
    <w:rPr>
      <w:b/>
      <w:bCs/>
      <w:sz w:val="24"/>
      <w:szCs w:val="24"/>
    </w:rPr>
  </w:style>
  <w:style w:type="paragraph" w:styleId="Heading3">
    <w:name w:val="heading 3"/>
    <w:basedOn w:val="Normal"/>
    <w:next w:val="Normal"/>
    <w:link w:val="Heading3Char"/>
    <w:uiPriority w:val="9"/>
    <w:unhideWhenUsed/>
    <w:qFormat/>
    <w:rsid w:val="00E202D4"/>
    <w:pPr>
      <w:keepNext/>
      <w:keepLines/>
      <w:spacing w:before="40" w:after="0"/>
      <w:outlineLvl w:val="2"/>
    </w:pPr>
    <w:rPr>
      <w:rFonts w:eastAsiaTheme="majorEastAsia"/>
      <w:b/>
      <w:b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rsid w:val="00C13A23"/>
    <w:pPr>
      <w:ind w:left="720" w:hanging="720"/>
    </w:pPr>
  </w:style>
  <w:style w:type="paragraph" w:customStyle="1" w:styleId="TableParagraph">
    <w:name w:val="Table Paragraph"/>
    <w:basedOn w:val="Normal"/>
    <w:uiPriority w:val="1"/>
    <w:qFormat/>
    <w:pPr>
      <w:ind w:left="835" w:hanging="360"/>
    </w:pPr>
  </w:style>
  <w:style w:type="character" w:styleId="Hyperlink">
    <w:name w:val="Hyperlink"/>
    <w:basedOn w:val="DefaultParagraphFont"/>
    <w:uiPriority w:val="99"/>
    <w:unhideWhenUsed/>
    <w:rsid w:val="741A7A98"/>
    <w:rPr>
      <w:color w:val="0000FF"/>
      <w:u w:val="single"/>
    </w:rPr>
  </w:style>
  <w:style w:type="paragraph" w:styleId="Footer">
    <w:name w:val="footer"/>
    <w:basedOn w:val="Normal"/>
    <w:uiPriority w:val="99"/>
    <w:unhideWhenUsed/>
    <w:rsid w:val="741A7A98"/>
    <w:pPr>
      <w:tabs>
        <w:tab w:val="center" w:pos="4680"/>
        <w:tab w:val="right" w:pos="9360"/>
      </w:tabs>
    </w:pPr>
  </w:style>
  <w:style w:type="paragraph" w:styleId="Revision">
    <w:name w:val="Revision"/>
    <w:hidden/>
    <w:uiPriority w:val="99"/>
    <w:semiHidden/>
    <w:rsid w:val="00AD0FF7"/>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1F7014"/>
    <w:pPr>
      <w:tabs>
        <w:tab w:val="center" w:pos="4513"/>
        <w:tab w:val="right" w:pos="9026"/>
      </w:tabs>
    </w:pPr>
  </w:style>
  <w:style w:type="character" w:customStyle="1" w:styleId="HeaderChar">
    <w:name w:val="Header Char"/>
    <w:basedOn w:val="DefaultParagraphFont"/>
    <w:link w:val="Header"/>
    <w:uiPriority w:val="99"/>
    <w:rsid w:val="001F7014"/>
    <w:rPr>
      <w:rFonts w:ascii="Times New Roman" w:eastAsia="Times New Roman" w:hAnsi="Times New Roman" w:cs="Times New Roman"/>
    </w:rPr>
  </w:style>
  <w:style w:type="character" w:customStyle="1" w:styleId="Heading3Char">
    <w:name w:val="Heading 3 Char"/>
    <w:basedOn w:val="DefaultParagraphFont"/>
    <w:link w:val="Heading3"/>
    <w:uiPriority w:val="9"/>
    <w:rsid w:val="00E202D4"/>
    <w:rPr>
      <w:rFonts w:eastAsiaTheme="majorEastAsia" w:cstheme="minorHAnsi"/>
      <w:b/>
      <w:bCs/>
      <w:color w:val="243F60" w:themeColor="accent1" w:themeShade="7F"/>
    </w:rPr>
  </w:style>
  <w:style w:type="table" w:styleId="GridTable5Dark-Accent1">
    <w:name w:val="Grid Table 5 Dark Accent 1"/>
    <w:basedOn w:val="TableNormal"/>
    <w:uiPriority w:val="50"/>
    <w:rsid w:val="0081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22086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4357D2"/>
    <w:rPr>
      <w:sz w:val="16"/>
      <w:szCs w:val="16"/>
    </w:rPr>
  </w:style>
  <w:style w:type="paragraph" w:styleId="CommentText">
    <w:name w:val="annotation text"/>
    <w:basedOn w:val="Normal"/>
    <w:link w:val="CommentTextChar"/>
    <w:uiPriority w:val="99"/>
    <w:unhideWhenUsed/>
    <w:rsid w:val="004357D2"/>
    <w:rPr>
      <w:sz w:val="20"/>
      <w:szCs w:val="20"/>
    </w:rPr>
  </w:style>
  <w:style w:type="character" w:customStyle="1" w:styleId="CommentTextChar">
    <w:name w:val="Comment Text Char"/>
    <w:basedOn w:val="DefaultParagraphFont"/>
    <w:link w:val="CommentText"/>
    <w:uiPriority w:val="99"/>
    <w:rsid w:val="004357D2"/>
    <w:rPr>
      <w:rFonts w:eastAsia="Aptos" w:cstheme="minorHAnsi"/>
      <w:sz w:val="20"/>
      <w:szCs w:val="20"/>
    </w:rPr>
  </w:style>
  <w:style w:type="paragraph" w:styleId="CommentSubject">
    <w:name w:val="annotation subject"/>
    <w:basedOn w:val="CommentText"/>
    <w:next w:val="CommentText"/>
    <w:link w:val="CommentSubjectChar"/>
    <w:uiPriority w:val="99"/>
    <w:semiHidden/>
    <w:unhideWhenUsed/>
    <w:rsid w:val="004357D2"/>
    <w:rPr>
      <w:b/>
      <w:bCs/>
    </w:rPr>
  </w:style>
  <w:style w:type="character" w:customStyle="1" w:styleId="CommentSubjectChar">
    <w:name w:val="Comment Subject Char"/>
    <w:basedOn w:val="CommentTextChar"/>
    <w:link w:val="CommentSubject"/>
    <w:uiPriority w:val="99"/>
    <w:semiHidden/>
    <w:rsid w:val="004357D2"/>
    <w:rPr>
      <w:rFonts w:eastAsia="Aptos"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483">
      <w:bodyDiv w:val="1"/>
      <w:marLeft w:val="0"/>
      <w:marRight w:val="0"/>
      <w:marTop w:val="0"/>
      <w:marBottom w:val="0"/>
      <w:divBdr>
        <w:top w:val="none" w:sz="0" w:space="0" w:color="auto"/>
        <w:left w:val="none" w:sz="0" w:space="0" w:color="auto"/>
        <w:bottom w:val="none" w:sz="0" w:space="0" w:color="auto"/>
        <w:right w:val="none" w:sz="0" w:space="0" w:color="auto"/>
      </w:divBdr>
    </w:div>
    <w:div w:id="1809932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f951b0b-0839-454e-a5ea-d64b510892db" xsi:nil="true"/>
    <lcf76f155ced4ddcb4097134ff3c332f xmlns="5f7dfa74-5a2c-4f56-9d07-0cf4bbfa8d12">
      <Terms xmlns="http://schemas.microsoft.com/office/infopath/2007/PartnerControls"/>
    </lcf76f155ced4ddcb4097134ff3c332f>
    <SharedWithUsers xmlns="6f951b0b-0839-454e-a5ea-d64b510892d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DE94A6-BACC-4254-A970-7163ACC88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BD1593-8F01-4111-8DCA-E915F75BC151}">
  <ds:schemaRefs>
    <ds:schemaRef ds:uri="http://schemas.microsoft.com/office/2006/metadata/properties"/>
    <ds:schemaRef ds:uri="http://schemas.microsoft.com/office/infopath/2007/PartnerControls"/>
    <ds:schemaRef ds:uri="6f951b0b-0839-454e-a5ea-d64b510892db"/>
    <ds:schemaRef ds:uri="5f7dfa74-5a2c-4f56-9d07-0cf4bbfa8d12"/>
  </ds:schemaRefs>
</ds:datastoreItem>
</file>

<file path=customXml/itemProps3.xml><?xml version="1.0" encoding="utf-8"?>
<ds:datastoreItem xmlns:ds="http://schemas.openxmlformats.org/officeDocument/2006/customXml" ds:itemID="{97825267-E83C-425C-A2D2-AA35BD82DA22}">
  <ds:schemaRefs>
    <ds:schemaRef ds:uri="http://schemas.microsoft.com/sharepoint/v3/contenttype/forms"/>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40</TotalTime>
  <Pages>7</Pages>
  <Words>2682</Words>
  <Characters>15288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Gavin</dc:creator>
  <cp:lastModifiedBy>Elizabeth Darcy</cp:lastModifiedBy>
  <cp:revision>21</cp:revision>
  <dcterms:created xsi:type="dcterms:W3CDTF">2026-06-16T15:20:00Z</dcterms:created>
  <dcterms:modified xsi:type="dcterms:W3CDTF">2026-07-03T11:50:00Z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2020-01-29T00:00:00Z</vt:filetime>
  </property>
  <property fmtid="{D5CDD505-2E9C-101B-9397-08002B2CF9AE}" pid="3" name="Creator">
    <vt:lpwstr>Microsoft® Word 2016</vt:lpwstr>
  </property>
  <property fmtid="{D5CDD505-2E9C-101B-9397-08002B2CF9AE}" pid="4" name="LastSaved">
    <vt:filetime>2025-05-25T00:00:00Z</vt:filetime>
  </property>
  <property fmtid="{D5CDD505-2E9C-101B-9397-08002B2CF9AE}" pid="5" name="Producer">
    <vt:lpwstr>Microsoft® Word 2016</vt:lpwstr>
  </property>
  <property fmtid="{D5CDD505-2E9C-101B-9397-08002B2CF9AE}" pid="6" name="ContentTypeId">
    <vt:lpwstr>0x010100A7673B74A4F1C649A1C6B48530742686</vt:lpwstr>
  </property>
  <property fmtid="{D5CDD505-2E9C-101B-9397-08002B2CF9AE}" pid="7" name="MediaServiceImageTags">
    <vt:lpwstr/>
  </property>
  <property fmtid="{D5CDD505-2E9C-101B-9397-08002B2CF9AE}" pid="8" name="Order">
    <vt:r8>28130600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