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73" w:type="dxa"/>
        <w:tblBorders>
          <w:top w:val="single" w:sz="4" w:space="0" w:color="31728F"/>
          <w:left w:val="single" w:sz="4" w:space="0" w:color="31728F"/>
          <w:bottom w:val="single" w:sz="4" w:space="0" w:color="31728F"/>
          <w:right w:val="single" w:sz="4" w:space="0" w:color="31728F"/>
          <w:insideH w:val="single" w:sz="4" w:space="0" w:color="31728F"/>
          <w:insideV w:val="single" w:sz="4" w:space="0" w:color="31728F"/>
        </w:tblBorders>
        <w:tblLayout w:type="fixed"/>
        <w:tblLook w:val="04A0" w:firstRow="1" w:lastRow="0" w:firstColumn="1" w:lastColumn="0" w:noHBand="0" w:noVBand="1"/>
      </w:tblPr>
      <w:tblGrid>
        <w:gridCol w:w="553"/>
        <w:gridCol w:w="3818"/>
        <w:gridCol w:w="172"/>
        <w:gridCol w:w="4318"/>
        <w:gridCol w:w="12"/>
      </w:tblGrid>
      <w:tr w:rsidR="007D71A1" w:rsidRPr="00F95DB3" w14:paraId="304D6B42" w14:textId="77777777" w:rsidTr="07BFE459">
        <w:tc>
          <w:tcPr>
            <w:tcW w:w="4543" w:type="dxa"/>
            <w:gridSpan w:val="3"/>
            <w:shd w:val="clear" w:color="auto" w:fill="31728F"/>
          </w:tcPr>
          <w:p w14:paraId="6396C93C" w14:textId="45016D37" w:rsidR="00561161" w:rsidRPr="00CC62D4" w:rsidRDefault="00B46670" w:rsidP="002D49FF">
            <w:pPr>
              <w:rPr>
                <w:rFonts w:ascii="Aptos" w:hAnsi="Aptos"/>
                <w:b/>
                <w:bCs/>
                <w:color w:val="31728F"/>
                <w:sz w:val="21"/>
                <w:szCs w:val="21"/>
                <w:lang w:val="en-GB"/>
              </w:rPr>
            </w:pPr>
            <w:bookmarkStart w:id="0" w:name="_Hlk26803266"/>
            <w:r w:rsidRPr="00CC62D4">
              <w:rPr>
                <w:rFonts w:ascii="Aptos" w:hAnsi="Aptos" w:cs="Tahoma"/>
                <w:b/>
                <w:bCs/>
                <w:color w:val="FFFFFF" w:themeColor="background1"/>
                <w:sz w:val="21"/>
                <w:szCs w:val="21"/>
              </w:rPr>
              <w:t xml:space="preserve">Clarifications Rev </w:t>
            </w:r>
            <w:r w:rsidR="00CC62D4" w:rsidRPr="00CC62D4">
              <w:rPr>
                <w:rFonts w:ascii="Aptos" w:hAnsi="Aptos" w:cs="Tahoma"/>
                <w:b/>
                <w:bCs/>
                <w:color w:val="FFFFFF" w:themeColor="background1"/>
                <w:sz w:val="21"/>
                <w:szCs w:val="21"/>
              </w:rPr>
              <w:t>&lt;#</w:t>
            </w:r>
            <w:r w:rsidR="00C336B4">
              <w:rPr>
                <w:rFonts w:ascii="Aptos" w:hAnsi="Aptos" w:cs="Tahoma"/>
                <w:b/>
                <w:bCs/>
                <w:color w:val="FFFFFF" w:themeColor="background1"/>
                <w:sz w:val="21"/>
                <w:szCs w:val="21"/>
              </w:rPr>
              <w:t>0</w:t>
            </w:r>
            <w:r w:rsidR="00A00F31">
              <w:rPr>
                <w:rFonts w:ascii="Aptos" w:hAnsi="Aptos" w:cs="Tahoma"/>
                <w:b/>
                <w:bCs/>
                <w:color w:val="FFFFFF" w:themeColor="background1"/>
                <w:sz w:val="21"/>
                <w:szCs w:val="21"/>
              </w:rPr>
              <w:t>2</w:t>
            </w:r>
            <w:r w:rsidR="00CC62D4" w:rsidRPr="00CC62D4">
              <w:rPr>
                <w:rFonts w:ascii="Aptos" w:hAnsi="Aptos" w:cs="Tahoma"/>
                <w:b/>
                <w:bCs/>
                <w:color w:val="FFFFFF" w:themeColor="background1"/>
                <w:sz w:val="21"/>
                <w:szCs w:val="21"/>
              </w:rPr>
              <w:t>&gt;</w:t>
            </w:r>
            <w:r w:rsidR="00D53788" w:rsidRPr="00CC62D4">
              <w:rPr>
                <w:rFonts w:ascii="Aptos" w:hAnsi="Aptos" w:cs="Tahoma"/>
                <w:b/>
                <w:bCs/>
                <w:color w:val="FFFFFF" w:themeColor="background1"/>
                <w:sz w:val="21"/>
                <w:szCs w:val="21"/>
              </w:rPr>
              <w:t xml:space="preserve"> –</w:t>
            </w:r>
            <w:r w:rsidR="00CC62D4" w:rsidRPr="00CC62D4">
              <w:rPr>
                <w:rFonts w:ascii="Aptos" w:hAnsi="Aptos" w:cs="Tahoma"/>
                <w:b/>
                <w:bCs/>
                <w:color w:val="FFFFFF" w:themeColor="background1"/>
                <w:sz w:val="21"/>
                <w:szCs w:val="21"/>
              </w:rPr>
              <w:t>&lt;</w:t>
            </w:r>
            <w:r w:rsidR="00D53788" w:rsidRPr="00CC62D4">
              <w:rPr>
                <w:rFonts w:ascii="Aptos" w:hAnsi="Aptos" w:cs="Tahoma"/>
                <w:b/>
                <w:bCs/>
                <w:color w:val="FFFFFF" w:themeColor="background1"/>
                <w:sz w:val="21"/>
                <w:szCs w:val="21"/>
              </w:rPr>
              <w:t xml:space="preserve"> </w:t>
            </w:r>
            <w:r w:rsidR="00A00F31">
              <w:rPr>
                <w:rFonts w:ascii="Aptos" w:hAnsi="Aptos" w:cs="Tahoma"/>
                <w:b/>
                <w:bCs/>
                <w:color w:val="FFFFFF" w:themeColor="background1"/>
                <w:sz w:val="21"/>
                <w:szCs w:val="21"/>
              </w:rPr>
              <w:t>01</w:t>
            </w:r>
            <w:r w:rsidR="00B87FB6">
              <w:rPr>
                <w:rFonts w:ascii="Aptos" w:hAnsi="Aptos" w:cs="Tahoma"/>
                <w:b/>
                <w:bCs/>
                <w:color w:val="FFFFFF" w:themeColor="background1"/>
                <w:sz w:val="21"/>
                <w:szCs w:val="21"/>
              </w:rPr>
              <w:t>/0</w:t>
            </w:r>
            <w:r w:rsidR="00A00F31">
              <w:rPr>
                <w:rFonts w:ascii="Aptos" w:hAnsi="Aptos" w:cs="Tahoma"/>
                <w:b/>
                <w:bCs/>
                <w:color w:val="FFFFFF" w:themeColor="background1"/>
                <w:sz w:val="21"/>
                <w:szCs w:val="21"/>
              </w:rPr>
              <w:t>7</w:t>
            </w:r>
            <w:r w:rsidR="00B87FB6">
              <w:rPr>
                <w:rFonts w:ascii="Aptos" w:hAnsi="Aptos" w:cs="Tahoma"/>
                <w:b/>
                <w:bCs/>
                <w:color w:val="FFFFFF" w:themeColor="background1"/>
                <w:sz w:val="21"/>
                <w:szCs w:val="21"/>
              </w:rPr>
              <w:t>/2026</w:t>
            </w:r>
            <w:r w:rsidR="00CC62D4" w:rsidRPr="00CC62D4">
              <w:rPr>
                <w:rFonts w:ascii="Aptos" w:hAnsi="Aptos" w:cs="Tahoma"/>
                <w:b/>
                <w:bCs/>
                <w:color w:val="FFFFFF" w:themeColor="background1"/>
                <w:sz w:val="21"/>
                <w:szCs w:val="21"/>
              </w:rPr>
              <w:t>&gt;</w:t>
            </w:r>
          </w:p>
        </w:tc>
        <w:tc>
          <w:tcPr>
            <w:tcW w:w="4330" w:type="dxa"/>
            <w:gridSpan w:val="2"/>
            <w:shd w:val="clear" w:color="auto" w:fill="31728F"/>
          </w:tcPr>
          <w:p w14:paraId="2AB30181" w14:textId="7B2B3568" w:rsidR="00561161" w:rsidRPr="00CC62D4" w:rsidRDefault="004C5158" w:rsidP="002D49FF">
            <w:pPr>
              <w:rPr>
                <w:rFonts w:ascii="Brother 1816 Light" w:hAnsi="Brother 1816 Light"/>
                <w:b/>
                <w:bCs/>
                <w:color w:val="31728F"/>
                <w:sz w:val="21"/>
                <w:szCs w:val="21"/>
                <w:lang w:val="en-GB"/>
              </w:rPr>
            </w:pPr>
            <w:r w:rsidRPr="00CC62D4">
              <w:rPr>
                <w:rFonts w:ascii="Brother 1816 Light" w:hAnsi="Brother 1816 Light" w:cs="Tahoma"/>
                <w:b/>
                <w:bCs/>
                <w:color w:val="31728F"/>
                <w:sz w:val="21"/>
                <w:szCs w:val="21"/>
              </w:rPr>
              <w:t>Response</w:t>
            </w:r>
          </w:p>
        </w:tc>
      </w:tr>
      <w:tr w:rsidR="007D71A1" w:rsidRPr="00CC62D4" w14:paraId="3D4C81E0" w14:textId="77777777" w:rsidTr="07BFE459">
        <w:trPr>
          <w:gridAfter w:val="1"/>
          <w:wAfter w:w="12" w:type="dxa"/>
        </w:trPr>
        <w:tc>
          <w:tcPr>
            <w:tcW w:w="553" w:type="dxa"/>
          </w:tcPr>
          <w:p w14:paraId="2518A210" w14:textId="42B2C9B0" w:rsidR="002D49FF" w:rsidRPr="00F95DB3" w:rsidRDefault="00CC62D4" w:rsidP="002D49FF">
            <w:pPr>
              <w:rPr>
                <w:rFonts w:ascii="Brother 1816 Light" w:hAnsi="Brother 1816 Light"/>
                <w:b/>
                <w:bCs/>
                <w:color w:val="31728F"/>
                <w:sz w:val="21"/>
                <w:szCs w:val="21"/>
                <w:lang w:val="en-GB"/>
              </w:rPr>
            </w:pPr>
            <w:r>
              <w:rPr>
                <w:rFonts w:ascii="Brother 1816 Light" w:hAnsi="Brother 1816 Light"/>
                <w:b/>
                <w:bCs/>
                <w:color w:val="31728F"/>
                <w:sz w:val="21"/>
                <w:szCs w:val="21"/>
                <w:lang w:val="en-GB"/>
              </w:rPr>
              <w:t>#</w:t>
            </w:r>
          </w:p>
        </w:tc>
        <w:tc>
          <w:tcPr>
            <w:tcW w:w="3818" w:type="dxa"/>
          </w:tcPr>
          <w:p w14:paraId="3D0E068C" w14:textId="4791C1DB" w:rsidR="00BA7C80" w:rsidRPr="00CC62D4" w:rsidRDefault="00CC62D4" w:rsidP="00B46670">
            <w:pPr>
              <w:spacing w:line="240" w:lineRule="auto"/>
              <w:rPr>
                <w:rFonts w:ascii="Aptos" w:hAnsi="Aptos"/>
                <w:b/>
                <w:bCs/>
                <w:color w:val="31728F"/>
                <w:sz w:val="21"/>
                <w:szCs w:val="21"/>
                <w:shd w:val="clear" w:color="auto" w:fill="FFFFFF"/>
              </w:rPr>
            </w:pPr>
            <w:r w:rsidRPr="00CC62D4">
              <w:rPr>
                <w:rFonts w:ascii="Aptos" w:hAnsi="Aptos"/>
                <w:b/>
                <w:bCs/>
                <w:color w:val="31728F"/>
                <w:sz w:val="21"/>
                <w:szCs w:val="21"/>
                <w:shd w:val="clear" w:color="auto" w:fill="FFFFFF"/>
              </w:rPr>
              <w:t>Clarification</w:t>
            </w:r>
          </w:p>
        </w:tc>
        <w:tc>
          <w:tcPr>
            <w:tcW w:w="4490" w:type="dxa"/>
            <w:gridSpan w:val="2"/>
          </w:tcPr>
          <w:p w14:paraId="5E1DEE51" w14:textId="19C5574C" w:rsidR="00BE5117" w:rsidRPr="00CC62D4" w:rsidRDefault="00CC62D4" w:rsidP="00CC62D4">
            <w:pPr>
              <w:spacing w:line="240" w:lineRule="auto"/>
              <w:jc w:val="both"/>
              <w:rPr>
                <w:rFonts w:ascii="Aptos" w:hAnsi="Aptos" w:cs="Tahoma"/>
                <w:b/>
                <w:bCs/>
                <w:color w:val="31728F"/>
                <w:sz w:val="21"/>
                <w:szCs w:val="21"/>
              </w:rPr>
            </w:pPr>
            <w:r w:rsidRPr="00CC62D4">
              <w:rPr>
                <w:rFonts w:ascii="Aptos" w:hAnsi="Aptos" w:cs="Tahoma"/>
                <w:b/>
                <w:bCs/>
                <w:color w:val="31728F"/>
                <w:sz w:val="21"/>
                <w:szCs w:val="21"/>
              </w:rPr>
              <w:t>Response</w:t>
            </w:r>
          </w:p>
        </w:tc>
      </w:tr>
      <w:tr w:rsidR="007B086D" w:rsidRPr="007F4174" w14:paraId="2326D29D" w14:textId="77777777" w:rsidTr="07BFE459">
        <w:trPr>
          <w:gridAfter w:val="1"/>
          <w:wAfter w:w="12" w:type="dxa"/>
        </w:trPr>
        <w:tc>
          <w:tcPr>
            <w:tcW w:w="553" w:type="dxa"/>
          </w:tcPr>
          <w:p w14:paraId="7106BF27" w14:textId="04B09918" w:rsidR="007B086D" w:rsidRPr="007F4174" w:rsidRDefault="00CC62D4" w:rsidP="00094F5B">
            <w:pPr>
              <w:rPr>
                <w:rFonts w:ascii="Brother 1816 Light" w:hAnsi="Brother 1816 Light"/>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lang w:val="en-GB"/>
              </w:rPr>
              <w:t>1.</w:t>
            </w:r>
          </w:p>
        </w:tc>
        <w:tc>
          <w:tcPr>
            <w:tcW w:w="3818" w:type="dxa"/>
          </w:tcPr>
          <w:p w14:paraId="172AD878"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Lot 1 – Request for Clarifications </w:t>
            </w:r>
          </w:p>
          <w:p w14:paraId="61BF44BD"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Clarification Question 1 – Historical Support Volumes </w:t>
            </w:r>
          </w:p>
          <w:p w14:paraId="01BCFC01"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To enable Tenderers to develop an appropriately resourced support model and prepare an accurate commercial response, could the Contracting Authority provide historical operational information for each application within Lot 1 covering, where available, the previous 12 to 24 months, including: </w:t>
            </w:r>
          </w:p>
          <w:p w14:paraId="4A1C50B5"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 Number of incidents; </w:t>
            </w:r>
          </w:p>
          <w:p w14:paraId="3B511F40"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 Number of service requests; </w:t>
            </w:r>
          </w:p>
          <w:p w14:paraId="3228AF85"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 Number of change requests; </w:t>
            </w:r>
          </w:p>
          <w:p w14:paraId="5DE24FEA"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 Number of releases/deployments; </w:t>
            </w:r>
          </w:p>
          <w:p w14:paraId="4E20B29A" w14:textId="77777777" w:rsidR="00003648" w:rsidRPr="00003648"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xml:space="preserve">● Incident priority/severity distribution; and </w:t>
            </w:r>
          </w:p>
          <w:p w14:paraId="2AE02F89" w14:textId="57709BAE" w:rsidR="007B086D" w:rsidRPr="007F4174" w:rsidRDefault="00003648" w:rsidP="00003648">
            <w:pPr>
              <w:spacing w:line="240" w:lineRule="auto"/>
              <w:rPr>
                <w:rFonts w:cstheme="minorHAnsi"/>
                <w:color w:val="2F5496" w:themeColor="accent1" w:themeShade="BF"/>
                <w:sz w:val="21"/>
                <w:szCs w:val="21"/>
                <w:shd w:val="clear" w:color="auto" w:fill="FFFFFF"/>
              </w:rPr>
            </w:pPr>
            <w:r w:rsidRPr="00003648">
              <w:rPr>
                <w:rFonts w:cstheme="minorHAnsi"/>
                <w:color w:val="2F5496" w:themeColor="accent1" w:themeShade="BF"/>
                <w:sz w:val="21"/>
                <w:szCs w:val="21"/>
                <w:shd w:val="clear" w:color="auto" w:fill="FFFFFF"/>
              </w:rPr>
              <w:t>● Approximate annual level of effort (e.g. person days or Full Time Equivalents).</w:t>
            </w:r>
          </w:p>
        </w:tc>
        <w:tc>
          <w:tcPr>
            <w:tcW w:w="4490" w:type="dxa"/>
            <w:gridSpan w:val="2"/>
          </w:tcPr>
          <w:p w14:paraId="28A65E58" w14:textId="77777777" w:rsidR="00ED0B9F" w:rsidRPr="00ED0B9F" w:rsidRDefault="00ED0B9F" w:rsidP="00ED0B9F">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ED0B9F">
              <w:rPr>
                <w:rFonts w:ascii="Brother 1816 Light" w:eastAsia="Times New Roman" w:hAnsi="Brother 1816 Light" w:cs="Times New Roman"/>
                <w:b/>
                <w:bCs/>
                <w:color w:val="2F5496" w:themeColor="accent1" w:themeShade="BF"/>
                <w:kern w:val="2"/>
                <w:sz w:val="21"/>
                <w:szCs w:val="21"/>
                <w:shd w:val="clear" w:color="auto" w:fill="FFFFFF"/>
              </w:rPr>
              <w:t>The requested information in the queried format is currently unavailable. Please Refer to "Capacity Requirements" on Page 37 of the RFT document under the section "Appendix 1 - Specification of Requirements".</w:t>
            </w:r>
          </w:p>
          <w:p w14:paraId="117E142A" w14:textId="77777777" w:rsidR="00ED0B9F" w:rsidRPr="00ED0B9F" w:rsidRDefault="00ED0B9F" w:rsidP="00ED0B9F">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2CD83998" w14:textId="2C1E861F" w:rsidR="00ED0B9F" w:rsidRPr="00ED0B9F" w:rsidRDefault="00ED0B9F" w:rsidP="00ED0B9F">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ED0B9F">
              <w:rPr>
                <w:rFonts w:ascii="Brother 1816 Light" w:eastAsia="Times New Roman" w:hAnsi="Brother 1816 Light" w:cs="Times New Roman"/>
                <w:b/>
                <w:bCs/>
                <w:color w:val="2F5496" w:themeColor="accent1" w:themeShade="BF"/>
                <w:kern w:val="2"/>
                <w:sz w:val="21"/>
                <w:szCs w:val="21"/>
                <w:shd w:val="clear" w:color="auto" w:fill="FFFFFF"/>
              </w:rPr>
              <w:t>Tenderers should note that they must propose a team that covers all of the roles and relevant skillsets described in Appendix 2 of the RFT. Payments will be subject to a blended daily rate.</w:t>
            </w:r>
          </w:p>
          <w:p w14:paraId="7E2647BE" w14:textId="77777777" w:rsidR="00ED0B9F" w:rsidRPr="00ED0B9F" w:rsidRDefault="00ED0B9F" w:rsidP="00ED0B9F">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758C51B0" w14:textId="1D9B47D3" w:rsidR="007B086D" w:rsidRPr="007F4174" w:rsidRDefault="00ED0B9F" w:rsidP="00ED0B9F">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ED0B9F">
              <w:rPr>
                <w:rFonts w:ascii="Brother 1816 Light" w:eastAsia="Times New Roman" w:hAnsi="Brother 1816 Light" w:cs="Times New Roman"/>
                <w:b/>
                <w:bCs/>
                <w:color w:val="2F5496" w:themeColor="accent1" w:themeShade="BF"/>
                <w:kern w:val="2"/>
                <w:sz w:val="21"/>
                <w:szCs w:val="21"/>
                <w:shd w:val="clear" w:color="auto" w:fill="FFFFFF"/>
              </w:rPr>
              <w:t>The actual assignment of resources will be agreed over the course of the contract and as the service demands; i.e. resource assignment may fluctuate over time.</w:t>
            </w:r>
          </w:p>
        </w:tc>
      </w:tr>
      <w:tr w:rsidR="00CC62D4" w:rsidRPr="007F4174" w14:paraId="7FA42559" w14:textId="77777777" w:rsidTr="07BFE459">
        <w:trPr>
          <w:gridAfter w:val="1"/>
          <w:wAfter w:w="12" w:type="dxa"/>
        </w:trPr>
        <w:tc>
          <w:tcPr>
            <w:tcW w:w="553" w:type="dxa"/>
          </w:tcPr>
          <w:p w14:paraId="7735EA9F" w14:textId="428C2C46" w:rsidR="00CC62D4" w:rsidRPr="007F4174" w:rsidRDefault="00CC62D4"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2.</w:t>
            </w:r>
          </w:p>
        </w:tc>
        <w:tc>
          <w:tcPr>
            <w:tcW w:w="3818" w:type="dxa"/>
          </w:tcPr>
          <w:p w14:paraId="35A7E2FF" w14:textId="77777777" w:rsidR="00ED0B9F" w:rsidRPr="00ED0B9F"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xml:space="preserve">Technology Stack -Whilst the RFT provides detailed technical information relating to the MapRoad Roadworks Licensing (MRL) application, could the Contracting Authority provide equivalent information for the remaining applications within Lot 1, including, where applicable: </w:t>
            </w:r>
          </w:p>
          <w:p w14:paraId="04BC21B7" w14:textId="77777777" w:rsidR="00ED0B9F" w:rsidRPr="00ED0B9F"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xml:space="preserve">● Programming languages; </w:t>
            </w:r>
          </w:p>
          <w:p w14:paraId="40660B20" w14:textId="77777777" w:rsidR="00ED0B9F" w:rsidRPr="00ED0B9F"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xml:space="preserve">● Frameworks; </w:t>
            </w:r>
          </w:p>
          <w:p w14:paraId="25C59375" w14:textId="77777777" w:rsidR="00ED0B9F" w:rsidRPr="00ED0B9F"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xml:space="preserve">● Databases; </w:t>
            </w:r>
          </w:p>
          <w:p w14:paraId="27B6B843" w14:textId="77777777" w:rsidR="00ED0B9F" w:rsidRPr="00ED0B9F"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xml:space="preserve">● Middleware; </w:t>
            </w:r>
          </w:p>
          <w:p w14:paraId="27C7A421" w14:textId="77777777" w:rsidR="00ED0B9F" w:rsidRPr="00ED0B9F"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xml:space="preserve">● Operating systems; </w:t>
            </w:r>
          </w:p>
          <w:p w14:paraId="30F04BE6" w14:textId="77777777" w:rsidR="00ED0B9F" w:rsidRPr="00ED0B9F"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xml:space="preserve">● Development tools; and </w:t>
            </w:r>
          </w:p>
          <w:p w14:paraId="6A76E060" w14:textId="0D9C7C17" w:rsidR="00CC62D4" w:rsidRPr="007F4174" w:rsidRDefault="00ED0B9F" w:rsidP="00ED0B9F">
            <w:pPr>
              <w:spacing w:line="240" w:lineRule="auto"/>
              <w:rPr>
                <w:rFonts w:cstheme="minorHAnsi"/>
                <w:color w:val="2F5496" w:themeColor="accent1" w:themeShade="BF"/>
                <w:sz w:val="21"/>
                <w:szCs w:val="21"/>
                <w:shd w:val="clear" w:color="auto" w:fill="FFFFFF"/>
              </w:rPr>
            </w:pPr>
            <w:r w:rsidRPr="00ED0B9F">
              <w:rPr>
                <w:rFonts w:cstheme="minorHAnsi"/>
                <w:color w:val="2F5496" w:themeColor="accent1" w:themeShade="BF"/>
                <w:sz w:val="21"/>
                <w:szCs w:val="21"/>
                <w:shd w:val="clear" w:color="auto" w:fill="FFFFFF"/>
              </w:rPr>
              <w:t>● Key third-party software components.</w:t>
            </w:r>
          </w:p>
        </w:tc>
        <w:tc>
          <w:tcPr>
            <w:tcW w:w="4490" w:type="dxa"/>
            <w:gridSpan w:val="2"/>
          </w:tcPr>
          <w:p w14:paraId="6D8AC493" w14:textId="599C460D" w:rsidR="00CC62D4" w:rsidRPr="007F4174" w:rsidRDefault="00ED0B9F" w:rsidP="00ED0B9F">
            <w:pPr>
              <w:spacing w:line="240" w:lineRule="auto"/>
              <w:rPr>
                <w:rFonts w:ascii="Brother 1816 Light" w:eastAsia="Times New Roman" w:hAnsi="Brother 1816 Light" w:cs="Times New Roman"/>
                <w:b/>
                <w:bCs/>
                <w:color w:val="2F5496" w:themeColor="accent1" w:themeShade="BF"/>
                <w:kern w:val="2"/>
                <w:sz w:val="21"/>
                <w:szCs w:val="21"/>
                <w:shd w:val="clear" w:color="auto" w:fill="FFFFFF"/>
              </w:rPr>
            </w:pPr>
            <w:r w:rsidRPr="00ED0B9F">
              <w:rPr>
                <w:rFonts w:ascii="Brother 1816 Light" w:eastAsia="Times New Roman" w:hAnsi="Brother 1816 Light" w:cs="Times New Roman"/>
                <w:b/>
                <w:bCs/>
                <w:color w:val="2F5496" w:themeColor="accent1" w:themeShade="BF"/>
                <w:kern w:val="2"/>
                <w:sz w:val="21"/>
                <w:szCs w:val="21"/>
                <w:shd w:val="clear" w:color="auto" w:fill="FFFFFF"/>
              </w:rPr>
              <w:t>All the applications in Lot-1 are built on .NET technology stack. Please Refer to - "Appendix 1 – Specification of Requirements" of the RFT document.</w:t>
            </w:r>
          </w:p>
        </w:tc>
      </w:tr>
      <w:tr w:rsidR="007B086D" w:rsidRPr="007F4174" w14:paraId="72E56CBE" w14:textId="77777777" w:rsidTr="07BFE459">
        <w:trPr>
          <w:gridAfter w:val="1"/>
          <w:wAfter w:w="12" w:type="dxa"/>
        </w:trPr>
        <w:tc>
          <w:tcPr>
            <w:tcW w:w="553" w:type="dxa"/>
          </w:tcPr>
          <w:p w14:paraId="69E8AF06" w14:textId="49704F09" w:rsidR="007B086D" w:rsidRPr="007F4174" w:rsidRDefault="00CC62D4"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3.</w:t>
            </w:r>
          </w:p>
        </w:tc>
        <w:tc>
          <w:tcPr>
            <w:tcW w:w="3818" w:type="dxa"/>
          </w:tcPr>
          <w:p w14:paraId="1EA10852" w14:textId="29F4E7E4" w:rsidR="00E91243" w:rsidRPr="00E91243" w:rsidRDefault="00E91243" w:rsidP="00E91243">
            <w:pPr>
              <w:spacing w:line="240" w:lineRule="auto"/>
              <w:rPr>
                <w:rFonts w:cstheme="minorHAnsi"/>
                <w:color w:val="2F5496" w:themeColor="accent1" w:themeShade="BF"/>
                <w:sz w:val="21"/>
                <w:szCs w:val="21"/>
                <w:shd w:val="clear" w:color="auto" w:fill="FFFFFF"/>
              </w:rPr>
            </w:pPr>
            <w:r w:rsidRPr="00E91243">
              <w:rPr>
                <w:rFonts w:cstheme="minorHAnsi"/>
                <w:color w:val="2F5496" w:themeColor="accent1" w:themeShade="BF"/>
                <w:sz w:val="21"/>
                <w:szCs w:val="21"/>
                <w:shd w:val="clear" w:color="auto" w:fill="FFFFFF"/>
              </w:rPr>
              <w:t xml:space="preserve">Hosting and Infrastructure </w:t>
            </w:r>
            <w:r>
              <w:rPr>
                <w:rFonts w:cstheme="minorHAnsi"/>
                <w:color w:val="2F5496" w:themeColor="accent1" w:themeShade="BF"/>
                <w:sz w:val="21"/>
                <w:szCs w:val="21"/>
                <w:shd w:val="clear" w:color="auto" w:fill="FFFFFF"/>
              </w:rPr>
              <w:t xml:space="preserve">- </w:t>
            </w:r>
            <w:r w:rsidRPr="00E91243">
              <w:rPr>
                <w:rFonts w:cstheme="minorHAnsi"/>
                <w:color w:val="2F5496" w:themeColor="accent1" w:themeShade="BF"/>
                <w:sz w:val="21"/>
                <w:szCs w:val="21"/>
                <w:shd w:val="clear" w:color="auto" w:fill="FFFFFF"/>
              </w:rPr>
              <w:t xml:space="preserve">Could the Contracting Authority confirm the current hosting arrangements for each </w:t>
            </w:r>
          </w:p>
          <w:p w14:paraId="22C8E75D" w14:textId="77777777" w:rsidR="00E91243" w:rsidRPr="00E91243" w:rsidRDefault="00E91243" w:rsidP="00E91243">
            <w:pPr>
              <w:spacing w:line="240" w:lineRule="auto"/>
              <w:rPr>
                <w:rFonts w:cstheme="minorHAnsi"/>
                <w:color w:val="2F5496" w:themeColor="accent1" w:themeShade="BF"/>
                <w:sz w:val="21"/>
                <w:szCs w:val="21"/>
                <w:shd w:val="clear" w:color="auto" w:fill="FFFFFF"/>
              </w:rPr>
            </w:pPr>
            <w:r w:rsidRPr="00E91243">
              <w:rPr>
                <w:rFonts w:cstheme="minorHAnsi"/>
                <w:color w:val="2F5496" w:themeColor="accent1" w:themeShade="BF"/>
                <w:sz w:val="21"/>
                <w:szCs w:val="21"/>
                <w:shd w:val="clear" w:color="auto" w:fill="FFFFFF"/>
              </w:rPr>
              <w:t xml:space="preserve">application within Lot 1, including whether each solution is hosted: </w:t>
            </w:r>
          </w:p>
          <w:p w14:paraId="1060AFC2" w14:textId="0A601612" w:rsidR="00E91243" w:rsidRPr="00E91243" w:rsidRDefault="00E91243" w:rsidP="00E91243">
            <w:pPr>
              <w:spacing w:line="240" w:lineRule="auto"/>
              <w:rPr>
                <w:rFonts w:cstheme="minorHAnsi"/>
                <w:color w:val="2F5496" w:themeColor="accent1" w:themeShade="BF"/>
                <w:sz w:val="21"/>
                <w:szCs w:val="21"/>
                <w:shd w:val="clear" w:color="auto" w:fill="FFFFFF"/>
              </w:rPr>
            </w:pPr>
            <w:r w:rsidRPr="00E91243">
              <w:rPr>
                <w:rFonts w:cstheme="minorHAnsi"/>
                <w:color w:val="2F5496" w:themeColor="accent1" w:themeShade="BF"/>
                <w:sz w:val="21"/>
                <w:szCs w:val="21"/>
                <w:shd w:val="clear" w:color="auto" w:fill="FFFFFF"/>
              </w:rPr>
              <w:t xml:space="preserve">● On premises; </w:t>
            </w:r>
          </w:p>
          <w:p w14:paraId="68435833" w14:textId="77777777" w:rsidR="00E91243" w:rsidRPr="00E91243" w:rsidRDefault="00E91243" w:rsidP="00E91243">
            <w:pPr>
              <w:spacing w:line="240" w:lineRule="auto"/>
              <w:rPr>
                <w:rFonts w:cstheme="minorHAnsi"/>
                <w:color w:val="2F5496" w:themeColor="accent1" w:themeShade="BF"/>
                <w:sz w:val="21"/>
                <w:szCs w:val="21"/>
                <w:shd w:val="clear" w:color="auto" w:fill="FFFFFF"/>
              </w:rPr>
            </w:pPr>
            <w:r w:rsidRPr="00E91243">
              <w:rPr>
                <w:rFonts w:cstheme="minorHAnsi"/>
                <w:color w:val="2F5496" w:themeColor="accent1" w:themeShade="BF"/>
                <w:sz w:val="21"/>
                <w:szCs w:val="21"/>
                <w:shd w:val="clear" w:color="auto" w:fill="FFFFFF"/>
              </w:rPr>
              <w:t xml:space="preserve">● Within a private cloud environment; </w:t>
            </w:r>
          </w:p>
          <w:p w14:paraId="7A9B9B9A" w14:textId="77777777" w:rsidR="00E91243" w:rsidRPr="00E91243" w:rsidRDefault="00E91243" w:rsidP="00E91243">
            <w:pPr>
              <w:spacing w:line="240" w:lineRule="auto"/>
              <w:rPr>
                <w:rFonts w:cstheme="minorHAnsi"/>
                <w:color w:val="2F5496" w:themeColor="accent1" w:themeShade="BF"/>
                <w:sz w:val="21"/>
                <w:szCs w:val="21"/>
                <w:shd w:val="clear" w:color="auto" w:fill="FFFFFF"/>
              </w:rPr>
            </w:pPr>
            <w:r w:rsidRPr="00E91243">
              <w:rPr>
                <w:rFonts w:cstheme="minorHAnsi"/>
                <w:color w:val="2F5496" w:themeColor="accent1" w:themeShade="BF"/>
                <w:sz w:val="21"/>
                <w:szCs w:val="21"/>
                <w:shd w:val="clear" w:color="auto" w:fill="FFFFFF"/>
              </w:rPr>
              <w:t xml:space="preserve">● Within Microsoft Azure or another public cloud platform; or </w:t>
            </w:r>
          </w:p>
          <w:p w14:paraId="3EAD658C" w14:textId="77777777" w:rsidR="00E91243" w:rsidRPr="00E91243" w:rsidRDefault="00E91243" w:rsidP="00E91243">
            <w:pPr>
              <w:spacing w:line="240" w:lineRule="auto"/>
              <w:rPr>
                <w:rFonts w:cstheme="minorHAnsi"/>
                <w:color w:val="2F5496" w:themeColor="accent1" w:themeShade="BF"/>
                <w:sz w:val="21"/>
                <w:szCs w:val="21"/>
                <w:shd w:val="clear" w:color="auto" w:fill="FFFFFF"/>
              </w:rPr>
            </w:pPr>
            <w:r w:rsidRPr="00E91243">
              <w:rPr>
                <w:rFonts w:cstheme="minorHAnsi"/>
                <w:color w:val="2F5496" w:themeColor="accent1" w:themeShade="BF"/>
                <w:sz w:val="21"/>
                <w:szCs w:val="21"/>
                <w:shd w:val="clear" w:color="auto" w:fill="FFFFFF"/>
              </w:rPr>
              <w:t xml:space="preserve">● Within a hybrid infrastructure. </w:t>
            </w:r>
          </w:p>
          <w:p w14:paraId="1E8F6381" w14:textId="1D1D766A" w:rsidR="007B086D" w:rsidRPr="007F4174" w:rsidRDefault="00E91243" w:rsidP="00E91243">
            <w:pPr>
              <w:spacing w:line="240" w:lineRule="auto"/>
              <w:rPr>
                <w:rFonts w:cstheme="minorHAnsi"/>
                <w:color w:val="2F5496" w:themeColor="accent1" w:themeShade="BF"/>
                <w:sz w:val="21"/>
                <w:szCs w:val="21"/>
                <w:shd w:val="clear" w:color="auto" w:fill="FFFFFF"/>
              </w:rPr>
            </w:pPr>
            <w:r w:rsidRPr="00E91243">
              <w:rPr>
                <w:rFonts w:cstheme="minorHAnsi"/>
                <w:color w:val="2F5496" w:themeColor="accent1" w:themeShade="BF"/>
                <w:sz w:val="21"/>
                <w:szCs w:val="21"/>
                <w:shd w:val="clear" w:color="auto" w:fill="FFFFFF"/>
              </w:rPr>
              <w:t>In addition, please confirm which infrastructure components are managed directly by the LGMA and which are managed by third-party providers.</w:t>
            </w:r>
          </w:p>
        </w:tc>
        <w:tc>
          <w:tcPr>
            <w:tcW w:w="4490" w:type="dxa"/>
            <w:gridSpan w:val="2"/>
          </w:tcPr>
          <w:p w14:paraId="74E6DB30" w14:textId="2A200444" w:rsidR="002B1399" w:rsidRPr="007A5892" w:rsidRDefault="007A5892" w:rsidP="002B1399">
            <w:pPr>
              <w:spacing w:line="240" w:lineRule="auto"/>
              <w:jc w:val="both"/>
              <w:rPr>
                <w:rFonts w:ascii="Brother 1816 Light" w:eastAsia="Times New Roman" w:hAnsi="Brother 1816 Light" w:cs="Times New Roman"/>
                <w:sz w:val="21"/>
                <w:szCs w:val="21"/>
              </w:rPr>
            </w:pPr>
            <w:r>
              <w:rPr>
                <w:rFonts w:ascii="Brother 1816 Light" w:eastAsia="Times New Roman" w:hAnsi="Brother 1816 Light" w:cs="Times New Roman"/>
                <w:b/>
                <w:bCs/>
                <w:color w:val="2F5496" w:themeColor="accent1" w:themeShade="BF"/>
                <w:kern w:val="2"/>
                <w:sz w:val="21"/>
                <w:szCs w:val="21"/>
                <w:shd w:val="clear" w:color="auto" w:fill="FFFFFF"/>
              </w:rPr>
              <w:t xml:space="preserve">The </w:t>
            </w:r>
            <w:r w:rsidR="00A72E85">
              <w:rPr>
                <w:rFonts w:ascii="Brother 1816 Light" w:eastAsia="Times New Roman" w:hAnsi="Brother 1816 Light" w:cs="Times New Roman"/>
                <w:b/>
                <w:bCs/>
                <w:color w:val="2F5496" w:themeColor="accent1" w:themeShade="BF"/>
                <w:kern w:val="2"/>
                <w:sz w:val="21"/>
                <w:szCs w:val="21"/>
                <w:shd w:val="clear" w:color="auto" w:fill="FFFFFF"/>
              </w:rPr>
              <w:t xml:space="preserve">Web application and database </w:t>
            </w:r>
            <w:r w:rsidR="008A1247">
              <w:rPr>
                <w:rFonts w:ascii="Brother 1816 Light" w:eastAsia="Times New Roman" w:hAnsi="Brother 1816 Light" w:cs="Times New Roman"/>
                <w:b/>
                <w:bCs/>
                <w:color w:val="2F5496" w:themeColor="accent1" w:themeShade="BF"/>
                <w:kern w:val="2"/>
                <w:sz w:val="21"/>
                <w:szCs w:val="21"/>
                <w:shd w:val="clear" w:color="auto" w:fill="FFFFFF"/>
              </w:rPr>
              <w:t xml:space="preserve">hosting arrangements </w:t>
            </w:r>
            <w:r>
              <w:rPr>
                <w:rFonts w:ascii="Brother 1816 Light" w:eastAsia="Times New Roman" w:hAnsi="Brother 1816 Light" w:cs="Times New Roman"/>
                <w:b/>
                <w:bCs/>
                <w:color w:val="2F5496" w:themeColor="accent1" w:themeShade="BF"/>
                <w:kern w:val="2"/>
                <w:sz w:val="21"/>
                <w:szCs w:val="21"/>
                <w:shd w:val="clear" w:color="auto" w:fill="FFFFFF"/>
              </w:rPr>
              <w:t>current</w:t>
            </w:r>
            <w:r w:rsidR="008A1247">
              <w:rPr>
                <w:rFonts w:ascii="Brother 1816 Light" w:eastAsia="Times New Roman" w:hAnsi="Brother 1816 Light" w:cs="Times New Roman"/>
                <w:b/>
                <w:bCs/>
                <w:color w:val="2F5496" w:themeColor="accent1" w:themeShade="BF"/>
                <w:kern w:val="2"/>
                <w:sz w:val="21"/>
                <w:szCs w:val="21"/>
                <w:shd w:val="clear" w:color="auto" w:fill="FFFFFF"/>
              </w:rPr>
              <w:t xml:space="preserve">ly </w:t>
            </w:r>
            <w:r w:rsidR="009D4710">
              <w:rPr>
                <w:rFonts w:ascii="Brother 1816 Light" w:eastAsia="Times New Roman" w:hAnsi="Brother 1816 Light" w:cs="Times New Roman"/>
                <w:b/>
                <w:bCs/>
                <w:color w:val="2F5496" w:themeColor="accent1" w:themeShade="BF"/>
                <w:kern w:val="2"/>
                <w:sz w:val="21"/>
                <w:szCs w:val="21"/>
                <w:shd w:val="clear" w:color="auto" w:fill="FFFFFF"/>
              </w:rPr>
              <w:t>are privately owned and</w:t>
            </w:r>
            <w:r w:rsidR="008A1247">
              <w:rPr>
                <w:rFonts w:ascii="Brother 1816 Light" w:eastAsia="Times New Roman" w:hAnsi="Brother 1816 Light" w:cs="Times New Roman"/>
                <w:b/>
                <w:bCs/>
                <w:color w:val="2F5496" w:themeColor="accent1" w:themeShade="BF"/>
                <w:kern w:val="2"/>
                <w:sz w:val="21"/>
                <w:szCs w:val="21"/>
                <w:shd w:val="clear" w:color="auto" w:fill="FFFFFF"/>
              </w:rPr>
              <w:t xml:space="preserve"> managed by LGMA network Operations</w:t>
            </w:r>
            <w:r w:rsidR="002B1399">
              <w:rPr>
                <w:rFonts w:ascii="Brother 1816 Light" w:eastAsia="Times New Roman" w:hAnsi="Brother 1816 Light" w:cs="Times New Roman"/>
                <w:b/>
                <w:bCs/>
                <w:color w:val="2F5496" w:themeColor="accent1" w:themeShade="BF"/>
                <w:kern w:val="2"/>
                <w:sz w:val="21"/>
                <w:szCs w:val="21"/>
                <w:shd w:val="clear" w:color="auto" w:fill="FFFFFF"/>
              </w:rPr>
              <w:t>.</w:t>
            </w:r>
          </w:p>
          <w:p w14:paraId="7DE91C08" w14:textId="5BDF9F04" w:rsidR="007A5892" w:rsidRPr="007A5892" w:rsidRDefault="007A5892" w:rsidP="007A5892">
            <w:pPr>
              <w:tabs>
                <w:tab w:val="left" w:pos="1382"/>
              </w:tabs>
              <w:rPr>
                <w:rFonts w:ascii="Brother 1816 Light" w:eastAsia="Times New Roman" w:hAnsi="Brother 1816 Light" w:cs="Times New Roman"/>
                <w:sz w:val="21"/>
                <w:szCs w:val="21"/>
              </w:rPr>
            </w:pPr>
          </w:p>
        </w:tc>
      </w:tr>
      <w:tr w:rsidR="00CC62D4" w:rsidRPr="007F4174" w14:paraId="47E52903" w14:textId="77777777" w:rsidTr="07BFE459">
        <w:trPr>
          <w:gridAfter w:val="1"/>
          <w:wAfter w:w="12" w:type="dxa"/>
        </w:trPr>
        <w:tc>
          <w:tcPr>
            <w:tcW w:w="553" w:type="dxa"/>
          </w:tcPr>
          <w:p w14:paraId="11EF88F4" w14:textId="46D46179" w:rsidR="00CC62D4" w:rsidRPr="007F4174" w:rsidRDefault="00D64C3D"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lastRenderedPageBreak/>
              <w:t>4.</w:t>
            </w:r>
          </w:p>
        </w:tc>
        <w:tc>
          <w:tcPr>
            <w:tcW w:w="3818" w:type="dxa"/>
          </w:tcPr>
          <w:p w14:paraId="615032BF" w14:textId="77777777" w:rsidR="00F17A37" w:rsidRPr="00F17A37" w:rsidRDefault="00F17A37" w:rsidP="00F17A37">
            <w:pPr>
              <w:spacing w:line="240" w:lineRule="auto"/>
              <w:rPr>
                <w:rFonts w:cstheme="minorHAnsi"/>
                <w:color w:val="2F5496" w:themeColor="accent1" w:themeShade="BF"/>
                <w:sz w:val="21"/>
                <w:szCs w:val="21"/>
                <w:shd w:val="clear" w:color="auto" w:fill="FFFFFF"/>
              </w:rPr>
            </w:pPr>
            <w:r w:rsidRPr="00F17A37">
              <w:rPr>
                <w:rFonts w:cstheme="minorHAnsi"/>
                <w:color w:val="2F5496" w:themeColor="accent1" w:themeShade="BF"/>
                <w:sz w:val="21"/>
                <w:szCs w:val="21"/>
                <w:shd w:val="clear" w:color="auto" w:fill="FFFFFF"/>
              </w:rPr>
              <w:t xml:space="preserve">Transition and Knowledge Transfer </w:t>
            </w:r>
          </w:p>
          <w:p w14:paraId="5CB7B701" w14:textId="77777777" w:rsidR="00F17A37" w:rsidRPr="00F17A37" w:rsidRDefault="00F17A37" w:rsidP="00F17A37">
            <w:pPr>
              <w:spacing w:line="240" w:lineRule="auto"/>
              <w:rPr>
                <w:rFonts w:cstheme="minorHAnsi"/>
                <w:color w:val="2F5496" w:themeColor="accent1" w:themeShade="BF"/>
                <w:sz w:val="21"/>
                <w:szCs w:val="21"/>
                <w:shd w:val="clear" w:color="auto" w:fill="FFFFFF"/>
              </w:rPr>
            </w:pPr>
            <w:r w:rsidRPr="00F17A37">
              <w:rPr>
                <w:rFonts w:cstheme="minorHAnsi"/>
                <w:color w:val="2F5496" w:themeColor="accent1" w:themeShade="BF"/>
                <w:sz w:val="21"/>
                <w:szCs w:val="21"/>
                <w:shd w:val="clear" w:color="auto" w:fill="FFFFFF"/>
              </w:rPr>
              <w:t xml:space="preserve">Given that the RFT indicates that the MRL and NEMIS applications represent approximately 80% of the anticipated workload under Lot 1, could the Contracting Authority confirm whether the incumbent supplier will be contractually required to provide a structured transition and knowledge transfer to the successful Tenderer? </w:t>
            </w:r>
          </w:p>
          <w:p w14:paraId="0EF4979A" w14:textId="77777777" w:rsidR="00F17A37" w:rsidRPr="00F17A37" w:rsidRDefault="00F17A37" w:rsidP="00F17A37">
            <w:pPr>
              <w:spacing w:line="240" w:lineRule="auto"/>
              <w:rPr>
                <w:rFonts w:cstheme="minorHAnsi"/>
                <w:color w:val="2F5496" w:themeColor="accent1" w:themeShade="BF"/>
                <w:sz w:val="21"/>
                <w:szCs w:val="21"/>
                <w:shd w:val="clear" w:color="auto" w:fill="FFFFFF"/>
              </w:rPr>
            </w:pPr>
            <w:r w:rsidRPr="00F17A37">
              <w:rPr>
                <w:rFonts w:cstheme="minorHAnsi"/>
                <w:color w:val="2F5496" w:themeColor="accent1" w:themeShade="BF"/>
                <w:sz w:val="21"/>
                <w:szCs w:val="21"/>
                <w:shd w:val="clear" w:color="auto" w:fill="FFFFFF"/>
              </w:rPr>
              <w:t xml:space="preserve">If applicable, please provide details regarding: </w:t>
            </w:r>
          </w:p>
          <w:p w14:paraId="5868BA8C" w14:textId="77777777" w:rsidR="00F17A37" w:rsidRPr="00F17A37" w:rsidRDefault="00F17A37" w:rsidP="00F17A37">
            <w:pPr>
              <w:spacing w:line="240" w:lineRule="auto"/>
              <w:rPr>
                <w:rFonts w:cstheme="minorHAnsi"/>
                <w:color w:val="2F5496" w:themeColor="accent1" w:themeShade="BF"/>
                <w:sz w:val="21"/>
                <w:szCs w:val="21"/>
                <w:shd w:val="clear" w:color="auto" w:fill="FFFFFF"/>
              </w:rPr>
            </w:pPr>
            <w:r w:rsidRPr="00F17A37">
              <w:rPr>
                <w:rFonts w:cstheme="minorHAnsi"/>
                <w:color w:val="2F5496" w:themeColor="accent1" w:themeShade="BF"/>
                <w:sz w:val="21"/>
                <w:szCs w:val="21"/>
                <w:shd w:val="clear" w:color="auto" w:fill="FFFFFF"/>
              </w:rPr>
              <w:t xml:space="preserve">● Anticipated duration; </w:t>
            </w:r>
          </w:p>
          <w:p w14:paraId="44C97143" w14:textId="77777777" w:rsidR="00F17A37" w:rsidRPr="00F17A37" w:rsidRDefault="00F17A37" w:rsidP="00F17A37">
            <w:pPr>
              <w:spacing w:line="240" w:lineRule="auto"/>
              <w:rPr>
                <w:rFonts w:cstheme="minorHAnsi"/>
                <w:color w:val="2F5496" w:themeColor="accent1" w:themeShade="BF"/>
                <w:sz w:val="21"/>
                <w:szCs w:val="21"/>
                <w:shd w:val="clear" w:color="auto" w:fill="FFFFFF"/>
              </w:rPr>
            </w:pPr>
            <w:r w:rsidRPr="00F17A37">
              <w:rPr>
                <w:rFonts w:cstheme="minorHAnsi"/>
                <w:color w:val="2F5496" w:themeColor="accent1" w:themeShade="BF"/>
                <w:sz w:val="21"/>
                <w:szCs w:val="21"/>
                <w:shd w:val="clear" w:color="auto" w:fill="FFFFFF"/>
              </w:rPr>
              <w:t xml:space="preserve">● Scope of knowledge transfer activities; </w:t>
            </w:r>
          </w:p>
          <w:p w14:paraId="7F0B0076" w14:textId="77777777" w:rsidR="00F17A37" w:rsidRPr="00F17A37" w:rsidRDefault="00F17A37" w:rsidP="00F17A37">
            <w:pPr>
              <w:spacing w:line="240" w:lineRule="auto"/>
              <w:rPr>
                <w:rFonts w:cstheme="minorHAnsi"/>
                <w:color w:val="2F5496" w:themeColor="accent1" w:themeShade="BF"/>
                <w:sz w:val="21"/>
                <w:szCs w:val="21"/>
                <w:shd w:val="clear" w:color="auto" w:fill="FFFFFF"/>
              </w:rPr>
            </w:pPr>
            <w:r w:rsidRPr="00F17A37">
              <w:rPr>
                <w:rFonts w:cstheme="minorHAnsi"/>
                <w:color w:val="2F5496" w:themeColor="accent1" w:themeShade="BF"/>
                <w:sz w:val="21"/>
                <w:szCs w:val="21"/>
                <w:shd w:val="clear" w:color="auto" w:fill="FFFFFF"/>
              </w:rPr>
              <w:t xml:space="preserve">● Documentation to be provided; and </w:t>
            </w:r>
          </w:p>
          <w:p w14:paraId="2D65B6AF" w14:textId="641DA900" w:rsidR="00CC62D4" w:rsidRPr="007F4174" w:rsidRDefault="00F17A37" w:rsidP="00F17A37">
            <w:pPr>
              <w:spacing w:line="240" w:lineRule="auto"/>
              <w:rPr>
                <w:rFonts w:cstheme="minorHAnsi"/>
                <w:color w:val="2F5496" w:themeColor="accent1" w:themeShade="BF"/>
                <w:sz w:val="21"/>
                <w:szCs w:val="21"/>
                <w:shd w:val="clear" w:color="auto" w:fill="FFFFFF"/>
              </w:rPr>
            </w:pPr>
            <w:r w:rsidRPr="00F17A37">
              <w:rPr>
                <w:rFonts w:cstheme="minorHAnsi"/>
                <w:color w:val="2F5496" w:themeColor="accent1" w:themeShade="BF"/>
                <w:sz w:val="21"/>
                <w:szCs w:val="21"/>
                <w:shd w:val="clear" w:color="auto" w:fill="FFFFFF"/>
              </w:rPr>
              <w:t>● Expected outputs of the transition process.</w:t>
            </w:r>
          </w:p>
        </w:tc>
        <w:tc>
          <w:tcPr>
            <w:tcW w:w="4490" w:type="dxa"/>
            <w:gridSpan w:val="2"/>
          </w:tcPr>
          <w:p w14:paraId="321E1A56" w14:textId="7623C565" w:rsidR="00CC62D4" w:rsidRPr="007F4174" w:rsidRDefault="00F17A37" w:rsidP="00F17A3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F17A37">
              <w:rPr>
                <w:rFonts w:ascii="Brother 1816 Light" w:eastAsia="Times New Roman" w:hAnsi="Brother 1816 Light" w:cs="Times New Roman"/>
                <w:b/>
                <w:bCs/>
                <w:color w:val="2F5496" w:themeColor="accent1" w:themeShade="BF"/>
                <w:kern w:val="2"/>
                <w:sz w:val="21"/>
                <w:szCs w:val="21"/>
                <w:shd w:val="clear" w:color="auto" w:fill="FFFFFF"/>
              </w:rPr>
              <w:t>If the need for a handover arises, then the process will be determined and agreed with the successful tenderer as part of the contract conclusion process.</w:t>
            </w:r>
          </w:p>
        </w:tc>
      </w:tr>
      <w:tr w:rsidR="00CC62D4" w:rsidRPr="007F4174" w14:paraId="549D0CF4" w14:textId="77777777" w:rsidTr="07BFE459">
        <w:trPr>
          <w:gridAfter w:val="1"/>
          <w:wAfter w:w="12" w:type="dxa"/>
        </w:trPr>
        <w:tc>
          <w:tcPr>
            <w:tcW w:w="553" w:type="dxa"/>
          </w:tcPr>
          <w:p w14:paraId="3D6334C7" w14:textId="61EE1F0B" w:rsidR="00CC62D4" w:rsidRPr="007F4174" w:rsidRDefault="00321CCB"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5.</w:t>
            </w:r>
          </w:p>
        </w:tc>
        <w:tc>
          <w:tcPr>
            <w:tcW w:w="3818" w:type="dxa"/>
          </w:tcPr>
          <w:p w14:paraId="61C38E97" w14:textId="661B8FE3" w:rsidR="004B5A90" w:rsidRPr="004B5A90" w:rsidRDefault="004B5A90" w:rsidP="004B5A90">
            <w:pPr>
              <w:spacing w:line="240" w:lineRule="auto"/>
              <w:rPr>
                <w:rFonts w:cstheme="minorHAnsi"/>
                <w:color w:val="2F5496" w:themeColor="accent1" w:themeShade="BF"/>
                <w:sz w:val="21"/>
                <w:szCs w:val="21"/>
                <w:shd w:val="clear" w:color="auto" w:fill="FFFFFF"/>
              </w:rPr>
            </w:pPr>
            <w:r w:rsidRPr="004B5A90">
              <w:rPr>
                <w:rFonts w:cstheme="minorHAnsi"/>
                <w:color w:val="2F5496" w:themeColor="accent1" w:themeShade="BF"/>
                <w:sz w:val="21"/>
                <w:szCs w:val="21"/>
                <w:shd w:val="clear" w:color="auto" w:fill="FFFFFF"/>
              </w:rPr>
              <w:t>Existing Development Backlog</w:t>
            </w:r>
            <w:r w:rsidR="00046FE9">
              <w:rPr>
                <w:rFonts w:cstheme="minorHAnsi"/>
                <w:color w:val="2F5496" w:themeColor="accent1" w:themeShade="BF"/>
                <w:sz w:val="21"/>
                <w:szCs w:val="21"/>
                <w:shd w:val="clear" w:color="auto" w:fill="FFFFFF"/>
              </w:rPr>
              <w:t xml:space="preserve">- </w:t>
            </w:r>
            <w:r w:rsidRPr="004B5A90">
              <w:rPr>
                <w:rFonts w:cstheme="minorHAnsi"/>
                <w:color w:val="2F5496" w:themeColor="accent1" w:themeShade="BF"/>
                <w:sz w:val="21"/>
                <w:szCs w:val="21"/>
                <w:shd w:val="clear" w:color="auto" w:fill="FFFFFF"/>
              </w:rPr>
              <w:t xml:space="preserve">Could the Contracting Authority confirm whether the successful Tenderer will inherit any existing backlog of defects, enhancement requests or development work? </w:t>
            </w:r>
          </w:p>
          <w:p w14:paraId="264233D6" w14:textId="77777777" w:rsidR="004B5A90" w:rsidRPr="004B5A90" w:rsidRDefault="004B5A90" w:rsidP="004B5A90">
            <w:pPr>
              <w:spacing w:line="240" w:lineRule="auto"/>
              <w:rPr>
                <w:rFonts w:cstheme="minorHAnsi"/>
                <w:color w:val="2F5496" w:themeColor="accent1" w:themeShade="BF"/>
                <w:sz w:val="21"/>
                <w:szCs w:val="21"/>
                <w:shd w:val="clear" w:color="auto" w:fill="FFFFFF"/>
              </w:rPr>
            </w:pPr>
            <w:r w:rsidRPr="004B5A90">
              <w:rPr>
                <w:rFonts w:cstheme="minorHAnsi"/>
                <w:color w:val="2F5496" w:themeColor="accent1" w:themeShade="BF"/>
                <w:sz w:val="21"/>
                <w:szCs w:val="21"/>
                <w:shd w:val="clear" w:color="auto" w:fill="FFFFFF"/>
              </w:rPr>
              <w:t xml:space="preserve">If so, please provide an indication of: </w:t>
            </w:r>
          </w:p>
          <w:p w14:paraId="54CB71AE" w14:textId="77777777" w:rsidR="004B5A90" w:rsidRPr="004B5A90" w:rsidRDefault="004B5A90" w:rsidP="004B5A90">
            <w:pPr>
              <w:spacing w:line="240" w:lineRule="auto"/>
              <w:rPr>
                <w:rFonts w:cstheme="minorHAnsi"/>
                <w:color w:val="2F5496" w:themeColor="accent1" w:themeShade="BF"/>
                <w:sz w:val="21"/>
                <w:szCs w:val="21"/>
                <w:shd w:val="clear" w:color="auto" w:fill="FFFFFF"/>
              </w:rPr>
            </w:pPr>
            <w:r w:rsidRPr="004B5A90">
              <w:rPr>
                <w:rFonts w:cstheme="minorHAnsi"/>
                <w:color w:val="2F5496" w:themeColor="accent1" w:themeShade="BF"/>
                <w:sz w:val="21"/>
                <w:szCs w:val="21"/>
                <w:shd w:val="clear" w:color="auto" w:fill="FFFFFF"/>
              </w:rPr>
              <w:t xml:space="preserve">● Current backlog volumes; </w:t>
            </w:r>
          </w:p>
          <w:p w14:paraId="1BD5115B" w14:textId="77777777" w:rsidR="004B5A90" w:rsidRPr="004B5A90" w:rsidRDefault="004B5A90" w:rsidP="004B5A90">
            <w:pPr>
              <w:spacing w:line="240" w:lineRule="auto"/>
              <w:rPr>
                <w:rFonts w:cstheme="minorHAnsi"/>
                <w:color w:val="2F5496" w:themeColor="accent1" w:themeShade="BF"/>
                <w:sz w:val="21"/>
                <w:szCs w:val="21"/>
                <w:shd w:val="clear" w:color="auto" w:fill="FFFFFF"/>
              </w:rPr>
            </w:pPr>
            <w:r w:rsidRPr="004B5A90">
              <w:rPr>
                <w:rFonts w:cstheme="minorHAnsi"/>
                <w:color w:val="2F5496" w:themeColor="accent1" w:themeShade="BF"/>
                <w:sz w:val="21"/>
                <w:szCs w:val="21"/>
                <w:shd w:val="clear" w:color="auto" w:fill="FFFFFF"/>
              </w:rPr>
              <w:t xml:space="preserve">● Priority classifications; and </w:t>
            </w:r>
          </w:p>
          <w:p w14:paraId="21EC8438" w14:textId="58078E2C" w:rsidR="00CC62D4" w:rsidRPr="007F4174" w:rsidRDefault="004B5A90" w:rsidP="004B5A90">
            <w:pPr>
              <w:spacing w:line="240" w:lineRule="auto"/>
              <w:rPr>
                <w:rFonts w:cstheme="minorHAnsi"/>
                <w:color w:val="2F5496" w:themeColor="accent1" w:themeShade="BF"/>
                <w:sz w:val="21"/>
                <w:szCs w:val="21"/>
                <w:shd w:val="clear" w:color="auto" w:fill="FFFFFF"/>
              </w:rPr>
            </w:pPr>
            <w:r w:rsidRPr="004B5A90">
              <w:rPr>
                <w:rFonts w:cstheme="minorHAnsi"/>
                <w:color w:val="2F5496" w:themeColor="accent1" w:themeShade="BF"/>
                <w:sz w:val="21"/>
                <w:szCs w:val="21"/>
                <w:shd w:val="clear" w:color="auto" w:fill="FFFFFF"/>
              </w:rPr>
              <w:t>● Any known delivery commitments.</w:t>
            </w:r>
          </w:p>
        </w:tc>
        <w:tc>
          <w:tcPr>
            <w:tcW w:w="4490" w:type="dxa"/>
            <w:gridSpan w:val="2"/>
          </w:tcPr>
          <w:p w14:paraId="09992E97" w14:textId="2A4B7555" w:rsidR="00CC62D4" w:rsidRPr="007F4174" w:rsidRDefault="00642424" w:rsidP="00642424">
            <w:pPr>
              <w:tabs>
                <w:tab w:val="left" w:pos="634"/>
              </w:tabs>
              <w:spacing w:after="160" w:line="278" w:lineRule="auto"/>
              <w:rPr>
                <w:b/>
                <w:bCs/>
                <w:color w:val="2F5496" w:themeColor="accent1" w:themeShade="BF"/>
              </w:rPr>
            </w:pPr>
            <w:r w:rsidRPr="00642424">
              <w:rPr>
                <w:b/>
                <w:bCs/>
                <w:color w:val="2F5496" w:themeColor="accent1" w:themeShade="BF"/>
              </w:rPr>
              <w:t xml:space="preserve">This will be discussed with the successful </w:t>
            </w:r>
            <w:r w:rsidR="00046FE9" w:rsidRPr="00642424">
              <w:rPr>
                <w:b/>
                <w:bCs/>
                <w:color w:val="2F5496" w:themeColor="accent1" w:themeShade="BF"/>
              </w:rPr>
              <w:t>tenderer and</w:t>
            </w:r>
            <w:r w:rsidRPr="00642424">
              <w:rPr>
                <w:b/>
                <w:bCs/>
                <w:color w:val="2F5496" w:themeColor="accent1" w:themeShade="BF"/>
              </w:rPr>
              <w:t xml:space="preserve"> will be managed by LGMA as part of the handover process.</w:t>
            </w:r>
          </w:p>
        </w:tc>
      </w:tr>
      <w:tr w:rsidR="00CC62D4" w:rsidRPr="007F4174" w14:paraId="4BA6E5B0" w14:textId="77777777" w:rsidTr="07BFE459">
        <w:trPr>
          <w:gridAfter w:val="1"/>
          <w:wAfter w:w="12" w:type="dxa"/>
        </w:trPr>
        <w:tc>
          <w:tcPr>
            <w:tcW w:w="553" w:type="dxa"/>
          </w:tcPr>
          <w:p w14:paraId="38CF6302" w14:textId="68DC5523" w:rsidR="00CC62D4" w:rsidRPr="007F4174" w:rsidRDefault="00321CCB"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6.</w:t>
            </w:r>
          </w:p>
        </w:tc>
        <w:tc>
          <w:tcPr>
            <w:tcW w:w="3818" w:type="dxa"/>
          </w:tcPr>
          <w:p w14:paraId="27997408" w14:textId="308D3259" w:rsidR="00046FE9" w:rsidRPr="00046FE9" w:rsidRDefault="00046FE9" w:rsidP="00046FE9">
            <w:pPr>
              <w:tabs>
                <w:tab w:val="left" w:pos="1244"/>
              </w:tabs>
              <w:spacing w:line="240" w:lineRule="auto"/>
              <w:rPr>
                <w:rFonts w:cstheme="minorHAnsi"/>
                <w:color w:val="2F5496" w:themeColor="accent1" w:themeShade="BF"/>
                <w:sz w:val="21"/>
                <w:szCs w:val="21"/>
                <w:shd w:val="clear" w:color="auto" w:fill="FFFFFF"/>
              </w:rPr>
            </w:pPr>
            <w:r w:rsidRPr="00046FE9">
              <w:rPr>
                <w:rFonts w:cstheme="minorHAnsi"/>
                <w:color w:val="2F5496" w:themeColor="accent1" w:themeShade="BF"/>
                <w:sz w:val="21"/>
                <w:szCs w:val="21"/>
                <w:shd w:val="clear" w:color="auto" w:fill="FFFFFF"/>
              </w:rPr>
              <w:t>Development Call-Off Contracts</w:t>
            </w:r>
            <w:r>
              <w:rPr>
                <w:rFonts w:cstheme="minorHAnsi"/>
                <w:color w:val="2F5496" w:themeColor="accent1" w:themeShade="BF"/>
                <w:sz w:val="21"/>
                <w:szCs w:val="21"/>
                <w:shd w:val="clear" w:color="auto" w:fill="FFFFFF"/>
              </w:rPr>
              <w:t>-</w:t>
            </w:r>
          </w:p>
          <w:p w14:paraId="45052BF3" w14:textId="77777777" w:rsidR="00046FE9" w:rsidRPr="00046FE9" w:rsidRDefault="00046FE9" w:rsidP="00046FE9">
            <w:pPr>
              <w:tabs>
                <w:tab w:val="left" w:pos="1244"/>
              </w:tabs>
              <w:spacing w:line="240" w:lineRule="auto"/>
              <w:rPr>
                <w:rFonts w:cstheme="minorHAnsi"/>
                <w:color w:val="2F5496" w:themeColor="accent1" w:themeShade="BF"/>
                <w:sz w:val="21"/>
                <w:szCs w:val="21"/>
                <w:shd w:val="clear" w:color="auto" w:fill="FFFFFF"/>
              </w:rPr>
            </w:pPr>
            <w:r w:rsidRPr="00046FE9">
              <w:rPr>
                <w:rFonts w:cstheme="minorHAnsi"/>
                <w:color w:val="2F5496" w:themeColor="accent1" w:themeShade="BF"/>
                <w:sz w:val="21"/>
                <w:szCs w:val="21"/>
                <w:shd w:val="clear" w:color="auto" w:fill="FFFFFF"/>
              </w:rPr>
              <w:t xml:space="preserve">To support resource planning and commercial estimation, could the Contracting Authority provide indicative information regarding the anticipated development call-off contracts under the framework, including, where possible: </w:t>
            </w:r>
          </w:p>
          <w:p w14:paraId="7273E955" w14:textId="77777777" w:rsidR="00046FE9" w:rsidRPr="00046FE9" w:rsidRDefault="00046FE9" w:rsidP="00046FE9">
            <w:pPr>
              <w:tabs>
                <w:tab w:val="left" w:pos="1244"/>
              </w:tabs>
              <w:spacing w:line="240" w:lineRule="auto"/>
              <w:rPr>
                <w:rFonts w:cstheme="minorHAnsi"/>
                <w:color w:val="2F5496" w:themeColor="accent1" w:themeShade="BF"/>
                <w:sz w:val="21"/>
                <w:szCs w:val="21"/>
                <w:shd w:val="clear" w:color="auto" w:fill="FFFFFF"/>
              </w:rPr>
            </w:pPr>
            <w:r w:rsidRPr="00046FE9">
              <w:rPr>
                <w:rFonts w:cstheme="minorHAnsi"/>
                <w:color w:val="2F5496" w:themeColor="accent1" w:themeShade="BF"/>
                <w:sz w:val="21"/>
                <w:szCs w:val="21"/>
                <w:shd w:val="clear" w:color="auto" w:fill="FFFFFF"/>
              </w:rPr>
              <w:t xml:space="preserve">● Typical project size; </w:t>
            </w:r>
          </w:p>
          <w:p w14:paraId="63CB5CD6" w14:textId="77777777" w:rsidR="00046FE9" w:rsidRPr="00046FE9" w:rsidRDefault="00046FE9" w:rsidP="00046FE9">
            <w:pPr>
              <w:tabs>
                <w:tab w:val="left" w:pos="1244"/>
              </w:tabs>
              <w:spacing w:line="240" w:lineRule="auto"/>
              <w:rPr>
                <w:rFonts w:cstheme="minorHAnsi"/>
                <w:color w:val="2F5496" w:themeColor="accent1" w:themeShade="BF"/>
                <w:sz w:val="21"/>
                <w:szCs w:val="21"/>
                <w:shd w:val="clear" w:color="auto" w:fill="FFFFFF"/>
              </w:rPr>
            </w:pPr>
            <w:r w:rsidRPr="00046FE9">
              <w:rPr>
                <w:rFonts w:cstheme="minorHAnsi"/>
                <w:color w:val="2F5496" w:themeColor="accent1" w:themeShade="BF"/>
                <w:sz w:val="21"/>
                <w:szCs w:val="21"/>
                <w:shd w:val="clear" w:color="auto" w:fill="FFFFFF"/>
              </w:rPr>
              <w:t xml:space="preserve">● Typical project duration; </w:t>
            </w:r>
          </w:p>
          <w:p w14:paraId="0BB55A6F" w14:textId="77777777" w:rsidR="00046FE9" w:rsidRPr="00046FE9" w:rsidRDefault="00046FE9" w:rsidP="00046FE9">
            <w:pPr>
              <w:tabs>
                <w:tab w:val="left" w:pos="1244"/>
              </w:tabs>
              <w:spacing w:line="240" w:lineRule="auto"/>
              <w:rPr>
                <w:rFonts w:cstheme="minorHAnsi"/>
                <w:color w:val="2F5496" w:themeColor="accent1" w:themeShade="BF"/>
                <w:sz w:val="21"/>
                <w:szCs w:val="21"/>
                <w:shd w:val="clear" w:color="auto" w:fill="FFFFFF"/>
              </w:rPr>
            </w:pPr>
            <w:r w:rsidRPr="00046FE9">
              <w:rPr>
                <w:rFonts w:cstheme="minorHAnsi"/>
                <w:color w:val="2F5496" w:themeColor="accent1" w:themeShade="BF"/>
                <w:sz w:val="21"/>
                <w:szCs w:val="21"/>
                <w:shd w:val="clear" w:color="auto" w:fill="FFFFFF"/>
              </w:rPr>
              <w:t xml:space="preserve">● Indicative value ranges; and </w:t>
            </w:r>
          </w:p>
          <w:p w14:paraId="0716176D" w14:textId="475AFBE3" w:rsidR="00CC62D4" w:rsidRPr="007F4174" w:rsidRDefault="00046FE9" w:rsidP="00046FE9">
            <w:pPr>
              <w:tabs>
                <w:tab w:val="left" w:pos="1244"/>
              </w:tabs>
              <w:spacing w:line="240" w:lineRule="auto"/>
              <w:rPr>
                <w:rFonts w:cstheme="minorHAnsi"/>
                <w:color w:val="2F5496" w:themeColor="accent1" w:themeShade="BF"/>
                <w:sz w:val="21"/>
                <w:szCs w:val="21"/>
                <w:shd w:val="clear" w:color="auto" w:fill="FFFFFF"/>
              </w:rPr>
            </w:pPr>
            <w:r w:rsidRPr="00046FE9">
              <w:rPr>
                <w:rFonts w:cstheme="minorHAnsi"/>
                <w:color w:val="2F5496" w:themeColor="accent1" w:themeShade="BF"/>
                <w:sz w:val="21"/>
                <w:szCs w:val="21"/>
                <w:shd w:val="clear" w:color="auto" w:fill="FFFFFF"/>
              </w:rPr>
              <w:t>● Expected frequency of call-off projects.</w:t>
            </w:r>
          </w:p>
        </w:tc>
        <w:tc>
          <w:tcPr>
            <w:tcW w:w="4490" w:type="dxa"/>
            <w:gridSpan w:val="2"/>
          </w:tcPr>
          <w:p w14:paraId="4E658940" w14:textId="77777777" w:rsidR="00CC62D4" w:rsidRPr="00B66434" w:rsidRDefault="00CC62D4" w:rsidP="00B66434">
            <w:pPr>
              <w:spacing w:line="240" w:lineRule="auto"/>
              <w:rPr>
                <w:rFonts w:eastAsia="Times New Roman" w:cstheme="minorHAnsi"/>
                <w:b/>
                <w:bCs/>
                <w:color w:val="2F5496" w:themeColor="accent1" w:themeShade="BF"/>
                <w:kern w:val="2"/>
                <w:shd w:val="clear" w:color="auto" w:fill="FFFFFF"/>
              </w:rPr>
            </w:pPr>
          </w:p>
          <w:p w14:paraId="758D5FF3" w14:textId="173259E7" w:rsidR="00B66434" w:rsidRPr="00B66434" w:rsidRDefault="00B66434" w:rsidP="00B66434">
            <w:pPr>
              <w:rPr>
                <w:rFonts w:ascii="Brother 1816 Light" w:eastAsia="Times New Roman" w:hAnsi="Brother 1816 Light" w:cs="Times New Roman"/>
                <w:sz w:val="21"/>
                <w:szCs w:val="21"/>
              </w:rPr>
            </w:pPr>
            <w:r w:rsidRPr="00B66434">
              <w:rPr>
                <w:rFonts w:eastAsia="Times New Roman" w:cstheme="minorHAnsi"/>
                <w:b/>
                <w:bCs/>
                <w:color w:val="2F5496" w:themeColor="accent1" w:themeShade="BF"/>
              </w:rPr>
              <w:t>This information cannot be determined at this point in time and is currently unavailable</w:t>
            </w:r>
            <w:r w:rsidRPr="00B66434">
              <w:rPr>
                <w:rFonts w:ascii="Brother 1816 Light" w:eastAsia="Times New Roman" w:hAnsi="Brother 1816 Light" w:cs="Times New Roman"/>
                <w:sz w:val="21"/>
                <w:szCs w:val="21"/>
              </w:rPr>
              <w:t>.</w:t>
            </w:r>
          </w:p>
        </w:tc>
      </w:tr>
      <w:tr w:rsidR="00CC62D4" w:rsidRPr="007F4174" w14:paraId="53FD7EF1" w14:textId="77777777" w:rsidTr="07BFE459">
        <w:trPr>
          <w:gridAfter w:val="1"/>
          <w:wAfter w:w="12" w:type="dxa"/>
        </w:trPr>
        <w:tc>
          <w:tcPr>
            <w:tcW w:w="553" w:type="dxa"/>
          </w:tcPr>
          <w:p w14:paraId="5CC666E1" w14:textId="0BEA7EBB" w:rsidR="00CC62D4" w:rsidRPr="007F4174" w:rsidRDefault="005830F7"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7.</w:t>
            </w:r>
          </w:p>
        </w:tc>
        <w:tc>
          <w:tcPr>
            <w:tcW w:w="3818" w:type="dxa"/>
          </w:tcPr>
          <w:p w14:paraId="15EF1F24" w14:textId="77777777" w:rsidR="00062604" w:rsidRPr="00062604" w:rsidRDefault="00062604" w:rsidP="00062604">
            <w:pPr>
              <w:spacing w:line="240" w:lineRule="auto"/>
              <w:rPr>
                <w:rFonts w:cstheme="minorHAnsi"/>
                <w:color w:val="2F5496" w:themeColor="accent1" w:themeShade="BF"/>
                <w:sz w:val="21"/>
                <w:szCs w:val="21"/>
                <w:shd w:val="clear" w:color="auto" w:fill="FFFFFF"/>
              </w:rPr>
            </w:pPr>
            <w:r w:rsidRPr="00062604">
              <w:rPr>
                <w:rFonts w:cstheme="minorHAnsi"/>
                <w:color w:val="2F5496" w:themeColor="accent1" w:themeShade="BF"/>
                <w:sz w:val="21"/>
                <w:szCs w:val="21"/>
                <w:shd w:val="clear" w:color="auto" w:fill="FFFFFF"/>
              </w:rPr>
              <w:t xml:space="preserve">Delivery Model and Resource Location </w:t>
            </w:r>
          </w:p>
          <w:p w14:paraId="118A6D64" w14:textId="77777777" w:rsidR="00062604" w:rsidRPr="00062604" w:rsidRDefault="00062604" w:rsidP="00062604">
            <w:pPr>
              <w:spacing w:line="240" w:lineRule="auto"/>
              <w:rPr>
                <w:rFonts w:cstheme="minorHAnsi"/>
                <w:color w:val="2F5496" w:themeColor="accent1" w:themeShade="BF"/>
                <w:sz w:val="21"/>
                <w:szCs w:val="21"/>
                <w:shd w:val="clear" w:color="auto" w:fill="FFFFFF"/>
              </w:rPr>
            </w:pPr>
            <w:r w:rsidRPr="00062604">
              <w:rPr>
                <w:rFonts w:cstheme="minorHAnsi"/>
                <w:color w:val="2F5496" w:themeColor="accent1" w:themeShade="BF"/>
                <w:sz w:val="21"/>
                <w:szCs w:val="21"/>
                <w:shd w:val="clear" w:color="auto" w:fill="FFFFFF"/>
              </w:rPr>
              <w:t xml:space="preserve">The RFT does not appear to specify any requirements relating to the location of personnel delivering the services. </w:t>
            </w:r>
          </w:p>
          <w:p w14:paraId="0693497B" w14:textId="77777777" w:rsidR="00062604" w:rsidRPr="00062604" w:rsidRDefault="00062604" w:rsidP="00062604">
            <w:pPr>
              <w:spacing w:line="240" w:lineRule="auto"/>
              <w:rPr>
                <w:rFonts w:cstheme="minorHAnsi"/>
                <w:color w:val="2F5496" w:themeColor="accent1" w:themeShade="BF"/>
                <w:sz w:val="21"/>
                <w:szCs w:val="21"/>
                <w:shd w:val="clear" w:color="auto" w:fill="FFFFFF"/>
              </w:rPr>
            </w:pPr>
            <w:r w:rsidRPr="00062604">
              <w:rPr>
                <w:rFonts w:cstheme="minorHAnsi"/>
                <w:color w:val="2F5496" w:themeColor="accent1" w:themeShade="BF"/>
                <w:sz w:val="21"/>
                <w:szCs w:val="21"/>
                <w:shd w:val="clear" w:color="auto" w:fill="FFFFFF"/>
              </w:rPr>
              <w:t xml:space="preserve">Could the Contracting Authority please confirm: </w:t>
            </w:r>
          </w:p>
          <w:p w14:paraId="40E9E38B" w14:textId="67CB2F26" w:rsidR="003A7675" w:rsidRPr="003A7675" w:rsidRDefault="00062604" w:rsidP="003A7675">
            <w:pPr>
              <w:pStyle w:val="ListParagraph"/>
              <w:numPr>
                <w:ilvl w:val="0"/>
                <w:numId w:val="44"/>
              </w:numPr>
              <w:spacing w:line="240" w:lineRule="auto"/>
              <w:rPr>
                <w:rFonts w:cstheme="minorHAnsi"/>
                <w:color w:val="2F5496" w:themeColor="accent1" w:themeShade="BF"/>
                <w:sz w:val="21"/>
                <w:szCs w:val="21"/>
                <w:shd w:val="clear" w:color="auto" w:fill="FFFFFF"/>
              </w:rPr>
            </w:pPr>
            <w:r w:rsidRPr="003A7675">
              <w:rPr>
                <w:rFonts w:cstheme="minorHAnsi"/>
                <w:color w:val="2F5496" w:themeColor="accent1" w:themeShade="BF"/>
                <w:sz w:val="21"/>
                <w:szCs w:val="21"/>
                <w:shd w:val="clear" w:color="auto" w:fill="FFFFFF"/>
              </w:rPr>
              <w:t>Whether there are any requirements regarding remote versus on-site delivery;</w:t>
            </w:r>
          </w:p>
          <w:p w14:paraId="746485A1" w14:textId="5C8A14F4" w:rsidR="00062604" w:rsidRPr="003A7675" w:rsidRDefault="00062604" w:rsidP="003A7675">
            <w:pPr>
              <w:pStyle w:val="ListParagraph"/>
              <w:numPr>
                <w:ilvl w:val="0"/>
                <w:numId w:val="44"/>
              </w:numPr>
              <w:spacing w:line="240" w:lineRule="auto"/>
              <w:rPr>
                <w:rFonts w:cstheme="minorHAnsi"/>
                <w:color w:val="2F5496" w:themeColor="accent1" w:themeShade="BF"/>
                <w:sz w:val="21"/>
                <w:szCs w:val="21"/>
                <w:shd w:val="clear" w:color="auto" w:fill="FFFFFF"/>
              </w:rPr>
            </w:pPr>
            <w:r w:rsidRPr="003A7675">
              <w:rPr>
                <w:rFonts w:cstheme="minorHAnsi"/>
                <w:color w:val="2F5496" w:themeColor="accent1" w:themeShade="BF"/>
                <w:sz w:val="21"/>
                <w:szCs w:val="21"/>
                <w:shd w:val="clear" w:color="auto" w:fill="FFFFFF"/>
              </w:rPr>
              <w:t xml:space="preserve">Whether there are any minimum on-site attendance requirements during transition or ongoing service delivery; </w:t>
            </w:r>
          </w:p>
          <w:p w14:paraId="4F676973" w14:textId="60E08A12" w:rsidR="00062604" w:rsidRPr="003A7675" w:rsidRDefault="00062604" w:rsidP="003A7675">
            <w:pPr>
              <w:pStyle w:val="ListParagraph"/>
              <w:numPr>
                <w:ilvl w:val="0"/>
                <w:numId w:val="44"/>
              </w:numPr>
              <w:spacing w:line="240" w:lineRule="auto"/>
              <w:rPr>
                <w:rFonts w:cstheme="minorHAnsi"/>
                <w:color w:val="2F5496" w:themeColor="accent1" w:themeShade="BF"/>
                <w:sz w:val="21"/>
                <w:szCs w:val="21"/>
                <w:shd w:val="clear" w:color="auto" w:fill="FFFFFF"/>
              </w:rPr>
            </w:pPr>
            <w:r w:rsidRPr="003A7675">
              <w:rPr>
                <w:rFonts w:cstheme="minorHAnsi"/>
                <w:color w:val="2F5496" w:themeColor="accent1" w:themeShade="BF"/>
                <w:sz w:val="21"/>
                <w:szCs w:val="21"/>
                <w:shd w:val="clear" w:color="auto" w:fill="FFFFFF"/>
              </w:rPr>
              <w:lastRenderedPageBreak/>
              <w:t xml:space="preserve">Whether personnel are required to be located within Ireland or the European Union; </w:t>
            </w:r>
          </w:p>
          <w:p w14:paraId="4D453346" w14:textId="179DC83B" w:rsidR="00062604" w:rsidRPr="003A7675" w:rsidRDefault="00062604" w:rsidP="003A7675">
            <w:pPr>
              <w:pStyle w:val="ListParagraph"/>
              <w:spacing w:line="240" w:lineRule="auto"/>
              <w:rPr>
                <w:rFonts w:cstheme="minorHAnsi"/>
                <w:color w:val="2F5496" w:themeColor="accent1" w:themeShade="BF"/>
                <w:sz w:val="21"/>
                <w:szCs w:val="21"/>
                <w:shd w:val="clear" w:color="auto" w:fill="FFFFFF"/>
              </w:rPr>
            </w:pPr>
            <w:r w:rsidRPr="003A7675">
              <w:rPr>
                <w:rFonts w:cstheme="minorHAnsi"/>
                <w:color w:val="2F5496" w:themeColor="accent1" w:themeShade="BF"/>
                <w:sz w:val="21"/>
                <w:szCs w:val="21"/>
                <w:shd w:val="clear" w:color="auto" w:fill="FFFFFF"/>
              </w:rPr>
              <w:t xml:space="preserve"> </w:t>
            </w:r>
          </w:p>
          <w:p w14:paraId="4265ACB1" w14:textId="50D98D09" w:rsidR="00CC62D4" w:rsidRPr="003A7675" w:rsidRDefault="00062604" w:rsidP="003A7675">
            <w:pPr>
              <w:pStyle w:val="ListParagraph"/>
              <w:numPr>
                <w:ilvl w:val="0"/>
                <w:numId w:val="44"/>
              </w:numPr>
              <w:spacing w:line="240" w:lineRule="auto"/>
              <w:rPr>
                <w:rFonts w:cstheme="minorHAnsi"/>
                <w:color w:val="2F5496" w:themeColor="accent1" w:themeShade="BF"/>
                <w:sz w:val="21"/>
                <w:szCs w:val="21"/>
                <w:shd w:val="clear" w:color="auto" w:fill="FFFFFF"/>
              </w:rPr>
            </w:pPr>
            <w:r w:rsidRPr="003A7675">
              <w:rPr>
                <w:rFonts w:cstheme="minorHAnsi"/>
                <w:color w:val="2F5496" w:themeColor="accent1" w:themeShade="BF"/>
                <w:sz w:val="21"/>
                <w:szCs w:val="21"/>
                <w:shd w:val="clear" w:color="auto" w:fill="FFFFFF"/>
              </w:rPr>
              <w:t>Whether resources located outside the European Union may be utilised, subject to compliance with all contractual, security and data protection obligations.</w:t>
            </w:r>
          </w:p>
        </w:tc>
        <w:tc>
          <w:tcPr>
            <w:tcW w:w="4490" w:type="dxa"/>
            <w:gridSpan w:val="2"/>
          </w:tcPr>
          <w:p w14:paraId="1D89AEF1" w14:textId="77777777" w:rsidR="00B948EC" w:rsidRDefault="00B948EC" w:rsidP="00B948EC">
            <w:pPr>
              <w:rPr>
                <w:rFonts w:ascii="Brother 1816 Light" w:eastAsia="Times New Roman" w:hAnsi="Brother 1816 Light" w:cs="Times New Roman"/>
                <w:b/>
                <w:bCs/>
                <w:color w:val="2F5496" w:themeColor="accent1" w:themeShade="BF"/>
                <w:sz w:val="21"/>
                <w:szCs w:val="21"/>
              </w:rPr>
            </w:pPr>
          </w:p>
          <w:p w14:paraId="1643E9ED" w14:textId="3C686BBF" w:rsidR="00D65314" w:rsidRPr="003A7675" w:rsidRDefault="000B1DCD" w:rsidP="003A7675">
            <w:pPr>
              <w:pStyle w:val="ListParagraph"/>
              <w:numPr>
                <w:ilvl w:val="0"/>
                <w:numId w:val="45"/>
              </w:numPr>
              <w:rPr>
                <w:rFonts w:eastAsia="Times New Roman" w:cstheme="minorHAnsi"/>
                <w:b/>
                <w:bCs/>
                <w:color w:val="2F5496" w:themeColor="accent1" w:themeShade="BF"/>
              </w:rPr>
            </w:pPr>
            <w:r w:rsidRPr="003A7675">
              <w:rPr>
                <w:rFonts w:eastAsia="Times New Roman" w:cstheme="minorHAnsi"/>
                <w:b/>
                <w:bCs/>
                <w:color w:val="2F5496" w:themeColor="accent1" w:themeShade="BF"/>
              </w:rPr>
              <w:t>No, there</w:t>
            </w:r>
            <w:r w:rsidR="00D65314" w:rsidRPr="003A7675">
              <w:rPr>
                <w:rFonts w:eastAsia="Times New Roman" w:cstheme="minorHAnsi"/>
                <w:b/>
                <w:bCs/>
                <w:color w:val="2F5496" w:themeColor="accent1" w:themeShade="BF"/>
              </w:rPr>
              <w:t xml:space="preserve"> is current no requirement of on-site delivery.  </w:t>
            </w:r>
          </w:p>
          <w:p w14:paraId="4671E1AB" w14:textId="77777777" w:rsidR="00D65314" w:rsidRPr="003A7675" w:rsidRDefault="00D65314" w:rsidP="00D65314">
            <w:pPr>
              <w:rPr>
                <w:rFonts w:eastAsia="Times New Roman" w:cstheme="minorHAnsi"/>
                <w:b/>
                <w:bCs/>
                <w:color w:val="2F5496" w:themeColor="accent1" w:themeShade="BF"/>
              </w:rPr>
            </w:pPr>
          </w:p>
          <w:p w14:paraId="19EB3C48" w14:textId="4EE84E4C" w:rsidR="00D65314" w:rsidRPr="003A7675" w:rsidRDefault="00D65314" w:rsidP="003A7675">
            <w:pPr>
              <w:pStyle w:val="ListParagraph"/>
              <w:numPr>
                <w:ilvl w:val="0"/>
                <w:numId w:val="45"/>
              </w:numPr>
              <w:rPr>
                <w:rFonts w:eastAsia="Times New Roman" w:cstheme="minorHAnsi"/>
                <w:b/>
                <w:bCs/>
                <w:color w:val="2F5496" w:themeColor="accent1" w:themeShade="BF"/>
              </w:rPr>
            </w:pPr>
            <w:r w:rsidRPr="003A7675">
              <w:rPr>
                <w:rFonts w:eastAsia="Times New Roman" w:cstheme="minorHAnsi"/>
                <w:b/>
                <w:bCs/>
                <w:color w:val="2F5496" w:themeColor="accent1" w:themeShade="BF"/>
              </w:rPr>
              <w:t>No, there is currently no requirement for on-site attendance.</w:t>
            </w:r>
          </w:p>
          <w:p w14:paraId="707463DB" w14:textId="77777777" w:rsidR="00D65314" w:rsidRPr="003A7675" w:rsidRDefault="00D65314" w:rsidP="00D65314">
            <w:pPr>
              <w:rPr>
                <w:rFonts w:eastAsia="Times New Roman" w:cstheme="minorHAnsi"/>
                <w:b/>
                <w:bCs/>
                <w:color w:val="2F5496" w:themeColor="accent1" w:themeShade="BF"/>
              </w:rPr>
            </w:pPr>
          </w:p>
          <w:p w14:paraId="3C27B043" w14:textId="7F8B8654" w:rsidR="00D65314" w:rsidRPr="003A7675" w:rsidRDefault="00D65314" w:rsidP="003A7675">
            <w:pPr>
              <w:pStyle w:val="ListParagraph"/>
              <w:numPr>
                <w:ilvl w:val="0"/>
                <w:numId w:val="45"/>
              </w:numPr>
              <w:rPr>
                <w:rFonts w:eastAsia="Times New Roman" w:cstheme="minorHAnsi"/>
                <w:b/>
                <w:bCs/>
                <w:color w:val="2F5496" w:themeColor="accent1" w:themeShade="BF"/>
              </w:rPr>
            </w:pPr>
            <w:r w:rsidRPr="003A7675">
              <w:rPr>
                <w:rFonts w:eastAsia="Times New Roman" w:cstheme="minorHAnsi"/>
                <w:b/>
                <w:bCs/>
                <w:color w:val="2F5496" w:themeColor="accent1" w:themeShade="BF"/>
              </w:rPr>
              <w:t>No</w:t>
            </w:r>
            <w:r w:rsidR="000B1DCD" w:rsidRPr="003A7675">
              <w:rPr>
                <w:rFonts w:eastAsia="Times New Roman" w:cstheme="minorHAnsi"/>
                <w:b/>
                <w:bCs/>
                <w:color w:val="2F5496" w:themeColor="accent1" w:themeShade="BF"/>
              </w:rPr>
              <w:t xml:space="preserve">. However, </w:t>
            </w:r>
            <w:r w:rsidR="003A7675" w:rsidRPr="003A7675">
              <w:rPr>
                <w:rFonts w:eastAsia="Times New Roman" w:cstheme="minorHAnsi"/>
                <w:b/>
                <w:bCs/>
                <w:color w:val="2F5496" w:themeColor="accent1" w:themeShade="BF"/>
              </w:rPr>
              <w:t xml:space="preserve">all </w:t>
            </w:r>
            <w:r w:rsidR="000B1DCD" w:rsidRPr="003A7675">
              <w:rPr>
                <w:rFonts w:eastAsia="Times New Roman" w:cstheme="minorHAnsi"/>
                <w:b/>
                <w:bCs/>
                <w:color w:val="2F5496" w:themeColor="accent1" w:themeShade="BF"/>
              </w:rPr>
              <w:t>o</w:t>
            </w:r>
            <w:r w:rsidRPr="003A7675">
              <w:rPr>
                <w:rFonts w:eastAsia="Times New Roman" w:cstheme="minorHAnsi"/>
                <w:b/>
                <w:bCs/>
                <w:color w:val="2F5496" w:themeColor="accent1" w:themeShade="BF"/>
              </w:rPr>
              <w:t xml:space="preserve">ffshore resources would be required to be available </w:t>
            </w:r>
            <w:r w:rsidR="006A688F">
              <w:rPr>
                <w:rFonts w:eastAsia="Times New Roman" w:cstheme="minorHAnsi"/>
                <w:b/>
                <w:bCs/>
                <w:color w:val="2F5496" w:themeColor="accent1" w:themeShade="BF"/>
              </w:rPr>
              <w:t xml:space="preserve">online during office hours </w:t>
            </w:r>
            <w:r w:rsidR="000B1DCD" w:rsidRPr="003A7675">
              <w:rPr>
                <w:rFonts w:eastAsia="Times New Roman" w:cstheme="minorHAnsi"/>
                <w:b/>
                <w:bCs/>
                <w:color w:val="2F5496" w:themeColor="accent1" w:themeShade="BF"/>
              </w:rPr>
              <w:t xml:space="preserve">as per </w:t>
            </w:r>
            <w:r w:rsidRPr="003A7675">
              <w:rPr>
                <w:rFonts w:eastAsia="Times New Roman" w:cstheme="minorHAnsi"/>
                <w:b/>
                <w:bCs/>
                <w:color w:val="2F5496" w:themeColor="accent1" w:themeShade="BF"/>
              </w:rPr>
              <w:t>Irish time</w:t>
            </w:r>
            <w:r w:rsidR="00167418">
              <w:rPr>
                <w:rFonts w:eastAsia="Times New Roman" w:cstheme="minorHAnsi"/>
                <w:b/>
                <w:bCs/>
                <w:color w:val="2F5496" w:themeColor="accent1" w:themeShade="BF"/>
              </w:rPr>
              <w:t xml:space="preserve"> zone</w:t>
            </w:r>
            <w:r w:rsidR="000A5ACC">
              <w:rPr>
                <w:rFonts w:eastAsia="Times New Roman" w:cstheme="minorHAnsi"/>
                <w:b/>
                <w:bCs/>
                <w:color w:val="2F5496" w:themeColor="accent1" w:themeShade="BF"/>
              </w:rPr>
              <w:t>.</w:t>
            </w:r>
          </w:p>
          <w:p w14:paraId="59A1BCCD" w14:textId="77777777" w:rsidR="00D65314" w:rsidRPr="003A7675" w:rsidRDefault="00D65314" w:rsidP="00D65314">
            <w:pPr>
              <w:rPr>
                <w:rFonts w:eastAsia="Times New Roman" w:cstheme="minorHAnsi"/>
                <w:b/>
                <w:bCs/>
                <w:color w:val="2F5496" w:themeColor="accent1" w:themeShade="BF"/>
              </w:rPr>
            </w:pPr>
          </w:p>
          <w:p w14:paraId="2EDAF6C4" w14:textId="20CFC93A" w:rsidR="006A688F" w:rsidRDefault="00D65314" w:rsidP="00FE1082">
            <w:pPr>
              <w:pStyle w:val="ListParagraph"/>
              <w:numPr>
                <w:ilvl w:val="0"/>
                <w:numId w:val="45"/>
              </w:numPr>
              <w:rPr>
                <w:rFonts w:cstheme="minorHAnsi"/>
                <w:b/>
                <w:bCs/>
                <w:color w:val="2F5496" w:themeColor="accent1" w:themeShade="BF"/>
                <w:sz w:val="21"/>
                <w:szCs w:val="21"/>
                <w:shd w:val="clear" w:color="auto" w:fill="FFFFFF"/>
              </w:rPr>
            </w:pPr>
            <w:r w:rsidRPr="006A688F">
              <w:rPr>
                <w:rFonts w:eastAsia="Times New Roman" w:cstheme="minorHAnsi"/>
                <w:b/>
                <w:bCs/>
                <w:color w:val="2F5496" w:themeColor="accent1" w:themeShade="BF"/>
              </w:rPr>
              <w:lastRenderedPageBreak/>
              <w:t xml:space="preserve">Yes, subject to </w:t>
            </w:r>
            <w:r w:rsidR="000A5ACC" w:rsidRPr="006A688F">
              <w:rPr>
                <w:rFonts w:cstheme="minorHAnsi"/>
                <w:b/>
                <w:bCs/>
                <w:color w:val="2F5496" w:themeColor="accent1" w:themeShade="BF"/>
                <w:sz w:val="21"/>
                <w:szCs w:val="21"/>
                <w:shd w:val="clear" w:color="auto" w:fill="FFFFFF"/>
              </w:rPr>
              <w:t xml:space="preserve">compliance with all contractual, security and data protection obligations. </w:t>
            </w:r>
          </w:p>
          <w:p w14:paraId="57558719" w14:textId="77777777" w:rsidR="001C712D" w:rsidRPr="001C712D" w:rsidRDefault="001C712D" w:rsidP="001C712D">
            <w:pPr>
              <w:pStyle w:val="ListParagraph"/>
              <w:rPr>
                <w:rFonts w:cstheme="minorHAnsi"/>
                <w:b/>
                <w:bCs/>
                <w:color w:val="2F5496" w:themeColor="accent1" w:themeShade="BF"/>
                <w:sz w:val="21"/>
                <w:szCs w:val="21"/>
                <w:shd w:val="clear" w:color="auto" w:fill="FFFFFF"/>
              </w:rPr>
            </w:pPr>
          </w:p>
          <w:p w14:paraId="519ECBCE" w14:textId="12078F56" w:rsidR="00D65314" w:rsidRPr="003A7675" w:rsidRDefault="00167418" w:rsidP="006A688F">
            <w:pPr>
              <w:pStyle w:val="ListParagraph"/>
              <w:rPr>
                <w:rFonts w:ascii="Brother 1816 Light" w:eastAsia="Times New Roman" w:hAnsi="Brother 1816 Light" w:cs="Times New Roman"/>
                <w:sz w:val="21"/>
                <w:szCs w:val="21"/>
              </w:rPr>
            </w:pPr>
            <w:r>
              <w:rPr>
                <w:rFonts w:cstheme="minorHAnsi"/>
                <w:b/>
                <w:bCs/>
                <w:color w:val="2F5496" w:themeColor="accent1" w:themeShade="BF"/>
                <w:sz w:val="21"/>
                <w:szCs w:val="21"/>
                <w:shd w:val="clear" w:color="auto" w:fill="FFFFFF"/>
              </w:rPr>
              <w:t xml:space="preserve">All offshore resources would also be required to be available </w:t>
            </w:r>
            <w:r w:rsidR="006A688F">
              <w:rPr>
                <w:rFonts w:eastAsia="Times New Roman" w:cstheme="minorHAnsi"/>
                <w:b/>
                <w:bCs/>
                <w:color w:val="2F5496" w:themeColor="accent1" w:themeShade="BF"/>
              </w:rPr>
              <w:t xml:space="preserve">online during office hours </w:t>
            </w:r>
            <w:r w:rsidR="006A688F" w:rsidRPr="003A7675">
              <w:rPr>
                <w:rFonts w:eastAsia="Times New Roman" w:cstheme="minorHAnsi"/>
                <w:b/>
                <w:bCs/>
                <w:color w:val="2F5496" w:themeColor="accent1" w:themeShade="BF"/>
              </w:rPr>
              <w:t>as per Irish time</w:t>
            </w:r>
            <w:r w:rsidR="006A688F">
              <w:rPr>
                <w:rFonts w:eastAsia="Times New Roman" w:cstheme="minorHAnsi"/>
                <w:b/>
                <w:bCs/>
                <w:color w:val="2F5496" w:themeColor="accent1" w:themeShade="BF"/>
              </w:rPr>
              <w:t xml:space="preserve"> zone</w:t>
            </w:r>
            <w:r w:rsidR="00D65314" w:rsidRPr="003A7675">
              <w:rPr>
                <w:rFonts w:eastAsia="Times New Roman" w:cstheme="minorHAnsi"/>
                <w:b/>
                <w:bCs/>
                <w:color w:val="2F5496" w:themeColor="accent1" w:themeShade="BF"/>
              </w:rPr>
              <w:t>.</w:t>
            </w:r>
          </w:p>
        </w:tc>
      </w:tr>
      <w:tr w:rsidR="00CC62D4" w:rsidRPr="007F4174" w14:paraId="347B38BB" w14:textId="77777777" w:rsidTr="07BFE459">
        <w:trPr>
          <w:gridAfter w:val="1"/>
          <w:wAfter w:w="12" w:type="dxa"/>
        </w:trPr>
        <w:tc>
          <w:tcPr>
            <w:tcW w:w="553" w:type="dxa"/>
          </w:tcPr>
          <w:p w14:paraId="3EFBCCFA" w14:textId="12FB064F" w:rsidR="00CC62D4" w:rsidRPr="007F4174" w:rsidRDefault="000F7ACA"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lastRenderedPageBreak/>
              <w:t>8.</w:t>
            </w:r>
          </w:p>
        </w:tc>
        <w:tc>
          <w:tcPr>
            <w:tcW w:w="3818" w:type="dxa"/>
          </w:tcPr>
          <w:p w14:paraId="6C7FC794" w14:textId="3E8DC352" w:rsidR="0002651A" w:rsidRPr="0002651A" w:rsidRDefault="0002651A" w:rsidP="0002651A">
            <w:pPr>
              <w:tabs>
                <w:tab w:val="left" w:pos="1071"/>
              </w:tabs>
              <w:spacing w:line="240" w:lineRule="auto"/>
              <w:rPr>
                <w:rFonts w:cstheme="minorHAnsi"/>
                <w:color w:val="2F5496" w:themeColor="accent1" w:themeShade="BF"/>
                <w:sz w:val="21"/>
                <w:szCs w:val="21"/>
                <w:shd w:val="clear" w:color="auto" w:fill="FFFFFF"/>
              </w:rPr>
            </w:pPr>
            <w:r w:rsidRPr="0002651A">
              <w:rPr>
                <w:rFonts w:cstheme="minorHAnsi"/>
                <w:color w:val="2F5496" w:themeColor="accent1" w:themeShade="BF"/>
                <w:sz w:val="21"/>
                <w:szCs w:val="21"/>
                <w:shd w:val="clear" w:color="auto" w:fill="FFFFFF"/>
              </w:rPr>
              <w:t xml:space="preserve">Mobile Application Support </w:t>
            </w:r>
            <w:r>
              <w:rPr>
                <w:rFonts w:cstheme="minorHAnsi"/>
                <w:color w:val="2F5496" w:themeColor="accent1" w:themeShade="BF"/>
                <w:sz w:val="21"/>
                <w:szCs w:val="21"/>
                <w:shd w:val="clear" w:color="auto" w:fill="FFFFFF"/>
              </w:rPr>
              <w:t>-</w:t>
            </w:r>
            <w:r w:rsidRPr="0002651A">
              <w:rPr>
                <w:rFonts w:cstheme="minorHAnsi"/>
                <w:color w:val="2F5496" w:themeColor="accent1" w:themeShade="BF"/>
                <w:sz w:val="21"/>
                <w:szCs w:val="21"/>
                <w:shd w:val="clear" w:color="auto" w:fill="FFFFFF"/>
              </w:rPr>
              <w:t xml:space="preserve">The RFT refers to the existing Android mobile application supporting the MapRoad </w:t>
            </w:r>
          </w:p>
          <w:p w14:paraId="7D1870CC" w14:textId="77777777" w:rsidR="0002651A" w:rsidRPr="0002651A" w:rsidRDefault="0002651A" w:rsidP="0002651A">
            <w:pPr>
              <w:tabs>
                <w:tab w:val="left" w:pos="1071"/>
              </w:tabs>
              <w:spacing w:line="240" w:lineRule="auto"/>
              <w:rPr>
                <w:rFonts w:cstheme="minorHAnsi"/>
                <w:color w:val="2F5496" w:themeColor="accent1" w:themeShade="BF"/>
                <w:sz w:val="21"/>
                <w:szCs w:val="21"/>
                <w:shd w:val="clear" w:color="auto" w:fill="FFFFFF"/>
              </w:rPr>
            </w:pPr>
            <w:r w:rsidRPr="0002651A">
              <w:rPr>
                <w:rFonts w:cstheme="minorHAnsi"/>
                <w:color w:val="2F5496" w:themeColor="accent1" w:themeShade="BF"/>
                <w:sz w:val="21"/>
                <w:szCs w:val="21"/>
                <w:shd w:val="clear" w:color="auto" w:fill="FFFFFF"/>
              </w:rPr>
              <w:t xml:space="preserve">Roadworks Licensing System (MRL) and references Android/Kotlin deployment activities. </w:t>
            </w:r>
          </w:p>
          <w:p w14:paraId="2DAC4203" w14:textId="77777777" w:rsidR="0002651A" w:rsidRPr="0002651A" w:rsidRDefault="0002651A" w:rsidP="0002651A">
            <w:pPr>
              <w:tabs>
                <w:tab w:val="left" w:pos="1071"/>
              </w:tabs>
              <w:spacing w:line="240" w:lineRule="auto"/>
              <w:rPr>
                <w:rFonts w:cstheme="minorHAnsi"/>
                <w:color w:val="2F5496" w:themeColor="accent1" w:themeShade="BF"/>
                <w:sz w:val="21"/>
                <w:szCs w:val="21"/>
                <w:shd w:val="clear" w:color="auto" w:fill="FFFFFF"/>
              </w:rPr>
            </w:pPr>
            <w:r w:rsidRPr="0002651A">
              <w:rPr>
                <w:rFonts w:cstheme="minorHAnsi"/>
                <w:color w:val="2F5496" w:themeColor="accent1" w:themeShade="BF"/>
                <w:sz w:val="21"/>
                <w:szCs w:val="21"/>
                <w:shd w:val="clear" w:color="auto" w:fill="FFFFFF"/>
              </w:rPr>
              <w:t xml:space="preserve">Could the Contracting Authority clarify: </w:t>
            </w:r>
          </w:p>
          <w:p w14:paraId="446D4954" w14:textId="2A3C52B6" w:rsidR="0002651A" w:rsidRDefault="0002651A" w:rsidP="0002651A">
            <w:pPr>
              <w:pStyle w:val="ListParagraph"/>
              <w:numPr>
                <w:ilvl w:val="0"/>
                <w:numId w:val="46"/>
              </w:numPr>
              <w:tabs>
                <w:tab w:val="left" w:pos="1071"/>
              </w:tabs>
              <w:spacing w:line="240" w:lineRule="auto"/>
              <w:rPr>
                <w:rFonts w:cstheme="minorHAnsi"/>
                <w:color w:val="2F5496" w:themeColor="accent1" w:themeShade="BF"/>
                <w:shd w:val="clear" w:color="auto" w:fill="FFFFFF"/>
              </w:rPr>
            </w:pPr>
            <w:r w:rsidRPr="0002651A">
              <w:rPr>
                <w:rFonts w:cstheme="minorHAnsi"/>
                <w:color w:val="2F5496" w:themeColor="accent1" w:themeShade="BF"/>
                <w:shd w:val="clear" w:color="auto" w:fill="FFFFFF"/>
              </w:rPr>
              <w:t xml:space="preserve">Whether the scope is limited to support, maintenance and deployment of the existing Android application; </w:t>
            </w:r>
          </w:p>
          <w:p w14:paraId="2C6A6C55" w14:textId="77777777" w:rsidR="0002651A" w:rsidRPr="0002651A" w:rsidRDefault="0002651A" w:rsidP="0002651A">
            <w:pPr>
              <w:pStyle w:val="ListParagraph"/>
              <w:tabs>
                <w:tab w:val="left" w:pos="1071"/>
              </w:tabs>
              <w:spacing w:line="240" w:lineRule="auto"/>
              <w:rPr>
                <w:rFonts w:cstheme="minorHAnsi"/>
                <w:color w:val="2F5496" w:themeColor="accent1" w:themeShade="BF"/>
                <w:shd w:val="clear" w:color="auto" w:fill="FFFFFF"/>
              </w:rPr>
            </w:pPr>
          </w:p>
          <w:p w14:paraId="175E303F" w14:textId="01EDA6AE" w:rsidR="0002651A" w:rsidRDefault="0002651A" w:rsidP="007234EE">
            <w:pPr>
              <w:pStyle w:val="ListParagraph"/>
              <w:numPr>
                <w:ilvl w:val="0"/>
                <w:numId w:val="46"/>
              </w:numPr>
              <w:tabs>
                <w:tab w:val="left" w:pos="1071"/>
              </w:tabs>
              <w:spacing w:line="240" w:lineRule="auto"/>
              <w:rPr>
                <w:rFonts w:cstheme="minorHAnsi"/>
                <w:color w:val="2F5496" w:themeColor="accent1" w:themeShade="BF"/>
                <w:shd w:val="clear" w:color="auto" w:fill="FFFFFF"/>
              </w:rPr>
            </w:pPr>
            <w:r w:rsidRPr="0002651A">
              <w:rPr>
                <w:rFonts w:cstheme="minorHAnsi"/>
                <w:color w:val="2F5496" w:themeColor="accent1" w:themeShade="BF"/>
                <w:shd w:val="clear" w:color="auto" w:fill="FFFFFF"/>
              </w:rPr>
              <w:t xml:space="preserve">Whether significant functional enhancements are anticipated during the framework term; </w:t>
            </w:r>
          </w:p>
          <w:p w14:paraId="09F1BF2F" w14:textId="77777777" w:rsidR="0002651A" w:rsidRPr="0002651A" w:rsidRDefault="0002651A" w:rsidP="0002651A">
            <w:pPr>
              <w:pStyle w:val="ListParagraph"/>
              <w:tabs>
                <w:tab w:val="left" w:pos="1071"/>
              </w:tabs>
              <w:spacing w:line="240" w:lineRule="auto"/>
              <w:rPr>
                <w:rFonts w:cstheme="minorHAnsi"/>
                <w:color w:val="2F5496" w:themeColor="accent1" w:themeShade="BF"/>
                <w:shd w:val="clear" w:color="auto" w:fill="FFFFFF"/>
              </w:rPr>
            </w:pPr>
          </w:p>
          <w:p w14:paraId="136D94BD" w14:textId="2156A9FF" w:rsidR="0002651A" w:rsidRPr="0002651A" w:rsidRDefault="0002651A" w:rsidP="0002651A">
            <w:pPr>
              <w:pStyle w:val="ListParagraph"/>
              <w:numPr>
                <w:ilvl w:val="0"/>
                <w:numId w:val="46"/>
              </w:numPr>
              <w:tabs>
                <w:tab w:val="left" w:pos="1071"/>
              </w:tabs>
              <w:spacing w:line="240" w:lineRule="auto"/>
              <w:rPr>
                <w:rFonts w:cstheme="minorHAnsi"/>
                <w:color w:val="2F5496" w:themeColor="accent1" w:themeShade="BF"/>
                <w:shd w:val="clear" w:color="auto" w:fill="FFFFFF"/>
              </w:rPr>
            </w:pPr>
            <w:r w:rsidRPr="0002651A">
              <w:rPr>
                <w:rFonts w:cstheme="minorHAnsi"/>
                <w:color w:val="2F5496" w:themeColor="accent1" w:themeShade="BF"/>
                <w:shd w:val="clear" w:color="auto" w:fill="FFFFFF"/>
              </w:rPr>
              <w:t xml:space="preserve">Whether there is any requirement to develop or support an iOS application; </w:t>
            </w:r>
          </w:p>
          <w:p w14:paraId="7B22ADE8" w14:textId="77777777" w:rsidR="0002651A" w:rsidRPr="0002651A" w:rsidRDefault="0002651A" w:rsidP="0002651A">
            <w:pPr>
              <w:tabs>
                <w:tab w:val="left" w:pos="1071"/>
              </w:tabs>
              <w:spacing w:line="240" w:lineRule="auto"/>
              <w:rPr>
                <w:rFonts w:cstheme="minorHAnsi"/>
                <w:color w:val="2F5496" w:themeColor="accent1" w:themeShade="BF"/>
                <w:shd w:val="clear" w:color="auto" w:fill="FFFFFF"/>
              </w:rPr>
            </w:pPr>
          </w:p>
          <w:p w14:paraId="5CF35C19" w14:textId="22098533" w:rsidR="00CC62D4" w:rsidRPr="0002651A" w:rsidRDefault="0002651A" w:rsidP="0002651A">
            <w:pPr>
              <w:pStyle w:val="ListParagraph"/>
              <w:numPr>
                <w:ilvl w:val="0"/>
                <w:numId w:val="46"/>
              </w:numPr>
              <w:tabs>
                <w:tab w:val="left" w:pos="1071"/>
              </w:tabs>
              <w:spacing w:line="240" w:lineRule="auto"/>
              <w:rPr>
                <w:rFonts w:cstheme="minorHAnsi"/>
                <w:color w:val="2F5496" w:themeColor="accent1" w:themeShade="BF"/>
                <w:sz w:val="21"/>
                <w:szCs w:val="21"/>
                <w:shd w:val="clear" w:color="auto" w:fill="FFFFFF"/>
              </w:rPr>
            </w:pPr>
            <w:r w:rsidRPr="0002651A">
              <w:rPr>
                <w:rFonts w:cstheme="minorHAnsi"/>
                <w:color w:val="2F5496" w:themeColor="accent1" w:themeShade="BF"/>
                <w:shd w:val="clear" w:color="auto" w:fill="FFFFFF"/>
              </w:rPr>
              <w:t>Approximately what proportion of the anticipated Lot 1 workload relates to mobile application activities.</w:t>
            </w:r>
          </w:p>
        </w:tc>
        <w:tc>
          <w:tcPr>
            <w:tcW w:w="4490" w:type="dxa"/>
            <w:gridSpan w:val="2"/>
          </w:tcPr>
          <w:p w14:paraId="35140DDD" w14:textId="116E120B" w:rsidR="00834C38" w:rsidRPr="00834C38" w:rsidRDefault="00834C38" w:rsidP="00834C3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834C38">
              <w:rPr>
                <w:rFonts w:ascii="Brother 1816 Light" w:eastAsia="Times New Roman" w:hAnsi="Brother 1816 Light" w:cs="Times New Roman"/>
                <w:b/>
                <w:bCs/>
                <w:color w:val="2F5496" w:themeColor="accent1" w:themeShade="BF"/>
                <w:kern w:val="2"/>
                <w:sz w:val="21"/>
                <w:szCs w:val="21"/>
                <w:shd w:val="clear" w:color="auto" w:fill="FFFFFF"/>
              </w:rPr>
              <w:t xml:space="preserve">1. </w:t>
            </w:r>
            <w:r>
              <w:rPr>
                <w:rFonts w:ascii="Brother 1816 Light" w:eastAsia="Times New Roman" w:hAnsi="Brother 1816 Light" w:cs="Times New Roman"/>
                <w:b/>
                <w:bCs/>
                <w:color w:val="2F5496" w:themeColor="accent1" w:themeShade="BF"/>
                <w:kern w:val="2"/>
                <w:sz w:val="21"/>
                <w:szCs w:val="21"/>
                <w:shd w:val="clear" w:color="auto" w:fill="FFFFFF"/>
              </w:rPr>
              <w:t xml:space="preserve">The </w:t>
            </w:r>
            <w:r w:rsidRPr="00834C38">
              <w:rPr>
                <w:rFonts w:ascii="Brother 1816 Light" w:eastAsia="Times New Roman" w:hAnsi="Brother 1816 Light" w:cs="Times New Roman"/>
                <w:b/>
                <w:bCs/>
                <w:color w:val="2F5496" w:themeColor="accent1" w:themeShade="BF"/>
                <w:kern w:val="2"/>
                <w:sz w:val="21"/>
                <w:szCs w:val="21"/>
                <w:shd w:val="clear" w:color="auto" w:fill="FFFFFF"/>
              </w:rPr>
              <w:t xml:space="preserve">Scope includes but not limited to support, maintenance and deployment of the existing Android application. It could also include enhancements </w:t>
            </w:r>
            <w:r w:rsidR="007D5ED2">
              <w:rPr>
                <w:rFonts w:ascii="Brother 1816 Light" w:eastAsia="Times New Roman" w:hAnsi="Brother 1816 Light" w:cs="Times New Roman"/>
                <w:b/>
                <w:bCs/>
                <w:color w:val="2F5496" w:themeColor="accent1" w:themeShade="BF"/>
                <w:kern w:val="2"/>
                <w:sz w:val="21"/>
                <w:szCs w:val="21"/>
                <w:shd w:val="clear" w:color="auto" w:fill="FFFFFF"/>
              </w:rPr>
              <w:t>of mobile application</w:t>
            </w:r>
            <w:r w:rsidR="00E23DEA">
              <w:rPr>
                <w:rFonts w:ascii="Brother 1816 Light" w:eastAsia="Times New Roman" w:hAnsi="Brother 1816 Light" w:cs="Times New Roman"/>
                <w:b/>
                <w:bCs/>
                <w:color w:val="2F5496" w:themeColor="accent1" w:themeShade="BF"/>
                <w:kern w:val="2"/>
                <w:sz w:val="21"/>
                <w:szCs w:val="21"/>
                <w:shd w:val="clear" w:color="auto" w:fill="FFFFFF"/>
              </w:rPr>
              <w:t>s</w:t>
            </w:r>
            <w:r w:rsidRPr="00834C38">
              <w:rPr>
                <w:rFonts w:ascii="Brother 1816 Light" w:eastAsia="Times New Roman" w:hAnsi="Brother 1816 Light" w:cs="Times New Roman"/>
                <w:b/>
                <w:bCs/>
                <w:color w:val="2F5496" w:themeColor="accent1" w:themeShade="BF"/>
                <w:kern w:val="2"/>
                <w:sz w:val="21"/>
                <w:szCs w:val="21"/>
                <w:shd w:val="clear" w:color="auto" w:fill="FFFFFF"/>
              </w:rPr>
              <w:t>.</w:t>
            </w:r>
          </w:p>
          <w:p w14:paraId="5D649DCB" w14:textId="77777777" w:rsidR="00834C38" w:rsidRPr="00834C38" w:rsidRDefault="00834C38" w:rsidP="00834C3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24918736" w14:textId="13F7BFD8" w:rsidR="00834C38" w:rsidRPr="00834C38" w:rsidRDefault="00834C38" w:rsidP="00834C3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834C38">
              <w:rPr>
                <w:rFonts w:ascii="Brother 1816 Light" w:eastAsia="Times New Roman" w:hAnsi="Brother 1816 Light" w:cs="Times New Roman"/>
                <w:b/>
                <w:bCs/>
                <w:color w:val="2F5496" w:themeColor="accent1" w:themeShade="BF"/>
                <w:kern w:val="2"/>
                <w:sz w:val="21"/>
                <w:szCs w:val="21"/>
                <w:shd w:val="clear" w:color="auto" w:fill="FFFFFF"/>
              </w:rPr>
              <w:t>2. Yes, functional enhancements are anticipated during the framework term</w:t>
            </w:r>
          </w:p>
          <w:p w14:paraId="7DFCDCFC" w14:textId="77777777" w:rsidR="00834C38" w:rsidRPr="00834C38" w:rsidRDefault="00834C38" w:rsidP="00834C3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68B69C7E" w14:textId="1D3C73D1" w:rsidR="00834C38" w:rsidRPr="00834C38" w:rsidRDefault="00834C38" w:rsidP="00834C3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834C38">
              <w:rPr>
                <w:rFonts w:ascii="Brother 1816 Light" w:eastAsia="Times New Roman" w:hAnsi="Brother 1816 Light" w:cs="Times New Roman"/>
                <w:b/>
                <w:bCs/>
                <w:color w:val="2F5496" w:themeColor="accent1" w:themeShade="BF"/>
                <w:kern w:val="2"/>
                <w:sz w:val="21"/>
                <w:szCs w:val="21"/>
                <w:shd w:val="clear" w:color="auto" w:fill="FFFFFF"/>
              </w:rPr>
              <w:t>3. This information is currently unavailable.</w:t>
            </w:r>
          </w:p>
          <w:p w14:paraId="7F211DA5" w14:textId="675D4442" w:rsidR="00CC62D4" w:rsidRPr="007F4174" w:rsidRDefault="00834C38" w:rsidP="00834C3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834C38">
              <w:rPr>
                <w:rFonts w:ascii="Brother 1816 Light" w:eastAsia="Times New Roman" w:hAnsi="Brother 1816 Light" w:cs="Times New Roman"/>
                <w:b/>
                <w:bCs/>
                <w:color w:val="2F5496" w:themeColor="accent1" w:themeShade="BF"/>
                <w:kern w:val="2"/>
                <w:sz w:val="21"/>
                <w:szCs w:val="21"/>
                <w:shd w:val="clear" w:color="auto" w:fill="FFFFFF"/>
              </w:rPr>
              <w:t>4. This information is currently unavailable.</w:t>
            </w:r>
          </w:p>
        </w:tc>
      </w:tr>
      <w:tr w:rsidR="00CC62D4" w:rsidRPr="007F4174" w14:paraId="6E969EF5" w14:textId="77777777" w:rsidTr="07BFE459">
        <w:trPr>
          <w:gridAfter w:val="1"/>
          <w:wAfter w:w="12" w:type="dxa"/>
        </w:trPr>
        <w:tc>
          <w:tcPr>
            <w:tcW w:w="553" w:type="dxa"/>
          </w:tcPr>
          <w:p w14:paraId="66CAD26E" w14:textId="0AB7F857" w:rsidR="00CC62D4" w:rsidRPr="007F4174" w:rsidRDefault="000A24BF"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9.</w:t>
            </w:r>
          </w:p>
        </w:tc>
        <w:tc>
          <w:tcPr>
            <w:tcW w:w="3818" w:type="dxa"/>
          </w:tcPr>
          <w:p w14:paraId="3C6730F1" w14:textId="405A4277" w:rsidR="001E792F" w:rsidRPr="001E792F" w:rsidRDefault="001E792F" w:rsidP="001E792F">
            <w:pPr>
              <w:spacing w:line="240" w:lineRule="auto"/>
              <w:rPr>
                <w:rFonts w:cstheme="minorHAnsi"/>
                <w:color w:val="2F5496" w:themeColor="accent1" w:themeShade="BF"/>
                <w:sz w:val="21"/>
                <w:szCs w:val="21"/>
                <w:shd w:val="clear" w:color="auto" w:fill="FFFFFF"/>
              </w:rPr>
            </w:pPr>
            <w:r w:rsidRPr="001E792F">
              <w:rPr>
                <w:rFonts w:cstheme="minorHAnsi"/>
                <w:color w:val="2F5496" w:themeColor="accent1" w:themeShade="BF"/>
                <w:sz w:val="21"/>
                <w:szCs w:val="21"/>
                <w:shd w:val="clear" w:color="auto" w:fill="FFFFFF"/>
              </w:rPr>
              <w:t xml:space="preserve">Service Levels </w:t>
            </w:r>
            <w:r>
              <w:rPr>
                <w:rFonts w:cstheme="minorHAnsi"/>
                <w:color w:val="2F5496" w:themeColor="accent1" w:themeShade="BF"/>
                <w:sz w:val="21"/>
                <w:szCs w:val="21"/>
                <w:shd w:val="clear" w:color="auto" w:fill="FFFFFF"/>
              </w:rPr>
              <w:t xml:space="preserve">- </w:t>
            </w:r>
            <w:r w:rsidRPr="001E792F">
              <w:rPr>
                <w:rFonts w:cstheme="minorHAnsi"/>
                <w:color w:val="2F5496" w:themeColor="accent1" w:themeShade="BF"/>
                <w:sz w:val="21"/>
                <w:szCs w:val="21"/>
                <w:shd w:val="clear" w:color="auto" w:fill="FFFFFF"/>
              </w:rPr>
              <w:t>To enable Tenderers to develop an appropriate support model, could the Contracting</w:t>
            </w:r>
            <w:r>
              <w:rPr>
                <w:rFonts w:cstheme="minorHAnsi"/>
                <w:color w:val="2F5496" w:themeColor="accent1" w:themeShade="BF"/>
                <w:sz w:val="21"/>
                <w:szCs w:val="21"/>
                <w:shd w:val="clear" w:color="auto" w:fill="FFFFFF"/>
              </w:rPr>
              <w:t xml:space="preserve"> </w:t>
            </w:r>
            <w:r w:rsidRPr="001E792F">
              <w:rPr>
                <w:rFonts w:cstheme="minorHAnsi"/>
                <w:color w:val="2F5496" w:themeColor="accent1" w:themeShade="BF"/>
                <w:sz w:val="21"/>
                <w:szCs w:val="21"/>
                <w:shd w:val="clear" w:color="auto" w:fill="FFFFFF"/>
              </w:rPr>
              <w:t>Authority provide</w:t>
            </w:r>
            <w:r>
              <w:rPr>
                <w:rFonts w:cstheme="minorHAnsi"/>
                <w:color w:val="2F5496" w:themeColor="accent1" w:themeShade="BF"/>
                <w:sz w:val="21"/>
                <w:szCs w:val="21"/>
                <w:shd w:val="clear" w:color="auto" w:fill="FFFFFF"/>
              </w:rPr>
              <w:t xml:space="preserve"> </w:t>
            </w:r>
            <w:r w:rsidRPr="001E792F">
              <w:rPr>
                <w:rFonts w:cstheme="minorHAnsi"/>
                <w:color w:val="2F5496" w:themeColor="accent1" w:themeShade="BF"/>
                <w:sz w:val="21"/>
                <w:szCs w:val="21"/>
                <w:shd w:val="clear" w:color="auto" w:fill="FFFFFF"/>
              </w:rPr>
              <w:t xml:space="preserve">further information regarding the operational service requirements, </w:t>
            </w:r>
          </w:p>
          <w:p w14:paraId="5DCD5209" w14:textId="77777777" w:rsidR="001E792F" w:rsidRPr="001E792F" w:rsidRDefault="001E792F" w:rsidP="001E792F">
            <w:pPr>
              <w:spacing w:line="240" w:lineRule="auto"/>
              <w:rPr>
                <w:rFonts w:cstheme="minorHAnsi"/>
                <w:color w:val="2F5496" w:themeColor="accent1" w:themeShade="BF"/>
                <w:sz w:val="21"/>
                <w:szCs w:val="21"/>
                <w:shd w:val="clear" w:color="auto" w:fill="FFFFFF"/>
              </w:rPr>
            </w:pPr>
            <w:r w:rsidRPr="001E792F">
              <w:rPr>
                <w:rFonts w:cstheme="minorHAnsi"/>
                <w:color w:val="2F5496" w:themeColor="accent1" w:themeShade="BF"/>
                <w:sz w:val="21"/>
                <w:szCs w:val="21"/>
                <w:shd w:val="clear" w:color="auto" w:fill="FFFFFF"/>
              </w:rPr>
              <w:t xml:space="preserve">including: </w:t>
            </w:r>
          </w:p>
          <w:p w14:paraId="28D0FDDC" w14:textId="77777777" w:rsidR="001E792F" w:rsidRPr="001E792F" w:rsidRDefault="001E792F" w:rsidP="001E792F">
            <w:pPr>
              <w:spacing w:line="240" w:lineRule="auto"/>
              <w:rPr>
                <w:rFonts w:cstheme="minorHAnsi"/>
                <w:color w:val="2F5496" w:themeColor="accent1" w:themeShade="BF"/>
                <w:sz w:val="21"/>
                <w:szCs w:val="21"/>
                <w:shd w:val="clear" w:color="auto" w:fill="FFFFFF"/>
              </w:rPr>
            </w:pPr>
            <w:r w:rsidRPr="001E792F">
              <w:rPr>
                <w:rFonts w:cstheme="minorHAnsi"/>
                <w:color w:val="2F5496" w:themeColor="accent1" w:themeShade="BF"/>
                <w:sz w:val="21"/>
                <w:szCs w:val="21"/>
                <w:shd w:val="clear" w:color="auto" w:fill="FFFFFF"/>
              </w:rPr>
              <w:t xml:space="preserve">● Standard support hours; </w:t>
            </w:r>
          </w:p>
          <w:p w14:paraId="74A7AB8C" w14:textId="77777777" w:rsidR="001E792F" w:rsidRPr="001E792F" w:rsidRDefault="001E792F" w:rsidP="001E792F">
            <w:pPr>
              <w:spacing w:line="240" w:lineRule="auto"/>
              <w:rPr>
                <w:rFonts w:cstheme="minorHAnsi"/>
                <w:color w:val="2F5496" w:themeColor="accent1" w:themeShade="BF"/>
                <w:sz w:val="21"/>
                <w:szCs w:val="21"/>
                <w:shd w:val="clear" w:color="auto" w:fill="FFFFFF"/>
              </w:rPr>
            </w:pPr>
            <w:r w:rsidRPr="001E792F">
              <w:rPr>
                <w:rFonts w:cstheme="minorHAnsi"/>
                <w:color w:val="2F5496" w:themeColor="accent1" w:themeShade="BF"/>
                <w:sz w:val="21"/>
                <w:szCs w:val="21"/>
                <w:shd w:val="clear" w:color="auto" w:fill="FFFFFF"/>
              </w:rPr>
              <w:t xml:space="preserve">● Whether out-of-hours or on-call support is required; </w:t>
            </w:r>
          </w:p>
          <w:p w14:paraId="5F6D16C3" w14:textId="77777777" w:rsidR="001E792F" w:rsidRPr="001E792F" w:rsidRDefault="001E792F" w:rsidP="001E792F">
            <w:pPr>
              <w:spacing w:line="240" w:lineRule="auto"/>
              <w:rPr>
                <w:rFonts w:cstheme="minorHAnsi"/>
                <w:color w:val="2F5496" w:themeColor="accent1" w:themeShade="BF"/>
                <w:sz w:val="21"/>
                <w:szCs w:val="21"/>
                <w:shd w:val="clear" w:color="auto" w:fill="FFFFFF"/>
              </w:rPr>
            </w:pPr>
            <w:r w:rsidRPr="001E792F">
              <w:rPr>
                <w:rFonts w:cstheme="minorHAnsi"/>
                <w:color w:val="2F5496" w:themeColor="accent1" w:themeShade="BF"/>
                <w:sz w:val="21"/>
                <w:szCs w:val="21"/>
                <w:shd w:val="clear" w:color="auto" w:fill="FFFFFF"/>
              </w:rPr>
              <w:t xml:space="preserve">● Target response and resolution times by incident priority; </w:t>
            </w:r>
          </w:p>
          <w:p w14:paraId="770F2F3F" w14:textId="77777777" w:rsidR="001E792F" w:rsidRPr="001E792F" w:rsidRDefault="001E792F" w:rsidP="001E792F">
            <w:pPr>
              <w:spacing w:line="240" w:lineRule="auto"/>
              <w:rPr>
                <w:rFonts w:cstheme="minorHAnsi"/>
                <w:color w:val="2F5496" w:themeColor="accent1" w:themeShade="BF"/>
                <w:sz w:val="21"/>
                <w:szCs w:val="21"/>
                <w:shd w:val="clear" w:color="auto" w:fill="FFFFFF"/>
              </w:rPr>
            </w:pPr>
            <w:r w:rsidRPr="001E792F">
              <w:rPr>
                <w:rFonts w:cstheme="minorHAnsi"/>
                <w:color w:val="2F5496" w:themeColor="accent1" w:themeShade="BF"/>
                <w:sz w:val="21"/>
                <w:szCs w:val="21"/>
                <w:shd w:val="clear" w:color="auto" w:fill="FFFFFF"/>
              </w:rPr>
              <w:t xml:space="preserve">● Service availability targets; and </w:t>
            </w:r>
          </w:p>
          <w:p w14:paraId="0DF7A9FE" w14:textId="1C94801F" w:rsidR="00CC62D4" w:rsidRPr="007F4174" w:rsidRDefault="001E792F" w:rsidP="001E792F">
            <w:pPr>
              <w:spacing w:line="240" w:lineRule="auto"/>
              <w:rPr>
                <w:rFonts w:cstheme="minorHAnsi"/>
                <w:color w:val="2F5496" w:themeColor="accent1" w:themeShade="BF"/>
                <w:sz w:val="21"/>
                <w:szCs w:val="21"/>
                <w:shd w:val="clear" w:color="auto" w:fill="FFFFFF"/>
              </w:rPr>
            </w:pPr>
            <w:r w:rsidRPr="001E792F">
              <w:rPr>
                <w:rFonts w:cstheme="minorHAnsi"/>
                <w:color w:val="2F5496" w:themeColor="accent1" w:themeShade="BF"/>
                <w:sz w:val="21"/>
                <w:szCs w:val="21"/>
                <w:shd w:val="clear" w:color="auto" w:fill="FFFFFF"/>
              </w:rPr>
              <w:t>● Historical SLA performance achieved under the current support arrangements.</w:t>
            </w:r>
          </w:p>
        </w:tc>
        <w:tc>
          <w:tcPr>
            <w:tcW w:w="4490" w:type="dxa"/>
            <w:gridSpan w:val="2"/>
          </w:tcPr>
          <w:p w14:paraId="71413B8E" w14:textId="34A43C33" w:rsidR="00CC62D4" w:rsidRPr="007F4174" w:rsidRDefault="00BD59CC"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Pr>
                <w:rFonts w:ascii="Brother 1816 Light" w:eastAsia="Times New Roman" w:hAnsi="Brother 1816 Light" w:cs="Times New Roman"/>
                <w:b/>
                <w:bCs/>
                <w:color w:val="2F5496" w:themeColor="accent1" w:themeShade="BF"/>
                <w:kern w:val="2"/>
                <w:sz w:val="21"/>
                <w:szCs w:val="21"/>
                <w:shd w:val="clear" w:color="auto" w:fill="FFFFFF"/>
              </w:rPr>
              <w:t xml:space="preserve">As per current arrangements, </w:t>
            </w:r>
            <w:r w:rsidR="000E5A98">
              <w:rPr>
                <w:rFonts w:ascii="Brother 1816 Light" w:eastAsia="Times New Roman" w:hAnsi="Brother 1816 Light" w:cs="Times New Roman"/>
                <w:b/>
                <w:bCs/>
                <w:color w:val="2F5496" w:themeColor="accent1" w:themeShade="BF"/>
                <w:kern w:val="2"/>
                <w:sz w:val="21"/>
                <w:szCs w:val="21"/>
                <w:shd w:val="clear" w:color="auto" w:fill="FFFFFF"/>
              </w:rPr>
              <w:t xml:space="preserve">there is no </w:t>
            </w:r>
            <w:r w:rsidR="009B2DBE">
              <w:rPr>
                <w:rFonts w:ascii="Brother 1816 Light" w:eastAsia="Times New Roman" w:hAnsi="Brother 1816 Light" w:cs="Times New Roman"/>
                <w:b/>
                <w:bCs/>
                <w:color w:val="2F5496" w:themeColor="accent1" w:themeShade="BF"/>
                <w:kern w:val="2"/>
                <w:sz w:val="21"/>
                <w:szCs w:val="21"/>
                <w:shd w:val="clear" w:color="auto" w:fill="FFFFFF"/>
              </w:rPr>
              <w:t xml:space="preserve">requirements for out of office support </w:t>
            </w:r>
            <w:r w:rsidR="001869D6">
              <w:rPr>
                <w:rFonts w:ascii="Brother 1816 Light" w:eastAsia="Times New Roman" w:hAnsi="Brother 1816 Light" w:cs="Times New Roman"/>
                <w:b/>
                <w:bCs/>
                <w:color w:val="2F5496" w:themeColor="accent1" w:themeShade="BF"/>
                <w:kern w:val="2"/>
                <w:sz w:val="21"/>
                <w:szCs w:val="21"/>
                <w:shd w:val="clear" w:color="auto" w:fill="FFFFFF"/>
              </w:rPr>
              <w:t>hours.</w:t>
            </w:r>
            <w:r w:rsidR="00CB54E3">
              <w:rPr>
                <w:rFonts w:ascii="Brother 1816 Light" w:eastAsia="Times New Roman" w:hAnsi="Brother 1816 Light" w:cs="Times New Roman"/>
                <w:b/>
                <w:bCs/>
                <w:color w:val="2F5496" w:themeColor="accent1" w:themeShade="BF"/>
                <w:kern w:val="2"/>
                <w:sz w:val="21"/>
                <w:szCs w:val="21"/>
                <w:shd w:val="clear" w:color="auto" w:fill="FFFFFF"/>
              </w:rPr>
              <w:t xml:space="preserve"> </w:t>
            </w:r>
            <w:r w:rsidR="00BD7974">
              <w:rPr>
                <w:rFonts w:ascii="Brother 1816 Light" w:eastAsia="Times New Roman" w:hAnsi="Brother 1816 Light" w:cs="Times New Roman"/>
                <w:b/>
                <w:bCs/>
                <w:color w:val="2F5496" w:themeColor="accent1" w:themeShade="BF"/>
                <w:kern w:val="2"/>
                <w:sz w:val="21"/>
                <w:szCs w:val="21"/>
                <w:shd w:val="clear" w:color="auto" w:fill="FFFFFF"/>
              </w:rPr>
              <w:t xml:space="preserve">Service availability targets </w:t>
            </w:r>
            <w:r w:rsidR="00AB4909">
              <w:rPr>
                <w:rFonts w:ascii="Brother 1816 Light" w:eastAsia="Times New Roman" w:hAnsi="Brother 1816 Light" w:cs="Times New Roman"/>
                <w:b/>
                <w:bCs/>
                <w:color w:val="2F5496" w:themeColor="accent1" w:themeShade="BF"/>
                <w:kern w:val="2"/>
                <w:sz w:val="21"/>
                <w:szCs w:val="21"/>
                <w:shd w:val="clear" w:color="auto" w:fill="FFFFFF"/>
              </w:rPr>
              <w:t>range</w:t>
            </w:r>
            <w:r w:rsidR="00BD7974">
              <w:rPr>
                <w:rFonts w:ascii="Brother 1816 Light" w:eastAsia="Times New Roman" w:hAnsi="Brother 1816 Light" w:cs="Times New Roman"/>
                <w:b/>
                <w:bCs/>
                <w:color w:val="2F5496" w:themeColor="accent1" w:themeShade="BF"/>
                <w:kern w:val="2"/>
                <w:sz w:val="21"/>
                <w:szCs w:val="21"/>
                <w:shd w:val="clear" w:color="auto" w:fill="FFFFFF"/>
              </w:rPr>
              <w:t xml:space="preserve"> between 90-100</w:t>
            </w:r>
            <w:r w:rsidR="00581868">
              <w:rPr>
                <w:rFonts w:ascii="Brother 1816 Light" w:eastAsia="Times New Roman" w:hAnsi="Brother 1816 Light" w:cs="Times New Roman"/>
                <w:b/>
                <w:bCs/>
                <w:color w:val="2F5496" w:themeColor="accent1" w:themeShade="BF"/>
                <w:kern w:val="2"/>
                <w:sz w:val="21"/>
                <w:szCs w:val="21"/>
                <w:shd w:val="clear" w:color="auto" w:fill="FFFFFF"/>
              </w:rPr>
              <w:t>%.</w:t>
            </w:r>
          </w:p>
        </w:tc>
      </w:tr>
      <w:tr w:rsidR="00CC62D4" w:rsidRPr="007F4174" w14:paraId="0693F69E" w14:textId="77777777" w:rsidTr="07BFE459">
        <w:trPr>
          <w:gridAfter w:val="1"/>
          <w:wAfter w:w="12" w:type="dxa"/>
        </w:trPr>
        <w:tc>
          <w:tcPr>
            <w:tcW w:w="553" w:type="dxa"/>
          </w:tcPr>
          <w:p w14:paraId="0F519157" w14:textId="0FCE4B07" w:rsidR="00CC62D4" w:rsidRPr="007F4174" w:rsidRDefault="000A24BF"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10.</w:t>
            </w:r>
          </w:p>
        </w:tc>
        <w:tc>
          <w:tcPr>
            <w:tcW w:w="3818" w:type="dxa"/>
          </w:tcPr>
          <w:p w14:paraId="73A0F01E" w14:textId="32DBF102" w:rsidR="00952AA6" w:rsidRPr="00952AA6" w:rsidRDefault="00952AA6" w:rsidP="00952AA6">
            <w:pPr>
              <w:tabs>
                <w:tab w:val="left" w:pos="1175"/>
              </w:tabs>
              <w:spacing w:line="240" w:lineRule="auto"/>
              <w:rPr>
                <w:rFonts w:cstheme="minorHAnsi"/>
                <w:color w:val="2F5496" w:themeColor="accent1" w:themeShade="BF"/>
                <w:sz w:val="21"/>
                <w:szCs w:val="21"/>
                <w:shd w:val="clear" w:color="auto" w:fill="FFFFFF"/>
              </w:rPr>
            </w:pPr>
            <w:r w:rsidRPr="00952AA6">
              <w:rPr>
                <w:rFonts w:cstheme="minorHAnsi"/>
                <w:color w:val="2F5496" w:themeColor="accent1" w:themeShade="BF"/>
                <w:sz w:val="21"/>
                <w:szCs w:val="21"/>
                <w:shd w:val="clear" w:color="auto" w:fill="FFFFFF"/>
              </w:rPr>
              <w:t xml:space="preserve">Estimated Annual Resource Requirement </w:t>
            </w:r>
          </w:p>
          <w:p w14:paraId="47416B48" w14:textId="0028AFB4" w:rsidR="00CC62D4" w:rsidRPr="007F4174" w:rsidRDefault="00952AA6" w:rsidP="00952AA6">
            <w:pPr>
              <w:tabs>
                <w:tab w:val="left" w:pos="1175"/>
              </w:tabs>
              <w:spacing w:line="240" w:lineRule="auto"/>
              <w:rPr>
                <w:rFonts w:cstheme="minorHAnsi"/>
                <w:color w:val="2F5496" w:themeColor="accent1" w:themeShade="BF"/>
                <w:sz w:val="21"/>
                <w:szCs w:val="21"/>
                <w:shd w:val="clear" w:color="auto" w:fill="FFFFFF"/>
              </w:rPr>
            </w:pPr>
            <w:r w:rsidRPr="00952AA6">
              <w:rPr>
                <w:rFonts w:cstheme="minorHAnsi"/>
                <w:color w:val="2F5496" w:themeColor="accent1" w:themeShade="BF"/>
                <w:sz w:val="21"/>
                <w:szCs w:val="21"/>
                <w:shd w:val="clear" w:color="auto" w:fill="FFFFFF"/>
              </w:rPr>
              <w:t xml:space="preserve">Could the Contracting Authority provide an indicative estimate of the anticipated annual level of effort associated with Lot </w:t>
            </w:r>
            <w:r w:rsidRPr="00952AA6">
              <w:rPr>
                <w:rFonts w:cstheme="minorHAnsi"/>
                <w:color w:val="2F5496" w:themeColor="accent1" w:themeShade="BF"/>
                <w:sz w:val="21"/>
                <w:szCs w:val="21"/>
                <w:shd w:val="clear" w:color="auto" w:fill="FFFFFF"/>
              </w:rPr>
              <w:lastRenderedPageBreak/>
              <w:t>1, expressed where possible as person-days, Full Time Equivalents (FTEs), or another recognised workload measure?</w:t>
            </w:r>
          </w:p>
        </w:tc>
        <w:tc>
          <w:tcPr>
            <w:tcW w:w="4490" w:type="dxa"/>
            <w:gridSpan w:val="2"/>
          </w:tcPr>
          <w:p w14:paraId="33BD773C" w14:textId="3A7FB347" w:rsidR="00CC62D4" w:rsidRPr="007F4174" w:rsidRDefault="001F4107" w:rsidP="008B0EC3">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1F4107">
              <w:rPr>
                <w:rFonts w:ascii="Brother 1816 Light" w:eastAsia="Times New Roman" w:hAnsi="Brother 1816 Light" w:cs="Times New Roman"/>
                <w:b/>
                <w:bCs/>
                <w:color w:val="2F5496" w:themeColor="accent1" w:themeShade="BF"/>
                <w:kern w:val="2"/>
                <w:sz w:val="21"/>
                <w:szCs w:val="21"/>
                <w:shd w:val="clear" w:color="auto" w:fill="FFFFFF"/>
              </w:rPr>
              <w:lastRenderedPageBreak/>
              <w:t>Please Refer to "Capacity Requirements" on Page 37 of the RFT document under the section "Appendix 1 - Specification of Requirements".</w:t>
            </w:r>
          </w:p>
        </w:tc>
      </w:tr>
      <w:tr w:rsidR="00CC62D4" w:rsidRPr="007F4174" w14:paraId="601037E7" w14:textId="77777777" w:rsidTr="07BFE459">
        <w:trPr>
          <w:gridAfter w:val="1"/>
          <w:wAfter w:w="12" w:type="dxa"/>
        </w:trPr>
        <w:tc>
          <w:tcPr>
            <w:tcW w:w="553" w:type="dxa"/>
          </w:tcPr>
          <w:p w14:paraId="519F56A3" w14:textId="4F198206" w:rsidR="00CC62D4" w:rsidRPr="007F4174" w:rsidRDefault="008B0EC3"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11.</w:t>
            </w:r>
          </w:p>
        </w:tc>
        <w:tc>
          <w:tcPr>
            <w:tcW w:w="3818" w:type="dxa"/>
          </w:tcPr>
          <w:p w14:paraId="68CB94C9" w14:textId="0F429C2F" w:rsidR="00CC62D4" w:rsidRPr="007F4174" w:rsidRDefault="00C5627F" w:rsidP="00C5627F">
            <w:pPr>
              <w:spacing w:line="240" w:lineRule="auto"/>
              <w:rPr>
                <w:rFonts w:cstheme="minorHAnsi"/>
                <w:color w:val="2F5496" w:themeColor="accent1" w:themeShade="BF"/>
                <w:sz w:val="21"/>
                <w:szCs w:val="21"/>
                <w:shd w:val="clear" w:color="auto" w:fill="FFFFFF"/>
              </w:rPr>
            </w:pPr>
            <w:r w:rsidRPr="00C5627F">
              <w:rPr>
                <w:rFonts w:cstheme="minorHAnsi"/>
                <w:color w:val="2F5496" w:themeColor="accent1" w:themeShade="BF"/>
                <w:sz w:val="21"/>
                <w:szCs w:val="21"/>
                <w:shd w:val="clear" w:color="auto" w:fill="FFFFFF"/>
              </w:rPr>
              <w:t>Development Environments and DevOps Tooling</w:t>
            </w:r>
            <w:r>
              <w:rPr>
                <w:rFonts w:cstheme="minorHAnsi"/>
                <w:color w:val="2F5496" w:themeColor="accent1" w:themeShade="BF"/>
                <w:sz w:val="21"/>
                <w:szCs w:val="21"/>
                <w:shd w:val="clear" w:color="auto" w:fill="FFFFFF"/>
              </w:rPr>
              <w:t xml:space="preserve"> -</w:t>
            </w:r>
            <w:r w:rsidRPr="00C5627F">
              <w:rPr>
                <w:rFonts w:cstheme="minorHAnsi"/>
                <w:color w:val="2F5496" w:themeColor="accent1" w:themeShade="BF"/>
                <w:sz w:val="21"/>
                <w:szCs w:val="21"/>
                <w:shd w:val="clear" w:color="auto" w:fill="FFFFFF"/>
              </w:rPr>
              <w:t xml:space="preserve"> Could the Contracting Authority confirm whether the successful Tenderer will be provided with access to the existing development, test, user acceptance and production environments together with the associated source control repositories, CI/CD pipelines, deployment tooling and build processes required to support the ongoing maintenance and development of the applications?</w:t>
            </w:r>
          </w:p>
        </w:tc>
        <w:tc>
          <w:tcPr>
            <w:tcW w:w="4490" w:type="dxa"/>
            <w:gridSpan w:val="2"/>
          </w:tcPr>
          <w:p w14:paraId="6517E099" w14:textId="7A4C85AC" w:rsidR="00CC62D4" w:rsidRPr="007F4174" w:rsidRDefault="00052C04"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Pr>
                <w:rFonts w:ascii="Brother 1816 Light" w:eastAsia="Times New Roman" w:hAnsi="Brother 1816 Light" w:cs="Times New Roman"/>
                <w:b/>
                <w:bCs/>
                <w:color w:val="2F5496" w:themeColor="accent1" w:themeShade="BF"/>
                <w:kern w:val="2"/>
                <w:sz w:val="21"/>
                <w:szCs w:val="21"/>
                <w:shd w:val="clear" w:color="auto" w:fill="FFFFFF"/>
              </w:rPr>
              <w:t>Yes</w:t>
            </w:r>
          </w:p>
        </w:tc>
      </w:tr>
      <w:tr w:rsidR="00CC62D4" w:rsidRPr="007F4174" w14:paraId="031A070E" w14:textId="77777777" w:rsidTr="07BFE459">
        <w:trPr>
          <w:gridAfter w:val="1"/>
          <w:wAfter w:w="12" w:type="dxa"/>
        </w:trPr>
        <w:tc>
          <w:tcPr>
            <w:tcW w:w="553" w:type="dxa"/>
          </w:tcPr>
          <w:p w14:paraId="693D8F74" w14:textId="1F61923D" w:rsidR="00CC62D4" w:rsidRPr="007F4174" w:rsidRDefault="00CA5CDF"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12.</w:t>
            </w:r>
          </w:p>
        </w:tc>
        <w:tc>
          <w:tcPr>
            <w:tcW w:w="3818" w:type="dxa"/>
          </w:tcPr>
          <w:p w14:paraId="2BF8A826" w14:textId="77777777" w:rsidR="00D06C54" w:rsidRPr="00D06C54" w:rsidRDefault="00D06C54" w:rsidP="00D06C54">
            <w:pPr>
              <w:spacing w:line="240" w:lineRule="auto"/>
              <w:rPr>
                <w:rFonts w:cstheme="minorHAnsi"/>
                <w:color w:val="2F5496" w:themeColor="accent1" w:themeShade="BF"/>
                <w:sz w:val="21"/>
                <w:szCs w:val="21"/>
                <w:shd w:val="clear" w:color="auto" w:fill="FFFFFF"/>
              </w:rPr>
            </w:pPr>
            <w:r w:rsidRPr="00D06C54">
              <w:rPr>
                <w:rFonts w:cstheme="minorHAnsi"/>
                <w:color w:val="2F5496" w:themeColor="accent1" w:themeShade="BF"/>
                <w:sz w:val="21"/>
                <w:szCs w:val="21"/>
                <w:shd w:val="clear" w:color="auto" w:fill="FFFFFF"/>
              </w:rPr>
              <w:t xml:space="preserve">Third-Party Software and Licensing </w:t>
            </w:r>
          </w:p>
          <w:p w14:paraId="1FF3BEB7" w14:textId="7B571439" w:rsidR="00D06C54" w:rsidRPr="00D06C54" w:rsidRDefault="00D06C54" w:rsidP="00D06C54">
            <w:pPr>
              <w:spacing w:line="240" w:lineRule="auto"/>
              <w:rPr>
                <w:rFonts w:cstheme="minorHAnsi"/>
                <w:color w:val="2F5496" w:themeColor="accent1" w:themeShade="BF"/>
                <w:sz w:val="21"/>
                <w:szCs w:val="21"/>
                <w:shd w:val="clear" w:color="auto" w:fill="FFFFFF"/>
              </w:rPr>
            </w:pPr>
            <w:r w:rsidRPr="00D06C54">
              <w:rPr>
                <w:rFonts w:cstheme="minorHAnsi"/>
                <w:color w:val="2F5496" w:themeColor="accent1" w:themeShade="BF"/>
                <w:sz w:val="21"/>
                <w:szCs w:val="21"/>
                <w:shd w:val="clear" w:color="auto" w:fill="FFFFFF"/>
              </w:rPr>
              <w:t xml:space="preserve">Could the Contracting Authority provide details of any third-party software products, commercial libraries, APIs or licensed components utilised by the applications within Lot 1 and confirm whether the associated licences will continue to be provided by the LGMA or </w:t>
            </w:r>
          </w:p>
          <w:p w14:paraId="79B53C9D" w14:textId="64E83DC8" w:rsidR="00CC62D4" w:rsidRPr="007F4174" w:rsidRDefault="00D06C54" w:rsidP="00D06C54">
            <w:pPr>
              <w:spacing w:line="240" w:lineRule="auto"/>
              <w:rPr>
                <w:rFonts w:cstheme="minorHAnsi"/>
                <w:color w:val="2F5496" w:themeColor="accent1" w:themeShade="BF"/>
                <w:sz w:val="21"/>
                <w:szCs w:val="21"/>
                <w:shd w:val="clear" w:color="auto" w:fill="FFFFFF"/>
              </w:rPr>
            </w:pPr>
            <w:r w:rsidRPr="00D06C54">
              <w:rPr>
                <w:rFonts w:cstheme="minorHAnsi"/>
                <w:color w:val="2F5496" w:themeColor="accent1" w:themeShade="BF"/>
                <w:sz w:val="21"/>
                <w:szCs w:val="21"/>
                <w:shd w:val="clear" w:color="auto" w:fill="FFFFFF"/>
              </w:rPr>
              <w:t>whether responsibility for any such licences will transfer to the successful Tenderer?</w:t>
            </w:r>
          </w:p>
        </w:tc>
        <w:tc>
          <w:tcPr>
            <w:tcW w:w="4490" w:type="dxa"/>
            <w:gridSpan w:val="2"/>
          </w:tcPr>
          <w:p w14:paraId="38E34D52" w14:textId="128D2A06" w:rsidR="00CC62D4" w:rsidRPr="007F4174" w:rsidRDefault="0003632C"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Pr>
                <w:rFonts w:ascii="Brother 1816 Light" w:eastAsia="Times New Roman" w:hAnsi="Brother 1816 Light" w:cs="Times New Roman"/>
                <w:b/>
                <w:bCs/>
                <w:color w:val="2F5496" w:themeColor="accent1" w:themeShade="BF"/>
                <w:kern w:val="2"/>
                <w:sz w:val="21"/>
                <w:szCs w:val="21"/>
                <w:shd w:val="clear" w:color="auto" w:fill="FFFFFF"/>
              </w:rPr>
              <w:t xml:space="preserve">As per current ongoing process, </w:t>
            </w:r>
            <w:r w:rsidR="00043C3D">
              <w:rPr>
                <w:rFonts w:ascii="Brother 1816 Light" w:eastAsia="Times New Roman" w:hAnsi="Brother 1816 Light" w:cs="Times New Roman"/>
                <w:b/>
                <w:bCs/>
                <w:color w:val="2F5496" w:themeColor="accent1" w:themeShade="BF"/>
                <w:kern w:val="2"/>
                <w:sz w:val="21"/>
                <w:szCs w:val="21"/>
                <w:shd w:val="clear" w:color="auto" w:fill="FFFFFF"/>
              </w:rPr>
              <w:t xml:space="preserve">LGMA </w:t>
            </w:r>
            <w:r w:rsidR="00F26A29">
              <w:rPr>
                <w:rFonts w:ascii="Brother 1816 Light" w:eastAsia="Times New Roman" w:hAnsi="Brother 1816 Light" w:cs="Times New Roman"/>
                <w:b/>
                <w:bCs/>
                <w:color w:val="2F5496" w:themeColor="accent1" w:themeShade="BF"/>
                <w:kern w:val="2"/>
                <w:sz w:val="21"/>
                <w:szCs w:val="21"/>
                <w:shd w:val="clear" w:color="auto" w:fill="FFFFFF"/>
              </w:rPr>
              <w:t xml:space="preserve">will </w:t>
            </w:r>
            <w:r>
              <w:rPr>
                <w:rFonts w:ascii="Brother 1816 Light" w:eastAsia="Times New Roman" w:hAnsi="Brother 1816 Light" w:cs="Times New Roman"/>
                <w:b/>
                <w:bCs/>
                <w:color w:val="2F5496" w:themeColor="accent1" w:themeShade="BF"/>
                <w:kern w:val="2"/>
                <w:sz w:val="21"/>
                <w:szCs w:val="21"/>
                <w:shd w:val="clear" w:color="auto" w:fill="FFFFFF"/>
              </w:rPr>
              <w:t>continue to take</w:t>
            </w:r>
            <w:r w:rsidR="00F26A29">
              <w:rPr>
                <w:rFonts w:ascii="Brother 1816 Light" w:eastAsia="Times New Roman" w:hAnsi="Brother 1816 Light" w:cs="Times New Roman"/>
                <w:b/>
                <w:bCs/>
                <w:color w:val="2F5496" w:themeColor="accent1" w:themeShade="BF"/>
                <w:kern w:val="2"/>
                <w:sz w:val="21"/>
                <w:szCs w:val="21"/>
                <w:shd w:val="clear" w:color="auto" w:fill="FFFFFF"/>
              </w:rPr>
              <w:t xml:space="preserve"> ownership </w:t>
            </w:r>
            <w:r>
              <w:rPr>
                <w:rFonts w:ascii="Brother 1816 Light" w:eastAsia="Times New Roman" w:hAnsi="Brother 1816 Light" w:cs="Times New Roman"/>
                <w:b/>
                <w:bCs/>
                <w:color w:val="2F5496" w:themeColor="accent1" w:themeShade="BF"/>
                <w:kern w:val="2"/>
                <w:sz w:val="21"/>
                <w:szCs w:val="21"/>
                <w:shd w:val="clear" w:color="auto" w:fill="FFFFFF"/>
              </w:rPr>
              <w:t xml:space="preserve">for </w:t>
            </w:r>
            <w:r w:rsidR="00F26A29">
              <w:rPr>
                <w:rFonts w:ascii="Brother 1816 Light" w:eastAsia="Times New Roman" w:hAnsi="Brother 1816 Light" w:cs="Times New Roman"/>
                <w:b/>
                <w:bCs/>
                <w:color w:val="2F5496" w:themeColor="accent1" w:themeShade="BF"/>
                <w:kern w:val="2"/>
                <w:sz w:val="21"/>
                <w:szCs w:val="21"/>
                <w:shd w:val="clear" w:color="auto" w:fill="FFFFFF"/>
              </w:rPr>
              <w:t xml:space="preserve">the renewal of </w:t>
            </w:r>
            <w:r w:rsidR="00043C3D">
              <w:rPr>
                <w:rFonts w:ascii="Brother 1816 Light" w:eastAsia="Times New Roman" w:hAnsi="Brother 1816 Light" w:cs="Times New Roman"/>
                <w:b/>
                <w:bCs/>
                <w:color w:val="2F5496" w:themeColor="accent1" w:themeShade="BF"/>
                <w:kern w:val="2"/>
                <w:sz w:val="21"/>
                <w:szCs w:val="21"/>
                <w:shd w:val="clear" w:color="auto" w:fill="FFFFFF"/>
              </w:rPr>
              <w:t>3</w:t>
            </w:r>
            <w:r w:rsidR="00043C3D" w:rsidRPr="00043C3D">
              <w:rPr>
                <w:rFonts w:ascii="Brother 1816 Light" w:eastAsia="Times New Roman" w:hAnsi="Brother 1816 Light" w:cs="Times New Roman"/>
                <w:b/>
                <w:bCs/>
                <w:color w:val="2F5496" w:themeColor="accent1" w:themeShade="BF"/>
                <w:kern w:val="2"/>
                <w:sz w:val="21"/>
                <w:szCs w:val="21"/>
                <w:shd w:val="clear" w:color="auto" w:fill="FFFFFF"/>
                <w:vertAlign w:val="superscript"/>
              </w:rPr>
              <w:t>rd</w:t>
            </w:r>
            <w:r w:rsidR="00043C3D">
              <w:rPr>
                <w:rFonts w:ascii="Brother 1816 Light" w:eastAsia="Times New Roman" w:hAnsi="Brother 1816 Light" w:cs="Times New Roman"/>
                <w:b/>
                <w:bCs/>
                <w:color w:val="2F5496" w:themeColor="accent1" w:themeShade="BF"/>
                <w:kern w:val="2"/>
                <w:sz w:val="21"/>
                <w:szCs w:val="21"/>
                <w:shd w:val="clear" w:color="auto" w:fill="FFFFFF"/>
              </w:rPr>
              <w:t xml:space="preserve"> party licen</w:t>
            </w:r>
            <w:r w:rsidR="00F26A29">
              <w:rPr>
                <w:rFonts w:ascii="Brother 1816 Light" w:eastAsia="Times New Roman" w:hAnsi="Brother 1816 Light" w:cs="Times New Roman"/>
                <w:b/>
                <w:bCs/>
                <w:color w:val="2F5496" w:themeColor="accent1" w:themeShade="BF"/>
                <w:kern w:val="2"/>
                <w:sz w:val="21"/>
                <w:szCs w:val="21"/>
                <w:shd w:val="clear" w:color="auto" w:fill="FFFFFF"/>
              </w:rPr>
              <w:t xml:space="preserve">ces </w:t>
            </w:r>
            <w:r w:rsidR="00BB5669">
              <w:rPr>
                <w:rFonts w:ascii="Brother 1816 Light" w:eastAsia="Times New Roman" w:hAnsi="Brother 1816 Light" w:cs="Times New Roman"/>
                <w:b/>
                <w:bCs/>
                <w:color w:val="2F5496" w:themeColor="accent1" w:themeShade="BF"/>
                <w:kern w:val="2"/>
                <w:sz w:val="21"/>
                <w:szCs w:val="21"/>
                <w:shd w:val="clear" w:color="auto" w:fill="FFFFFF"/>
              </w:rPr>
              <w:t>that are provided currently</w:t>
            </w:r>
            <w:r w:rsidR="003D6DAB">
              <w:rPr>
                <w:rFonts w:ascii="Brother 1816 Light" w:eastAsia="Times New Roman" w:hAnsi="Brother 1816 Light" w:cs="Times New Roman"/>
                <w:b/>
                <w:bCs/>
                <w:color w:val="2F5496" w:themeColor="accent1" w:themeShade="BF"/>
                <w:kern w:val="2"/>
                <w:sz w:val="21"/>
                <w:szCs w:val="21"/>
                <w:shd w:val="clear" w:color="auto" w:fill="FFFFFF"/>
              </w:rPr>
              <w:t>.</w:t>
            </w:r>
          </w:p>
        </w:tc>
      </w:tr>
      <w:tr w:rsidR="00CC62D4" w:rsidRPr="007F4174" w14:paraId="354AA33E" w14:textId="77777777" w:rsidTr="07BFE459">
        <w:trPr>
          <w:gridAfter w:val="1"/>
          <w:wAfter w:w="12" w:type="dxa"/>
        </w:trPr>
        <w:tc>
          <w:tcPr>
            <w:tcW w:w="553" w:type="dxa"/>
          </w:tcPr>
          <w:p w14:paraId="188D4369" w14:textId="6BEC2C35" w:rsidR="00CC62D4" w:rsidRPr="007F4174" w:rsidRDefault="009605AC"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13.</w:t>
            </w:r>
          </w:p>
        </w:tc>
        <w:tc>
          <w:tcPr>
            <w:tcW w:w="3818" w:type="dxa"/>
          </w:tcPr>
          <w:p w14:paraId="6ED430C7" w14:textId="5F1F6DB4" w:rsidR="00582B25" w:rsidRPr="00582B25" w:rsidRDefault="00582B25" w:rsidP="00582B25">
            <w:pPr>
              <w:spacing w:line="240" w:lineRule="auto"/>
              <w:rPr>
                <w:rFonts w:cstheme="minorHAnsi"/>
                <w:color w:val="2F5496" w:themeColor="accent1" w:themeShade="BF"/>
                <w:sz w:val="21"/>
                <w:szCs w:val="21"/>
                <w:shd w:val="clear" w:color="auto" w:fill="FFFFFF"/>
              </w:rPr>
            </w:pPr>
            <w:r w:rsidRPr="00582B25">
              <w:rPr>
                <w:rFonts w:cstheme="minorHAnsi"/>
                <w:color w:val="2F5496" w:themeColor="accent1" w:themeShade="BF"/>
                <w:sz w:val="21"/>
                <w:szCs w:val="21"/>
                <w:shd w:val="clear" w:color="auto" w:fill="FFFFFF"/>
              </w:rPr>
              <w:t xml:space="preserve">External System Integrations </w:t>
            </w:r>
            <w:r>
              <w:rPr>
                <w:rFonts w:cstheme="minorHAnsi"/>
                <w:color w:val="2F5496" w:themeColor="accent1" w:themeShade="BF"/>
                <w:sz w:val="21"/>
                <w:szCs w:val="21"/>
                <w:shd w:val="clear" w:color="auto" w:fill="FFFFFF"/>
              </w:rPr>
              <w:t xml:space="preserve">- </w:t>
            </w:r>
            <w:r w:rsidRPr="00582B25">
              <w:rPr>
                <w:rFonts w:cstheme="minorHAnsi"/>
                <w:color w:val="2F5496" w:themeColor="accent1" w:themeShade="BF"/>
                <w:sz w:val="21"/>
                <w:szCs w:val="21"/>
                <w:shd w:val="clear" w:color="auto" w:fill="FFFFFF"/>
              </w:rPr>
              <w:t xml:space="preserve">Could the Contracting Authority provide a high-level overview of the principal external </w:t>
            </w:r>
          </w:p>
          <w:p w14:paraId="7E5FC3C6" w14:textId="5D6030BC" w:rsidR="006042FC" w:rsidRPr="007F4174" w:rsidRDefault="00582B25" w:rsidP="00582B25">
            <w:pPr>
              <w:spacing w:line="240" w:lineRule="auto"/>
              <w:rPr>
                <w:rFonts w:cstheme="minorHAnsi"/>
                <w:color w:val="2F5496" w:themeColor="accent1" w:themeShade="BF"/>
                <w:sz w:val="21"/>
                <w:szCs w:val="21"/>
                <w:shd w:val="clear" w:color="auto" w:fill="FFFFFF"/>
              </w:rPr>
            </w:pPr>
            <w:r w:rsidRPr="00582B25">
              <w:rPr>
                <w:rFonts w:cstheme="minorHAnsi"/>
                <w:color w:val="2F5496" w:themeColor="accent1" w:themeShade="BF"/>
                <w:sz w:val="21"/>
                <w:szCs w:val="21"/>
                <w:shd w:val="clear" w:color="auto" w:fill="FFFFFF"/>
              </w:rPr>
              <w:t>systems and interfaces integrated with each application within Lot 1 and confirm whether interface specifications, API documentation and integration documentation will be made available to the successful Tenderer as part of the transition process?</w:t>
            </w:r>
          </w:p>
        </w:tc>
        <w:tc>
          <w:tcPr>
            <w:tcW w:w="4490" w:type="dxa"/>
            <w:gridSpan w:val="2"/>
          </w:tcPr>
          <w:p w14:paraId="3AE66F5A" w14:textId="59B98753" w:rsidR="006042FC" w:rsidRPr="00FD0241" w:rsidRDefault="00FD0241" w:rsidP="006042FC">
            <w:pPr>
              <w:tabs>
                <w:tab w:val="left" w:pos="1020"/>
              </w:tabs>
              <w:rPr>
                <w:rFonts w:ascii="Brother 1816 Light" w:eastAsia="Times New Roman" w:hAnsi="Brother 1816 Light" w:cs="Times New Roman"/>
                <w:b/>
                <w:bCs/>
                <w:color w:val="2F5496" w:themeColor="accent1" w:themeShade="BF"/>
                <w:sz w:val="21"/>
                <w:szCs w:val="21"/>
              </w:rPr>
            </w:pPr>
            <w:r w:rsidRPr="00FD0241">
              <w:rPr>
                <w:rFonts w:ascii="Brother 1816 Light" w:eastAsia="Times New Roman" w:hAnsi="Brother 1816 Light" w:cs="Times New Roman"/>
                <w:b/>
                <w:bCs/>
                <w:color w:val="2F5496" w:themeColor="accent1" w:themeShade="BF"/>
                <w:sz w:val="21"/>
                <w:szCs w:val="21"/>
              </w:rPr>
              <w:t>This will be discussed with the successful tenderer and will be managed by LGMA as part of the handover process.</w:t>
            </w:r>
          </w:p>
        </w:tc>
      </w:tr>
      <w:tr w:rsidR="00CC62D4" w:rsidRPr="007F4174" w14:paraId="57BC9F1A" w14:textId="77777777" w:rsidTr="07BFE459">
        <w:trPr>
          <w:gridAfter w:val="1"/>
          <w:wAfter w:w="12" w:type="dxa"/>
        </w:trPr>
        <w:tc>
          <w:tcPr>
            <w:tcW w:w="553" w:type="dxa"/>
          </w:tcPr>
          <w:p w14:paraId="4D582B8D" w14:textId="40A08A8B" w:rsidR="00CC62D4" w:rsidRPr="007F4174" w:rsidRDefault="006042FC"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14.</w:t>
            </w:r>
          </w:p>
        </w:tc>
        <w:tc>
          <w:tcPr>
            <w:tcW w:w="3818" w:type="dxa"/>
          </w:tcPr>
          <w:p w14:paraId="529C64AF"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Key Personnel and Resource Continuity </w:t>
            </w:r>
          </w:p>
          <w:p w14:paraId="54CF823D"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To support effective resource planning throughout the framework term, could the Contracting </w:t>
            </w:r>
          </w:p>
          <w:p w14:paraId="37C430E2" w14:textId="39E5190A"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Authority, please confirm whether there is an expectation that named Key Personnel remain </w:t>
            </w:r>
          </w:p>
          <w:p w14:paraId="7C9415F4"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assigned to the contract for a minimum period? </w:t>
            </w:r>
          </w:p>
          <w:p w14:paraId="581B3942"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If so, please clarify: </w:t>
            </w:r>
          </w:p>
          <w:p w14:paraId="2770907D"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 Whether there are any minimum continuity requirements for Key Personnel; </w:t>
            </w:r>
          </w:p>
          <w:p w14:paraId="2463DA63"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 The process for requesting approval to replace Key Personnel where changes </w:t>
            </w:r>
          </w:p>
          <w:p w14:paraId="25BDCCAD"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lastRenderedPageBreak/>
              <w:t xml:space="preserve">become necessary; </w:t>
            </w:r>
          </w:p>
          <w:p w14:paraId="7D61D1F9"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 Any notice periods or transition requirements associated with resource substitutions; </w:t>
            </w:r>
          </w:p>
          <w:p w14:paraId="2CC14873"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and </w:t>
            </w:r>
          </w:p>
          <w:p w14:paraId="0E053B86" w14:textId="77777777" w:rsidR="00314DE9" w:rsidRPr="00314DE9"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 xml:space="preserve">● Whether replacement personnel must demonstrate equivalent or higher qualifications </w:t>
            </w:r>
          </w:p>
          <w:p w14:paraId="4A8B90B2" w14:textId="79C92BB0" w:rsidR="00CC62D4" w:rsidRPr="007F4174" w:rsidRDefault="00314DE9" w:rsidP="00314DE9">
            <w:pPr>
              <w:spacing w:line="240" w:lineRule="auto"/>
              <w:rPr>
                <w:rFonts w:cstheme="minorHAnsi"/>
                <w:color w:val="2F5496" w:themeColor="accent1" w:themeShade="BF"/>
                <w:sz w:val="21"/>
                <w:szCs w:val="21"/>
                <w:shd w:val="clear" w:color="auto" w:fill="FFFFFF"/>
              </w:rPr>
            </w:pPr>
            <w:r w:rsidRPr="00314DE9">
              <w:rPr>
                <w:rFonts w:cstheme="minorHAnsi"/>
                <w:color w:val="2F5496" w:themeColor="accent1" w:themeShade="BF"/>
                <w:sz w:val="21"/>
                <w:szCs w:val="21"/>
                <w:shd w:val="clear" w:color="auto" w:fill="FFFFFF"/>
              </w:rPr>
              <w:t>and experience to those originally proposed within the Tender.</w:t>
            </w:r>
          </w:p>
        </w:tc>
        <w:tc>
          <w:tcPr>
            <w:tcW w:w="4490" w:type="dxa"/>
            <w:gridSpan w:val="2"/>
          </w:tcPr>
          <w:p w14:paraId="319A5FB5" w14:textId="77777777" w:rsidR="00314DE9" w:rsidRPr="00314DE9" w:rsidRDefault="00314DE9" w:rsidP="00314DE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314DE9">
              <w:rPr>
                <w:rFonts w:ascii="Brother 1816 Light" w:eastAsia="Times New Roman" w:hAnsi="Brother 1816 Light" w:cs="Times New Roman"/>
                <w:b/>
                <w:bCs/>
                <w:color w:val="2F5496" w:themeColor="accent1" w:themeShade="BF"/>
                <w:kern w:val="2"/>
                <w:sz w:val="21"/>
                <w:szCs w:val="21"/>
                <w:shd w:val="clear" w:color="auto" w:fill="FFFFFF"/>
              </w:rPr>
              <w:lastRenderedPageBreak/>
              <w:t>Tenderers are required to provide details of their proposed personnel under Award Criterion B.</w:t>
            </w:r>
          </w:p>
          <w:p w14:paraId="0A567F12" w14:textId="77777777" w:rsidR="00314DE9" w:rsidRPr="00314DE9" w:rsidRDefault="00314DE9" w:rsidP="00314DE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1A6BE214" w14:textId="77777777" w:rsidR="00314DE9" w:rsidRDefault="00314DE9" w:rsidP="00314DE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314DE9">
              <w:rPr>
                <w:rFonts w:ascii="Brother 1816 Light" w:eastAsia="Times New Roman" w:hAnsi="Brother 1816 Light" w:cs="Times New Roman"/>
                <w:b/>
                <w:bCs/>
                <w:color w:val="2F5496" w:themeColor="accent1" w:themeShade="BF"/>
                <w:kern w:val="2"/>
                <w:sz w:val="21"/>
                <w:szCs w:val="21"/>
                <w:shd w:val="clear" w:color="auto" w:fill="FFFFFF"/>
              </w:rPr>
              <w:t xml:space="preserve">Matters relating to personnel are governed by section 6.3 of the Framework Agreement and section 2 of Schedule A of the Call-Off Contract. </w:t>
            </w:r>
          </w:p>
          <w:p w14:paraId="4B01D6B7" w14:textId="77777777" w:rsidR="00314DE9" w:rsidRDefault="00314DE9" w:rsidP="00314DE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673AD9A6" w14:textId="37CCE88A" w:rsidR="00CC62D4" w:rsidRPr="007F4174" w:rsidRDefault="00314DE9" w:rsidP="00314DE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314DE9">
              <w:rPr>
                <w:rFonts w:ascii="Brother 1816 Light" w:eastAsia="Times New Roman" w:hAnsi="Brother 1816 Light" w:cs="Times New Roman"/>
                <w:b/>
                <w:bCs/>
                <w:color w:val="2F5496" w:themeColor="accent1" w:themeShade="BF"/>
                <w:kern w:val="2"/>
                <w:sz w:val="21"/>
                <w:szCs w:val="21"/>
                <w:shd w:val="clear" w:color="auto" w:fill="FFFFFF"/>
              </w:rPr>
              <w:t>Details of minimum terms, notice periods, transition requirements, etc. will be decided prior to signing the framework agreement or individual call-off contract, whichever is appropriate.</w:t>
            </w:r>
          </w:p>
        </w:tc>
      </w:tr>
      <w:tr w:rsidR="00CC62D4" w:rsidRPr="007F4174" w14:paraId="495CBB72" w14:textId="77777777" w:rsidTr="07BFE459">
        <w:trPr>
          <w:gridAfter w:val="1"/>
          <w:wAfter w:w="12" w:type="dxa"/>
        </w:trPr>
        <w:tc>
          <w:tcPr>
            <w:tcW w:w="553" w:type="dxa"/>
          </w:tcPr>
          <w:p w14:paraId="59D4251C" w14:textId="18303ADF" w:rsidR="00CC62D4" w:rsidRPr="007F4174" w:rsidRDefault="00661EA9"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15.</w:t>
            </w:r>
          </w:p>
        </w:tc>
        <w:tc>
          <w:tcPr>
            <w:tcW w:w="3818" w:type="dxa"/>
          </w:tcPr>
          <w:p w14:paraId="314EF8DA" w14:textId="77777777" w:rsidR="00844F66" w:rsidRP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Information Requirements for Subcontractors and </w:t>
            </w:r>
          </w:p>
          <w:p w14:paraId="3DAD8F3F" w14:textId="77777777" w:rsidR="00844F66" w:rsidRP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Relied-Upon Entities </w:t>
            </w:r>
          </w:p>
          <w:p w14:paraId="465D4BBD" w14:textId="77777777" w:rsidR="00844F66" w:rsidRP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The RFT permits Tenderers to rely on the resources of subcontractors and other entities in </w:t>
            </w:r>
          </w:p>
          <w:p w14:paraId="042F6210" w14:textId="77777777" w:rsidR="00844F66" w:rsidRP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support of their Tender. </w:t>
            </w:r>
          </w:p>
          <w:p w14:paraId="28D1AF78" w14:textId="77FE3C2D" w:rsid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Could the Contracting Authority please clarify the information and </w:t>
            </w:r>
            <w:r>
              <w:rPr>
                <w:rFonts w:cstheme="minorHAnsi"/>
                <w:color w:val="2F5496" w:themeColor="accent1" w:themeShade="BF"/>
                <w:sz w:val="21"/>
                <w:szCs w:val="21"/>
                <w:shd w:val="clear" w:color="auto" w:fill="FFFFFF"/>
              </w:rPr>
              <w:t>d</w:t>
            </w:r>
            <w:r w:rsidRPr="00844F66">
              <w:rPr>
                <w:rFonts w:cstheme="minorHAnsi"/>
                <w:color w:val="2F5496" w:themeColor="accent1" w:themeShade="BF"/>
                <w:sz w:val="21"/>
                <w:szCs w:val="21"/>
                <w:shd w:val="clear" w:color="auto" w:fill="FFFFFF"/>
              </w:rPr>
              <w:t xml:space="preserve">ocumentation that must be provided for subcontractors and/or relied-upon entities at tender stage, specifically: </w:t>
            </w:r>
          </w:p>
          <w:p w14:paraId="0DFAA312" w14:textId="77777777" w:rsidR="00844F66" w:rsidRPr="00844F66" w:rsidRDefault="00844F66" w:rsidP="00844F66">
            <w:pPr>
              <w:spacing w:line="240" w:lineRule="auto"/>
              <w:rPr>
                <w:rFonts w:cstheme="minorHAnsi"/>
                <w:color w:val="2F5496" w:themeColor="accent1" w:themeShade="BF"/>
                <w:sz w:val="21"/>
                <w:szCs w:val="21"/>
                <w:shd w:val="clear" w:color="auto" w:fill="FFFFFF"/>
              </w:rPr>
            </w:pPr>
          </w:p>
          <w:p w14:paraId="7206DB8D" w14:textId="059039A8" w:rsidR="00844F66" w:rsidRP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Whether subcontractors are required to complete any sections of the Tender Response Document independently;</w:t>
            </w:r>
          </w:p>
          <w:p w14:paraId="0C2191B5" w14:textId="77777777" w:rsidR="00844F66" w:rsidRPr="00844F66" w:rsidRDefault="00844F66" w:rsidP="00844F66">
            <w:pPr>
              <w:spacing w:line="240" w:lineRule="auto"/>
              <w:rPr>
                <w:rFonts w:cstheme="minorHAnsi"/>
                <w:color w:val="2F5496" w:themeColor="accent1" w:themeShade="BF"/>
                <w:sz w:val="21"/>
                <w:szCs w:val="21"/>
                <w:shd w:val="clear" w:color="auto" w:fill="FFFFFF"/>
              </w:rPr>
            </w:pPr>
          </w:p>
          <w:p w14:paraId="6C260FB5" w14:textId="634E69B1" w:rsid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Whether financial information (including turnover) for subcontractors should be provided or aggregated with that of the Lead Tenderer where the Lead Tenderer independently satisfies the financial capacity requirements; </w:t>
            </w:r>
          </w:p>
          <w:p w14:paraId="1E628B91" w14:textId="77777777" w:rsidR="00844F66" w:rsidRDefault="00844F66" w:rsidP="00844F66">
            <w:pPr>
              <w:spacing w:line="240" w:lineRule="auto"/>
              <w:rPr>
                <w:rFonts w:cstheme="minorHAnsi"/>
                <w:color w:val="2F5496" w:themeColor="accent1" w:themeShade="BF"/>
                <w:sz w:val="21"/>
                <w:szCs w:val="21"/>
                <w:shd w:val="clear" w:color="auto" w:fill="FFFFFF"/>
              </w:rPr>
            </w:pPr>
          </w:p>
          <w:p w14:paraId="7EDF8C5D" w14:textId="0B357F55" w:rsidR="00844F66" w:rsidRPr="00844F66"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Whether subcontractors are required to provide supporting documentation such as tax clearance, insurance details, exclusion grounds declarations or other compliance information at tender stage </w:t>
            </w:r>
          </w:p>
          <w:p w14:paraId="6118D427" w14:textId="77777777" w:rsidR="00844F66" w:rsidRPr="00844F66" w:rsidRDefault="00844F66" w:rsidP="00844F66">
            <w:pPr>
              <w:spacing w:line="240" w:lineRule="auto"/>
              <w:rPr>
                <w:rFonts w:cstheme="minorHAnsi"/>
                <w:color w:val="2F5496" w:themeColor="accent1" w:themeShade="BF"/>
                <w:sz w:val="21"/>
                <w:szCs w:val="21"/>
                <w:shd w:val="clear" w:color="auto" w:fill="FFFFFF"/>
              </w:rPr>
            </w:pPr>
          </w:p>
          <w:p w14:paraId="3AA0942A" w14:textId="4D064C11" w:rsidR="00CC62D4" w:rsidRPr="007F4174" w:rsidRDefault="00844F66" w:rsidP="00844F66">
            <w:pPr>
              <w:spacing w:line="240" w:lineRule="auto"/>
              <w:rPr>
                <w:rFonts w:cstheme="minorHAnsi"/>
                <w:color w:val="2F5496" w:themeColor="accent1" w:themeShade="BF"/>
                <w:sz w:val="21"/>
                <w:szCs w:val="21"/>
                <w:shd w:val="clear" w:color="auto" w:fill="FFFFFF"/>
              </w:rPr>
            </w:pPr>
            <w:r w:rsidRPr="00844F66">
              <w:rPr>
                <w:rFonts w:cstheme="minorHAnsi"/>
                <w:color w:val="2F5496" w:themeColor="accent1" w:themeShade="BF"/>
                <w:sz w:val="21"/>
                <w:szCs w:val="21"/>
                <w:shd w:val="clear" w:color="auto" w:fill="FFFFFF"/>
              </w:rPr>
              <w:t xml:space="preserve"> Whether the requirements differ depending on whether the subcontractor is providing specialist delivery capability only, as opposed to the Tenderer relying on that entity to satisfy the selection criteria.</w:t>
            </w:r>
          </w:p>
        </w:tc>
        <w:tc>
          <w:tcPr>
            <w:tcW w:w="4490" w:type="dxa"/>
            <w:gridSpan w:val="2"/>
          </w:tcPr>
          <w:p w14:paraId="479981D5" w14:textId="51CAE0FB" w:rsidR="000516E8" w:rsidRPr="000516E8" w:rsidRDefault="000516E8" w:rsidP="000516E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Pr>
                <w:rFonts w:ascii="Brother 1816 Light" w:eastAsia="Times New Roman" w:hAnsi="Brother 1816 Light" w:cs="Times New Roman"/>
                <w:b/>
                <w:bCs/>
                <w:color w:val="2F5496" w:themeColor="accent1" w:themeShade="BF"/>
                <w:kern w:val="2"/>
                <w:sz w:val="21"/>
                <w:szCs w:val="21"/>
                <w:shd w:val="clear" w:color="auto" w:fill="FFFFFF"/>
              </w:rPr>
              <w:t>Please refer S</w:t>
            </w:r>
            <w:r w:rsidRPr="000516E8">
              <w:rPr>
                <w:rFonts w:ascii="Brother 1816 Light" w:eastAsia="Times New Roman" w:hAnsi="Brother 1816 Light" w:cs="Times New Roman"/>
                <w:b/>
                <w:bCs/>
                <w:color w:val="2F5496" w:themeColor="accent1" w:themeShade="BF"/>
                <w:kern w:val="2"/>
                <w:sz w:val="21"/>
                <w:szCs w:val="21"/>
                <w:shd w:val="clear" w:color="auto" w:fill="FFFFFF"/>
              </w:rPr>
              <w:t>ection 4.2 of the RFT</w:t>
            </w:r>
            <w:r>
              <w:rPr>
                <w:rFonts w:ascii="Brother 1816 Light" w:eastAsia="Times New Roman" w:hAnsi="Brother 1816 Light" w:cs="Times New Roman"/>
                <w:b/>
                <w:bCs/>
                <w:color w:val="2F5496" w:themeColor="accent1" w:themeShade="BF"/>
                <w:kern w:val="2"/>
                <w:sz w:val="21"/>
                <w:szCs w:val="21"/>
                <w:shd w:val="clear" w:color="auto" w:fill="FFFFFF"/>
              </w:rPr>
              <w:t xml:space="preserve"> document. </w:t>
            </w:r>
            <w:r w:rsidRPr="000516E8">
              <w:rPr>
                <w:rFonts w:ascii="Brother 1816 Light" w:eastAsia="Times New Roman" w:hAnsi="Brother 1816 Light" w:cs="Times New Roman"/>
                <w:b/>
                <w:bCs/>
                <w:color w:val="2F5496" w:themeColor="accent1" w:themeShade="BF"/>
                <w:kern w:val="2"/>
                <w:sz w:val="21"/>
                <w:szCs w:val="21"/>
                <w:shd w:val="clear" w:color="auto" w:fill="FFFFFF"/>
              </w:rPr>
              <w:t xml:space="preserve"> Sub-contractors on whose standing the Tenderer is NOT relying to fulfil the selection criteria need</w:t>
            </w:r>
            <w:r>
              <w:rPr>
                <w:rFonts w:ascii="Brother 1816 Light" w:eastAsia="Times New Roman" w:hAnsi="Brother 1816 Light" w:cs="Times New Roman"/>
                <w:b/>
                <w:bCs/>
                <w:color w:val="2F5496" w:themeColor="accent1" w:themeShade="BF"/>
                <w:kern w:val="2"/>
                <w:sz w:val="21"/>
                <w:szCs w:val="21"/>
                <w:shd w:val="clear" w:color="auto" w:fill="FFFFFF"/>
              </w:rPr>
              <w:t xml:space="preserve"> to </w:t>
            </w:r>
            <w:r w:rsidRPr="000516E8">
              <w:rPr>
                <w:rFonts w:ascii="Brother 1816 Light" w:eastAsia="Times New Roman" w:hAnsi="Brother 1816 Light" w:cs="Times New Roman"/>
                <w:b/>
                <w:bCs/>
                <w:color w:val="2F5496" w:themeColor="accent1" w:themeShade="BF"/>
                <w:kern w:val="2"/>
                <w:sz w:val="21"/>
                <w:szCs w:val="21"/>
                <w:shd w:val="clear" w:color="auto" w:fill="FFFFFF"/>
              </w:rPr>
              <w:t>only provide the tax clearance details and the declarations regarding Personal Circumstances and Statutory Obligations.</w:t>
            </w:r>
          </w:p>
          <w:p w14:paraId="6716982D" w14:textId="77777777" w:rsidR="000516E8" w:rsidRPr="000516E8" w:rsidRDefault="000516E8" w:rsidP="000516E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3D60E5CD" w14:textId="68D8E158" w:rsidR="00CC62D4" w:rsidRPr="007F4174" w:rsidRDefault="000516E8" w:rsidP="000516E8">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0516E8">
              <w:rPr>
                <w:rFonts w:ascii="Brother 1816 Light" w:eastAsia="Times New Roman" w:hAnsi="Brother 1816 Light" w:cs="Times New Roman"/>
                <w:b/>
                <w:bCs/>
                <w:color w:val="2F5496" w:themeColor="accent1" w:themeShade="BF"/>
                <w:kern w:val="2"/>
                <w:sz w:val="21"/>
                <w:szCs w:val="21"/>
                <w:shd w:val="clear" w:color="auto" w:fill="FFFFFF"/>
              </w:rPr>
              <w:t>If the Tenderer is relying on a sub-contractor for any aspect of fulfilling the selection criteria, the relevant details must be provided by the sub-contractor in addition to the tax clearance details and declarations mentioned above.</w:t>
            </w:r>
          </w:p>
        </w:tc>
      </w:tr>
      <w:tr w:rsidR="00485A1E" w:rsidRPr="007F4174" w14:paraId="4A7C712C" w14:textId="77777777" w:rsidTr="07BFE459">
        <w:trPr>
          <w:gridAfter w:val="1"/>
          <w:wAfter w:w="12" w:type="dxa"/>
        </w:trPr>
        <w:tc>
          <w:tcPr>
            <w:tcW w:w="553" w:type="dxa"/>
          </w:tcPr>
          <w:p w14:paraId="27B1FD4E" w14:textId="03E22C4B" w:rsidR="00485A1E" w:rsidRPr="007F4174" w:rsidRDefault="00D951DE"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16.</w:t>
            </w:r>
          </w:p>
        </w:tc>
        <w:tc>
          <w:tcPr>
            <w:tcW w:w="3818" w:type="dxa"/>
          </w:tcPr>
          <w:p w14:paraId="3618C5AC" w14:textId="71D0C33E" w:rsidR="00E924F3" w:rsidRPr="00E924F3" w:rsidRDefault="00E924F3" w:rsidP="00E924F3">
            <w:pPr>
              <w:spacing w:line="240" w:lineRule="auto"/>
              <w:rPr>
                <w:color w:val="2F5496" w:themeColor="accent1" w:themeShade="BF"/>
              </w:rPr>
            </w:pPr>
            <w:r w:rsidRPr="00E924F3">
              <w:rPr>
                <w:color w:val="2F5496" w:themeColor="accent1" w:themeShade="BF"/>
              </w:rPr>
              <w:t xml:space="preserve">Commercial and Resource Requirements </w:t>
            </w:r>
            <w:r>
              <w:rPr>
                <w:color w:val="2F5496" w:themeColor="accent1" w:themeShade="BF"/>
              </w:rPr>
              <w:t>-</w:t>
            </w:r>
            <w:r w:rsidRPr="00E924F3">
              <w:rPr>
                <w:color w:val="2F5496" w:themeColor="accent1" w:themeShade="BF"/>
              </w:rPr>
              <w:t xml:space="preserve">To assist Tenderers in preparing an accurate commercial response and proposed delivery </w:t>
            </w:r>
          </w:p>
          <w:p w14:paraId="6F6435BE" w14:textId="77777777" w:rsidR="00E924F3" w:rsidRPr="00E924F3" w:rsidRDefault="00E924F3" w:rsidP="00E924F3">
            <w:pPr>
              <w:spacing w:line="240" w:lineRule="auto"/>
              <w:rPr>
                <w:color w:val="2F5496" w:themeColor="accent1" w:themeShade="BF"/>
              </w:rPr>
            </w:pPr>
            <w:r w:rsidRPr="00E924F3">
              <w:rPr>
                <w:color w:val="2F5496" w:themeColor="accent1" w:themeShade="BF"/>
              </w:rPr>
              <w:lastRenderedPageBreak/>
              <w:t xml:space="preserve">model, could the Contracting Authority please clarify the following: </w:t>
            </w:r>
          </w:p>
          <w:p w14:paraId="726EA731" w14:textId="77777777" w:rsidR="00E924F3" w:rsidRPr="00E924F3" w:rsidRDefault="00E924F3" w:rsidP="00E924F3">
            <w:pPr>
              <w:spacing w:line="240" w:lineRule="auto"/>
              <w:rPr>
                <w:color w:val="2F5496" w:themeColor="accent1" w:themeShade="BF"/>
              </w:rPr>
            </w:pPr>
          </w:p>
          <w:p w14:paraId="1A10F5AB" w14:textId="70DF2060" w:rsidR="00E924F3" w:rsidRDefault="00E924F3" w:rsidP="00E924F3">
            <w:pPr>
              <w:spacing w:line="240" w:lineRule="auto"/>
              <w:rPr>
                <w:color w:val="2F5496" w:themeColor="accent1" w:themeShade="BF"/>
              </w:rPr>
            </w:pPr>
            <w:r w:rsidRPr="00E924F3">
              <w:rPr>
                <w:color w:val="2F5496" w:themeColor="accent1" w:themeShade="BF"/>
              </w:rPr>
              <w:t>a) Blended Daily Rate -The RFT refers to a fixed blended daily rate for the provision of support and maintenance services.</w:t>
            </w:r>
          </w:p>
          <w:p w14:paraId="181A5C5D" w14:textId="77777777" w:rsidR="00497107" w:rsidRPr="00E924F3" w:rsidRDefault="00497107" w:rsidP="00E924F3">
            <w:pPr>
              <w:spacing w:line="240" w:lineRule="auto"/>
              <w:rPr>
                <w:color w:val="2F5496" w:themeColor="accent1" w:themeShade="BF"/>
              </w:rPr>
            </w:pPr>
          </w:p>
          <w:p w14:paraId="17AD6622" w14:textId="77777777" w:rsidR="00E924F3" w:rsidRPr="00E924F3" w:rsidRDefault="00E924F3" w:rsidP="00E924F3">
            <w:pPr>
              <w:spacing w:line="240" w:lineRule="auto"/>
              <w:rPr>
                <w:color w:val="2F5496" w:themeColor="accent1" w:themeShade="BF"/>
              </w:rPr>
            </w:pPr>
            <w:r w:rsidRPr="00E924F3">
              <w:rPr>
                <w:color w:val="2F5496" w:themeColor="accent1" w:themeShade="BF"/>
              </w:rPr>
              <w:t xml:space="preserve">Could the Contracting Authority confirm whether the blended daily rate is intended to apply uniformly across all resource types and levels of seniority, irrespective of the individual role or grade of the personnel providing the services? </w:t>
            </w:r>
          </w:p>
          <w:p w14:paraId="7233E4FD" w14:textId="77777777" w:rsidR="00E924F3" w:rsidRPr="00E924F3" w:rsidRDefault="00E924F3" w:rsidP="00E924F3">
            <w:pPr>
              <w:spacing w:line="240" w:lineRule="auto"/>
              <w:rPr>
                <w:color w:val="2F5496" w:themeColor="accent1" w:themeShade="BF"/>
              </w:rPr>
            </w:pPr>
          </w:p>
          <w:p w14:paraId="4BE4B86B" w14:textId="77777777" w:rsidR="00E924F3" w:rsidRPr="00E924F3" w:rsidRDefault="00E924F3" w:rsidP="00E924F3">
            <w:pPr>
              <w:spacing w:line="240" w:lineRule="auto"/>
              <w:rPr>
                <w:color w:val="2F5496" w:themeColor="accent1" w:themeShade="BF"/>
              </w:rPr>
            </w:pPr>
            <w:r w:rsidRPr="00E924F3">
              <w:rPr>
                <w:color w:val="2F5496" w:themeColor="accent1" w:themeShade="BF"/>
              </w:rPr>
              <w:t xml:space="preserve">b) Resource Submission Requirements - Could the Contracting Authority confirm the resource information required at tender stage, specifically: </w:t>
            </w:r>
          </w:p>
          <w:p w14:paraId="18D0C181" w14:textId="77777777" w:rsidR="00B2409D" w:rsidRDefault="00B2409D" w:rsidP="00E924F3">
            <w:pPr>
              <w:spacing w:line="240" w:lineRule="auto"/>
              <w:rPr>
                <w:color w:val="2F5496" w:themeColor="accent1" w:themeShade="BF"/>
              </w:rPr>
            </w:pPr>
          </w:p>
          <w:p w14:paraId="3CCA43B2" w14:textId="06A4CC24" w:rsidR="00B2409D" w:rsidRPr="00B2409D" w:rsidRDefault="00E924F3" w:rsidP="00BE419E">
            <w:pPr>
              <w:pStyle w:val="ListParagraph"/>
              <w:numPr>
                <w:ilvl w:val="0"/>
                <w:numId w:val="47"/>
              </w:numPr>
              <w:spacing w:line="240" w:lineRule="auto"/>
              <w:rPr>
                <w:color w:val="2F5496" w:themeColor="accent1" w:themeShade="BF"/>
              </w:rPr>
            </w:pPr>
            <w:r w:rsidRPr="00B2409D">
              <w:rPr>
                <w:color w:val="2F5496" w:themeColor="accent1" w:themeShade="BF"/>
              </w:rPr>
              <w:t xml:space="preserve">Whether CVs are required for all proposed resources or only for named Key Personnel; </w:t>
            </w:r>
          </w:p>
          <w:p w14:paraId="3EA293AD" w14:textId="09AEB9A1" w:rsidR="00B2409D" w:rsidRDefault="00B2409D" w:rsidP="00B2409D">
            <w:pPr>
              <w:spacing w:line="240" w:lineRule="auto"/>
              <w:ind w:firstLine="50"/>
              <w:rPr>
                <w:color w:val="2F5496" w:themeColor="accent1" w:themeShade="BF"/>
              </w:rPr>
            </w:pPr>
          </w:p>
          <w:p w14:paraId="343D8F9C" w14:textId="415A5467" w:rsidR="00E924F3" w:rsidRPr="00B2409D" w:rsidRDefault="00E924F3" w:rsidP="00B2409D">
            <w:pPr>
              <w:pStyle w:val="ListParagraph"/>
              <w:numPr>
                <w:ilvl w:val="0"/>
                <w:numId w:val="47"/>
              </w:numPr>
              <w:spacing w:line="240" w:lineRule="auto"/>
              <w:rPr>
                <w:color w:val="2F5496" w:themeColor="accent1" w:themeShade="BF"/>
              </w:rPr>
            </w:pPr>
            <w:r w:rsidRPr="00B2409D">
              <w:rPr>
                <w:color w:val="2F5496" w:themeColor="accent1" w:themeShade="BF"/>
              </w:rPr>
              <w:t xml:space="preserve">Whether individual resources may fulfil more than one proposed role within Lot 1, provided they possess the necessary skills and experience; </w:t>
            </w:r>
          </w:p>
          <w:p w14:paraId="6AEA0ABB" w14:textId="77777777" w:rsidR="00B2409D" w:rsidRDefault="00B2409D" w:rsidP="00E924F3">
            <w:pPr>
              <w:spacing w:line="240" w:lineRule="auto"/>
              <w:rPr>
                <w:color w:val="2F5496" w:themeColor="accent1" w:themeShade="BF"/>
              </w:rPr>
            </w:pPr>
          </w:p>
          <w:p w14:paraId="7D35CA22" w14:textId="49F623A2" w:rsidR="00E924F3" w:rsidRPr="00B2409D" w:rsidRDefault="00E924F3" w:rsidP="00B2409D">
            <w:pPr>
              <w:pStyle w:val="ListParagraph"/>
              <w:numPr>
                <w:ilvl w:val="0"/>
                <w:numId w:val="47"/>
              </w:numPr>
              <w:spacing w:line="240" w:lineRule="auto"/>
              <w:rPr>
                <w:color w:val="2F5496" w:themeColor="accent1" w:themeShade="BF"/>
              </w:rPr>
            </w:pPr>
            <w:r w:rsidRPr="00B2409D">
              <w:rPr>
                <w:color w:val="2F5496" w:themeColor="accent1" w:themeShade="BF"/>
              </w:rPr>
              <w:t xml:space="preserve">Whether replacement resources may be proposed following contract award where operational circumstances require, subject to the approval provisions set out within </w:t>
            </w:r>
          </w:p>
          <w:p w14:paraId="139872FD" w14:textId="77777777" w:rsidR="00E924F3" w:rsidRPr="00B2409D" w:rsidRDefault="00E924F3" w:rsidP="00B2409D">
            <w:pPr>
              <w:pStyle w:val="ListParagraph"/>
              <w:spacing w:line="240" w:lineRule="auto"/>
              <w:rPr>
                <w:color w:val="2F5496" w:themeColor="accent1" w:themeShade="BF"/>
              </w:rPr>
            </w:pPr>
            <w:r w:rsidRPr="00B2409D">
              <w:rPr>
                <w:color w:val="2F5496" w:themeColor="accent1" w:themeShade="BF"/>
              </w:rPr>
              <w:t xml:space="preserve">the Framework Agreement. </w:t>
            </w:r>
          </w:p>
          <w:p w14:paraId="5A801878" w14:textId="77777777" w:rsidR="00E924F3" w:rsidRPr="00E924F3" w:rsidRDefault="00E924F3" w:rsidP="00E924F3">
            <w:pPr>
              <w:spacing w:line="240" w:lineRule="auto"/>
              <w:rPr>
                <w:color w:val="2F5496" w:themeColor="accent1" w:themeShade="BF"/>
              </w:rPr>
            </w:pPr>
          </w:p>
          <w:p w14:paraId="724F6E9B" w14:textId="7F379526" w:rsidR="00485A1E" w:rsidRPr="007F4174" w:rsidRDefault="00E924F3" w:rsidP="00E924F3">
            <w:pPr>
              <w:spacing w:line="240" w:lineRule="auto"/>
              <w:rPr>
                <w:color w:val="2F5496" w:themeColor="accent1" w:themeShade="BF"/>
              </w:rPr>
            </w:pPr>
            <w:r w:rsidRPr="00E924F3">
              <w:rPr>
                <w:color w:val="2F5496" w:themeColor="accent1" w:themeShade="BF"/>
              </w:rPr>
              <w:t xml:space="preserve">c) Insurance Requirements -The RFT specifies minimum insurance requirements for the successful Tenderer. Could the Contracting Authority confirm whether evidence of the required insurance cover must be provided at tender submission stage or whether such evidence will only be required from the successful Tenderer </w:t>
            </w:r>
            <w:r w:rsidRPr="00E924F3">
              <w:rPr>
                <w:color w:val="2F5496" w:themeColor="accent1" w:themeShade="BF"/>
              </w:rPr>
              <w:lastRenderedPageBreak/>
              <w:t>prior to contract award or contract commencement?</w:t>
            </w:r>
          </w:p>
        </w:tc>
        <w:tc>
          <w:tcPr>
            <w:tcW w:w="4490" w:type="dxa"/>
            <w:gridSpan w:val="2"/>
          </w:tcPr>
          <w:p w14:paraId="111A65CD" w14:textId="77777777" w:rsidR="00485A1E" w:rsidRDefault="00497107" w:rsidP="00FC1AF7">
            <w:pPr>
              <w:spacing w:line="240" w:lineRule="auto"/>
              <w:jc w:val="both"/>
              <w:rPr>
                <w:b/>
                <w:bCs/>
                <w:color w:val="2F5496" w:themeColor="accent1" w:themeShade="BF"/>
              </w:rPr>
            </w:pPr>
            <w:r>
              <w:rPr>
                <w:b/>
                <w:bCs/>
                <w:color w:val="2F5496" w:themeColor="accent1" w:themeShade="BF"/>
              </w:rPr>
              <w:lastRenderedPageBreak/>
              <w:t>a). Yes</w:t>
            </w:r>
            <w:r w:rsidR="00B5023E">
              <w:rPr>
                <w:b/>
                <w:bCs/>
                <w:color w:val="2F5496" w:themeColor="accent1" w:themeShade="BF"/>
              </w:rPr>
              <w:t>,</w:t>
            </w:r>
            <w:r w:rsidR="00B5023E">
              <w:t xml:space="preserve"> </w:t>
            </w:r>
            <w:r w:rsidR="00B5023E" w:rsidRPr="00B5023E">
              <w:rPr>
                <w:b/>
                <w:bCs/>
                <w:color w:val="2F5496" w:themeColor="accent1" w:themeShade="BF"/>
              </w:rPr>
              <w:t>the blended daily rate will apply regardless of the role mix required for a particular support request, maintenance activity, change request or call-off engagement.</w:t>
            </w:r>
          </w:p>
          <w:p w14:paraId="334E2EFE" w14:textId="77777777" w:rsidR="00B2409D" w:rsidRDefault="00B2409D" w:rsidP="00FC1AF7">
            <w:pPr>
              <w:spacing w:line="240" w:lineRule="auto"/>
              <w:jc w:val="both"/>
              <w:rPr>
                <w:b/>
                <w:bCs/>
                <w:color w:val="2F5496" w:themeColor="accent1" w:themeShade="BF"/>
              </w:rPr>
            </w:pPr>
          </w:p>
          <w:p w14:paraId="3FC980B2" w14:textId="77777777" w:rsidR="00A81D43" w:rsidRDefault="00B2409D" w:rsidP="00FC1AF7">
            <w:pPr>
              <w:spacing w:line="240" w:lineRule="auto"/>
              <w:jc w:val="both"/>
              <w:rPr>
                <w:b/>
                <w:bCs/>
                <w:color w:val="2F5496" w:themeColor="accent1" w:themeShade="BF"/>
              </w:rPr>
            </w:pPr>
            <w:r>
              <w:rPr>
                <w:b/>
                <w:bCs/>
                <w:color w:val="2F5496" w:themeColor="accent1" w:themeShade="BF"/>
              </w:rPr>
              <w:t xml:space="preserve">b). </w:t>
            </w:r>
          </w:p>
          <w:p w14:paraId="30AAB94E" w14:textId="77777777" w:rsidR="00A81D43" w:rsidRDefault="00A81D43" w:rsidP="00FC1AF7">
            <w:pPr>
              <w:spacing w:line="240" w:lineRule="auto"/>
              <w:jc w:val="both"/>
              <w:rPr>
                <w:b/>
                <w:bCs/>
                <w:color w:val="2F5496" w:themeColor="accent1" w:themeShade="BF"/>
              </w:rPr>
            </w:pPr>
          </w:p>
          <w:p w14:paraId="50AFD891" w14:textId="1BA62EDF" w:rsidR="00B2409D" w:rsidRDefault="00153294" w:rsidP="00FC1AF7">
            <w:pPr>
              <w:spacing w:line="240" w:lineRule="auto"/>
              <w:jc w:val="both"/>
              <w:rPr>
                <w:b/>
                <w:bCs/>
                <w:color w:val="2F5496" w:themeColor="accent1" w:themeShade="BF"/>
              </w:rPr>
            </w:pPr>
            <w:r>
              <w:rPr>
                <w:b/>
                <w:bCs/>
                <w:color w:val="2F5496" w:themeColor="accent1" w:themeShade="BF"/>
              </w:rPr>
              <w:t xml:space="preserve">1. </w:t>
            </w:r>
            <w:r w:rsidR="00CD78C2">
              <w:rPr>
                <w:b/>
                <w:bCs/>
                <w:color w:val="2F5496" w:themeColor="accent1" w:themeShade="BF"/>
              </w:rPr>
              <w:t xml:space="preserve">Please refer </w:t>
            </w:r>
            <w:r w:rsidR="009A4803">
              <w:rPr>
                <w:b/>
                <w:bCs/>
                <w:color w:val="2F5496" w:themeColor="accent1" w:themeShade="BF"/>
              </w:rPr>
              <w:t xml:space="preserve">to </w:t>
            </w:r>
            <w:r w:rsidR="00682415">
              <w:rPr>
                <w:b/>
                <w:bCs/>
                <w:color w:val="2F5496" w:themeColor="accent1" w:themeShade="BF"/>
              </w:rPr>
              <w:t>the</w:t>
            </w:r>
            <w:r w:rsidR="00A5675F">
              <w:rPr>
                <w:b/>
                <w:bCs/>
                <w:color w:val="2F5496" w:themeColor="accent1" w:themeShade="BF"/>
              </w:rPr>
              <w:t xml:space="preserve"> TRD document </w:t>
            </w:r>
            <w:r w:rsidR="00A81D43">
              <w:rPr>
                <w:b/>
                <w:bCs/>
                <w:color w:val="2F5496" w:themeColor="accent1" w:themeShade="BF"/>
              </w:rPr>
              <w:t>under “Criterion</w:t>
            </w:r>
            <w:r w:rsidR="009A4803">
              <w:rPr>
                <w:b/>
                <w:bCs/>
                <w:color w:val="2F5496" w:themeColor="accent1" w:themeShade="BF"/>
              </w:rPr>
              <w:t xml:space="preserve"> B</w:t>
            </w:r>
            <w:r w:rsidR="00A81D43">
              <w:rPr>
                <w:b/>
                <w:bCs/>
                <w:color w:val="2F5496" w:themeColor="accent1" w:themeShade="BF"/>
              </w:rPr>
              <w:t>”</w:t>
            </w:r>
            <w:r w:rsidR="009A4803">
              <w:rPr>
                <w:b/>
                <w:bCs/>
                <w:color w:val="2F5496" w:themeColor="accent1" w:themeShade="BF"/>
              </w:rPr>
              <w:t xml:space="preserve"> </w:t>
            </w:r>
            <w:r w:rsidR="00682415">
              <w:rPr>
                <w:b/>
                <w:bCs/>
                <w:color w:val="2F5496" w:themeColor="accent1" w:themeShade="BF"/>
              </w:rPr>
              <w:t xml:space="preserve">table </w:t>
            </w:r>
            <w:r w:rsidR="00A81D43">
              <w:rPr>
                <w:b/>
                <w:bCs/>
                <w:color w:val="2F5496" w:themeColor="accent1" w:themeShade="BF"/>
              </w:rPr>
              <w:t>of the section</w:t>
            </w:r>
            <w:r w:rsidR="009A4803">
              <w:rPr>
                <w:b/>
                <w:bCs/>
                <w:color w:val="2F5496" w:themeColor="accent1" w:themeShade="BF"/>
              </w:rPr>
              <w:t xml:space="preserve"> “Response to Qualitative Award Criteria”</w:t>
            </w:r>
            <w:r w:rsidR="00682415">
              <w:rPr>
                <w:b/>
                <w:bCs/>
                <w:color w:val="2F5496" w:themeColor="accent1" w:themeShade="BF"/>
              </w:rPr>
              <w:t xml:space="preserve"> which states </w:t>
            </w:r>
            <w:r w:rsidR="00A5675F">
              <w:rPr>
                <w:b/>
                <w:bCs/>
                <w:color w:val="2F5496" w:themeColor="accent1" w:themeShade="BF"/>
              </w:rPr>
              <w:t>–</w:t>
            </w:r>
            <w:r w:rsidR="00682415">
              <w:rPr>
                <w:b/>
                <w:bCs/>
                <w:color w:val="2F5496" w:themeColor="accent1" w:themeShade="BF"/>
              </w:rPr>
              <w:t xml:space="preserve"> </w:t>
            </w:r>
            <w:r w:rsidR="00A5675F">
              <w:rPr>
                <w:b/>
                <w:bCs/>
                <w:color w:val="2F5496" w:themeColor="accent1" w:themeShade="BF"/>
              </w:rPr>
              <w:t>“</w:t>
            </w:r>
            <w:r w:rsidR="00682415" w:rsidRPr="00A81D43">
              <w:rPr>
                <w:b/>
                <w:bCs/>
                <w:color w:val="2F5496" w:themeColor="accent1" w:themeShade="BF"/>
              </w:rPr>
              <w:t>Details of the relevant skills, qualifications and experience of the individuals that are proposed to fill specific roles in the framework and support and maintenance contract</w:t>
            </w:r>
            <w:r w:rsidR="00682415" w:rsidRPr="00A81D43">
              <w:rPr>
                <w:rFonts w:eastAsiaTheme="majorEastAsia"/>
                <w:b/>
                <w:bCs/>
                <w:color w:val="2F5496" w:themeColor="accent1" w:themeShade="BF"/>
              </w:rPr>
              <w:t>. (15%, 1500 marks)</w:t>
            </w:r>
            <w:r w:rsidR="00682415">
              <w:rPr>
                <w:b/>
                <w:bCs/>
                <w:color w:val="2F5496" w:themeColor="accent1" w:themeShade="BF"/>
              </w:rPr>
              <w:t>”</w:t>
            </w:r>
            <w:r w:rsidR="00CA2328">
              <w:rPr>
                <w:b/>
                <w:bCs/>
                <w:color w:val="2F5496" w:themeColor="accent1" w:themeShade="BF"/>
              </w:rPr>
              <w:t xml:space="preserve">. </w:t>
            </w:r>
            <w:r w:rsidR="008443D0">
              <w:rPr>
                <w:b/>
                <w:bCs/>
                <w:color w:val="2F5496" w:themeColor="accent1" w:themeShade="BF"/>
              </w:rPr>
              <w:t>Accordingly,</w:t>
            </w:r>
            <w:r w:rsidR="00CA2328">
              <w:rPr>
                <w:b/>
                <w:bCs/>
                <w:color w:val="2F5496" w:themeColor="accent1" w:themeShade="BF"/>
              </w:rPr>
              <w:t xml:space="preserve"> Tendere</w:t>
            </w:r>
            <w:r w:rsidR="007966A2">
              <w:rPr>
                <w:b/>
                <w:bCs/>
                <w:color w:val="2F5496" w:themeColor="accent1" w:themeShade="BF"/>
              </w:rPr>
              <w:t xml:space="preserve">rs must fill in the details </w:t>
            </w:r>
            <w:r w:rsidR="004B6AFB">
              <w:rPr>
                <w:b/>
                <w:bCs/>
                <w:color w:val="2F5496" w:themeColor="accent1" w:themeShade="BF"/>
              </w:rPr>
              <w:t>in the table format provided on Page 26 of the document</w:t>
            </w:r>
            <w:r w:rsidR="00AB4909">
              <w:rPr>
                <w:b/>
                <w:bCs/>
                <w:color w:val="2F5496" w:themeColor="accent1" w:themeShade="BF"/>
              </w:rPr>
              <w:t>.</w:t>
            </w:r>
            <w:r w:rsidR="004B6AFB">
              <w:rPr>
                <w:b/>
                <w:bCs/>
                <w:color w:val="2F5496" w:themeColor="accent1" w:themeShade="BF"/>
              </w:rPr>
              <w:t xml:space="preserve"> </w:t>
            </w:r>
          </w:p>
          <w:p w14:paraId="6E81467E" w14:textId="77777777" w:rsidR="00A81D43" w:rsidRDefault="00A81D43" w:rsidP="00FC1AF7">
            <w:pPr>
              <w:spacing w:line="240" w:lineRule="auto"/>
              <w:jc w:val="both"/>
              <w:rPr>
                <w:b/>
                <w:bCs/>
                <w:color w:val="2F5496" w:themeColor="accent1" w:themeShade="BF"/>
              </w:rPr>
            </w:pPr>
          </w:p>
          <w:p w14:paraId="1C05420E" w14:textId="77777777" w:rsidR="00A81D43" w:rsidRDefault="00A81D43" w:rsidP="00FC1AF7">
            <w:pPr>
              <w:spacing w:line="240" w:lineRule="auto"/>
              <w:jc w:val="both"/>
              <w:rPr>
                <w:b/>
                <w:bCs/>
                <w:color w:val="2F5496" w:themeColor="accent1" w:themeShade="BF"/>
              </w:rPr>
            </w:pPr>
          </w:p>
          <w:p w14:paraId="4320C2EA" w14:textId="77777777" w:rsidR="00A81D43" w:rsidRDefault="00A81D43" w:rsidP="00FC1AF7">
            <w:pPr>
              <w:spacing w:line="240" w:lineRule="auto"/>
              <w:jc w:val="both"/>
              <w:rPr>
                <w:b/>
                <w:bCs/>
                <w:color w:val="2F5496" w:themeColor="accent1" w:themeShade="BF"/>
              </w:rPr>
            </w:pPr>
          </w:p>
          <w:p w14:paraId="66BC0740" w14:textId="77777777" w:rsidR="00A81D43" w:rsidRDefault="00A81D43" w:rsidP="00FC1AF7">
            <w:pPr>
              <w:spacing w:line="240" w:lineRule="auto"/>
              <w:jc w:val="both"/>
              <w:rPr>
                <w:b/>
                <w:bCs/>
                <w:color w:val="2F5496" w:themeColor="accent1" w:themeShade="BF"/>
              </w:rPr>
            </w:pPr>
            <w:r>
              <w:rPr>
                <w:b/>
                <w:bCs/>
                <w:color w:val="2F5496" w:themeColor="accent1" w:themeShade="BF"/>
              </w:rPr>
              <w:t>2). Yes, they can</w:t>
            </w:r>
            <w:r w:rsidR="00A67040">
              <w:rPr>
                <w:b/>
                <w:bCs/>
                <w:color w:val="2F5496" w:themeColor="accent1" w:themeShade="BF"/>
              </w:rPr>
              <w:t xml:space="preserve"> subject to fulfilment of the </w:t>
            </w:r>
            <w:r w:rsidR="00A67040" w:rsidRPr="00A67040">
              <w:rPr>
                <w:b/>
                <w:bCs/>
                <w:color w:val="2F5496" w:themeColor="accent1" w:themeShade="BF"/>
              </w:rPr>
              <w:t>necessary skills and experience required for each role</w:t>
            </w:r>
            <w:r w:rsidR="00A67040">
              <w:rPr>
                <w:b/>
                <w:bCs/>
                <w:color w:val="2F5496" w:themeColor="accent1" w:themeShade="BF"/>
              </w:rPr>
              <w:t>.</w:t>
            </w:r>
          </w:p>
          <w:p w14:paraId="7F27FDB7" w14:textId="77777777" w:rsidR="00A67040" w:rsidRDefault="00A67040" w:rsidP="00FC1AF7">
            <w:pPr>
              <w:spacing w:line="240" w:lineRule="auto"/>
              <w:jc w:val="both"/>
              <w:rPr>
                <w:b/>
                <w:bCs/>
                <w:color w:val="2F5496" w:themeColor="accent1" w:themeShade="BF"/>
              </w:rPr>
            </w:pPr>
          </w:p>
          <w:p w14:paraId="7227EA6F" w14:textId="77777777" w:rsidR="00A67040" w:rsidRDefault="00A67040" w:rsidP="00FC1AF7">
            <w:pPr>
              <w:spacing w:line="240" w:lineRule="auto"/>
              <w:jc w:val="both"/>
              <w:rPr>
                <w:b/>
                <w:bCs/>
                <w:color w:val="2F5496" w:themeColor="accent1" w:themeShade="BF"/>
              </w:rPr>
            </w:pPr>
            <w:r>
              <w:rPr>
                <w:b/>
                <w:bCs/>
                <w:color w:val="2F5496" w:themeColor="accent1" w:themeShade="BF"/>
              </w:rPr>
              <w:t>3). Yes</w:t>
            </w:r>
            <w:r w:rsidR="00675741">
              <w:rPr>
                <w:b/>
                <w:bCs/>
                <w:color w:val="2F5496" w:themeColor="accent1" w:themeShade="BF"/>
              </w:rPr>
              <w:t xml:space="preserve">, subject to fulfilment of the </w:t>
            </w:r>
            <w:r w:rsidR="00675741" w:rsidRPr="00A67040">
              <w:rPr>
                <w:b/>
                <w:bCs/>
                <w:color w:val="2F5496" w:themeColor="accent1" w:themeShade="BF"/>
              </w:rPr>
              <w:t>necessary skills and experience required for each role</w:t>
            </w:r>
            <w:r w:rsidR="00675741">
              <w:rPr>
                <w:b/>
                <w:bCs/>
                <w:color w:val="2F5496" w:themeColor="accent1" w:themeShade="BF"/>
              </w:rPr>
              <w:t>.</w:t>
            </w:r>
          </w:p>
          <w:p w14:paraId="0AAD7959" w14:textId="77777777" w:rsidR="00E007E6" w:rsidRDefault="00E007E6" w:rsidP="00FC1AF7">
            <w:pPr>
              <w:spacing w:line="240" w:lineRule="auto"/>
              <w:jc w:val="both"/>
              <w:rPr>
                <w:b/>
                <w:bCs/>
                <w:color w:val="2F5496" w:themeColor="accent1" w:themeShade="BF"/>
              </w:rPr>
            </w:pPr>
          </w:p>
          <w:p w14:paraId="29AB7B93" w14:textId="77777777" w:rsidR="005468C3" w:rsidRDefault="005468C3" w:rsidP="00E007E6">
            <w:pPr>
              <w:spacing w:line="240" w:lineRule="auto"/>
              <w:jc w:val="both"/>
              <w:rPr>
                <w:b/>
                <w:bCs/>
                <w:color w:val="2F5496" w:themeColor="accent1" w:themeShade="BF"/>
              </w:rPr>
            </w:pPr>
          </w:p>
          <w:p w14:paraId="35E32283" w14:textId="77777777" w:rsidR="005468C3" w:rsidRDefault="005468C3" w:rsidP="00E007E6">
            <w:pPr>
              <w:spacing w:line="240" w:lineRule="auto"/>
              <w:jc w:val="both"/>
              <w:rPr>
                <w:b/>
                <w:bCs/>
                <w:color w:val="2F5496" w:themeColor="accent1" w:themeShade="BF"/>
              </w:rPr>
            </w:pPr>
          </w:p>
          <w:p w14:paraId="2636E7A7" w14:textId="77777777" w:rsidR="005468C3" w:rsidRDefault="005468C3" w:rsidP="00E007E6">
            <w:pPr>
              <w:spacing w:line="240" w:lineRule="auto"/>
              <w:jc w:val="both"/>
              <w:rPr>
                <w:b/>
                <w:bCs/>
                <w:color w:val="2F5496" w:themeColor="accent1" w:themeShade="BF"/>
              </w:rPr>
            </w:pPr>
          </w:p>
          <w:p w14:paraId="751D41B2" w14:textId="77777777" w:rsidR="005468C3" w:rsidRDefault="005468C3" w:rsidP="00E007E6">
            <w:pPr>
              <w:spacing w:line="240" w:lineRule="auto"/>
              <w:jc w:val="both"/>
              <w:rPr>
                <w:b/>
                <w:bCs/>
                <w:color w:val="2F5496" w:themeColor="accent1" w:themeShade="BF"/>
              </w:rPr>
            </w:pPr>
          </w:p>
          <w:p w14:paraId="663770DC" w14:textId="77777777" w:rsidR="005468C3" w:rsidRDefault="005468C3" w:rsidP="00E007E6">
            <w:pPr>
              <w:spacing w:line="240" w:lineRule="auto"/>
              <w:jc w:val="both"/>
              <w:rPr>
                <w:b/>
                <w:bCs/>
                <w:color w:val="2F5496" w:themeColor="accent1" w:themeShade="BF"/>
              </w:rPr>
            </w:pPr>
          </w:p>
          <w:p w14:paraId="0CD1650B" w14:textId="77777777" w:rsidR="005468C3" w:rsidRDefault="005468C3" w:rsidP="00E007E6">
            <w:pPr>
              <w:spacing w:line="240" w:lineRule="auto"/>
              <w:jc w:val="both"/>
              <w:rPr>
                <w:b/>
                <w:bCs/>
                <w:color w:val="2F5496" w:themeColor="accent1" w:themeShade="BF"/>
              </w:rPr>
            </w:pPr>
          </w:p>
          <w:p w14:paraId="123724A2" w14:textId="77777777" w:rsidR="005468C3" w:rsidRDefault="005468C3" w:rsidP="00E007E6">
            <w:pPr>
              <w:spacing w:line="240" w:lineRule="auto"/>
              <w:jc w:val="both"/>
              <w:rPr>
                <w:b/>
                <w:bCs/>
                <w:color w:val="2F5496" w:themeColor="accent1" w:themeShade="BF"/>
              </w:rPr>
            </w:pPr>
          </w:p>
          <w:p w14:paraId="5618A071" w14:textId="77777777" w:rsidR="005468C3" w:rsidRDefault="005468C3" w:rsidP="00E007E6">
            <w:pPr>
              <w:spacing w:line="240" w:lineRule="auto"/>
              <w:jc w:val="both"/>
              <w:rPr>
                <w:b/>
                <w:bCs/>
                <w:color w:val="2F5496" w:themeColor="accent1" w:themeShade="BF"/>
              </w:rPr>
            </w:pPr>
          </w:p>
          <w:p w14:paraId="09C431E1" w14:textId="77777777" w:rsidR="005468C3" w:rsidRDefault="005468C3" w:rsidP="00E007E6">
            <w:pPr>
              <w:spacing w:line="240" w:lineRule="auto"/>
              <w:jc w:val="both"/>
              <w:rPr>
                <w:b/>
                <w:bCs/>
                <w:color w:val="2F5496" w:themeColor="accent1" w:themeShade="BF"/>
              </w:rPr>
            </w:pPr>
          </w:p>
          <w:p w14:paraId="0968D89A" w14:textId="09CFF3AF" w:rsidR="00E007E6" w:rsidRPr="00E007E6" w:rsidRDefault="00E007E6" w:rsidP="00E007E6">
            <w:pPr>
              <w:spacing w:line="240" w:lineRule="auto"/>
              <w:jc w:val="both"/>
              <w:rPr>
                <w:b/>
                <w:bCs/>
                <w:color w:val="2F5496" w:themeColor="accent1" w:themeShade="BF"/>
              </w:rPr>
            </w:pPr>
            <w:r>
              <w:rPr>
                <w:b/>
                <w:bCs/>
                <w:color w:val="2F5496" w:themeColor="accent1" w:themeShade="BF"/>
              </w:rPr>
              <w:t xml:space="preserve">c). </w:t>
            </w:r>
            <w:r w:rsidRPr="00E007E6">
              <w:rPr>
                <w:b/>
                <w:bCs/>
                <w:color w:val="2F5496" w:themeColor="accent1" w:themeShade="BF"/>
              </w:rPr>
              <w:t xml:space="preserve">Tenderers may self-declare their insurance details at submission stage. </w:t>
            </w:r>
          </w:p>
          <w:p w14:paraId="164A311D" w14:textId="77777777" w:rsidR="00E007E6" w:rsidRPr="00E007E6" w:rsidRDefault="00E007E6" w:rsidP="00E007E6">
            <w:pPr>
              <w:spacing w:line="240" w:lineRule="auto"/>
              <w:jc w:val="both"/>
              <w:rPr>
                <w:b/>
                <w:bCs/>
                <w:color w:val="2F5496" w:themeColor="accent1" w:themeShade="BF"/>
              </w:rPr>
            </w:pPr>
          </w:p>
          <w:p w14:paraId="374ADC9C" w14:textId="6EBCD65C" w:rsidR="00E007E6" w:rsidRPr="00E007E6" w:rsidRDefault="00E007E6" w:rsidP="00E007E6">
            <w:pPr>
              <w:spacing w:line="240" w:lineRule="auto"/>
              <w:jc w:val="both"/>
              <w:rPr>
                <w:b/>
                <w:bCs/>
                <w:color w:val="2F5496" w:themeColor="accent1" w:themeShade="BF"/>
              </w:rPr>
            </w:pPr>
            <w:r w:rsidRPr="00E007E6">
              <w:rPr>
                <w:b/>
                <w:bCs/>
                <w:color w:val="2F5496" w:themeColor="accent1" w:themeShade="BF"/>
              </w:rPr>
              <w:t>If the Tenderer is identified as the provisional winner (i.e. highest scoring on the Award Criteria) evidence supporting their self-declarations will be required - in the case of insurances that would be the letter. Note, the letter is not required at submission stage and will only be required of the provisional winner.</w:t>
            </w:r>
          </w:p>
          <w:p w14:paraId="4DFE138E" w14:textId="77777777" w:rsidR="00E007E6" w:rsidRPr="00E007E6" w:rsidRDefault="00E007E6" w:rsidP="00E007E6">
            <w:pPr>
              <w:spacing w:line="240" w:lineRule="auto"/>
              <w:jc w:val="both"/>
              <w:rPr>
                <w:b/>
                <w:bCs/>
                <w:color w:val="2F5496" w:themeColor="accent1" w:themeShade="BF"/>
              </w:rPr>
            </w:pPr>
          </w:p>
          <w:p w14:paraId="6C5315E9" w14:textId="71C75003" w:rsidR="00E007E6" w:rsidRPr="007F4174" w:rsidRDefault="00E007E6" w:rsidP="00E007E6">
            <w:pPr>
              <w:spacing w:line="240" w:lineRule="auto"/>
              <w:jc w:val="both"/>
              <w:rPr>
                <w:b/>
                <w:bCs/>
                <w:color w:val="2F5496" w:themeColor="accent1" w:themeShade="BF"/>
              </w:rPr>
            </w:pPr>
            <w:r w:rsidRPr="00E007E6">
              <w:rPr>
                <w:b/>
                <w:bCs/>
                <w:color w:val="2F5496" w:themeColor="accent1" w:themeShade="BF"/>
              </w:rPr>
              <w:t>If the Tenderer is selected as the winner (i.e. letters are issued notifying the participants that the tender is concluded and the winner selected) then the actual insurance levels must be in place before a contract is signed, which will happen after the standstill period.</w:t>
            </w:r>
          </w:p>
        </w:tc>
      </w:tr>
      <w:bookmarkEnd w:id="0"/>
    </w:tbl>
    <w:p w14:paraId="2A0D5F53" w14:textId="3DD6E053" w:rsidR="004265DD" w:rsidRPr="007F4174" w:rsidRDefault="004265DD">
      <w:pPr>
        <w:spacing w:line="240" w:lineRule="auto"/>
        <w:rPr>
          <w:rFonts w:ascii="Brother 1816 Light" w:eastAsia="Times New Roman" w:hAnsi="Brother 1816 Light" w:cs="Helvetica"/>
          <w:b/>
          <w:bCs/>
          <w:color w:val="2F5496" w:themeColor="accent1" w:themeShade="BF"/>
          <w:sz w:val="21"/>
          <w:szCs w:val="21"/>
          <w:shd w:val="clear" w:color="auto" w:fill="FFFFFF"/>
          <w:lang w:eastAsia="en-IE"/>
        </w:rPr>
      </w:pPr>
    </w:p>
    <w:sectPr w:rsidR="004265DD" w:rsidRPr="007F4174" w:rsidSect="00B46670">
      <w:head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635F" w14:textId="77777777" w:rsidR="00E81556" w:rsidRDefault="00E81556" w:rsidP="004C01E8">
      <w:pPr>
        <w:spacing w:after="0" w:line="240" w:lineRule="auto"/>
      </w:pPr>
      <w:r>
        <w:separator/>
      </w:r>
    </w:p>
  </w:endnote>
  <w:endnote w:type="continuationSeparator" w:id="0">
    <w:p w14:paraId="75D45E54" w14:textId="77777777" w:rsidR="00E81556" w:rsidRDefault="00E81556" w:rsidP="004C01E8">
      <w:pPr>
        <w:spacing w:after="0" w:line="240" w:lineRule="auto"/>
      </w:pPr>
      <w:r>
        <w:continuationSeparator/>
      </w:r>
    </w:p>
  </w:endnote>
  <w:endnote w:type="continuationNotice" w:id="1">
    <w:p w14:paraId="3040208E" w14:textId="77777777" w:rsidR="00E81556" w:rsidRDefault="00E81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ther 1816 Light">
    <w:altName w:val="Calibri"/>
    <w:panose1 w:val="00000000000000000000"/>
    <w:charset w:val="00"/>
    <w:family w:val="modern"/>
    <w:notTrueType/>
    <w:pitch w:val="variable"/>
    <w:sig w:usb0="A00000EF" w:usb1="1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ther 1816 Regular">
    <w:altName w:val="Calibri"/>
    <w:panose1 w:val="00000000000000000000"/>
    <w:charset w:val="00"/>
    <w:family w:val="modern"/>
    <w:notTrueType/>
    <w:pitch w:val="variable"/>
    <w:sig w:usb0="A00000EF" w:usb1="1000005B" w:usb2="00000000" w:usb3="00000000" w:csb0="0000009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3E10" w14:textId="77777777" w:rsidR="00E81556" w:rsidRDefault="00E81556" w:rsidP="004C01E8">
      <w:pPr>
        <w:spacing w:after="0" w:line="240" w:lineRule="auto"/>
      </w:pPr>
      <w:r>
        <w:separator/>
      </w:r>
    </w:p>
  </w:footnote>
  <w:footnote w:type="continuationSeparator" w:id="0">
    <w:p w14:paraId="4E7BDA48" w14:textId="77777777" w:rsidR="00E81556" w:rsidRDefault="00E81556" w:rsidP="004C01E8">
      <w:pPr>
        <w:spacing w:after="0" w:line="240" w:lineRule="auto"/>
      </w:pPr>
      <w:r>
        <w:continuationSeparator/>
      </w:r>
    </w:p>
  </w:footnote>
  <w:footnote w:type="continuationNotice" w:id="1">
    <w:p w14:paraId="2A84854D" w14:textId="77777777" w:rsidR="00E81556" w:rsidRDefault="00E81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FF5D" w14:textId="0097A222" w:rsidR="00BB7E24" w:rsidRDefault="00CC62D4" w:rsidP="00CC62D4">
    <w:pPr>
      <w:pStyle w:val="Header"/>
      <w:ind w:left="-284"/>
    </w:pPr>
    <w:r>
      <w:rPr>
        <w:noProof/>
      </w:rPr>
      <w:drawing>
        <wp:inline distT="0" distB="0" distL="0" distR="0" wp14:anchorId="7EAE6586" wp14:editId="0CA335B7">
          <wp:extent cx="1238885" cy="801994"/>
          <wp:effectExtent l="0" t="0" r="0" b="0"/>
          <wp:docPr id="146438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87270" name="Picture 1464387270"/>
                  <pic:cNvPicPr/>
                </pic:nvPicPr>
                <pic:blipFill>
                  <a:blip r:embed="rId1">
                    <a:extLst>
                      <a:ext uri="{28A0092B-C50C-407E-A947-70E740481C1C}">
                        <a14:useLocalDpi xmlns:a14="http://schemas.microsoft.com/office/drawing/2010/main" val="0"/>
                      </a:ext>
                    </a:extLst>
                  </a:blip>
                  <a:stretch>
                    <a:fillRect/>
                  </a:stretch>
                </pic:blipFill>
                <pic:spPr>
                  <a:xfrm>
                    <a:off x="0" y="0"/>
                    <a:ext cx="1258197" cy="814496"/>
                  </a:xfrm>
                  <a:prstGeom prst="rect">
                    <a:avLst/>
                  </a:prstGeom>
                </pic:spPr>
              </pic:pic>
            </a:graphicData>
          </a:graphic>
        </wp:inline>
      </w:drawing>
    </w:r>
  </w:p>
  <w:p w14:paraId="45A97982" w14:textId="07535D59" w:rsidR="00BB7E24" w:rsidRPr="007D71A1" w:rsidRDefault="00CC62D4" w:rsidP="007D71A1">
    <w:pPr>
      <w:pStyle w:val="Header"/>
      <w:jc w:val="center"/>
      <w:rPr>
        <w:b/>
        <w:bCs/>
        <w:color w:val="31728F"/>
        <w:sz w:val="40"/>
        <w:szCs w:val="40"/>
      </w:rPr>
    </w:pPr>
    <w:r>
      <w:rPr>
        <w:b/>
        <w:bCs/>
        <w:color w:val="31728F"/>
        <w:sz w:val="40"/>
        <w:szCs w:val="40"/>
      </w:rPr>
      <w:t>&lt;RFT/RFQ ID</w:t>
    </w:r>
    <w:r w:rsidR="00262C9F">
      <w:rPr>
        <w:b/>
        <w:bCs/>
        <w:color w:val="31728F"/>
        <w:sz w:val="40"/>
        <w:szCs w:val="40"/>
      </w:rPr>
      <w:t>-</w:t>
    </w:r>
    <w:r w:rsidR="00262C9F" w:rsidRPr="00262C9F">
      <w:rPr>
        <w:b/>
        <w:bCs/>
        <w:color w:val="31728F"/>
        <w:sz w:val="40"/>
        <w:szCs w:val="40"/>
      </w:rPr>
      <w:t>LGICT260006</w:t>
    </w:r>
    <w:r>
      <w:rPr>
        <w:b/>
        <w:bCs/>
        <w:color w:val="31728F"/>
        <w:sz w:val="40"/>
        <w:szCs w:val="40"/>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DD5"/>
    <w:multiLevelType w:val="multilevel"/>
    <w:tmpl w:val="AF04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05DDC"/>
    <w:multiLevelType w:val="hybridMultilevel"/>
    <w:tmpl w:val="2AC08F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4F6DAB"/>
    <w:multiLevelType w:val="multilevel"/>
    <w:tmpl w:val="14E05D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791E63"/>
    <w:multiLevelType w:val="multilevel"/>
    <w:tmpl w:val="E0C228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ECD0A4B"/>
    <w:multiLevelType w:val="hybridMultilevel"/>
    <w:tmpl w:val="26748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9042EF"/>
    <w:multiLevelType w:val="hybridMultilevel"/>
    <w:tmpl w:val="0A20DE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CD7D53"/>
    <w:multiLevelType w:val="hybridMultilevel"/>
    <w:tmpl w:val="BE820572"/>
    <w:lvl w:ilvl="0" w:tplc="D5164202">
      <w:start w:val="1"/>
      <w:numFmt w:val="lowerRoman"/>
      <w:lvlText w:val="%1."/>
      <w:lvlJc w:val="left"/>
      <w:pPr>
        <w:ind w:left="1080" w:hanging="720"/>
      </w:pPr>
      <w:rPr>
        <w:rFonts w:asciiTheme="minorHAnsi" w:hAnsiTheme="minorHAnsi" w:hint="default"/>
        <w:color w:val="00206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8C19EA"/>
    <w:multiLevelType w:val="hybridMultilevel"/>
    <w:tmpl w:val="84CE5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702230"/>
    <w:multiLevelType w:val="multilevel"/>
    <w:tmpl w:val="CBC498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E265F"/>
    <w:multiLevelType w:val="hybridMultilevel"/>
    <w:tmpl w:val="810C0D50"/>
    <w:lvl w:ilvl="0" w:tplc="18090001">
      <w:start w:val="1"/>
      <w:numFmt w:val="bullet"/>
      <w:lvlText w:val=""/>
      <w:lvlJc w:val="left"/>
      <w:pPr>
        <w:ind w:left="2874" w:hanging="360"/>
      </w:pPr>
      <w:rPr>
        <w:rFonts w:ascii="Symbol" w:hAnsi="Symbol" w:hint="default"/>
      </w:rPr>
    </w:lvl>
    <w:lvl w:ilvl="1" w:tplc="18090003">
      <w:start w:val="1"/>
      <w:numFmt w:val="bullet"/>
      <w:lvlText w:val="o"/>
      <w:lvlJc w:val="left"/>
      <w:pPr>
        <w:ind w:left="3594" w:hanging="360"/>
      </w:pPr>
      <w:rPr>
        <w:rFonts w:ascii="Courier New" w:hAnsi="Courier New" w:cs="Courier New" w:hint="default"/>
      </w:rPr>
    </w:lvl>
    <w:lvl w:ilvl="2" w:tplc="18090005">
      <w:start w:val="1"/>
      <w:numFmt w:val="bullet"/>
      <w:lvlText w:val=""/>
      <w:lvlJc w:val="left"/>
      <w:pPr>
        <w:ind w:left="4314" w:hanging="360"/>
      </w:pPr>
      <w:rPr>
        <w:rFonts w:ascii="Wingdings" w:hAnsi="Wingdings" w:hint="default"/>
      </w:rPr>
    </w:lvl>
    <w:lvl w:ilvl="3" w:tplc="18090001">
      <w:start w:val="1"/>
      <w:numFmt w:val="bullet"/>
      <w:lvlText w:val=""/>
      <w:lvlJc w:val="left"/>
      <w:pPr>
        <w:ind w:left="5034" w:hanging="360"/>
      </w:pPr>
      <w:rPr>
        <w:rFonts w:ascii="Symbol" w:hAnsi="Symbol" w:hint="default"/>
      </w:rPr>
    </w:lvl>
    <w:lvl w:ilvl="4" w:tplc="18090003">
      <w:start w:val="1"/>
      <w:numFmt w:val="bullet"/>
      <w:lvlText w:val="o"/>
      <w:lvlJc w:val="left"/>
      <w:pPr>
        <w:ind w:left="5754" w:hanging="360"/>
      </w:pPr>
      <w:rPr>
        <w:rFonts w:ascii="Courier New" w:hAnsi="Courier New" w:cs="Courier New" w:hint="default"/>
      </w:rPr>
    </w:lvl>
    <w:lvl w:ilvl="5" w:tplc="18090005">
      <w:start w:val="1"/>
      <w:numFmt w:val="bullet"/>
      <w:lvlText w:val=""/>
      <w:lvlJc w:val="left"/>
      <w:pPr>
        <w:ind w:left="6474" w:hanging="360"/>
      </w:pPr>
      <w:rPr>
        <w:rFonts w:ascii="Wingdings" w:hAnsi="Wingdings" w:hint="default"/>
      </w:rPr>
    </w:lvl>
    <w:lvl w:ilvl="6" w:tplc="18090001">
      <w:start w:val="1"/>
      <w:numFmt w:val="bullet"/>
      <w:lvlText w:val=""/>
      <w:lvlJc w:val="left"/>
      <w:pPr>
        <w:ind w:left="7194" w:hanging="360"/>
      </w:pPr>
      <w:rPr>
        <w:rFonts w:ascii="Symbol" w:hAnsi="Symbol" w:hint="default"/>
      </w:rPr>
    </w:lvl>
    <w:lvl w:ilvl="7" w:tplc="18090003">
      <w:start w:val="1"/>
      <w:numFmt w:val="bullet"/>
      <w:lvlText w:val="o"/>
      <w:lvlJc w:val="left"/>
      <w:pPr>
        <w:ind w:left="7914" w:hanging="360"/>
      </w:pPr>
      <w:rPr>
        <w:rFonts w:ascii="Courier New" w:hAnsi="Courier New" w:cs="Courier New" w:hint="default"/>
      </w:rPr>
    </w:lvl>
    <w:lvl w:ilvl="8" w:tplc="18090005">
      <w:start w:val="1"/>
      <w:numFmt w:val="bullet"/>
      <w:lvlText w:val=""/>
      <w:lvlJc w:val="left"/>
      <w:pPr>
        <w:ind w:left="8634" w:hanging="360"/>
      </w:pPr>
      <w:rPr>
        <w:rFonts w:ascii="Wingdings" w:hAnsi="Wingdings" w:hint="default"/>
      </w:rPr>
    </w:lvl>
  </w:abstractNum>
  <w:abstractNum w:abstractNumId="10" w15:restartNumberingAfterBreak="0">
    <w:nsid w:val="1DF211CD"/>
    <w:multiLevelType w:val="hybridMultilevel"/>
    <w:tmpl w:val="6C1E1858"/>
    <w:lvl w:ilvl="0" w:tplc="1809000F">
      <w:start w:val="1"/>
      <w:numFmt w:val="decimal"/>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C93204"/>
    <w:multiLevelType w:val="hybridMultilevel"/>
    <w:tmpl w:val="EC668D9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0E4036F"/>
    <w:multiLevelType w:val="hybridMultilevel"/>
    <w:tmpl w:val="CD3E5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D059CA"/>
    <w:multiLevelType w:val="hybridMultilevel"/>
    <w:tmpl w:val="09381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8C41F8"/>
    <w:multiLevelType w:val="hybridMultilevel"/>
    <w:tmpl w:val="EE1C65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AD0ECF"/>
    <w:multiLevelType w:val="hybridMultilevel"/>
    <w:tmpl w:val="13D88E36"/>
    <w:lvl w:ilvl="0" w:tplc="7BC6010A">
      <w:start w:val="1"/>
      <w:numFmt w:val="upperRoman"/>
      <w:lvlText w:val="%1."/>
      <w:lvlJc w:val="left"/>
      <w:pPr>
        <w:ind w:left="1080" w:hanging="720"/>
      </w:pPr>
      <w:rPr>
        <w:rFonts w:asciiTheme="minorHAnsi" w:hAnsiTheme="minorHAnsi" w:hint="default"/>
        <w:color w:val="00206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4B1BF3"/>
    <w:multiLevelType w:val="hybridMultilevel"/>
    <w:tmpl w:val="6BC02800"/>
    <w:lvl w:ilvl="0" w:tplc="699C1936">
      <w:start w:val="1"/>
      <w:numFmt w:val="decimal"/>
      <w:lvlText w:val="%1."/>
      <w:lvlJc w:val="left"/>
      <w:pPr>
        <w:ind w:left="765" w:hanging="360"/>
      </w:pPr>
      <w:rPr>
        <w:rFonts w:hint="default"/>
      </w:r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7" w15:restartNumberingAfterBreak="0">
    <w:nsid w:val="2EDA269B"/>
    <w:multiLevelType w:val="hybridMultilevel"/>
    <w:tmpl w:val="922E5C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8528AB"/>
    <w:multiLevelType w:val="hybridMultilevel"/>
    <w:tmpl w:val="E74E6118"/>
    <w:lvl w:ilvl="0" w:tplc="3E383E9A">
      <w:numFmt w:val="bullet"/>
      <w:lvlText w:val=""/>
      <w:lvlJc w:val="left"/>
      <w:pPr>
        <w:ind w:left="720" w:hanging="360"/>
      </w:pPr>
      <w:rPr>
        <w:rFonts w:ascii="Brother 1816 Light" w:eastAsia="Times New Roman" w:hAnsi="Brother 1816 Light"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0B024A"/>
    <w:multiLevelType w:val="multilevel"/>
    <w:tmpl w:val="0EC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948E0"/>
    <w:multiLevelType w:val="hybridMultilevel"/>
    <w:tmpl w:val="F8BE5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D105502"/>
    <w:multiLevelType w:val="hybridMultilevel"/>
    <w:tmpl w:val="08C6D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D2F7327"/>
    <w:multiLevelType w:val="multilevel"/>
    <w:tmpl w:val="A5588FE4"/>
    <w:lvl w:ilvl="0">
      <w:start w:val="1"/>
      <w:numFmt w:val="bullet"/>
      <w:lvlText w:val=""/>
      <w:lvlJc w:val="left"/>
      <w:pPr>
        <w:tabs>
          <w:tab w:val="num" w:pos="720"/>
        </w:tabs>
        <w:ind w:left="720" w:hanging="360"/>
      </w:pPr>
      <w:rPr>
        <w:rFonts w:ascii="Symbol" w:hAnsi="Symbol" w:hint="default"/>
        <w:color w:val="3FBEB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56BFB"/>
    <w:multiLevelType w:val="hybridMultilevel"/>
    <w:tmpl w:val="97FE5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F65561"/>
    <w:multiLevelType w:val="hybridMultilevel"/>
    <w:tmpl w:val="A5A64BE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FB3218"/>
    <w:multiLevelType w:val="multilevel"/>
    <w:tmpl w:val="EFE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25509"/>
    <w:multiLevelType w:val="hybridMultilevel"/>
    <w:tmpl w:val="6BEE2568"/>
    <w:lvl w:ilvl="0" w:tplc="BD88836C">
      <w:start w:val="1"/>
      <w:numFmt w:val="decimal"/>
      <w:lvlText w:val="%1."/>
      <w:lvlJc w:val="left"/>
      <w:pPr>
        <w:ind w:left="720" w:hanging="360"/>
      </w:pPr>
      <w:rPr>
        <w:rFonts w:ascii="Brother 1816 Light" w:eastAsia="Times New Roman" w:hAnsi="Brother 1816 Light"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6087019"/>
    <w:multiLevelType w:val="multilevel"/>
    <w:tmpl w:val="8670D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53F31"/>
    <w:multiLevelType w:val="hybridMultilevel"/>
    <w:tmpl w:val="11A097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BF654B3"/>
    <w:multiLevelType w:val="hybridMultilevel"/>
    <w:tmpl w:val="F1A26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5E36F6"/>
    <w:multiLevelType w:val="hybridMultilevel"/>
    <w:tmpl w:val="47D64C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1062C8C"/>
    <w:multiLevelType w:val="hybridMultilevel"/>
    <w:tmpl w:val="52C242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5E74811"/>
    <w:multiLevelType w:val="hybridMultilevel"/>
    <w:tmpl w:val="15CE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A595B98"/>
    <w:multiLevelType w:val="hybridMultilevel"/>
    <w:tmpl w:val="5834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C155A50"/>
    <w:multiLevelType w:val="hybridMultilevel"/>
    <w:tmpl w:val="F59AA280"/>
    <w:lvl w:ilvl="0" w:tplc="72464128">
      <w:start w:val="1"/>
      <w:numFmt w:val="upperRoman"/>
      <w:lvlText w:val="%1."/>
      <w:lvlJc w:val="left"/>
      <w:pPr>
        <w:ind w:left="1080" w:hanging="720"/>
      </w:pPr>
      <w:rPr>
        <w:rFonts w:asciiTheme="minorHAnsi" w:hAnsiTheme="minorHAnsi" w:hint="default"/>
        <w:color w:val="00206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0653D8"/>
    <w:multiLevelType w:val="hybridMultilevel"/>
    <w:tmpl w:val="96C0D7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535673"/>
    <w:multiLevelType w:val="hybridMultilevel"/>
    <w:tmpl w:val="744C0F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7F56FF6"/>
    <w:multiLevelType w:val="hybridMultilevel"/>
    <w:tmpl w:val="D3D887F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C64D5A"/>
    <w:multiLevelType w:val="multilevel"/>
    <w:tmpl w:val="CBC498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44B06"/>
    <w:multiLevelType w:val="multilevel"/>
    <w:tmpl w:val="C1AC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B66B18"/>
    <w:multiLevelType w:val="hybridMultilevel"/>
    <w:tmpl w:val="874AB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3A769D"/>
    <w:multiLevelType w:val="multilevel"/>
    <w:tmpl w:val="80E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834768"/>
    <w:multiLevelType w:val="hybridMultilevel"/>
    <w:tmpl w:val="91C853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66D7BB4"/>
    <w:multiLevelType w:val="multilevel"/>
    <w:tmpl w:val="F5EE3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A6B2805"/>
    <w:multiLevelType w:val="multilevel"/>
    <w:tmpl w:val="21A65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886665"/>
    <w:multiLevelType w:val="hybridMultilevel"/>
    <w:tmpl w:val="15C45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54658389">
    <w:abstractNumId w:val="39"/>
  </w:num>
  <w:num w:numId="2" w16cid:durableId="1639795875">
    <w:abstractNumId w:val="21"/>
  </w:num>
  <w:num w:numId="3" w16cid:durableId="490561304">
    <w:abstractNumId w:val="20"/>
  </w:num>
  <w:num w:numId="4" w16cid:durableId="2031367125">
    <w:abstractNumId w:val="4"/>
  </w:num>
  <w:num w:numId="5" w16cid:durableId="1791053695">
    <w:abstractNumId w:val="5"/>
  </w:num>
  <w:num w:numId="6" w16cid:durableId="1909146830">
    <w:abstractNumId w:val="17"/>
  </w:num>
  <w:num w:numId="7" w16cid:durableId="2001614132">
    <w:abstractNumId w:val="23"/>
  </w:num>
  <w:num w:numId="8" w16cid:durableId="607392142">
    <w:abstractNumId w:val="41"/>
  </w:num>
  <w:num w:numId="9" w16cid:durableId="1636983932">
    <w:abstractNumId w:val="45"/>
  </w:num>
  <w:num w:numId="10" w16cid:durableId="1154374269">
    <w:abstractNumId w:val="29"/>
  </w:num>
  <w:num w:numId="11" w16cid:durableId="1574437702">
    <w:abstractNumId w:val="13"/>
  </w:num>
  <w:num w:numId="12" w16cid:durableId="224993126">
    <w:abstractNumId w:val="7"/>
  </w:num>
  <w:num w:numId="13" w16cid:durableId="782966298">
    <w:abstractNumId w:val="25"/>
  </w:num>
  <w:num w:numId="14" w16cid:durableId="414862273">
    <w:abstractNumId w:val="0"/>
  </w:num>
  <w:num w:numId="15" w16cid:durableId="804273431">
    <w:abstractNumId w:val="2"/>
  </w:num>
  <w:num w:numId="16" w16cid:durableId="1466965591">
    <w:abstractNumId w:val="44"/>
  </w:num>
  <w:num w:numId="17" w16cid:durableId="700132315">
    <w:abstractNumId w:val="28"/>
  </w:num>
  <w:num w:numId="18" w16cid:durableId="922107492">
    <w:abstractNumId w:val="33"/>
  </w:num>
  <w:num w:numId="19" w16cid:durableId="1062026173">
    <w:abstractNumId w:val="38"/>
  </w:num>
  <w:num w:numId="20" w16cid:durableId="172846900">
    <w:abstractNumId w:val="40"/>
  </w:num>
  <w:num w:numId="21" w16cid:durableId="93018021">
    <w:abstractNumId w:val="8"/>
  </w:num>
  <w:num w:numId="22" w16cid:durableId="14160526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7665943">
    <w:abstractNumId w:val="9"/>
  </w:num>
  <w:num w:numId="24" w16cid:durableId="932131510">
    <w:abstractNumId w:val="3"/>
  </w:num>
  <w:num w:numId="25" w16cid:durableId="125590028">
    <w:abstractNumId w:val="27"/>
  </w:num>
  <w:num w:numId="26" w16cid:durableId="1195195574">
    <w:abstractNumId w:val="22"/>
  </w:num>
  <w:num w:numId="27" w16cid:durableId="1260333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7736327">
    <w:abstractNumId w:val="11"/>
  </w:num>
  <w:num w:numId="29" w16cid:durableId="1865442532">
    <w:abstractNumId w:val="35"/>
  </w:num>
  <w:num w:numId="30" w16cid:durableId="1894122396">
    <w:abstractNumId w:val="18"/>
  </w:num>
  <w:num w:numId="31" w16cid:durableId="32006834">
    <w:abstractNumId w:val="12"/>
  </w:num>
  <w:num w:numId="32" w16cid:durableId="65418090">
    <w:abstractNumId w:val="16"/>
  </w:num>
  <w:num w:numId="33" w16cid:durableId="1301417172">
    <w:abstractNumId w:val="32"/>
  </w:num>
  <w:num w:numId="34" w16cid:durableId="733695376">
    <w:abstractNumId w:val="24"/>
  </w:num>
  <w:num w:numId="35" w16cid:durableId="1882552126">
    <w:abstractNumId w:val="37"/>
  </w:num>
  <w:num w:numId="36" w16cid:durableId="1649283084">
    <w:abstractNumId w:val="26"/>
  </w:num>
  <w:num w:numId="37" w16cid:durableId="156114970">
    <w:abstractNumId w:val="10"/>
  </w:num>
  <w:num w:numId="38" w16cid:durableId="2138406148">
    <w:abstractNumId w:val="19"/>
  </w:num>
  <w:num w:numId="39" w16cid:durableId="1137800298">
    <w:abstractNumId w:val="6"/>
  </w:num>
  <w:num w:numId="40" w16cid:durableId="783698096">
    <w:abstractNumId w:val="15"/>
  </w:num>
  <w:num w:numId="41" w16cid:durableId="1129780062">
    <w:abstractNumId w:val="34"/>
  </w:num>
  <w:num w:numId="42" w16cid:durableId="1799566366">
    <w:abstractNumId w:val="1"/>
  </w:num>
  <w:num w:numId="43" w16cid:durableId="799423345">
    <w:abstractNumId w:val="30"/>
  </w:num>
  <w:num w:numId="44" w16cid:durableId="717244494">
    <w:abstractNumId w:val="14"/>
  </w:num>
  <w:num w:numId="45" w16cid:durableId="1439763371">
    <w:abstractNumId w:val="42"/>
  </w:num>
  <w:num w:numId="46" w16cid:durableId="1733768293">
    <w:abstractNumId w:val="31"/>
  </w:num>
  <w:num w:numId="47" w16cid:durableId="2828134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54"/>
    <w:rsid w:val="00000B63"/>
    <w:rsid w:val="000016A5"/>
    <w:rsid w:val="00003648"/>
    <w:rsid w:val="00005897"/>
    <w:rsid w:val="00013B3C"/>
    <w:rsid w:val="00014C9E"/>
    <w:rsid w:val="00020DEE"/>
    <w:rsid w:val="0002651A"/>
    <w:rsid w:val="00032F97"/>
    <w:rsid w:val="00033DCA"/>
    <w:rsid w:val="0003632C"/>
    <w:rsid w:val="000363F3"/>
    <w:rsid w:val="000373CB"/>
    <w:rsid w:val="00043C3D"/>
    <w:rsid w:val="00046FE9"/>
    <w:rsid w:val="000516E8"/>
    <w:rsid w:val="00052C04"/>
    <w:rsid w:val="00053A09"/>
    <w:rsid w:val="00060791"/>
    <w:rsid w:val="000620CF"/>
    <w:rsid w:val="00062604"/>
    <w:rsid w:val="00065CBC"/>
    <w:rsid w:val="00066AE6"/>
    <w:rsid w:val="00075C5D"/>
    <w:rsid w:val="000768CF"/>
    <w:rsid w:val="0008551C"/>
    <w:rsid w:val="000868B2"/>
    <w:rsid w:val="000873D6"/>
    <w:rsid w:val="00087A03"/>
    <w:rsid w:val="0009080E"/>
    <w:rsid w:val="00093598"/>
    <w:rsid w:val="00094F5B"/>
    <w:rsid w:val="00096FEF"/>
    <w:rsid w:val="000A0609"/>
    <w:rsid w:val="000A24BF"/>
    <w:rsid w:val="000A45DB"/>
    <w:rsid w:val="000A4714"/>
    <w:rsid w:val="000A5ACC"/>
    <w:rsid w:val="000B1DCD"/>
    <w:rsid w:val="000C0D63"/>
    <w:rsid w:val="000C3C53"/>
    <w:rsid w:val="000C58B9"/>
    <w:rsid w:val="000C6FC6"/>
    <w:rsid w:val="000D00DA"/>
    <w:rsid w:val="000D11EA"/>
    <w:rsid w:val="000D1C3C"/>
    <w:rsid w:val="000D4FE5"/>
    <w:rsid w:val="000E5A98"/>
    <w:rsid w:val="000F2360"/>
    <w:rsid w:val="000F7ACA"/>
    <w:rsid w:val="001164BD"/>
    <w:rsid w:val="00120FCE"/>
    <w:rsid w:val="0012409F"/>
    <w:rsid w:val="00126715"/>
    <w:rsid w:val="0012731B"/>
    <w:rsid w:val="00131721"/>
    <w:rsid w:val="00136631"/>
    <w:rsid w:val="001374F9"/>
    <w:rsid w:val="00147D79"/>
    <w:rsid w:val="00150E7F"/>
    <w:rsid w:val="00150F78"/>
    <w:rsid w:val="00151BF2"/>
    <w:rsid w:val="00153294"/>
    <w:rsid w:val="001552CF"/>
    <w:rsid w:val="00161484"/>
    <w:rsid w:val="00162193"/>
    <w:rsid w:val="00167418"/>
    <w:rsid w:val="00167579"/>
    <w:rsid w:val="00174A67"/>
    <w:rsid w:val="001777C6"/>
    <w:rsid w:val="00180CFE"/>
    <w:rsid w:val="001869D6"/>
    <w:rsid w:val="001916D6"/>
    <w:rsid w:val="00195675"/>
    <w:rsid w:val="001B33A9"/>
    <w:rsid w:val="001B4350"/>
    <w:rsid w:val="001B72A7"/>
    <w:rsid w:val="001C5521"/>
    <w:rsid w:val="001C5B4B"/>
    <w:rsid w:val="001C612C"/>
    <w:rsid w:val="001C712D"/>
    <w:rsid w:val="001C7DB1"/>
    <w:rsid w:val="001D3A1C"/>
    <w:rsid w:val="001E182F"/>
    <w:rsid w:val="001E1E61"/>
    <w:rsid w:val="001E3393"/>
    <w:rsid w:val="001E399D"/>
    <w:rsid w:val="001E792F"/>
    <w:rsid w:val="001F1600"/>
    <w:rsid w:val="001F4107"/>
    <w:rsid w:val="001F46AC"/>
    <w:rsid w:val="001F7118"/>
    <w:rsid w:val="00202474"/>
    <w:rsid w:val="002141F3"/>
    <w:rsid w:val="002155B1"/>
    <w:rsid w:val="00221127"/>
    <w:rsid w:val="0023011C"/>
    <w:rsid w:val="0023161E"/>
    <w:rsid w:val="00242FF6"/>
    <w:rsid w:val="002501CB"/>
    <w:rsid w:val="00251000"/>
    <w:rsid w:val="00255D6B"/>
    <w:rsid w:val="00256AAC"/>
    <w:rsid w:val="00260B20"/>
    <w:rsid w:val="00262C9F"/>
    <w:rsid w:val="0026673A"/>
    <w:rsid w:val="002739AC"/>
    <w:rsid w:val="0027762F"/>
    <w:rsid w:val="00280183"/>
    <w:rsid w:val="0028059D"/>
    <w:rsid w:val="00284D04"/>
    <w:rsid w:val="0028641F"/>
    <w:rsid w:val="0029214C"/>
    <w:rsid w:val="00295B54"/>
    <w:rsid w:val="00297F14"/>
    <w:rsid w:val="002A2912"/>
    <w:rsid w:val="002A3507"/>
    <w:rsid w:val="002A4B39"/>
    <w:rsid w:val="002A771A"/>
    <w:rsid w:val="002B1399"/>
    <w:rsid w:val="002C336D"/>
    <w:rsid w:val="002D0929"/>
    <w:rsid w:val="002D49FF"/>
    <w:rsid w:val="002E13E0"/>
    <w:rsid w:val="002E2F1F"/>
    <w:rsid w:val="002E549E"/>
    <w:rsid w:val="002E59CC"/>
    <w:rsid w:val="002E5E96"/>
    <w:rsid w:val="002F0614"/>
    <w:rsid w:val="002F4C8E"/>
    <w:rsid w:val="002F6CB7"/>
    <w:rsid w:val="002F7264"/>
    <w:rsid w:val="00311909"/>
    <w:rsid w:val="00314BDC"/>
    <w:rsid w:val="00314DE9"/>
    <w:rsid w:val="00321CCB"/>
    <w:rsid w:val="0032253B"/>
    <w:rsid w:val="003241F9"/>
    <w:rsid w:val="00333687"/>
    <w:rsid w:val="00336EDF"/>
    <w:rsid w:val="00336F7D"/>
    <w:rsid w:val="00343074"/>
    <w:rsid w:val="003453A8"/>
    <w:rsid w:val="00350258"/>
    <w:rsid w:val="00352D9E"/>
    <w:rsid w:val="00352E1C"/>
    <w:rsid w:val="003547CA"/>
    <w:rsid w:val="003655F0"/>
    <w:rsid w:val="00365AA1"/>
    <w:rsid w:val="00367796"/>
    <w:rsid w:val="003708EB"/>
    <w:rsid w:val="003806B8"/>
    <w:rsid w:val="003831B9"/>
    <w:rsid w:val="00387904"/>
    <w:rsid w:val="003939C8"/>
    <w:rsid w:val="00394680"/>
    <w:rsid w:val="003A0D4F"/>
    <w:rsid w:val="003A7675"/>
    <w:rsid w:val="003C5161"/>
    <w:rsid w:val="003C725C"/>
    <w:rsid w:val="003C779F"/>
    <w:rsid w:val="003D20C6"/>
    <w:rsid w:val="003D481D"/>
    <w:rsid w:val="003D6DAB"/>
    <w:rsid w:val="003D7885"/>
    <w:rsid w:val="003E2FF5"/>
    <w:rsid w:val="003E575B"/>
    <w:rsid w:val="003F3DAB"/>
    <w:rsid w:val="00401B52"/>
    <w:rsid w:val="0040228E"/>
    <w:rsid w:val="00404759"/>
    <w:rsid w:val="00412AF2"/>
    <w:rsid w:val="004157E5"/>
    <w:rsid w:val="00416600"/>
    <w:rsid w:val="00420591"/>
    <w:rsid w:val="00425D9B"/>
    <w:rsid w:val="004265DD"/>
    <w:rsid w:val="0042710B"/>
    <w:rsid w:val="004278E9"/>
    <w:rsid w:val="00455B57"/>
    <w:rsid w:val="00456E47"/>
    <w:rsid w:val="00470359"/>
    <w:rsid w:val="00471D26"/>
    <w:rsid w:val="0047348D"/>
    <w:rsid w:val="004748FC"/>
    <w:rsid w:val="004823CE"/>
    <w:rsid w:val="00485A1E"/>
    <w:rsid w:val="00491A92"/>
    <w:rsid w:val="00492C28"/>
    <w:rsid w:val="00496920"/>
    <w:rsid w:val="00497107"/>
    <w:rsid w:val="004A004C"/>
    <w:rsid w:val="004A04B6"/>
    <w:rsid w:val="004A1C38"/>
    <w:rsid w:val="004A398F"/>
    <w:rsid w:val="004B3559"/>
    <w:rsid w:val="004B5A90"/>
    <w:rsid w:val="004B6AFB"/>
    <w:rsid w:val="004C01E8"/>
    <w:rsid w:val="004C2FFA"/>
    <w:rsid w:val="004C3B83"/>
    <w:rsid w:val="004C5158"/>
    <w:rsid w:val="004D29DB"/>
    <w:rsid w:val="004D6127"/>
    <w:rsid w:val="004D7339"/>
    <w:rsid w:val="004E1866"/>
    <w:rsid w:val="004F52DA"/>
    <w:rsid w:val="0052431F"/>
    <w:rsid w:val="005264AC"/>
    <w:rsid w:val="0053635C"/>
    <w:rsid w:val="00543067"/>
    <w:rsid w:val="005442A4"/>
    <w:rsid w:val="005468C3"/>
    <w:rsid w:val="0055736B"/>
    <w:rsid w:val="00560745"/>
    <w:rsid w:val="00561161"/>
    <w:rsid w:val="005674DD"/>
    <w:rsid w:val="005707D7"/>
    <w:rsid w:val="00573F1C"/>
    <w:rsid w:val="00575E9D"/>
    <w:rsid w:val="00576994"/>
    <w:rsid w:val="00581868"/>
    <w:rsid w:val="00582B25"/>
    <w:rsid w:val="005830F7"/>
    <w:rsid w:val="00583536"/>
    <w:rsid w:val="00584E87"/>
    <w:rsid w:val="00585BC5"/>
    <w:rsid w:val="00590924"/>
    <w:rsid w:val="00590E3B"/>
    <w:rsid w:val="00596A08"/>
    <w:rsid w:val="005975E4"/>
    <w:rsid w:val="005A145E"/>
    <w:rsid w:val="005A4854"/>
    <w:rsid w:val="005A51A5"/>
    <w:rsid w:val="005A680B"/>
    <w:rsid w:val="005B4E69"/>
    <w:rsid w:val="005C1808"/>
    <w:rsid w:val="005C4C5D"/>
    <w:rsid w:val="005C5BBB"/>
    <w:rsid w:val="005C7DF8"/>
    <w:rsid w:val="005D2594"/>
    <w:rsid w:val="005D5AB8"/>
    <w:rsid w:val="005D7566"/>
    <w:rsid w:val="005E044C"/>
    <w:rsid w:val="005E1521"/>
    <w:rsid w:val="005E2DC7"/>
    <w:rsid w:val="006000E3"/>
    <w:rsid w:val="006042FC"/>
    <w:rsid w:val="006052C6"/>
    <w:rsid w:val="006113C9"/>
    <w:rsid w:val="006158CA"/>
    <w:rsid w:val="00616E80"/>
    <w:rsid w:val="00617B49"/>
    <w:rsid w:val="00622118"/>
    <w:rsid w:val="0062235E"/>
    <w:rsid w:val="00623A16"/>
    <w:rsid w:val="00623BC8"/>
    <w:rsid w:val="006242BF"/>
    <w:rsid w:val="00634072"/>
    <w:rsid w:val="00635B6B"/>
    <w:rsid w:val="00642424"/>
    <w:rsid w:val="00643273"/>
    <w:rsid w:val="006614E2"/>
    <w:rsid w:val="00661EA9"/>
    <w:rsid w:val="006620DE"/>
    <w:rsid w:val="006720D8"/>
    <w:rsid w:val="00675741"/>
    <w:rsid w:val="006820E3"/>
    <w:rsid w:val="00682415"/>
    <w:rsid w:val="0068711D"/>
    <w:rsid w:val="00690AB1"/>
    <w:rsid w:val="00695B70"/>
    <w:rsid w:val="006A52FF"/>
    <w:rsid w:val="006A688F"/>
    <w:rsid w:val="006A7927"/>
    <w:rsid w:val="006B03B0"/>
    <w:rsid w:val="006B0673"/>
    <w:rsid w:val="006B1F5A"/>
    <w:rsid w:val="006B21FF"/>
    <w:rsid w:val="006B77E1"/>
    <w:rsid w:val="006C1DA3"/>
    <w:rsid w:val="006C4BE9"/>
    <w:rsid w:val="006C5C7A"/>
    <w:rsid w:val="006D2BCC"/>
    <w:rsid w:val="006D4085"/>
    <w:rsid w:val="006D67A4"/>
    <w:rsid w:val="006D7246"/>
    <w:rsid w:val="006E0279"/>
    <w:rsid w:val="006E424E"/>
    <w:rsid w:val="006E7CDC"/>
    <w:rsid w:val="006F4E55"/>
    <w:rsid w:val="006F6249"/>
    <w:rsid w:val="00700C4C"/>
    <w:rsid w:val="00705A89"/>
    <w:rsid w:val="00705DE2"/>
    <w:rsid w:val="0071039B"/>
    <w:rsid w:val="007112A5"/>
    <w:rsid w:val="0071711F"/>
    <w:rsid w:val="00732B2A"/>
    <w:rsid w:val="007357ED"/>
    <w:rsid w:val="0073615F"/>
    <w:rsid w:val="007408D9"/>
    <w:rsid w:val="00746370"/>
    <w:rsid w:val="00752372"/>
    <w:rsid w:val="00752C3F"/>
    <w:rsid w:val="0075353A"/>
    <w:rsid w:val="00753BA5"/>
    <w:rsid w:val="007542AB"/>
    <w:rsid w:val="007722C6"/>
    <w:rsid w:val="00776B1C"/>
    <w:rsid w:val="00794717"/>
    <w:rsid w:val="00795FFE"/>
    <w:rsid w:val="007966A2"/>
    <w:rsid w:val="007A0A60"/>
    <w:rsid w:val="007A13D7"/>
    <w:rsid w:val="007A5892"/>
    <w:rsid w:val="007A74F3"/>
    <w:rsid w:val="007A7521"/>
    <w:rsid w:val="007B086D"/>
    <w:rsid w:val="007B2529"/>
    <w:rsid w:val="007C3504"/>
    <w:rsid w:val="007D16D5"/>
    <w:rsid w:val="007D53AB"/>
    <w:rsid w:val="007D5ED2"/>
    <w:rsid w:val="007D64D6"/>
    <w:rsid w:val="007D71A1"/>
    <w:rsid w:val="007E1C24"/>
    <w:rsid w:val="007F1856"/>
    <w:rsid w:val="007F4174"/>
    <w:rsid w:val="007F6AA2"/>
    <w:rsid w:val="008055F7"/>
    <w:rsid w:val="00807FA5"/>
    <w:rsid w:val="008120A0"/>
    <w:rsid w:val="0081570E"/>
    <w:rsid w:val="008263B4"/>
    <w:rsid w:val="00834C38"/>
    <w:rsid w:val="00835FDE"/>
    <w:rsid w:val="00836061"/>
    <w:rsid w:val="00836DB5"/>
    <w:rsid w:val="00840E0E"/>
    <w:rsid w:val="008421D9"/>
    <w:rsid w:val="008443D0"/>
    <w:rsid w:val="00844F66"/>
    <w:rsid w:val="0084519F"/>
    <w:rsid w:val="00852868"/>
    <w:rsid w:val="00855487"/>
    <w:rsid w:val="00860003"/>
    <w:rsid w:val="00860FBB"/>
    <w:rsid w:val="0086424D"/>
    <w:rsid w:val="008727F0"/>
    <w:rsid w:val="0087644A"/>
    <w:rsid w:val="00882102"/>
    <w:rsid w:val="008825C1"/>
    <w:rsid w:val="00883608"/>
    <w:rsid w:val="00890920"/>
    <w:rsid w:val="008A1247"/>
    <w:rsid w:val="008A23C1"/>
    <w:rsid w:val="008A69C4"/>
    <w:rsid w:val="008B005C"/>
    <w:rsid w:val="008B0EC3"/>
    <w:rsid w:val="008B3B09"/>
    <w:rsid w:val="008B5CF6"/>
    <w:rsid w:val="008B74B5"/>
    <w:rsid w:val="008C1DDD"/>
    <w:rsid w:val="008C2D71"/>
    <w:rsid w:val="008C2F1F"/>
    <w:rsid w:val="008C3FBE"/>
    <w:rsid w:val="008C4D7E"/>
    <w:rsid w:val="008D420A"/>
    <w:rsid w:val="008E09F8"/>
    <w:rsid w:val="008E3240"/>
    <w:rsid w:val="008F04DA"/>
    <w:rsid w:val="008F2009"/>
    <w:rsid w:val="008F4C45"/>
    <w:rsid w:val="008F5DDA"/>
    <w:rsid w:val="008F707C"/>
    <w:rsid w:val="009037B6"/>
    <w:rsid w:val="00905032"/>
    <w:rsid w:val="0090689C"/>
    <w:rsid w:val="009074E7"/>
    <w:rsid w:val="009078A5"/>
    <w:rsid w:val="009162A1"/>
    <w:rsid w:val="00920F26"/>
    <w:rsid w:val="009211B5"/>
    <w:rsid w:val="00935ACA"/>
    <w:rsid w:val="00937CA5"/>
    <w:rsid w:val="00947515"/>
    <w:rsid w:val="00947D04"/>
    <w:rsid w:val="009511E7"/>
    <w:rsid w:val="00952AA6"/>
    <w:rsid w:val="0095619A"/>
    <w:rsid w:val="00956336"/>
    <w:rsid w:val="009574AE"/>
    <w:rsid w:val="009579AD"/>
    <w:rsid w:val="009605AC"/>
    <w:rsid w:val="00970C42"/>
    <w:rsid w:val="00976B70"/>
    <w:rsid w:val="009827C3"/>
    <w:rsid w:val="00986CCE"/>
    <w:rsid w:val="00987FA0"/>
    <w:rsid w:val="009961D2"/>
    <w:rsid w:val="00997434"/>
    <w:rsid w:val="009A1BEF"/>
    <w:rsid w:val="009A2933"/>
    <w:rsid w:val="009A4803"/>
    <w:rsid w:val="009A69C5"/>
    <w:rsid w:val="009B2DBE"/>
    <w:rsid w:val="009B4D7E"/>
    <w:rsid w:val="009C237B"/>
    <w:rsid w:val="009C3EC1"/>
    <w:rsid w:val="009C72D5"/>
    <w:rsid w:val="009D1272"/>
    <w:rsid w:val="009D1E02"/>
    <w:rsid w:val="009D3691"/>
    <w:rsid w:val="009D3C54"/>
    <w:rsid w:val="009D4710"/>
    <w:rsid w:val="009D73F2"/>
    <w:rsid w:val="009E2841"/>
    <w:rsid w:val="009F0563"/>
    <w:rsid w:val="009F0E48"/>
    <w:rsid w:val="009F3B44"/>
    <w:rsid w:val="009F3D77"/>
    <w:rsid w:val="009F4F7F"/>
    <w:rsid w:val="00A00F31"/>
    <w:rsid w:val="00A011C0"/>
    <w:rsid w:val="00A011FE"/>
    <w:rsid w:val="00A02353"/>
    <w:rsid w:val="00A0728C"/>
    <w:rsid w:val="00A1085B"/>
    <w:rsid w:val="00A21E91"/>
    <w:rsid w:val="00A21FFD"/>
    <w:rsid w:val="00A2423D"/>
    <w:rsid w:val="00A262DC"/>
    <w:rsid w:val="00A365CB"/>
    <w:rsid w:val="00A5675F"/>
    <w:rsid w:val="00A62633"/>
    <w:rsid w:val="00A67040"/>
    <w:rsid w:val="00A72E85"/>
    <w:rsid w:val="00A81D43"/>
    <w:rsid w:val="00A8713D"/>
    <w:rsid w:val="00A91725"/>
    <w:rsid w:val="00A95645"/>
    <w:rsid w:val="00A95937"/>
    <w:rsid w:val="00AB4909"/>
    <w:rsid w:val="00AB4DE2"/>
    <w:rsid w:val="00AB7386"/>
    <w:rsid w:val="00AB73DD"/>
    <w:rsid w:val="00AD04EC"/>
    <w:rsid w:val="00AD12B2"/>
    <w:rsid w:val="00AD28F4"/>
    <w:rsid w:val="00AD2B71"/>
    <w:rsid w:val="00AD62C9"/>
    <w:rsid w:val="00AD6841"/>
    <w:rsid w:val="00AD6D16"/>
    <w:rsid w:val="00AE599D"/>
    <w:rsid w:val="00AF348D"/>
    <w:rsid w:val="00AF5EC3"/>
    <w:rsid w:val="00B03FAF"/>
    <w:rsid w:val="00B112F9"/>
    <w:rsid w:val="00B1358A"/>
    <w:rsid w:val="00B13BAE"/>
    <w:rsid w:val="00B154B4"/>
    <w:rsid w:val="00B160B5"/>
    <w:rsid w:val="00B23567"/>
    <w:rsid w:val="00B23C34"/>
    <w:rsid w:val="00B2409D"/>
    <w:rsid w:val="00B40386"/>
    <w:rsid w:val="00B41863"/>
    <w:rsid w:val="00B4234D"/>
    <w:rsid w:val="00B46670"/>
    <w:rsid w:val="00B5023E"/>
    <w:rsid w:val="00B51619"/>
    <w:rsid w:val="00B534D7"/>
    <w:rsid w:val="00B54B05"/>
    <w:rsid w:val="00B553C4"/>
    <w:rsid w:val="00B562D7"/>
    <w:rsid w:val="00B56995"/>
    <w:rsid w:val="00B601A6"/>
    <w:rsid w:val="00B61C65"/>
    <w:rsid w:val="00B62047"/>
    <w:rsid w:val="00B63EF7"/>
    <w:rsid w:val="00B65B82"/>
    <w:rsid w:val="00B66434"/>
    <w:rsid w:val="00B7028F"/>
    <w:rsid w:val="00B716C6"/>
    <w:rsid w:val="00B82661"/>
    <w:rsid w:val="00B84329"/>
    <w:rsid w:val="00B86300"/>
    <w:rsid w:val="00B87051"/>
    <w:rsid w:val="00B87B36"/>
    <w:rsid w:val="00B87FB6"/>
    <w:rsid w:val="00B948EC"/>
    <w:rsid w:val="00B94978"/>
    <w:rsid w:val="00B94C49"/>
    <w:rsid w:val="00BA1334"/>
    <w:rsid w:val="00BA3D40"/>
    <w:rsid w:val="00BA7C80"/>
    <w:rsid w:val="00BB5669"/>
    <w:rsid w:val="00BB5AF5"/>
    <w:rsid w:val="00BB7111"/>
    <w:rsid w:val="00BB7E24"/>
    <w:rsid w:val="00BC2AB3"/>
    <w:rsid w:val="00BC33BF"/>
    <w:rsid w:val="00BC5588"/>
    <w:rsid w:val="00BC75B3"/>
    <w:rsid w:val="00BD1620"/>
    <w:rsid w:val="00BD1BC0"/>
    <w:rsid w:val="00BD59CC"/>
    <w:rsid w:val="00BD71BC"/>
    <w:rsid w:val="00BD7974"/>
    <w:rsid w:val="00BE1492"/>
    <w:rsid w:val="00BE3DA0"/>
    <w:rsid w:val="00BE5117"/>
    <w:rsid w:val="00BE58E4"/>
    <w:rsid w:val="00BE5F2C"/>
    <w:rsid w:val="00BF129F"/>
    <w:rsid w:val="00BF18BA"/>
    <w:rsid w:val="00BF2FC9"/>
    <w:rsid w:val="00BF4C99"/>
    <w:rsid w:val="00C0528F"/>
    <w:rsid w:val="00C17EC1"/>
    <w:rsid w:val="00C3187E"/>
    <w:rsid w:val="00C336B4"/>
    <w:rsid w:val="00C340FE"/>
    <w:rsid w:val="00C34AA6"/>
    <w:rsid w:val="00C366C4"/>
    <w:rsid w:val="00C4698B"/>
    <w:rsid w:val="00C47D97"/>
    <w:rsid w:val="00C5627F"/>
    <w:rsid w:val="00C61CE6"/>
    <w:rsid w:val="00C634B9"/>
    <w:rsid w:val="00C65B1F"/>
    <w:rsid w:val="00C7477F"/>
    <w:rsid w:val="00C95991"/>
    <w:rsid w:val="00C96E0A"/>
    <w:rsid w:val="00C97B5C"/>
    <w:rsid w:val="00CA2328"/>
    <w:rsid w:val="00CA477A"/>
    <w:rsid w:val="00CA5CDF"/>
    <w:rsid w:val="00CA6E9E"/>
    <w:rsid w:val="00CB2728"/>
    <w:rsid w:val="00CB2D00"/>
    <w:rsid w:val="00CB54E3"/>
    <w:rsid w:val="00CC0251"/>
    <w:rsid w:val="00CC2583"/>
    <w:rsid w:val="00CC3121"/>
    <w:rsid w:val="00CC5565"/>
    <w:rsid w:val="00CC5B0E"/>
    <w:rsid w:val="00CC62D4"/>
    <w:rsid w:val="00CD78C2"/>
    <w:rsid w:val="00CE08F4"/>
    <w:rsid w:val="00CE5AD1"/>
    <w:rsid w:val="00CF0081"/>
    <w:rsid w:val="00CF40E3"/>
    <w:rsid w:val="00CF7236"/>
    <w:rsid w:val="00D03A72"/>
    <w:rsid w:val="00D06C54"/>
    <w:rsid w:val="00D17EFA"/>
    <w:rsid w:val="00D20458"/>
    <w:rsid w:val="00D2056B"/>
    <w:rsid w:val="00D23F90"/>
    <w:rsid w:val="00D25145"/>
    <w:rsid w:val="00D34102"/>
    <w:rsid w:val="00D364E4"/>
    <w:rsid w:val="00D37D0F"/>
    <w:rsid w:val="00D40A85"/>
    <w:rsid w:val="00D43086"/>
    <w:rsid w:val="00D449DF"/>
    <w:rsid w:val="00D47A9D"/>
    <w:rsid w:val="00D50AFB"/>
    <w:rsid w:val="00D53788"/>
    <w:rsid w:val="00D546EF"/>
    <w:rsid w:val="00D54B8D"/>
    <w:rsid w:val="00D64C3D"/>
    <w:rsid w:val="00D65314"/>
    <w:rsid w:val="00D660CE"/>
    <w:rsid w:val="00D81CB9"/>
    <w:rsid w:val="00D81FDE"/>
    <w:rsid w:val="00D831F8"/>
    <w:rsid w:val="00D84346"/>
    <w:rsid w:val="00D94E94"/>
    <w:rsid w:val="00D951DE"/>
    <w:rsid w:val="00D96E7E"/>
    <w:rsid w:val="00DB653C"/>
    <w:rsid w:val="00DB7A6B"/>
    <w:rsid w:val="00DC09BC"/>
    <w:rsid w:val="00DC60AD"/>
    <w:rsid w:val="00DC6D40"/>
    <w:rsid w:val="00DD2587"/>
    <w:rsid w:val="00DD607E"/>
    <w:rsid w:val="00DD68F4"/>
    <w:rsid w:val="00DE0BF0"/>
    <w:rsid w:val="00DE2719"/>
    <w:rsid w:val="00E007E6"/>
    <w:rsid w:val="00E02D54"/>
    <w:rsid w:val="00E1414A"/>
    <w:rsid w:val="00E23DEA"/>
    <w:rsid w:val="00E2567B"/>
    <w:rsid w:val="00E27746"/>
    <w:rsid w:val="00E32153"/>
    <w:rsid w:val="00E338C5"/>
    <w:rsid w:val="00E523BC"/>
    <w:rsid w:val="00E56068"/>
    <w:rsid w:val="00E61099"/>
    <w:rsid w:val="00E67D0C"/>
    <w:rsid w:val="00E7144D"/>
    <w:rsid w:val="00E7427E"/>
    <w:rsid w:val="00E74651"/>
    <w:rsid w:val="00E75BA9"/>
    <w:rsid w:val="00E76A1D"/>
    <w:rsid w:val="00E81556"/>
    <w:rsid w:val="00E83A7C"/>
    <w:rsid w:val="00E84D12"/>
    <w:rsid w:val="00E86C29"/>
    <w:rsid w:val="00E91243"/>
    <w:rsid w:val="00E924F3"/>
    <w:rsid w:val="00E96AFF"/>
    <w:rsid w:val="00EA254F"/>
    <w:rsid w:val="00EA2C31"/>
    <w:rsid w:val="00EA675A"/>
    <w:rsid w:val="00EA705E"/>
    <w:rsid w:val="00EB50F5"/>
    <w:rsid w:val="00EC1FA1"/>
    <w:rsid w:val="00EC38C0"/>
    <w:rsid w:val="00EC69D4"/>
    <w:rsid w:val="00ED0B9F"/>
    <w:rsid w:val="00ED2F2E"/>
    <w:rsid w:val="00ED3582"/>
    <w:rsid w:val="00EE04E8"/>
    <w:rsid w:val="00EE2261"/>
    <w:rsid w:val="00EF61A9"/>
    <w:rsid w:val="00EF6379"/>
    <w:rsid w:val="00F03B35"/>
    <w:rsid w:val="00F07D3E"/>
    <w:rsid w:val="00F10201"/>
    <w:rsid w:val="00F11F41"/>
    <w:rsid w:val="00F16E67"/>
    <w:rsid w:val="00F16F06"/>
    <w:rsid w:val="00F17A37"/>
    <w:rsid w:val="00F17A91"/>
    <w:rsid w:val="00F17CE0"/>
    <w:rsid w:val="00F26A29"/>
    <w:rsid w:val="00F347E5"/>
    <w:rsid w:val="00F349A9"/>
    <w:rsid w:val="00F543AB"/>
    <w:rsid w:val="00F577C1"/>
    <w:rsid w:val="00F64DB5"/>
    <w:rsid w:val="00F70B43"/>
    <w:rsid w:val="00F74CB9"/>
    <w:rsid w:val="00F77D27"/>
    <w:rsid w:val="00F835EE"/>
    <w:rsid w:val="00F83B0B"/>
    <w:rsid w:val="00F861D1"/>
    <w:rsid w:val="00F93714"/>
    <w:rsid w:val="00F9433E"/>
    <w:rsid w:val="00F95DB3"/>
    <w:rsid w:val="00F96C18"/>
    <w:rsid w:val="00FA54D1"/>
    <w:rsid w:val="00FB4754"/>
    <w:rsid w:val="00FC1AF7"/>
    <w:rsid w:val="00FC28EA"/>
    <w:rsid w:val="00FC59EF"/>
    <w:rsid w:val="00FC618A"/>
    <w:rsid w:val="00FC74A9"/>
    <w:rsid w:val="00FD0241"/>
    <w:rsid w:val="00FD149F"/>
    <w:rsid w:val="00FD48FB"/>
    <w:rsid w:val="00FE341C"/>
    <w:rsid w:val="00FE6470"/>
    <w:rsid w:val="00FF4505"/>
    <w:rsid w:val="03D339CD"/>
    <w:rsid w:val="07BFE459"/>
    <w:rsid w:val="16770386"/>
    <w:rsid w:val="1DAFC435"/>
    <w:rsid w:val="1DE33738"/>
    <w:rsid w:val="23F55945"/>
    <w:rsid w:val="2F7B21B0"/>
    <w:rsid w:val="38027665"/>
    <w:rsid w:val="3BFB6584"/>
    <w:rsid w:val="465C5FDC"/>
    <w:rsid w:val="58A49C3C"/>
    <w:rsid w:val="6B17B1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7FAD"/>
  <w15:chartTrackingRefBased/>
  <w15:docId w15:val="{F2C724BF-B223-444E-8FE6-FD20EC05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20"/>
    <w:pPr>
      <w:spacing w:line="256" w:lineRule="auto"/>
    </w:pPr>
  </w:style>
  <w:style w:type="paragraph" w:styleId="Heading1">
    <w:name w:val="heading 1"/>
    <w:basedOn w:val="Normal"/>
    <w:next w:val="Normal"/>
    <w:link w:val="Heading1Char"/>
    <w:uiPriority w:val="9"/>
    <w:qFormat/>
    <w:rsid w:val="00E02D54"/>
    <w:pPr>
      <w:shd w:val="clear" w:color="auto" w:fill="00284A"/>
      <w:outlineLvl w:val="0"/>
    </w:pPr>
    <w:rPr>
      <w:rFonts w:ascii="Arial" w:eastAsia="Times New Roman" w:hAnsi="Arial" w:cs="Arial"/>
      <w:color w:val="FFFFFF" w:themeColor="background1"/>
      <w:lang w:val="en-GB"/>
    </w:rPr>
  </w:style>
  <w:style w:type="paragraph" w:styleId="Heading2">
    <w:name w:val="heading 2"/>
    <w:basedOn w:val="Normal"/>
    <w:next w:val="Normal"/>
    <w:link w:val="Heading2Char"/>
    <w:uiPriority w:val="9"/>
    <w:unhideWhenUsed/>
    <w:qFormat/>
    <w:rsid w:val="00D449DF"/>
    <w:pPr>
      <w:shd w:val="clear" w:color="auto" w:fill="8AC2E6"/>
      <w:outlineLvl w:val="1"/>
    </w:pPr>
    <w:rPr>
      <w:rFonts w:ascii="Arial" w:eastAsia="Times New Roman" w:hAnsi="Arial" w:cs="Arial"/>
      <w:color w:val="1F4585"/>
      <w:lang w:val="en-GB"/>
    </w:rPr>
  </w:style>
  <w:style w:type="paragraph" w:styleId="Heading3">
    <w:name w:val="heading 3"/>
    <w:basedOn w:val="Normal"/>
    <w:next w:val="Normal"/>
    <w:link w:val="Heading3Char"/>
    <w:uiPriority w:val="9"/>
    <w:semiHidden/>
    <w:unhideWhenUsed/>
    <w:qFormat/>
    <w:rsid w:val="00662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E02D54"/>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E02D54"/>
    <w:rPr>
      <w:rFonts w:ascii="Arial" w:eastAsia="Times New Roman" w:hAnsi="Arial" w:cs="Arial"/>
      <w:color w:val="FFFFFF" w:themeColor="background1"/>
      <w:shd w:val="clear" w:color="auto" w:fill="00284A"/>
      <w:lang w:val="en-GB"/>
    </w:rPr>
  </w:style>
  <w:style w:type="character" w:customStyle="1" w:styleId="Heading2Char">
    <w:name w:val="Heading 2 Char"/>
    <w:basedOn w:val="DefaultParagraphFont"/>
    <w:link w:val="Heading2"/>
    <w:uiPriority w:val="9"/>
    <w:rsid w:val="00D449DF"/>
    <w:rPr>
      <w:rFonts w:ascii="Arial" w:eastAsia="Times New Roman" w:hAnsi="Arial" w:cs="Arial"/>
      <w:color w:val="1F4585"/>
      <w:shd w:val="clear" w:color="auto" w:fill="8AC2E6"/>
      <w:lang w:val="en-GB"/>
    </w:rPr>
  </w:style>
  <w:style w:type="paragraph" w:styleId="Header">
    <w:name w:val="header"/>
    <w:basedOn w:val="Normal"/>
    <w:link w:val="HeaderChar"/>
    <w:uiPriority w:val="99"/>
    <w:unhideWhenUsed/>
    <w:rsid w:val="004C0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1E8"/>
  </w:style>
  <w:style w:type="paragraph" w:styleId="Footer">
    <w:name w:val="footer"/>
    <w:basedOn w:val="Normal"/>
    <w:link w:val="FooterChar"/>
    <w:uiPriority w:val="99"/>
    <w:unhideWhenUsed/>
    <w:rsid w:val="004C0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1E8"/>
  </w:style>
  <w:style w:type="table" w:styleId="TableGrid">
    <w:name w:val="Table Grid"/>
    <w:basedOn w:val="TableNormal"/>
    <w:uiPriority w:val="39"/>
    <w:rsid w:val="004C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620D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76B70"/>
    <w:pPr>
      <w:ind w:left="720"/>
      <w:contextualSpacing/>
    </w:pPr>
  </w:style>
  <w:style w:type="paragraph" w:styleId="NormalWeb">
    <w:name w:val="Normal (Web)"/>
    <w:basedOn w:val="Normal"/>
    <w:uiPriority w:val="99"/>
    <w:unhideWhenUsed/>
    <w:rsid w:val="0028641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86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41F"/>
    <w:rPr>
      <w:rFonts w:ascii="Segoe UI" w:hAnsi="Segoe UI" w:cs="Segoe UI"/>
      <w:sz w:val="18"/>
      <w:szCs w:val="18"/>
    </w:rPr>
  </w:style>
  <w:style w:type="paragraph" w:styleId="PlainText">
    <w:name w:val="Plain Text"/>
    <w:basedOn w:val="Normal"/>
    <w:link w:val="PlainTextChar"/>
    <w:uiPriority w:val="99"/>
    <w:unhideWhenUsed/>
    <w:rsid w:val="0047348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7348D"/>
    <w:rPr>
      <w:rFonts w:ascii="Calibri" w:hAnsi="Calibri"/>
      <w:szCs w:val="21"/>
    </w:rPr>
  </w:style>
  <w:style w:type="character" w:styleId="Hyperlink">
    <w:name w:val="Hyperlink"/>
    <w:basedOn w:val="DefaultParagraphFont"/>
    <w:uiPriority w:val="99"/>
    <w:unhideWhenUsed/>
    <w:rsid w:val="0084519F"/>
    <w:rPr>
      <w:color w:val="0563C1" w:themeColor="hyperlink"/>
      <w:u w:val="single"/>
    </w:rPr>
  </w:style>
  <w:style w:type="character" w:styleId="UnresolvedMention">
    <w:name w:val="Unresolved Mention"/>
    <w:basedOn w:val="DefaultParagraphFont"/>
    <w:uiPriority w:val="99"/>
    <w:semiHidden/>
    <w:unhideWhenUsed/>
    <w:rsid w:val="0084519F"/>
    <w:rPr>
      <w:color w:val="605E5C"/>
      <w:shd w:val="clear" w:color="auto" w:fill="E1DFDD"/>
    </w:rPr>
  </w:style>
  <w:style w:type="paragraph" w:customStyle="1" w:styleId="Default">
    <w:name w:val="Default"/>
    <w:basedOn w:val="Normal"/>
    <w:rsid w:val="00A0728C"/>
    <w:pPr>
      <w:autoSpaceDE w:val="0"/>
      <w:autoSpaceDN w:val="0"/>
      <w:spacing w:after="0" w:line="240" w:lineRule="auto"/>
    </w:pPr>
    <w:rPr>
      <w:rFonts w:ascii="Calibri" w:hAnsi="Calibri" w:cs="Calibri"/>
      <w:color w:val="000000"/>
      <w:sz w:val="24"/>
      <w:szCs w:val="24"/>
    </w:rPr>
  </w:style>
  <w:style w:type="paragraph" w:styleId="BodyText">
    <w:name w:val="Body Text"/>
    <w:basedOn w:val="Normal"/>
    <w:link w:val="BodyTextChar"/>
    <w:uiPriority w:val="1"/>
    <w:semiHidden/>
    <w:unhideWhenUsed/>
    <w:rsid w:val="0026673A"/>
    <w:pPr>
      <w:shd w:val="clear" w:color="auto" w:fill="FFFFFF"/>
      <w:overflowPunct w:val="0"/>
      <w:autoSpaceDE w:val="0"/>
      <w:autoSpaceDN w:val="0"/>
      <w:spacing w:before="3" w:after="0" w:line="276" w:lineRule="auto"/>
      <w:ind w:left="170"/>
    </w:pPr>
    <w:rPr>
      <w:rFonts w:ascii="Brother 1816 Regular" w:hAnsi="Brother 1816 Regular" w:cs="Calibri"/>
      <w:color w:val="004960"/>
      <w:lang w:eastAsia="en-GB"/>
    </w:rPr>
  </w:style>
  <w:style w:type="character" w:customStyle="1" w:styleId="BodyTextChar">
    <w:name w:val="Body Text Char"/>
    <w:basedOn w:val="DefaultParagraphFont"/>
    <w:link w:val="BodyText"/>
    <w:uiPriority w:val="1"/>
    <w:semiHidden/>
    <w:rsid w:val="0026673A"/>
    <w:rPr>
      <w:rFonts w:ascii="Brother 1816 Regular" w:hAnsi="Brother 1816 Regular" w:cs="Calibri"/>
      <w:color w:val="004960"/>
      <w:shd w:val="clear" w:color="auto" w:fill="FFFFFF"/>
      <w:lang w:eastAsia="en-GB"/>
    </w:rPr>
  </w:style>
  <w:style w:type="character" w:styleId="FollowedHyperlink">
    <w:name w:val="FollowedHyperlink"/>
    <w:basedOn w:val="DefaultParagraphFont"/>
    <w:uiPriority w:val="99"/>
    <w:semiHidden/>
    <w:unhideWhenUsed/>
    <w:rsid w:val="0026673A"/>
    <w:rPr>
      <w:color w:val="954F72" w:themeColor="followedHyperlink"/>
      <w:u w:val="single"/>
    </w:rPr>
  </w:style>
  <w:style w:type="paragraph" w:styleId="CommentText">
    <w:name w:val="annotation text"/>
    <w:basedOn w:val="Normal"/>
    <w:link w:val="CommentTextChar"/>
    <w:uiPriority w:val="99"/>
    <w:unhideWhenUsed/>
    <w:rsid w:val="00860003"/>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860003"/>
    <w:rPr>
      <w:kern w:val="2"/>
      <w:sz w:val="20"/>
      <w:szCs w:val="20"/>
      <w14:ligatures w14:val="standardContextual"/>
    </w:rPr>
  </w:style>
  <w:style w:type="character" w:styleId="CommentReference">
    <w:name w:val="annotation reference"/>
    <w:basedOn w:val="DefaultParagraphFont"/>
    <w:uiPriority w:val="99"/>
    <w:semiHidden/>
    <w:unhideWhenUsed/>
    <w:rsid w:val="008600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318">
      <w:bodyDiv w:val="1"/>
      <w:marLeft w:val="0"/>
      <w:marRight w:val="0"/>
      <w:marTop w:val="0"/>
      <w:marBottom w:val="0"/>
      <w:divBdr>
        <w:top w:val="none" w:sz="0" w:space="0" w:color="auto"/>
        <w:left w:val="none" w:sz="0" w:space="0" w:color="auto"/>
        <w:bottom w:val="none" w:sz="0" w:space="0" w:color="auto"/>
        <w:right w:val="none" w:sz="0" w:space="0" w:color="auto"/>
      </w:divBdr>
    </w:div>
    <w:div w:id="13119475">
      <w:bodyDiv w:val="1"/>
      <w:marLeft w:val="0"/>
      <w:marRight w:val="0"/>
      <w:marTop w:val="0"/>
      <w:marBottom w:val="0"/>
      <w:divBdr>
        <w:top w:val="none" w:sz="0" w:space="0" w:color="auto"/>
        <w:left w:val="none" w:sz="0" w:space="0" w:color="auto"/>
        <w:bottom w:val="none" w:sz="0" w:space="0" w:color="auto"/>
        <w:right w:val="none" w:sz="0" w:space="0" w:color="auto"/>
      </w:divBdr>
    </w:div>
    <w:div w:id="21713720">
      <w:bodyDiv w:val="1"/>
      <w:marLeft w:val="0"/>
      <w:marRight w:val="0"/>
      <w:marTop w:val="0"/>
      <w:marBottom w:val="0"/>
      <w:divBdr>
        <w:top w:val="none" w:sz="0" w:space="0" w:color="auto"/>
        <w:left w:val="none" w:sz="0" w:space="0" w:color="auto"/>
        <w:bottom w:val="none" w:sz="0" w:space="0" w:color="auto"/>
        <w:right w:val="none" w:sz="0" w:space="0" w:color="auto"/>
      </w:divBdr>
    </w:div>
    <w:div w:id="32732406">
      <w:bodyDiv w:val="1"/>
      <w:marLeft w:val="0"/>
      <w:marRight w:val="0"/>
      <w:marTop w:val="0"/>
      <w:marBottom w:val="0"/>
      <w:divBdr>
        <w:top w:val="none" w:sz="0" w:space="0" w:color="auto"/>
        <w:left w:val="none" w:sz="0" w:space="0" w:color="auto"/>
        <w:bottom w:val="none" w:sz="0" w:space="0" w:color="auto"/>
        <w:right w:val="none" w:sz="0" w:space="0" w:color="auto"/>
      </w:divBdr>
    </w:div>
    <w:div w:id="142082746">
      <w:bodyDiv w:val="1"/>
      <w:marLeft w:val="0"/>
      <w:marRight w:val="0"/>
      <w:marTop w:val="0"/>
      <w:marBottom w:val="0"/>
      <w:divBdr>
        <w:top w:val="none" w:sz="0" w:space="0" w:color="auto"/>
        <w:left w:val="none" w:sz="0" w:space="0" w:color="auto"/>
        <w:bottom w:val="none" w:sz="0" w:space="0" w:color="auto"/>
        <w:right w:val="none" w:sz="0" w:space="0" w:color="auto"/>
      </w:divBdr>
    </w:div>
    <w:div w:id="209222890">
      <w:bodyDiv w:val="1"/>
      <w:marLeft w:val="0"/>
      <w:marRight w:val="0"/>
      <w:marTop w:val="0"/>
      <w:marBottom w:val="0"/>
      <w:divBdr>
        <w:top w:val="none" w:sz="0" w:space="0" w:color="auto"/>
        <w:left w:val="none" w:sz="0" w:space="0" w:color="auto"/>
        <w:bottom w:val="none" w:sz="0" w:space="0" w:color="auto"/>
        <w:right w:val="none" w:sz="0" w:space="0" w:color="auto"/>
      </w:divBdr>
    </w:div>
    <w:div w:id="216744377">
      <w:bodyDiv w:val="1"/>
      <w:marLeft w:val="0"/>
      <w:marRight w:val="0"/>
      <w:marTop w:val="0"/>
      <w:marBottom w:val="0"/>
      <w:divBdr>
        <w:top w:val="none" w:sz="0" w:space="0" w:color="auto"/>
        <w:left w:val="none" w:sz="0" w:space="0" w:color="auto"/>
        <w:bottom w:val="none" w:sz="0" w:space="0" w:color="auto"/>
        <w:right w:val="none" w:sz="0" w:space="0" w:color="auto"/>
      </w:divBdr>
    </w:div>
    <w:div w:id="217132829">
      <w:bodyDiv w:val="1"/>
      <w:marLeft w:val="0"/>
      <w:marRight w:val="0"/>
      <w:marTop w:val="0"/>
      <w:marBottom w:val="0"/>
      <w:divBdr>
        <w:top w:val="none" w:sz="0" w:space="0" w:color="auto"/>
        <w:left w:val="none" w:sz="0" w:space="0" w:color="auto"/>
        <w:bottom w:val="none" w:sz="0" w:space="0" w:color="auto"/>
        <w:right w:val="none" w:sz="0" w:space="0" w:color="auto"/>
      </w:divBdr>
    </w:div>
    <w:div w:id="222103122">
      <w:bodyDiv w:val="1"/>
      <w:marLeft w:val="0"/>
      <w:marRight w:val="0"/>
      <w:marTop w:val="0"/>
      <w:marBottom w:val="0"/>
      <w:divBdr>
        <w:top w:val="none" w:sz="0" w:space="0" w:color="auto"/>
        <w:left w:val="none" w:sz="0" w:space="0" w:color="auto"/>
        <w:bottom w:val="none" w:sz="0" w:space="0" w:color="auto"/>
        <w:right w:val="none" w:sz="0" w:space="0" w:color="auto"/>
      </w:divBdr>
    </w:div>
    <w:div w:id="272134259">
      <w:bodyDiv w:val="1"/>
      <w:marLeft w:val="0"/>
      <w:marRight w:val="0"/>
      <w:marTop w:val="0"/>
      <w:marBottom w:val="0"/>
      <w:divBdr>
        <w:top w:val="none" w:sz="0" w:space="0" w:color="auto"/>
        <w:left w:val="none" w:sz="0" w:space="0" w:color="auto"/>
        <w:bottom w:val="none" w:sz="0" w:space="0" w:color="auto"/>
        <w:right w:val="none" w:sz="0" w:space="0" w:color="auto"/>
      </w:divBdr>
    </w:div>
    <w:div w:id="272635107">
      <w:bodyDiv w:val="1"/>
      <w:marLeft w:val="0"/>
      <w:marRight w:val="0"/>
      <w:marTop w:val="0"/>
      <w:marBottom w:val="0"/>
      <w:divBdr>
        <w:top w:val="none" w:sz="0" w:space="0" w:color="auto"/>
        <w:left w:val="none" w:sz="0" w:space="0" w:color="auto"/>
        <w:bottom w:val="none" w:sz="0" w:space="0" w:color="auto"/>
        <w:right w:val="none" w:sz="0" w:space="0" w:color="auto"/>
      </w:divBdr>
    </w:div>
    <w:div w:id="296299689">
      <w:bodyDiv w:val="1"/>
      <w:marLeft w:val="0"/>
      <w:marRight w:val="0"/>
      <w:marTop w:val="0"/>
      <w:marBottom w:val="0"/>
      <w:divBdr>
        <w:top w:val="none" w:sz="0" w:space="0" w:color="auto"/>
        <w:left w:val="none" w:sz="0" w:space="0" w:color="auto"/>
        <w:bottom w:val="none" w:sz="0" w:space="0" w:color="auto"/>
        <w:right w:val="none" w:sz="0" w:space="0" w:color="auto"/>
      </w:divBdr>
    </w:div>
    <w:div w:id="313994097">
      <w:bodyDiv w:val="1"/>
      <w:marLeft w:val="0"/>
      <w:marRight w:val="0"/>
      <w:marTop w:val="0"/>
      <w:marBottom w:val="0"/>
      <w:divBdr>
        <w:top w:val="none" w:sz="0" w:space="0" w:color="auto"/>
        <w:left w:val="none" w:sz="0" w:space="0" w:color="auto"/>
        <w:bottom w:val="none" w:sz="0" w:space="0" w:color="auto"/>
        <w:right w:val="none" w:sz="0" w:space="0" w:color="auto"/>
      </w:divBdr>
    </w:div>
    <w:div w:id="323626703">
      <w:bodyDiv w:val="1"/>
      <w:marLeft w:val="0"/>
      <w:marRight w:val="0"/>
      <w:marTop w:val="0"/>
      <w:marBottom w:val="0"/>
      <w:divBdr>
        <w:top w:val="none" w:sz="0" w:space="0" w:color="auto"/>
        <w:left w:val="none" w:sz="0" w:space="0" w:color="auto"/>
        <w:bottom w:val="none" w:sz="0" w:space="0" w:color="auto"/>
        <w:right w:val="none" w:sz="0" w:space="0" w:color="auto"/>
      </w:divBdr>
    </w:div>
    <w:div w:id="328337592">
      <w:bodyDiv w:val="1"/>
      <w:marLeft w:val="0"/>
      <w:marRight w:val="0"/>
      <w:marTop w:val="0"/>
      <w:marBottom w:val="0"/>
      <w:divBdr>
        <w:top w:val="none" w:sz="0" w:space="0" w:color="auto"/>
        <w:left w:val="none" w:sz="0" w:space="0" w:color="auto"/>
        <w:bottom w:val="none" w:sz="0" w:space="0" w:color="auto"/>
        <w:right w:val="none" w:sz="0" w:space="0" w:color="auto"/>
      </w:divBdr>
    </w:div>
    <w:div w:id="401753260">
      <w:bodyDiv w:val="1"/>
      <w:marLeft w:val="0"/>
      <w:marRight w:val="0"/>
      <w:marTop w:val="0"/>
      <w:marBottom w:val="0"/>
      <w:divBdr>
        <w:top w:val="none" w:sz="0" w:space="0" w:color="auto"/>
        <w:left w:val="none" w:sz="0" w:space="0" w:color="auto"/>
        <w:bottom w:val="none" w:sz="0" w:space="0" w:color="auto"/>
        <w:right w:val="none" w:sz="0" w:space="0" w:color="auto"/>
      </w:divBdr>
    </w:div>
    <w:div w:id="507795942">
      <w:bodyDiv w:val="1"/>
      <w:marLeft w:val="0"/>
      <w:marRight w:val="0"/>
      <w:marTop w:val="0"/>
      <w:marBottom w:val="0"/>
      <w:divBdr>
        <w:top w:val="none" w:sz="0" w:space="0" w:color="auto"/>
        <w:left w:val="none" w:sz="0" w:space="0" w:color="auto"/>
        <w:bottom w:val="none" w:sz="0" w:space="0" w:color="auto"/>
        <w:right w:val="none" w:sz="0" w:space="0" w:color="auto"/>
      </w:divBdr>
    </w:div>
    <w:div w:id="581841142">
      <w:bodyDiv w:val="1"/>
      <w:marLeft w:val="0"/>
      <w:marRight w:val="0"/>
      <w:marTop w:val="0"/>
      <w:marBottom w:val="0"/>
      <w:divBdr>
        <w:top w:val="none" w:sz="0" w:space="0" w:color="auto"/>
        <w:left w:val="none" w:sz="0" w:space="0" w:color="auto"/>
        <w:bottom w:val="none" w:sz="0" w:space="0" w:color="auto"/>
        <w:right w:val="none" w:sz="0" w:space="0" w:color="auto"/>
      </w:divBdr>
    </w:div>
    <w:div w:id="593243440">
      <w:bodyDiv w:val="1"/>
      <w:marLeft w:val="0"/>
      <w:marRight w:val="0"/>
      <w:marTop w:val="0"/>
      <w:marBottom w:val="0"/>
      <w:divBdr>
        <w:top w:val="none" w:sz="0" w:space="0" w:color="auto"/>
        <w:left w:val="none" w:sz="0" w:space="0" w:color="auto"/>
        <w:bottom w:val="none" w:sz="0" w:space="0" w:color="auto"/>
        <w:right w:val="none" w:sz="0" w:space="0" w:color="auto"/>
      </w:divBdr>
    </w:div>
    <w:div w:id="612635838">
      <w:bodyDiv w:val="1"/>
      <w:marLeft w:val="0"/>
      <w:marRight w:val="0"/>
      <w:marTop w:val="0"/>
      <w:marBottom w:val="0"/>
      <w:divBdr>
        <w:top w:val="none" w:sz="0" w:space="0" w:color="auto"/>
        <w:left w:val="none" w:sz="0" w:space="0" w:color="auto"/>
        <w:bottom w:val="none" w:sz="0" w:space="0" w:color="auto"/>
        <w:right w:val="none" w:sz="0" w:space="0" w:color="auto"/>
      </w:divBdr>
    </w:div>
    <w:div w:id="623315746">
      <w:bodyDiv w:val="1"/>
      <w:marLeft w:val="0"/>
      <w:marRight w:val="0"/>
      <w:marTop w:val="0"/>
      <w:marBottom w:val="0"/>
      <w:divBdr>
        <w:top w:val="none" w:sz="0" w:space="0" w:color="auto"/>
        <w:left w:val="none" w:sz="0" w:space="0" w:color="auto"/>
        <w:bottom w:val="none" w:sz="0" w:space="0" w:color="auto"/>
        <w:right w:val="none" w:sz="0" w:space="0" w:color="auto"/>
      </w:divBdr>
    </w:div>
    <w:div w:id="640581169">
      <w:bodyDiv w:val="1"/>
      <w:marLeft w:val="0"/>
      <w:marRight w:val="0"/>
      <w:marTop w:val="0"/>
      <w:marBottom w:val="0"/>
      <w:divBdr>
        <w:top w:val="none" w:sz="0" w:space="0" w:color="auto"/>
        <w:left w:val="none" w:sz="0" w:space="0" w:color="auto"/>
        <w:bottom w:val="none" w:sz="0" w:space="0" w:color="auto"/>
        <w:right w:val="none" w:sz="0" w:space="0" w:color="auto"/>
      </w:divBdr>
    </w:div>
    <w:div w:id="655768707">
      <w:bodyDiv w:val="1"/>
      <w:marLeft w:val="0"/>
      <w:marRight w:val="0"/>
      <w:marTop w:val="0"/>
      <w:marBottom w:val="0"/>
      <w:divBdr>
        <w:top w:val="none" w:sz="0" w:space="0" w:color="auto"/>
        <w:left w:val="none" w:sz="0" w:space="0" w:color="auto"/>
        <w:bottom w:val="none" w:sz="0" w:space="0" w:color="auto"/>
        <w:right w:val="none" w:sz="0" w:space="0" w:color="auto"/>
      </w:divBdr>
    </w:div>
    <w:div w:id="661932810">
      <w:bodyDiv w:val="1"/>
      <w:marLeft w:val="0"/>
      <w:marRight w:val="0"/>
      <w:marTop w:val="0"/>
      <w:marBottom w:val="0"/>
      <w:divBdr>
        <w:top w:val="none" w:sz="0" w:space="0" w:color="auto"/>
        <w:left w:val="none" w:sz="0" w:space="0" w:color="auto"/>
        <w:bottom w:val="none" w:sz="0" w:space="0" w:color="auto"/>
        <w:right w:val="none" w:sz="0" w:space="0" w:color="auto"/>
      </w:divBdr>
    </w:div>
    <w:div w:id="673267580">
      <w:bodyDiv w:val="1"/>
      <w:marLeft w:val="0"/>
      <w:marRight w:val="0"/>
      <w:marTop w:val="0"/>
      <w:marBottom w:val="0"/>
      <w:divBdr>
        <w:top w:val="none" w:sz="0" w:space="0" w:color="auto"/>
        <w:left w:val="none" w:sz="0" w:space="0" w:color="auto"/>
        <w:bottom w:val="none" w:sz="0" w:space="0" w:color="auto"/>
        <w:right w:val="none" w:sz="0" w:space="0" w:color="auto"/>
      </w:divBdr>
    </w:div>
    <w:div w:id="751050590">
      <w:bodyDiv w:val="1"/>
      <w:marLeft w:val="0"/>
      <w:marRight w:val="0"/>
      <w:marTop w:val="0"/>
      <w:marBottom w:val="0"/>
      <w:divBdr>
        <w:top w:val="none" w:sz="0" w:space="0" w:color="auto"/>
        <w:left w:val="none" w:sz="0" w:space="0" w:color="auto"/>
        <w:bottom w:val="none" w:sz="0" w:space="0" w:color="auto"/>
        <w:right w:val="none" w:sz="0" w:space="0" w:color="auto"/>
      </w:divBdr>
    </w:div>
    <w:div w:id="761990402">
      <w:bodyDiv w:val="1"/>
      <w:marLeft w:val="0"/>
      <w:marRight w:val="0"/>
      <w:marTop w:val="0"/>
      <w:marBottom w:val="0"/>
      <w:divBdr>
        <w:top w:val="none" w:sz="0" w:space="0" w:color="auto"/>
        <w:left w:val="none" w:sz="0" w:space="0" w:color="auto"/>
        <w:bottom w:val="none" w:sz="0" w:space="0" w:color="auto"/>
        <w:right w:val="none" w:sz="0" w:space="0" w:color="auto"/>
      </w:divBdr>
    </w:div>
    <w:div w:id="792023231">
      <w:bodyDiv w:val="1"/>
      <w:marLeft w:val="0"/>
      <w:marRight w:val="0"/>
      <w:marTop w:val="0"/>
      <w:marBottom w:val="0"/>
      <w:divBdr>
        <w:top w:val="none" w:sz="0" w:space="0" w:color="auto"/>
        <w:left w:val="none" w:sz="0" w:space="0" w:color="auto"/>
        <w:bottom w:val="none" w:sz="0" w:space="0" w:color="auto"/>
        <w:right w:val="none" w:sz="0" w:space="0" w:color="auto"/>
      </w:divBdr>
    </w:div>
    <w:div w:id="797604840">
      <w:bodyDiv w:val="1"/>
      <w:marLeft w:val="0"/>
      <w:marRight w:val="0"/>
      <w:marTop w:val="0"/>
      <w:marBottom w:val="0"/>
      <w:divBdr>
        <w:top w:val="none" w:sz="0" w:space="0" w:color="auto"/>
        <w:left w:val="none" w:sz="0" w:space="0" w:color="auto"/>
        <w:bottom w:val="none" w:sz="0" w:space="0" w:color="auto"/>
        <w:right w:val="none" w:sz="0" w:space="0" w:color="auto"/>
      </w:divBdr>
    </w:div>
    <w:div w:id="801537000">
      <w:bodyDiv w:val="1"/>
      <w:marLeft w:val="0"/>
      <w:marRight w:val="0"/>
      <w:marTop w:val="0"/>
      <w:marBottom w:val="0"/>
      <w:divBdr>
        <w:top w:val="none" w:sz="0" w:space="0" w:color="auto"/>
        <w:left w:val="none" w:sz="0" w:space="0" w:color="auto"/>
        <w:bottom w:val="none" w:sz="0" w:space="0" w:color="auto"/>
        <w:right w:val="none" w:sz="0" w:space="0" w:color="auto"/>
      </w:divBdr>
    </w:div>
    <w:div w:id="837959967">
      <w:bodyDiv w:val="1"/>
      <w:marLeft w:val="0"/>
      <w:marRight w:val="0"/>
      <w:marTop w:val="0"/>
      <w:marBottom w:val="0"/>
      <w:divBdr>
        <w:top w:val="none" w:sz="0" w:space="0" w:color="auto"/>
        <w:left w:val="none" w:sz="0" w:space="0" w:color="auto"/>
        <w:bottom w:val="none" w:sz="0" w:space="0" w:color="auto"/>
        <w:right w:val="none" w:sz="0" w:space="0" w:color="auto"/>
      </w:divBdr>
    </w:div>
    <w:div w:id="854224601">
      <w:bodyDiv w:val="1"/>
      <w:marLeft w:val="0"/>
      <w:marRight w:val="0"/>
      <w:marTop w:val="0"/>
      <w:marBottom w:val="0"/>
      <w:divBdr>
        <w:top w:val="none" w:sz="0" w:space="0" w:color="auto"/>
        <w:left w:val="none" w:sz="0" w:space="0" w:color="auto"/>
        <w:bottom w:val="none" w:sz="0" w:space="0" w:color="auto"/>
        <w:right w:val="none" w:sz="0" w:space="0" w:color="auto"/>
      </w:divBdr>
    </w:div>
    <w:div w:id="882790008">
      <w:bodyDiv w:val="1"/>
      <w:marLeft w:val="0"/>
      <w:marRight w:val="0"/>
      <w:marTop w:val="0"/>
      <w:marBottom w:val="0"/>
      <w:divBdr>
        <w:top w:val="none" w:sz="0" w:space="0" w:color="auto"/>
        <w:left w:val="none" w:sz="0" w:space="0" w:color="auto"/>
        <w:bottom w:val="none" w:sz="0" w:space="0" w:color="auto"/>
        <w:right w:val="none" w:sz="0" w:space="0" w:color="auto"/>
      </w:divBdr>
    </w:div>
    <w:div w:id="988940558">
      <w:bodyDiv w:val="1"/>
      <w:marLeft w:val="0"/>
      <w:marRight w:val="0"/>
      <w:marTop w:val="0"/>
      <w:marBottom w:val="0"/>
      <w:divBdr>
        <w:top w:val="none" w:sz="0" w:space="0" w:color="auto"/>
        <w:left w:val="none" w:sz="0" w:space="0" w:color="auto"/>
        <w:bottom w:val="none" w:sz="0" w:space="0" w:color="auto"/>
        <w:right w:val="none" w:sz="0" w:space="0" w:color="auto"/>
      </w:divBdr>
    </w:div>
    <w:div w:id="1025595184">
      <w:bodyDiv w:val="1"/>
      <w:marLeft w:val="0"/>
      <w:marRight w:val="0"/>
      <w:marTop w:val="0"/>
      <w:marBottom w:val="0"/>
      <w:divBdr>
        <w:top w:val="none" w:sz="0" w:space="0" w:color="auto"/>
        <w:left w:val="none" w:sz="0" w:space="0" w:color="auto"/>
        <w:bottom w:val="none" w:sz="0" w:space="0" w:color="auto"/>
        <w:right w:val="none" w:sz="0" w:space="0" w:color="auto"/>
      </w:divBdr>
    </w:div>
    <w:div w:id="1101297464">
      <w:bodyDiv w:val="1"/>
      <w:marLeft w:val="0"/>
      <w:marRight w:val="0"/>
      <w:marTop w:val="0"/>
      <w:marBottom w:val="0"/>
      <w:divBdr>
        <w:top w:val="none" w:sz="0" w:space="0" w:color="auto"/>
        <w:left w:val="none" w:sz="0" w:space="0" w:color="auto"/>
        <w:bottom w:val="none" w:sz="0" w:space="0" w:color="auto"/>
        <w:right w:val="none" w:sz="0" w:space="0" w:color="auto"/>
      </w:divBdr>
    </w:div>
    <w:div w:id="1113861837">
      <w:bodyDiv w:val="1"/>
      <w:marLeft w:val="0"/>
      <w:marRight w:val="0"/>
      <w:marTop w:val="0"/>
      <w:marBottom w:val="0"/>
      <w:divBdr>
        <w:top w:val="none" w:sz="0" w:space="0" w:color="auto"/>
        <w:left w:val="none" w:sz="0" w:space="0" w:color="auto"/>
        <w:bottom w:val="none" w:sz="0" w:space="0" w:color="auto"/>
        <w:right w:val="none" w:sz="0" w:space="0" w:color="auto"/>
      </w:divBdr>
    </w:div>
    <w:div w:id="1137187985">
      <w:bodyDiv w:val="1"/>
      <w:marLeft w:val="0"/>
      <w:marRight w:val="0"/>
      <w:marTop w:val="0"/>
      <w:marBottom w:val="0"/>
      <w:divBdr>
        <w:top w:val="none" w:sz="0" w:space="0" w:color="auto"/>
        <w:left w:val="none" w:sz="0" w:space="0" w:color="auto"/>
        <w:bottom w:val="none" w:sz="0" w:space="0" w:color="auto"/>
        <w:right w:val="none" w:sz="0" w:space="0" w:color="auto"/>
      </w:divBdr>
    </w:div>
    <w:div w:id="1157500711">
      <w:bodyDiv w:val="1"/>
      <w:marLeft w:val="0"/>
      <w:marRight w:val="0"/>
      <w:marTop w:val="0"/>
      <w:marBottom w:val="0"/>
      <w:divBdr>
        <w:top w:val="none" w:sz="0" w:space="0" w:color="auto"/>
        <w:left w:val="none" w:sz="0" w:space="0" w:color="auto"/>
        <w:bottom w:val="none" w:sz="0" w:space="0" w:color="auto"/>
        <w:right w:val="none" w:sz="0" w:space="0" w:color="auto"/>
      </w:divBdr>
    </w:div>
    <w:div w:id="1162431368">
      <w:bodyDiv w:val="1"/>
      <w:marLeft w:val="0"/>
      <w:marRight w:val="0"/>
      <w:marTop w:val="0"/>
      <w:marBottom w:val="0"/>
      <w:divBdr>
        <w:top w:val="none" w:sz="0" w:space="0" w:color="auto"/>
        <w:left w:val="none" w:sz="0" w:space="0" w:color="auto"/>
        <w:bottom w:val="none" w:sz="0" w:space="0" w:color="auto"/>
        <w:right w:val="none" w:sz="0" w:space="0" w:color="auto"/>
      </w:divBdr>
    </w:div>
    <w:div w:id="1174689778">
      <w:bodyDiv w:val="1"/>
      <w:marLeft w:val="0"/>
      <w:marRight w:val="0"/>
      <w:marTop w:val="0"/>
      <w:marBottom w:val="0"/>
      <w:divBdr>
        <w:top w:val="none" w:sz="0" w:space="0" w:color="auto"/>
        <w:left w:val="none" w:sz="0" w:space="0" w:color="auto"/>
        <w:bottom w:val="none" w:sz="0" w:space="0" w:color="auto"/>
        <w:right w:val="none" w:sz="0" w:space="0" w:color="auto"/>
      </w:divBdr>
    </w:div>
    <w:div w:id="1199660648">
      <w:bodyDiv w:val="1"/>
      <w:marLeft w:val="0"/>
      <w:marRight w:val="0"/>
      <w:marTop w:val="0"/>
      <w:marBottom w:val="0"/>
      <w:divBdr>
        <w:top w:val="none" w:sz="0" w:space="0" w:color="auto"/>
        <w:left w:val="none" w:sz="0" w:space="0" w:color="auto"/>
        <w:bottom w:val="none" w:sz="0" w:space="0" w:color="auto"/>
        <w:right w:val="none" w:sz="0" w:space="0" w:color="auto"/>
      </w:divBdr>
    </w:div>
    <w:div w:id="1205404037">
      <w:bodyDiv w:val="1"/>
      <w:marLeft w:val="0"/>
      <w:marRight w:val="0"/>
      <w:marTop w:val="0"/>
      <w:marBottom w:val="0"/>
      <w:divBdr>
        <w:top w:val="none" w:sz="0" w:space="0" w:color="auto"/>
        <w:left w:val="none" w:sz="0" w:space="0" w:color="auto"/>
        <w:bottom w:val="none" w:sz="0" w:space="0" w:color="auto"/>
        <w:right w:val="none" w:sz="0" w:space="0" w:color="auto"/>
      </w:divBdr>
    </w:div>
    <w:div w:id="1208562571">
      <w:bodyDiv w:val="1"/>
      <w:marLeft w:val="0"/>
      <w:marRight w:val="0"/>
      <w:marTop w:val="0"/>
      <w:marBottom w:val="0"/>
      <w:divBdr>
        <w:top w:val="none" w:sz="0" w:space="0" w:color="auto"/>
        <w:left w:val="none" w:sz="0" w:space="0" w:color="auto"/>
        <w:bottom w:val="none" w:sz="0" w:space="0" w:color="auto"/>
        <w:right w:val="none" w:sz="0" w:space="0" w:color="auto"/>
      </w:divBdr>
    </w:div>
    <w:div w:id="1227183032">
      <w:bodyDiv w:val="1"/>
      <w:marLeft w:val="0"/>
      <w:marRight w:val="0"/>
      <w:marTop w:val="0"/>
      <w:marBottom w:val="0"/>
      <w:divBdr>
        <w:top w:val="none" w:sz="0" w:space="0" w:color="auto"/>
        <w:left w:val="none" w:sz="0" w:space="0" w:color="auto"/>
        <w:bottom w:val="none" w:sz="0" w:space="0" w:color="auto"/>
        <w:right w:val="none" w:sz="0" w:space="0" w:color="auto"/>
      </w:divBdr>
    </w:div>
    <w:div w:id="1252934126">
      <w:bodyDiv w:val="1"/>
      <w:marLeft w:val="0"/>
      <w:marRight w:val="0"/>
      <w:marTop w:val="0"/>
      <w:marBottom w:val="0"/>
      <w:divBdr>
        <w:top w:val="none" w:sz="0" w:space="0" w:color="auto"/>
        <w:left w:val="none" w:sz="0" w:space="0" w:color="auto"/>
        <w:bottom w:val="none" w:sz="0" w:space="0" w:color="auto"/>
        <w:right w:val="none" w:sz="0" w:space="0" w:color="auto"/>
      </w:divBdr>
    </w:div>
    <w:div w:id="1275285033">
      <w:bodyDiv w:val="1"/>
      <w:marLeft w:val="0"/>
      <w:marRight w:val="0"/>
      <w:marTop w:val="0"/>
      <w:marBottom w:val="0"/>
      <w:divBdr>
        <w:top w:val="none" w:sz="0" w:space="0" w:color="auto"/>
        <w:left w:val="none" w:sz="0" w:space="0" w:color="auto"/>
        <w:bottom w:val="none" w:sz="0" w:space="0" w:color="auto"/>
        <w:right w:val="none" w:sz="0" w:space="0" w:color="auto"/>
      </w:divBdr>
    </w:div>
    <w:div w:id="1277981173">
      <w:bodyDiv w:val="1"/>
      <w:marLeft w:val="0"/>
      <w:marRight w:val="0"/>
      <w:marTop w:val="0"/>
      <w:marBottom w:val="0"/>
      <w:divBdr>
        <w:top w:val="none" w:sz="0" w:space="0" w:color="auto"/>
        <w:left w:val="none" w:sz="0" w:space="0" w:color="auto"/>
        <w:bottom w:val="none" w:sz="0" w:space="0" w:color="auto"/>
        <w:right w:val="none" w:sz="0" w:space="0" w:color="auto"/>
      </w:divBdr>
    </w:div>
    <w:div w:id="1312099882">
      <w:bodyDiv w:val="1"/>
      <w:marLeft w:val="0"/>
      <w:marRight w:val="0"/>
      <w:marTop w:val="0"/>
      <w:marBottom w:val="0"/>
      <w:divBdr>
        <w:top w:val="none" w:sz="0" w:space="0" w:color="auto"/>
        <w:left w:val="none" w:sz="0" w:space="0" w:color="auto"/>
        <w:bottom w:val="none" w:sz="0" w:space="0" w:color="auto"/>
        <w:right w:val="none" w:sz="0" w:space="0" w:color="auto"/>
      </w:divBdr>
    </w:div>
    <w:div w:id="1318067439">
      <w:bodyDiv w:val="1"/>
      <w:marLeft w:val="0"/>
      <w:marRight w:val="0"/>
      <w:marTop w:val="0"/>
      <w:marBottom w:val="0"/>
      <w:divBdr>
        <w:top w:val="none" w:sz="0" w:space="0" w:color="auto"/>
        <w:left w:val="none" w:sz="0" w:space="0" w:color="auto"/>
        <w:bottom w:val="none" w:sz="0" w:space="0" w:color="auto"/>
        <w:right w:val="none" w:sz="0" w:space="0" w:color="auto"/>
      </w:divBdr>
    </w:div>
    <w:div w:id="1347366313">
      <w:bodyDiv w:val="1"/>
      <w:marLeft w:val="0"/>
      <w:marRight w:val="0"/>
      <w:marTop w:val="0"/>
      <w:marBottom w:val="0"/>
      <w:divBdr>
        <w:top w:val="none" w:sz="0" w:space="0" w:color="auto"/>
        <w:left w:val="none" w:sz="0" w:space="0" w:color="auto"/>
        <w:bottom w:val="none" w:sz="0" w:space="0" w:color="auto"/>
        <w:right w:val="none" w:sz="0" w:space="0" w:color="auto"/>
      </w:divBdr>
    </w:div>
    <w:div w:id="1351686404">
      <w:bodyDiv w:val="1"/>
      <w:marLeft w:val="0"/>
      <w:marRight w:val="0"/>
      <w:marTop w:val="0"/>
      <w:marBottom w:val="0"/>
      <w:divBdr>
        <w:top w:val="none" w:sz="0" w:space="0" w:color="auto"/>
        <w:left w:val="none" w:sz="0" w:space="0" w:color="auto"/>
        <w:bottom w:val="none" w:sz="0" w:space="0" w:color="auto"/>
        <w:right w:val="none" w:sz="0" w:space="0" w:color="auto"/>
      </w:divBdr>
    </w:div>
    <w:div w:id="1381857852">
      <w:bodyDiv w:val="1"/>
      <w:marLeft w:val="0"/>
      <w:marRight w:val="0"/>
      <w:marTop w:val="0"/>
      <w:marBottom w:val="0"/>
      <w:divBdr>
        <w:top w:val="none" w:sz="0" w:space="0" w:color="auto"/>
        <w:left w:val="none" w:sz="0" w:space="0" w:color="auto"/>
        <w:bottom w:val="none" w:sz="0" w:space="0" w:color="auto"/>
        <w:right w:val="none" w:sz="0" w:space="0" w:color="auto"/>
      </w:divBdr>
    </w:div>
    <w:div w:id="1405251872">
      <w:bodyDiv w:val="1"/>
      <w:marLeft w:val="0"/>
      <w:marRight w:val="0"/>
      <w:marTop w:val="0"/>
      <w:marBottom w:val="0"/>
      <w:divBdr>
        <w:top w:val="none" w:sz="0" w:space="0" w:color="auto"/>
        <w:left w:val="none" w:sz="0" w:space="0" w:color="auto"/>
        <w:bottom w:val="none" w:sz="0" w:space="0" w:color="auto"/>
        <w:right w:val="none" w:sz="0" w:space="0" w:color="auto"/>
      </w:divBdr>
    </w:div>
    <w:div w:id="1414351711">
      <w:bodyDiv w:val="1"/>
      <w:marLeft w:val="0"/>
      <w:marRight w:val="0"/>
      <w:marTop w:val="0"/>
      <w:marBottom w:val="0"/>
      <w:divBdr>
        <w:top w:val="none" w:sz="0" w:space="0" w:color="auto"/>
        <w:left w:val="none" w:sz="0" w:space="0" w:color="auto"/>
        <w:bottom w:val="none" w:sz="0" w:space="0" w:color="auto"/>
        <w:right w:val="none" w:sz="0" w:space="0" w:color="auto"/>
      </w:divBdr>
    </w:div>
    <w:div w:id="1430927017">
      <w:bodyDiv w:val="1"/>
      <w:marLeft w:val="0"/>
      <w:marRight w:val="0"/>
      <w:marTop w:val="0"/>
      <w:marBottom w:val="0"/>
      <w:divBdr>
        <w:top w:val="none" w:sz="0" w:space="0" w:color="auto"/>
        <w:left w:val="none" w:sz="0" w:space="0" w:color="auto"/>
        <w:bottom w:val="none" w:sz="0" w:space="0" w:color="auto"/>
        <w:right w:val="none" w:sz="0" w:space="0" w:color="auto"/>
      </w:divBdr>
    </w:div>
    <w:div w:id="1450121958">
      <w:bodyDiv w:val="1"/>
      <w:marLeft w:val="0"/>
      <w:marRight w:val="0"/>
      <w:marTop w:val="0"/>
      <w:marBottom w:val="0"/>
      <w:divBdr>
        <w:top w:val="none" w:sz="0" w:space="0" w:color="auto"/>
        <w:left w:val="none" w:sz="0" w:space="0" w:color="auto"/>
        <w:bottom w:val="none" w:sz="0" w:space="0" w:color="auto"/>
        <w:right w:val="none" w:sz="0" w:space="0" w:color="auto"/>
      </w:divBdr>
    </w:div>
    <w:div w:id="1474954330">
      <w:bodyDiv w:val="1"/>
      <w:marLeft w:val="0"/>
      <w:marRight w:val="0"/>
      <w:marTop w:val="0"/>
      <w:marBottom w:val="0"/>
      <w:divBdr>
        <w:top w:val="none" w:sz="0" w:space="0" w:color="auto"/>
        <w:left w:val="none" w:sz="0" w:space="0" w:color="auto"/>
        <w:bottom w:val="none" w:sz="0" w:space="0" w:color="auto"/>
        <w:right w:val="none" w:sz="0" w:space="0" w:color="auto"/>
      </w:divBdr>
    </w:div>
    <w:div w:id="1500343384">
      <w:bodyDiv w:val="1"/>
      <w:marLeft w:val="0"/>
      <w:marRight w:val="0"/>
      <w:marTop w:val="0"/>
      <w:marBottom w:val="0"/>
      <w:divBdr>
        <w:top w:val="none" w:sz="0" w:space="0" w:color="auto"/>
        <w:left w:val="none" w:sz="0" w:space="0" w:color="auto"/>
        <w:bottom w:val="none" w:sz="0" w:space="0" w:color="auto"/>
        <w:right w:val="none" w:sz="0" w:space="0" w:color="auto"/>
      </w:divBdr>
    </w:div>
    <w:div w:id="1513572156">
      <w:bodyDiv w:val="1"/>
      <w:marLeft w:val="0"/>
      <w:marRight w:val="0"/>
      <w:marTop w:val="0"/>
      <w:marBottom w:val="0"/>
      <w:divBdr>
        <w:top w:val="none" w:sz="0" w:space="0" w:color="auto"/>
        <w:left w:val="none" w:sz="0" w:space="0" w:color="auto"/>
        <w:bottom w:val="none" w:sz="0" w:space="0" w:color="auto"/>
        <w:right w:val="none" w:sz="0" w:space="0" w:color="auto"/>
      </w:divBdr>
    </w:div>
    <w:div w:id="1524785943">
      <w:bodyDiv w:val="1"/>
      <w:marLeft w:val="0"/>
      <w:marRight w:val="0"/>
      <w:marTop w:val="0"/>
      <w:marBottom w:val="0"/>
      <w:divBdr>
        <w:top w:val="none" w:sz="0" w:space="0" w:color="auto"/>
        <w:left w:val="none" w:sz="0" w:space="0" w:color="auto"/>
        <w:bottom w:val="none" w:sz="0" w:space="0" w:color="auto"/>
        <w:right w:val="none" w:sz="0" w:space="0" w:color="auto"/>
      </w:divBdr>
    </w:div>
    <w:div w:id="1532380242">
      <w:bodyDiv w:val="1"/>
      <w:marLeft w:val="0"/>
      <w:marRight w:val="0"/>
      <w:marTop w:val="0"/>
      <w:marBottom w:val="0"/>
      <w:divBdr>
        <w:top w:val="none" w:sz="0" w:space="0" w:color="auto"/>
        <w:left w:val="none" w:sz="0" w:space="0" w:color="auto"/>
        <w:bottom w:val="none" w:sz="0" w:space="0" w:color="auto"/>
        <w:right w:val="none" w:sz="0" w:space="0" w:color="auto"/>
      </w:divBdr>
    </w:div>
    <w:div w:id="1533768584">
      <w:bodyDiv w:val="1"/>
      <w:marLeft w:val="0"/>
      <w:marRight w:val="0"/>
      <w:marTop w:val="0"/>
      <w:marBottom w:val="0"/>
      <w:divBdr>
        <w:top w:val="none" w:sz="0" w:space="0" w:color="auto"/>
        <w:left w:val="none" w:sz="0" w:space="0" w:color="auto"/>
        <w:bottom w:val="none" w:sz="0" w:space="0" w:color="auto"/>
        <w:right w:val="none" w:sz="0" w:space="0" w:color="auto"/>
      </w:divBdr>
    </w:div>
    <w:div w:id="1553074223">
      <w:bodyDiv w:val="1"/>
      <w:marLeft w:val="0"/>
      <w:marRight w:val="0"/>
      <w:marTop w:val="0"/>
      <w:marBottom w:val="0"/>
      <w:divBdr>
        <w:top w:val="none" w:sz="0" w:space="0" w:color="auto"/>
        <w:left w:val="none" w:sz="0" w:space="0" w:color="auto"/>
        <w:bottom w:val="none" w:sz="0" w:space="0" w:color="auto"/>
        <w:right w:val="none" w:sz="0" w:space="0" w:color="auto"/>
      </w:divBdr>
    </w:div>
    <w:div w:id="1560289838">
      <w:bodyDiv w:val="1"/>
      <w:marLeft w:val="0"/>
      <w:marRight w:val="0"/>
      <w:marTop w:val="0"/>
      <w:marBottom w:val="0"/>
      <w:divBdr>
        <w:top w:val="none" w:sz="0" w:space="0" w:color="auto"/>
        <w:left w:val="none" w:sz="0" w:space="0" w:color="auto"/>
        <w:bottom w:val="none" w:sz="0" w:space="0" w:color="auto"/>
        <w:right w:val="none" w:sz="0" w:space="0" w:color="auto"/>
      </w:divBdr>
    </w:div>
    <w:div w:id="1575506637">
      <w:bodyDiv w:val="1"/>
      <w:marLeft w:val="0"/>
      <w:marRight w:val="0"/>
      <w:marTop w:val="0"/>
      <w:marBottom w:val="0"/>
      <w:divBdr>
        <w:top w:val="none" w:sz="0" w:space="0" w:color="auto"/>
        <w:left w:val="none" w:sz="0" w:space="0" w:color="auto"/>
        <w:bottom w:val="none" w:sz="0" w:space="0" w:color="auto"/>
        <w:right w:val="none" w:sz="0" w:space="0" w:color="auto"/>
      </w:divBdr>
    </w:div>
    <w:div w:id="1650553984">
      <w:bodyDiv w:val="1"/>
      <w:marLeft w:val="0"/>
      <w:marRight w:val="0"/>
      <w:marTop w:val="0"/>
      <w:marBottom w:val="0"/>
      <w:divBdr>
        <w:top w:val="none" w:sz="0" w:space="0" w:color="auto"/>
        <w:left w:val="none" w:sz="0" w:space="0" w:color="auto"/>
        <w:bottom w:val="none" w:sz="0" w:space="0" w:color="auto"/>
        <w:right w:val="none" w:sz="0" w:space="0" w:color="auto"/>
      </w:divBdr>
    </w:div>
    <w:div w:id="1701516346">
      <w:bodyDiv w:val="1"/>
      <w:marLeft w:val="0"/>
      <w:marRight w:val="0"/>
      <w:marTop w:val="0"/>
      <w:marBottom w:val="0"/>
      <w:divBdr>
        <w:top w:val="none" w:sz="0" w:space="0" w:color="auto"/>
        <w:left w:val="none" w:sz="0" w:space="0" w:color="auto"/>
        <w:bottom w:val="none" w:sz="0" w:space="0" w:color="auto"/>
        <w:right w:val="none" w:sz="0" w:space="0" w:color="auto"/>
      </w:divBdr>
    </w:div>
    <w:div w:id="1705790907">
      <w:bodyDiv w:val="1"/>
      <w:marLeft w:val="0"/>
      <w:marRight w:val="0"/>
      <w:marTop w:val="0"/>
      <w:marBottom w:val="0"/>
      <w:divBdr>
        <w:top w:val="none" w:sz="0" w:space="0" w:color="auto"/>
        <w:left w:val="none" w:sz="0" w:space="0" w:color="auto"/>
        <w:bottom w:val="none" w:sz="0" w:space="0" w:color="auto"/>
        <w:right w:val="none" w:sz="0" w:space="0" w:color="auto"/>
      </w:divBdr>
    </w:div>
    <w:div w:id="1708095712">
      <w:bodyDiv w:val="1"/>
      <w:marLeft w:val="0"/>
      <w:marRight w:val="0"/>
      <w:marTop w:val="0"/>
      <w:marBottom w:val="0"/>
      <w:divBdr>
        <w:top w:val="none" w:sz="0" w:space="0" w:color="auto"/>
        <w:left w:val="none" w:sz="0" w:space="0" w:color="auto"/>
        <w:bottom w:val="none" w:sz="0" w:space="0" w:color="auto"/>
        <w:right w:val="none" w:sz="0" w:space="0" w:color="auto"/>
      </w:divBdr>
    </w:div>
    <w:div w:id="1726221407">
      <w:bodyDiv w:val="1"/>
      <w:marLeft w:val="0"/>
      <w:marRight w:val="0"/>
      <w:marTop w:val="0"/>
      <w:marBottom w:val="0"/>
      <w:divBdr>
        <w:top w:val="none" w:sz="0" w:space="0" w:color="auto"/>
        <w:left w:val="none" w:sz="0" w:space="0" w:color="auto"/>
        <w:bottom w:val="none" w:sz="0" w:space="0" w:color="auto"/>
        <w:right w:val="none" w:sz="0" w:space="0" w:color="auto"/>
      </w:divBdr>
    </w:div>
    <w:div w:id="1726559873">
      <w:bodyDiv w:val="1"/>
      <w:marLeft w:val="0"/>
      <w:marRight w:val="0"/>
      <w:marTop w:val="0"/>
      <w:marBottom w:val="0"/>
      <w:divBdr>
        <w:top w:val="none" w:sz="0" w:space="0" w:color="auto"/>
        <w:left w:val="none" w:sz="0" w:space="0" w:color="auto"/>
        <w:bottom w:val="none" w:sz="0" w:space="0" w:color="auto"/>
        <w:right w:val="none" w:sz="0" w:space="0" w:color="auto"/>
      </w:divBdr>
    </w:div>
    <w:div w:id="1754282396">
      <w:bodyDiv w:val="1"/>
      <w:marLeft w:val="0"/>
      <w:marRight w:val="0"/>
      <w:marTop w:val="0"/>
      <w:marBottom w:val="0"/>
      <w:divBdr>
        <w:top w:val="none" w:sz="0" w:space="0" w:color="auto"/>
        <w:left w:val="none" w:sz="0" w:space="0" w:color="auto"/>
        <w:bottom w:val="none" w:sz="0" w:space="0" w:color="auto"/>
        <w:right w:val="none" w:sz="0" w:space="0" w:color="auto"/>
      </w:divBdr>
    </w:div>
    <w:div w:id="1786919994">
      <w:bodyDiv w:val="1"/>
      <w:marLeft w:val="0"/>
      <w:marRight w:val="0"/>
      <w:marTop w:val="0"/>
      <w:marBottom w:val="0"/>
      <w:divBdr>
        <w:top w:val="none" w:sz="0" w:space="0" w:color="auto"/>
        <w:left w:val="none" w:sz="0" w:space="0" w:color="auto"/>
        <w:bottom w:val="none" w:sz="0" w:space="0" w:color="auto"/>
        <w:right w:val="none" w:sz="0" w:space="0" w:color="auto"/>
      </w:divBdr>
    </w:div>
    <w:div w:id="1891840257">
      <w:bodyDiv w:val="1"/>
      <w:marLeft w:val="0"/>
      <w:marRight w:val="0"/>
      <w:marTop w:val="0"/>
      <w:marBottom w:val="0"/>
      <w:divBdr>
        <w:top w:val="none" w:sz="0" w:space="0" w:color="auto"/>
        <w:left w:val="none" w:sz="0" w:space="0" w:color="auto"/>
        <w:bottom w:val="none" w:sz="0" w:space="0" w:color="auto"/>
        <w:right w:val="none" w:sz="0" w:space="0" w:color="auto"/>
      </w:divBdr>
    </w:div>
    <w:div w:id="1929851150">
      <w:bodyDiv w:val="1"/>
      <w:marLeft w:val="0"/>
      <w:marRight w:val="0"/>
      <w:marTop w:val="0"/>
      <w:marBottom w:val="0"/>
      <w:divBdr>
        <w:top w:val="none" w:sz="0" w:space="0" w:color="auto"/>
        <w:left w:val="none" w:sz="0" w:space="0" w:color="auto"/>
        <w:bottom w:val="none" w:sz="0" w:space="0" w:color="auto"/>
        <w:right w:val="none" w:sz="0" w:space="0" w:color="auto"/>
      </w:divBdr>
    </w:div>
    <w:div w:id="1934313969">
      <w:bodyDiv w:val="1"/>
      <w:marLeft w:val="0"/>
      <w:marRight w:val="0"/>
      <w:marTop w:val="0"/>
      <w:marBottom w:val="0"/>
      <w:divBdr>
        <w:top w:val="none" w:sz="0" w:space="0" w:color="auto"/>
        <w:left w:val="none" w:sz="0" w:space="0" w:color="auto"/>
        <w:bottom w:val="none" w:sz="0" w:space="0" w:color="auto"/>
        <w:right w:val="none" w:sz="0" w:space="0" w:color="auto"/>
      </w:divBdr>
    </w:div>
    <w:div w:id="1945113812">
      <w:bodyDiv w:val="1"/>
      <w:marLeft w:val="0"/>
      <w:marRight w:val="0"/>
      <w:marTop w:val="0"/>
      <w:marBottom w:val="0"/>
      <w:divBdr>
        <w:top w:val="none" w:sz="0" w:space="0" w:color="auto"/>
        <w:left w:val="none" w:sz="0" w:space="0" w:color="auto"/>
        <w:bottom w:val="none" w:sz="0" w:space="0" w:color="auto"/>
        <w:right w:val="none" w:sz="0" w:space="0" w:color="auto"/>
      </w:divBdr>
    </w:div>
    <w:div w:id="1950772993">
      <w:bodyDiv w:val="1"/>
      <w:marLeft w:val="0"/>
      <w:marRight w:val="0"/>
      <w:marTop w:val="0"/>
      <w:marBottom w:val="0"/>
      <w:divBdr>
        <w:top w:val="none" w:sz="0" w:space="0" w:color="auto"/>
        <w:left w:val="none" w:sz="0" w:space="0" w:color="auto"/>
        <w:bottom w:val="none" w:sz="0" w:space="0" w:color="auto"/>
        <w:right w:val="none" w:sz="0" w:space="0" w:color="auto"/>
      </w:divBdr>
    </w:div>
    <w:div w:id="1961760956">
      <w:bodyDiv w:val="1"/>
      <w:marLeft w:val="0"/>
      <w:marRight w:val="0"/>
      <w:marTop w:val="0"/>
      <w:marBottom w:val="0"/>
      <w:divBdr>
        <w:top w:val="none" w:sz="0" w:space="0" w:color="auto"/>
        <w:left w:val="none" w:sz="0" w:space="0" w:color="auto"/>
        <w:bottom w:val="none" w:sz="0" w:space="0" w:color="auto"/>
        <w:right w:val="none" w:sz="0" w:space="0" w:color="auto"/>
      </w:divBdr>
    </w:div>
    <w:div w:id="1990212411">
      <w:bodyDiv w:val="1"/>
      <w:marLeft w:val="0"/>
      <w:marRight w:val="0"/>
      <w:marTop w:val="0"/>
      <w:marBottom w:val="0"/>
      <w:divBdr>
        <w:top w:val="none" w:sz="0" w:space="0" w:color="auto"/>
        <w:left w:val="none" w:sz="0" w:space="0" w:color="auto"/>
        <w:bottom w:val="none" w:sz="0" w:space="0" w:color="auto"/>
        <w:right w:val="none" w:sz="0" w:space="0" w:color="auto"/>
      </w:divBdr>
    </w:div>
    <w:div w:id="1994870417">
      <w:bodyDiv w:val="1"/>
      <w:marLeft w:val="0"/>
      <w:marRight w:val="0"/>
      <w:marTop w:val="0"/>
      <w:marBottom w:val="0"/>
      <w:divBdr>
        <w:top w:val="none" w:sz="0" w:space="0" w:color="auto"/>
        <w:left w:val="none" w:sz="0" w:space="0" w:color="auto"/>
        <w:bottom w:val="none" w:sz="0" w:space="0" w:color="auto"/>
        <w:right w:val="none" w:sz="0" w:space="0" w:color="auto"/>
      </w:divBdr>
    </w:div>
    <w:div w:id="2046321178">
      <w:bodyDiv w:val="1"/>
      <w:marLeft w:val="0"/>
      <w:marRight w:val="0"/>
      <w:marTop w:val="0"/>
      <w:marBottom w:val="0"/>
      <w:divBdr>
        <w:top w:val="none" w:sz="0" w:space="0" w:color="auto"/>
        <w:left w:val="none" w:sz="0" w:space="0" w:color="auto"/>
        <w:bottom w:val="none" w:sz="0" w:space="0" w:color="auto"/>
        <w:right w:val="none" w:sz="0" w:space="0" w:color="auto"/>
      </w:divBdr>
    </w:div>
    <w:div w:id="21410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380ff-57d3-4995-a863-48eec5a0f8b8" xsi:nil="true"/>
    <lcf76f155ced4ddcb4097134ff3c332f xmlns="a00393b7-6255-459e-89cf-16671be27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CC943F1B71143A368CE1BF80E9E28" ma:contentTypeVersion="17" ma:contentTypeDescription="Create a new document." ma:contentTypeScope="" ma:versionID="aecb5c8eb420099c4461b974a1e25ba6">
  <xsd:schema xmlns:xsd="http://www.w3.org/2001/XMLSchema" xmlns:xs="http://www.w3.org/2001/XMLSchema" xmlns:p="http://schemas.microsoft.com/office/2006/metadata/properties" xmlns:ns2="a00393b7-6255-459e-89cf-16671be275a6" xmlns:ns3="219380ff-57d3-4995-a863-48eec5a0f8b8" targetNamespace="http://schemas.microsoft.com/office/2006/metadata/properties" ma:root="true" ma:fieldsID="33a38a1be986c5600152eee9e8ae0572" ns2:_="" ns3:_="">
    <xsd:import namespace="a00393b7-6255-459e-89cf-16671be275a6"/>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393b7-6255-459e-89cf-16671be27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FBE1E-AB17-4D3C-8DCB-03AD81CE5725}">
  <ds:schemaRefs>
    <ds:schemaRef ds:uri="http://schemas.microsoft.com/office/2006/metadata/properties"/>
    <ds:schemaRef ds:uri="http://schemas.microsoft.com/office/infopath/2007/PartnerControls"/>
    <ds:schemaRef ds:uri="219380ff-57d3-4995-a863-48eec5a0f8b8"/>
    <ds:schemaRef ds:uri="a00393b7-6255-459e-89cf-16671be275a6"/>
  </ds:schemaRefs>
</ds:datastoreItem>
</file>

<file path=customXml/itemProps2.xml><?xml version="1.0" encoding="utf-8"?>
<ds:datastoreItem xmlns:ds="http://schemas.openxmlformats.org/officeDocument/2006/customXml" ds:itemID="{29C888FF-9179-4B2F-98E6-1E3BFCDCFC50}">
  <ds:schemaRefs>
    <ds:schemaRef ds:uri="http://schemas.microsoft.com/sharepoint/v3/contenttype/forms"/>
  </ds:schemaRefs>
</ds:datastoreItem>
</file>

<file path=customXml/itemProps3.xml><?xml version="1.0" encoding="utf-8"?>
<ds:datastoreItem xmlns:ds="http://schemas.openxmlformats.org/officeDocument/2006/customXml" ds:itemID="{51580444-EC3B-458A-8656-3C6FD3CD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393b7-6255-459e-89cf-16671be275a6"/>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7</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Greenville Procurement Partners Ltd;</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Greenville Procurement Partners Ltd</dc:creator>
  <cp:keywords/>
  <dc:description/>
  <cp:lastModifiedBy>Samrat Paul</cp:lastModifiedBy>
  <cp:revision>200</cp:revision>
  <cp:lastPrinted>2021-10-20T18:47:00Z</cp:lastPrinted>
  <dcterms:created xsi:type="dcterms:W3CDTF">2026-06-29T08:22:00Z</dcterms:created>
  <dcterms:modified xsi:type="dcterms:W3CDTF">2026-07-01T15:26:00Z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0x010100525CC943F1B71143A368CE1BF80E9E28</vt:lpwstr>
  </property>
  <property fmtid="{D5CDD505-2E9C-101B-9397-08002B2CF9AE}" pid="3" name="MediaServiceImageTags">
    <vt:lpwstr/>
  </property>
  <property fmtid="{D5CDD505-2E9C-101B-9397-08002B2CF9AE}" pid="4" name="MSIP_Label_ffd6aabd-01ad-4123-8401-56bab809a6ab_Enabled">
    <vt:lpwstr>true</vt:lpwstr>
  </property>
  <property fmtid="{D5CDD505-2E9C-101B-9397-08002B2CF9AE}" pid="5" name="MSIP_Label_ffd6aabd-01ad-4123-8401-56bab809a6ab_SetDate">
    <vt:lpwstr>2026-06-29T08:22:20Z</vt:lpwstr>
  </property>
  <property fmtid="{D5CDD505-2E9C-101B-9397-08002B2CF9AE}" pid="6" name="MSIP_Label_ffd6aabd-01ad-4123-8401-56bab809a6ab_Method">
    <vt:lpwstr>Standard</vt:lpwstr>
  </property>
  <property fmtid="{D5CDD505-2E9C-101B-9397-08002B2CF9AE}" pid="7" name="MSIP_Label_ffd6aabd-01ad-4123-8401-56bab809a6ab_Name">
    <vt:lpwstr>LGMA-Internal-POC</vt:lpwstr>
  </property>
  <property fmtid="{D5CDD505-2E9C-101B-9397-08002B2CF9AE}" pid="8" name="MSIP_Label_ffd6aabd-01ad-4123-8401-56bab809a6ab_SiteId">
    <vt:lpwstr>ef22ca07-ab07-4cf9-8562-d5c5bb0416f4</vt:lpwstr>
  </property>
  <property fmtid="{D5CDD505-2E9C-101B-9397-08002B2CF9AE}" pid="9" name="MSIP_Label_ffd6aabd-01ad-4123-8401-56bab809a6ab_ActionId">
    <vt:lpwstr>ab816e71-f509-49ea-949c-cf1a1dd64876</vt:lpwstr>
  </property>
  <property fmtid="{D5CDD505-2E9C-101B-9397-08002B2CF9AE}" pid="10" name="MSIP_Label_ffd6aabd-01ad-4123-8401-56bab809a6ab_ContentBits">
    <vt:lpwstr>0</vt:lpwstr>
  </property>
  <property fmtid="{D5CDD505-2E9C-101B-9397-08002B2CF9AE}" pid="11" name="MSIP_Label_ffd6aabd-01ad-4123-8401-56bab809a6ab_Tag">
    <vt:lpwstr>10, 3, 0, 1</vt:lpwstr>
  </property>
</Properties>
</file>