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4C526" w14:textId="25F53F92" w:rsidR="009C6D62" w:rsidRDefault="002069D3" w:rsidP="00F94F01">
      <w:pPr>
        <w:jc w:val="center"/>
        <w:rPr>
          <w:b/>
          <w:sz w:val="32"/>
          <w:u w:val="single"/>
        </w:rPr>
      </w:pPr>
      <w:r w:rsidRPr="00E87FBE">
        <w:rPr>
          <w:b/>
          <w:sz w:val="32"/>
          <w:u w:val="single"/>
        </w:rPr>
        <w:t xml:space="preserve">Clarifications </w:t>
      </w:r>
    </w:p>
    <w:p w14:paraId="4C948F91" w14:textId="77777777" w:rsidR="00E87FBE" w:rsidRPr="00E87FBE" w:rsidRDefault="00E87FBE" w:rsidP="00F94F01">
      <w:pPr>
        <w:jc w:val="center"/>
        <w:rPr>
          <w:b/>
          <w:sz w:val="32"/>
          <w:u w:val="single"/>
        </w:rPr>
      </w:pPr>
    </w:p>
    <w:tbl>
      <w:tblPr>
        <w:tblStyle w:val="TableGrid"/>
        <w:tblW w:w="0" w:type="auto"/>
        <w:tblLook w:val="04A0" w:firstRow="1" w:lastRow="0" w:firstColumn="1" w:lastColumn="0" w:noHBand="0" w:noVBand="1"/>
      </w:tblPr>
      <w:tblGrid>
        <w:gridCol w:w="521"/>
        <w:gridCol w:w="3701"/>
        <w:gridCol w:w="4794"/>
      </w:tblGrid>
      <w:tr w:rsidR="0087628C" w14:paraId="4F346316" w14:textId="77777777" w:rsidTr="6D87B470">
        <w:tc>
          <w:tcPr>
            <w:tcW w:w="521" w:type="dxa"/>
            <w:shd w:val="clear" w:color="auto" w:fill="A8D08D" w:themeFill="accent6" w:themeFillTint="99"/>
          </w:tcPr>
          <w:p w14:paraId="628E95FA" w14:textId="70462AD4" w:rsidR="00D36DEA" w:rsidRDefault="00D36DEA" w:rsidP="00144535">
            <w:pPr>
              <w:rPr>
                <w:b/>
              </w:rPr>
            </w:pPr>
            <w:r>
              <w:rPr>
                <w:b/>
              </w:rPr>
              <w:t>Ref</w:t>
            </w:r>
          </w:p>
        </w:tc>
        <w:tc>
          <w:tcPr>
            <w:tcW w:w="3701" w:type="dxa"/>
            <w:shd w:val="clear" w:color="auto" w:fill="A8D08D" w:themeFill="accent6" w:themeFillTint="99"/>
            <w:vAlign w:val="center"/>
          </w:tcPr>
          <w:p w14:paraId="4F41D0C7" w14:textId="7C18E824" w:rsidR="00D36DEA" w:rsidRPr="00F94F01" w:rsidRDefault="00D36DEA" w:rsidP="00144535">
            <w:pPr>
              <w:rPr>
                <w:b/>
              </w:rPr>
            </w:pPr>
            <w:r>
              <w:rPr>
                <w:b/>
              </w:rPr>
              <w:t>Query</w:t>
            </w:r>
          </w:p>
        </w:tc>
        <w:tc>
          <w:tcPr>
            <w:tcW w:w="4794" w:type="dxa"/>
            <w:shd w:val="clear" w:color="auto" w:fill="A8D08D" w:themeFill="accent6" w:themeFillTint="99"/>
            <w:vAlign w:val="center"/>
          </w:tcPr>
          <w:p w14:paraId="2AF33491" w14:textId="77777777" w:rsidR="00D36DEA" w:rsidRPr="00F94F01" w:rsidRDefault="00D36DEA" w:rsidP="00F94F01">
            <w:pPr>
              <w:rPr>
                <w:b/>
              </w:rPr>
            </w:pPr>
            <w:r w:rsidRPr="00F94F01">
              <w:rPr>
                <w:b/>
              </w:rPr>
              <w:t>Teagasc Response</w:t>
            </w:r>
          </w:p>
        </w:tc>
      </w:tr>
      <w:tr w:rsidR="0087628C" w14:paraId="27E7EB21" w14:textId="77777777" w:rsidTr="6D87B470">
        <w:tc>
          <w:tcPr>
            <w:tcW w:w="521" w:type="dxa"/>
          </w:tcPr>
          <w:p w14:paraId="6925703D" w14:textId="663F35D9" w:rsidR="003B0B56" w:rsidRPr="00C27536" w:rsidRDefault="003B0B56" w:rsidP="003B0B56">
            <w:pPr>
              <w:shd w:val="clear" w:color="auto" w:fill="FFFFFF"/>
              <w:spacing w:after="120"/>
              <w:rPr>
                <w:color w:val="808080" w:themeColor="background1" w:themeShade="80"/>
              </w:rPr>
            </w:pPr>
            <w:r>
              <w:rPr>
                <w:color w:val="808080" w:themeColor="background1" w:themeShade="80"/>
              </w:rPr>
              <w:t>1</w:t>
            </w:r>
          </w:p>
        </w:tc>
        <w:tc>
          <w:tcPr>
            <w:tcW w:w="3701" w:type="dxa"/>
            <w:vAlign w:val="center"/>
          </w:tcPr>
          <w:p w14:paraId="00980955" w14:textId="0AAA4CC1" w:rsidR="004F313A" w:rsidRPr="00144535" w:rsidRDefault="00B63043" w:rsidP="002D58C5">
            <w:pPr>
              <w:shd w:val="clear" w:color="auto" w:fill="FFFFFF"/>
              <w:spacing w:after="120"/>
              <w:rPr>
                <w:rFonts w:eastAsia="Times New Roman" w:cstheme="minorHAnsi"/>
                <w:color w:val="808080" w:themeColor="background1" w:themeShade="80"/>
                <w:lang w:eastAsia="en-IE"/>
              </w:rPr>
            </w:pPr>
            <w:r w:rsidRPr="00B63043">
              <w:rPr>
                <w:color w:val="808080" w:themeColor="background1" w:themeShade="80"/>
              </w:rPr>
              <w:t>Could you please confirm the expected spread of sample volumes across the year (Jan–Dec)?</w:t>
            </w:r>
          </w:p>
        </w:tc>
        <w:tc>
          <w:tcPr>
            <w:tcW w:w="4794" w:type="dxa"/>
          </w:tcPr>
          <w:p w14:paraId="4D06BD3C" w14:textId="77777777" w:rsidR="003F6C0E" w:rsidRDefault="00185AB5" w:rsidP="003B0B56">
            <w:r>
              <w:t>A</w:t>
            </w:r>
            <w:r w:rsidR="003D2B5B">
              <w:t>verage below from 2012-2023</w:t>
            </w:r>
          </w:p>
          <w:p w14:paraId="29C2DD01" w14:textId="77777777" w:rsidR="003D2B5B" w:rsidRDefault="003D2B5B" w:rsidP="003B0B56"/>
          <w:tbl>
            <w:tblPr>
              <w:tblW w:w="2880" w:type="dxa"/>
              <w:tblLook w:val="04A0" w:firstRow="1" w:lastRow="0" w:firstColumn="1" w:lastColumn="0" w:noHBand="0" w:noVBand="1"/>
            </w:tblPr>
            <w:tblGrid>
              <w:gridCol w:w="1085"/>
              <w:gridCol w:w="1024"/>
              <w:gridCol w:w="960"/>
            </w:tblGrid>
            <w:tr w:rsidR="003D2B5B" w:rsidRPr="003D2B5B" w14:paraId="28F23EAB" w14:textId="77777777" w:rsidTr="003D2B5B">
              <w:trPr>
                <w:trHeight w:val="850"/>
              </w:trPr>
              <w:tc>
                <w:tcPr>
                  <w:tcW w:w="960" w:type="dxa"/>
                  <w:tcBorders>
                    <w:top w:val="single" w:sz="4" w:space="0" w:color="auto"/>
                    <w:left w:val="single" w:sz="4" w:space="0" w:color="auto"/>
                    <w:bottom w:val="single" w:sz="4" w:space="0" w:color="auto"/>
                    <w:right w:val="single" w:sz="4" w:space="0" w:color="auto"/>
                  </w:tcBorders>
                  <w:shd w:val="clear" w:color="000000" w:fill="C4D79B"/>
                  <w:vAlign w:val="center"/>
                  <w:hideMark/>
                </w:tcPr>
                <w:p w14:paraId="647344FE" w14:textId="77777777" w:rsidR="003D2B5B" w:rsidRPr="003D2B5B" w:rsidRDefault="003D2B5B" w:rsidP="003D2B5B">
                  <w:pPr>
                    <w:spacing w:after="0" w:line="240" w:lineRule="auto"/>
                    <w:jc w:val="center"/>
                    <w:rPr>
                      <w:rFonts w:ascii="Arial" w:eastAsia="Times New Roman" w:hAnsi="Arial" w:cs="Arial"/>
                      <w:b/>
                      <w:bCs/>
                      <w:color w:val="242424"/>
                      <w:lang w:eastAsia="en-IE"/>
                    </w:rPr>
                  </w:pPr>
                  <w:r w:rsidRPr="003D2B5B">
                    <w:rPr>
                      <w:rFonts w:ascii="Arial" w:eastAsia="Times New Roman" w:hAnsi="Arial" w:cs="Arial"/>
                      <w:b/>
                      <w:bCs/>
                      <w:color w:val="242424"/>
                      <w:lang w:eastAsia="en-IE"/>
                    </w:rPr>
                    <w:t>Average</w:t>
                  </w:r>
                </w:p>
              </w:tc>
              <w:tc>
                <w:tcPr>
                  <w:tcW w:w="960" w:type="dxa"/>
                  <w:tcBorders>
                    <w:top w:val="single" w:sz="4" w:space="0" w:color="auto"/>
                    <w:left w:val="nil"/>
                    <w:bottom w:val="single" w:sz="4" w:space="0" w:color="auto"/>
                    <w:right w:val="single" w:sz="4" w:space="0" w:color="auto"/>
                  </w:tcBorders>
                  <w:shd w:val="clear" w:color="000000" w:fill="C4D79B"/>
                  <w:vAlign w:val="center"/>
                  <w:hideMark/>
                </w:tcPr>
                <w:p w14:paraId="352AAD2D" w14:textId="77777777" w:rsidR="003D2B5B" w:rsidRPr="003D2B5B" w:rsidRDefault="003D2B5B" w:rsidP="003D2B5B">
                  <w:pPr>
                    <w:spacing w:after="0" w:line="240" w:lineRule="auto"/>
                    <w:jc w:val="center"/>
                    <w:rPr>
                      <w:rFonts w:ascii="Arial" w:eastAsia="Times New Roman" w:hAnsi="Arial" w:cs="Arial"/>
                      <w:b/>
                      <w:bCs/>
                      <w:color w:val="242424"/>
                      <w:lang w:eastAsia="en-IE"/>
                    </w:rPr>
                  </w:pPr>
                  <w:r w:rsidRPr="003D2B5B">
                    <w:rPr>
                      <w:rFonts w:ascii="Arial" w:eastAsia="Times New Roman" w:hAnsi="Arial" w:cs="Arial"/>
                      <w:b/>
                      <w:bCs/>
                      <w:color w:val="242424"/>
                      <w:lang w:eastAsia="en-IE"/>
                    </w:rPr>
                    <w:t xml:space="preserve">Percent (%)  </w:t>
                  </w:r>
                </w:p>
              </w:tc>
              <w:tc>
                <w:tcPr>
                  <w:tcW w:w="960" w:type="dxa"/>
                  <w:tcBorders>
                    <w:top w:val="single" w:sz="4" w:space="0" w:color="auto"/>
                    <w:left w:val="nil"/>
                    <w:bottom w:val="single" w:sz="4" w:space="0" w:color="auto"/>
                    <w:right w:val="single" w:sz="4" w:space="0" w:color="auto"/>
                  </w:tcBorders>
                  <w:shd w:val="clear" w:color="000000" w:fill="C4D79B"/>
                  <w:vAlign w:val="center"/>
                  <w:hideMark/>
                </w:tcPr>
                <w:p w14:paraId="41425636" w14:textId="77777777" w:rsidR="003D2B5B" w:rsidRPr="003D2B5B" w:rsidRDefault="003D2B5B" w:rsidP="003D2B5B">
                  <w:pPr>
                    <w:spacing w:after="0" w:line="240" w:lineRule="auto"/>
                    <w:jc w:val="center"/>
                    <w:rPr>
                      <w:rFonts w:ascii="Arial" w:eastAsia="Times New Roman" w:hAnsi="Arial" w:cs="Arial"/>
                      <w:b/>
                      <w:bCs/>
                      <w:color w:val="242424"/>
                      <w:lang w:eastAsia="en-IE"/>
                    </w:rPr>
                  </w:pPr>
                  <w:r w:rsidRPr="003D2B5B">
                    <w:rPr>
                      <w:rFonts w:ascii="Arial" w:eastAsia="Times New Roman" w:hAnsi="Arial" w:cs="Arial"/>
                      <w:b/>
                      <w:bCs/>
                      <w:color w:val="242424"/>
                      <w:lang w:eastAsia="en-IE"/>
                    </w:rPr>
                    <w:t>Month</w:t>
                  </w:r>
                </w:p>
              </w:tc>
            </w:tr>
            <w:tr w:rsidR="003D2B5B" w:rsidRPr="003D2B5B" w14:paraId="61CFE832"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705AF2EC"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6,659</w:t>
                  </w:r>
                </w:p>
              </w:tc>
              <w:tc>
                <w:tcPr>
                  <w:tcW w:w="960" w:type="dxa"/>
                  <w:tcBorders>
                    <w:top w:val="nil"/>
                    <w:left w:val="nil"/>
                    <w:bottom w:val="single" w:sz="4" w:space="0" w:color="auto"/>
                    <w:right w:val="single" w:sz="4" w:space="0" w:color="auto"/>
                  </w:tcBorders>
                  <w:shd w:val="clear" w:color="000000" w:fill="DAF2D0"/>
                  <w:noWrap/>
                  <w:vAlign w:val="bottom"/>
                  <w:hideMark/>
                </w:tcPr>
                <w:p w14:paraId="6C26288A"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16</w:t>
                  </w:r>
                </w:p>
              </w:tc>
              <w:tc>
                <w:tcPr>
                  <w:tcW w:w="960" w:type="dxa"/>
                  <w:tcBorders>
                    <w:top w:val="nil"/>
                    <w:left w:val="nil"/>
                    <w:bottom w:val="single" w:sz="4" w:space="0" w:color="auto"/>
                    <w:right w:val="single" w:sz="4" w:space="0" w:color="auto"/>
                  </w:tcBorders>
                  <w:shd w:val="clear" w:color="000000" w:fill="DAF2D0"/>
                  <w:noWrap/>
                  <w:vAlign w:val="bottom"/>
                  <w:hideMark/>
                </w:tcPr>
                <w:p w14:paraId="0EEE2A0D"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Jan</w:t>
                  </w:r>
                </w:p>
              </w:tc>
            </w:tr>
            <w:tr w:rsidR="003D2B5B" w:rsidRPr="003D2B5B" w14:paraId="095D72FA"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000BBE34"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9,566</w:t>
                  </w:r>
                </w:p>
              </w:tc>
              <w:tc>
                <w:tcPr>
                  <w:tcW w:w="960" w:type="dxa"/>
                  <w:tcBorders>
                    <w:top w:val="nil"/>
                    <w:left w:val="nil"/>
                    <w:bottom w:val="single" w:sz="4" w:space="0" w:color="auto"/>
                    <w:right w:val="single" w:sz="4" w:space="0" w:color="auto"/>
                  </w:tcBorders>
                  <w:shd w:val="clear" w:color="000000" w:fill="DAF2D0"/>
                  <w:noWrap/>
                  <w:vAlign w:val="bottom"/>
                  <w:hideMark/>
                </w:tcPr>
                <w:p w14:paraId="5D8C83EA"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23</w:t>
                  </w:r>
                </w:p>
              </w:tc>
              <w:tc>
                <w:tcPr>
                  <w:tcW w:w="960" w:type="dxa"/>
                  <w:tcBorders>
                    <w:top w:val="nil"/>
                    <w:left w:val="nil"/>
                    <w:bottom w:val="single" w:sz="4" w:space="0" w:color="auto"/>
                    <w:right w:val="single" w:sz="4" w:space="0" w:color="auto"/>
                  </w:tcBorders>
                  <w:shd w:val="clear" w:color="000000" w:fill="DAF2D0"/>
                  <w:noWrap/>
                  <w:vAlign w:val="bottom"/>
                  <w:hideMark/>
                </w:tcPr>
                <w:p w14:paraId="72AD9C98"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Feb</w:t>
                  </w:r>
                </w:p>
              </w:tc>
            </w:tr>
            <w:tr w:rsidR="003D2B5B" w:rsidRPr="003D2B5B" w14:paraId="7E1741DB"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611088C1"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7,024</w:t>
                  </w:r>
                </w:p>
              </w:tc>
              <w:tc>
                <w:tcPr>
                  <w:tcW w:w="960" w:type="dxa"/>
                  <w:tcBorders>
                    <w:top w:val="nil"/>
                    <w:left w:val="nil"/>
                    <w:bottom w:val="single" w:sz="4" w:space="0" w:color="auto"/>
                    <w:right w:val="single" w:sz="4" w:space="0" w:color="auto"/>
                  </w:tcBorders>
                  <w:shd w:val="clear" w:color="000000" w:fill="DAF2D0"/>
                  <w:noWrap/>
                  <w:vAlign w:val="bottom"/>
                  <w:hideMark/>
                </w:tcPr>
                <w:p w14:paraId="525B4D32"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17</w:t>
                  </w:r>
                </w:p>
              </w:tc>
              <w:tc>
                <w:tcPr>
                  <w:tcW w:w="960" w:type="dxa"/>
                  <w:tcBorders>
                    <w:top w:val="nil"/>
                    <w:left w:val="nil"/>
                    <w:bottom w:val="single" w:sz="4" w:space="0" w:color="auto"/>
                    <w:right w:val="single" w:sz="4" w:space="0" w:color="auto"/>
                  </w:tcBorders>
                  <w:shd w:val="clear" w:color="000000" w:fill="DAF2D0"/>
                  <w:noWrap/>
                  <w:vAlign w:val="bottom"/>
                  <w:hideMark/>
                </w:tcPr>
                <w:p w14:paraId="13AD6563"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Mar</w:t>
                  </w:r>
                </w:p>
              </w:tc>
            </w:tr>
            <w:tr w:rsidR="003D2B5B" w:rsidRPr="003D2B5B" w14:paraId="06E82F60"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5D4665EB"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3,991</w:t>
                  </w:r>
                </w:p>
              </w:tc>
              <w:tc>
                <w:tcPr>
                  <w:tcW w:w="960" w:type="dxa"/>
                  <w:tcBorders>
                    <w:top w:val="nil"/>
                    <w:left w:val="nil"/>
                    <w:bottom w:val="single" w:sz="4" w:space="0" w:color="auto"/>
                    <w:right w:val="single" w:sz="4" w:space="0" w:color="auto"/>
                  </w:tcBorders>
                  <w:shd w:val="clear" w:color="000000" w:fill="DAF2D0"/>
                  <w:noWrap/>
                  <w:vAlign w:val="bottom"/>
                  <w:hideMark/>
                </w:tcPr>
                <w:p w14:paraId="70C0CFD8"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10</w:t>
                  </w:r>
                </w:p>
              </w:tc>
              <w:tc>
                <w:tcPr>
                  <w:tcW w:w="960" w:type="dxa"/>
                  <w:tcBorders>
                    <w:top w:val="nil"/>
                    <w:left w:val="nil"/>
                    <w:bottom w:val="single" w:sz="4" w:space="0" w:color="auto"/>
                    <w:right w:val="single" w:sz="4" w:space="0" w:color="auto"/>
                  </w:tcBorders>
                  <w:shd w:val="clear" w:color="000000" w:fill="DAF2D0"/>
                  <w:noWrap/>
                  <w:vAlign w:val="bottom"/>
                  <w:hideMark/>
                </w:tcPr>
                <w:p w14:paraId="2FF28BC1"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Apr</w:t>
                  </w:r>
                </w:p>
              </w:tc>
            </w:tr>
            <w:tr w:rsidR="003D2B5B" w:rsidRPr="003D2B5B" w14:paraId="3B407BA1"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146E3B90"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1,738</w:t>
                  </w:r>
                </w:p>
              </w:tc>
              <w:tc>
                <w:tcPr>
                  <w:tcW w:w="960" w:type="dxa"/>
                  <w:tcBorders>
                    <w:top w:val="nil"/>
                    <w:left w:val="nil"/>
                    <w:bottom w:val="single" w:sz="4" w:space="0" w:color="auto"/>
                    <w:right w:val="single" w:sz="4" w:space="0" w:color="auto"/>
                  </w:tcBorders>
                  <w:shd w:val="clear" w:color="000000" w:fill="DAF2D0"/>
                  <w:noWrap/>
                  <w:vAlign w:val="bottom"/>
                  <w:hideMark/>
                </w:tcPr>
                <w:p w14:paraId="63EFB3F0"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4</w:t>
                  </w:r>
                </w:p>
              </w:tc>
              <w:tc>
                <w:tcPr>
                  <w:tcW w:w="960" w:type="dxa"/>
                  <w:tcBorders>
                    <w:top w:val="nil"/>
                    <w:left w:val="nil"/>
                    <w:bottom w:val="single" w:sz="4" w:space="0" w:color="auto"/>
                    <w:right w:val="single" w:sz="4" w:space="0" w:color="auto"/>
                  </w:tcBorders>
                  <w:shd w:val="clear" w:color="000000" w:fill="DAF2D0"/>
                  <w:noWrap/>
                  <w:vAlign w:val="bottom"/>
                  <w:hideMark/>
                </w:tcPr>
                <w:p w14:paraId="7DD6F9F7"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May</w:t>
                  </w:r>
                </w:p>
              </w:tc>
            </w:tr>
            <w:tr w:rsidR="003D2B5B" w:rsidRPr="003D2B5B" w14:paraId="5FE9CC4E"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33D3B5EB"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639</w:t>
                  </w:r>
                </w:p>
              </w:tc>
              <w:tc>
                <w:tcPr>
                  <w:tcW w:w="960" w:type="dxa"/>
                  <w:tcBorders>
                    <w:top w:val="nil"/>
                    <w:left w:val="nil"/>
                    <w:bottom w:val="single" w:sz="4" w:space="0" w:color="auto"/>
                    <w:right w:val="single" w:sz="4" w:space="0" w:color="auto"/>
                  </w:tcBorders>
                  <w:shd w:val="clear" w:color="000000" w:fill="DAF2D0"/>
                  <w:noWrap/>
                  <w:vAlign w:val="bottom"/>
                  <w:hideMark/>
                </w:tcPr>
                <w:p w14:paraId="5BF6B776"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2</w:t>
                  </w:r>
                </w:p>
              </w:tc>
              <w:tc>
                <w:tcPr>
                  <w:tcW w:w="960" w:type="dxa"/>
                  <w:tcBorders>
                    <w:top w:val="nil"/>
                    <w:left w:val="nil"/>
                    <w:bottom w:val="single" w:sz="4" w:space="0" w:color="auto"/>
                    <w:right w:val="single" w:sz="4" w:space="0" w:color="auto"/>
                  </w:tcBorders>
                  <w:shd w:val="clear" w:color="000000" w:fill="DAF2D0"/>
                  <w:noWrap/>
                  <w:vAlign w:val="bottom"/>
                  <w:hideMark/>
                </w:tcPr>
                <w:p w14:paraId="22E90176"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Jun</w:t>
                  </w:r>
                </w:p>
              </w:tc>
            </w:tr>
            <w:tr w:rsidR="003D2B5B" w:rsidRPr="003D2B5B" w14:paraId="4BD77861"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274FAE45"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455</w:t>
                  </w:r>
                </w:p>
              </w:tc>
              <w:tc>
                <w:tcPr>
                  <w:tcW w:w="960" w:type="dxa"/>
                  <w:tcBorders>
                    <w:top w:val="nil"/>
                    <w:left w:val="nil"/>
                    <w:bottom w:val="single" w:sz="4" w:space="0" w:color="auto"/>
                    <w:right w:val="single" w:sz="4" w:space="0" w:color="auto"/>
                  </w:tcBorders>
                  <w:shd w:val="clear" w:color="000000" w:fill="DAF2D0"/>
                  <w:noWrap/>
                  <w:vAlign w:val="bottom"/>
                  <w:hideMark/>
                </w:tcPr>
                <w:p w14:paraId="36DD500E"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1</w:t>
                  </w:r>
                </w:p>
              </w:tc>
              <w:tc>
                <w:tcPr>
                  <w:tcW w:w="960" w:type="dxa"/>
                  <w:tcBorders>
                    <w:top w:val="nil"/>
                    <w:left w:val="nil"/>
                    <w:bottom w:val="single" w:sz="4" w:space="0" w:color="auto"/>
                    <w:right w:val="single" w:sz="4" w:space="0" w:color="auto"/>
                  </w:tcBorders>
                  <w:shd w:val="clear" w:color="000000" w:fill="DAF2D0"/>
                  <w:noWrap/>
                  <w:vAlign w:val="bottom"/>
                  <w:hideMark/>
                </w:tcPr>
                <w:p w14:paraId="6354EB65"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Jul</w:t>
                  </w:r>
                </w:p>
              </w:tc>
            </w:tr>
            <w:tr w:rsidR="003D2B5B" w:rsidRPr="003D2B5B" w14:paraId="1DDDA5CB"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2431F04A"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654</w:t>
                  </w:r>
                </w:p>
              </w:tc>
              <w:tc>
                <w:tcPr>
                  <w:tcW w:w="960" w:type="dxa"/>
                  <w:tcBorders>
                    <w:top w:val="nil"/>
                    <w:left w:val="nil"/>
                    <w:bottom w:val="single" w:sz="4" w:space="0" w:color="auto"/>
                    <w:right w:val="single" w:sz="4" w:space="0" w:color="auto"/>
                  </w:tcBorders>
                  <w:shd w:val="clear" w:color="000000" w:fill="DAF2D0"/>
                  <w:noWrap/>
                  <w:vAlign w:val="bottom"/>
                  <w:hideMark/>
                </w:tcPr>
                <w:p w14:paraId="2ADC1290"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2</w:t>
                  </w:r>
                </w:p>
              </w:tc>
              <w:tc>
                <w:tcPr>
                  <w:tcW w:w="960" w:type="dxa"/>
                  <w:tcBorders>
                    <w:top w:val="nil"/>
                    <w:left w:val="nil"/>
                    <w:bottom w:val="single" w:sz="4" w:space="0" w:color="auto"/>
                    <w:right w:val="single" w:sz="4" w:space="0" w:color="auto"/>
                  </w:tcBorders>
                  <w:shd w:val="clear" w:color="000000" w:fill="DAF2D0"/>
                  <w:noWrap/>
                  <w:vAlign w:val="bottom"/>
                  <w:hideMark/>
                </w:tcPr>
                <w:p w14:paraId="57C0E352"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Aug</w:t>
                  </w:r>
                </w:p>
              </w:tc>
            </w:tr>
            <w:tr w:rsidR="003D2B5B" w:rsidRPr="003D2B5B" w14:paraId="43B3AD1F"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5B2E30E4"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1,461</w:t>
                  </w:r>
                </w:p>
              </w:tc>
              <w:tc>
                <w:tcPr>
                  <w:tcW w:w="960" w:type="dxa"/>
                  <w:tcBorders>
                    <w:top w:val="nil"/>
                    <w:left w:val="nil"/>
                    <w:bottom w:val="single" w:sz="4" w:space="0" w:color="auto"/>
                    <w:right w:val="single" w:sz="4" w:space="0" w:color="auto"/>
                  </w:tcBorders>
                  <w:shd w:val="clear" w:color="000000" w:fill="DAF2D0"/>
                  <w:noWrap/>
                  <w:vAlign w:val="bottom"/>
                  <w:hideMark/>
                </w:tcPr>
                <w:p w14:paraId="161673FF"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4</w:t>
                  </w:r>
                </w:p>
              </w:tc>
              <w:tc>
                <w:tcPr>
                  <w:tcW w:w="960" w:type="dxa"/>
                  <w:tcBorders>
                    <w:top w:val="nil"/>
                    <w:left w:val="nil"/>
                    <w:bottom w:val="single" w:sz="4" w:space="0" w:color="auto"/>
                    <w:right w:val="single" w:sz="4" w:space="0" w:color="auto"/>
                  </w:tcBorders>
                  <w:shd w:val="clear" w:color="000000" w:fill="DAF2D0"/>
                  <w:noWrap/>
                  <w:vAlign w:val="bottom"/>
                  <w:hideMark/>
                </w:tcPr>
                <w:p w14:paraId="766CB6F4"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Sept</w:t>
                  </w:r>
                </w:p>
              </w:tc>
            </w:tr>
            <w:tr w:rsidR="003D2B5B" w:rsidRPr="003D2B5B" w14:paraId="1FEB9B8F"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5F05491D"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2,086</w:t>
                  </w:r>
                </w:p>
              </w:tc>
              <w:tc>
                <w:tcPr>
                  <w:tcW w:w="960" w:type="dxa"/>
                  <w:tcBorders>
                    <w:top w:val="nil"/>
                    <w:left w:val="nil"/>
                    <w:bottom w:val="single" w:sz="4" w:space="0" w:color="auto"/>
                    <w:right w:val="single" w:sz="4" w:space="0" w:color="auto"/>
                  </w:tcBorders>
                  <w:shd w:val="clear" w:color="000000" w:fill="DAF2D0"/>
                  <w:noWrap/>
                  <w:vAlign w:val="bottom"/>
                  <w:hideMark/>
                </w:tcPr>
                <w:p w14:paraId="68D2C8FB"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5</w:t>
                  </w:r>
                </w:p>
              </w:tc>
              <w:tc>
                <w:tcPr>
                  <w:tcW w:w="960" w:type="dxa"/>
                  <w:tcBorders>
                    <w:top w:val="nil"/>
                    <w:left w:val="nil"/>
                    <w:bottom w:val="single" w:sz="4" w:space="0" w:color="auto"/>
                    <w:right w:val="single" w:sz="4" w:space="0" w:color="auto"/>
                  </w:tcBorders>
                  <w:shd w:val="clear" w:color="000000" w:fill="DAF2D0"/>
                  <w:noWrap/>
                  <w:vAlign w:val="bottom"/>
                  <w:hideMark/>
                </w:tcPr>
                <w:p w14:paraId="79753127"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Oct</w:t>
                  </w:r>
                </w:p>
              </w:tc>
            </w:tr>
            <w:tr w:rsidR="003D2B5B" w:rsidRPr="003D2B5B" w14:paraId="5E5154EB"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2CBB7020"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2,948</w:t>
                  </w:r>
                </w:p>
              </w:tc>
              <w:tc>
                <w:tcPr>
                  <w:tcW w:w="960" w:type="dxa"/>
                  <w:tcBorders>
                    <w:top w:val="nil"/>
                    <w:left w:val="nil"/>
                    <w:bottom w:val="single" w:sz="4" w:space="0" w:color="auto"/>
                    <w:right w:val="single" w:sz="4" w:space="0" w:color="auto"/>
                  </w:tcBorders>
                  <w:shd w:val="clear" w:color="000000" w:fill="DAF2D0"/>
                  <w:noWrap/>
                  <w:vAlign w:val="bottom"/>
                  <w:hideMark/>
                </w:tcPr>
                <w:p w14:paraId="2DC957CA"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7</w:t>
                  </w:r>
                </w:p>
              </w:tc>
              <w:tc>
                <w:tcPr>
                  <w:tcW w:w="960" w:type="dxa"/>
                  <w:tcBorders>
                    <w:top w:val="nil"/>
                    <w:left w:val="nil"/>
                    <w:bottom w:val="single" w:sz="4" w:space="0" w:color="auto"/>
                    <w:right w:val="single" w:sz="4" w:space="0" w:color="auto"/>
                  </w:tcBorders>
                  <w:shd w:val="clear" w:color="000000" w:fill="DAF2D0"/>
                  <w:noWrap/>
                  <w:vAlign w:val="bottom"/>
                  <w:hideMark/>
                </w:tcPr>
                <w:p w14:paraId="2039A3E5"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Nov</w:t>
                  </w:r>
                </w:p>
              </w:tc>
            </w:tr>
            <w:tr w:rsidR="003D2B5B" w:rsidRPr="003D2B5B" w14:paraId="5C491565"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71339535"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3,672</w:t>
                  </w:r>
                </w:p>
              </w:tc>
              <w:tc>
                <w:tcPr>
                  <w:tcW w:w="960" w:type="dxa"/>
                  <w:tcBorders>
                    <w:top w:val="nil"/>
                    <w:left w:val="nil"/>
                    <w:bottom w:val="single" w:sz="4" w:space="0" w:color="auto"/>
                    <w:right w:val="single" w:sz="4" w:space="0" w:color="auto"/>
                  </w:tcBorders>
                  <w:shd w:val="clear" w:color="000000" w:fill="DAF2D0"/>
                  <w:noWrap/>
                  <w:vAlign w:val="bottom"/>
                  <w:hideMark/>
                </w:tcPr>
                <w:p w14:paraId="62F00A4A"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9</w:t>
                  </w:r>
                </w:p>
              </w:tc>
              <w:tc>
                <w:tcPr>
                  <w:tcW w:w="960" w:type="dxa"/>
                  <w:tcBorders>
                    <w:top w:val="nil"/>
                    <w:left w:val="nil"/>
                    <w:bottom w:val="single" w:sz="4" w:space="0" w:color="auto"/>
                    <w:right w:val="single" w:sz="4" w:space="0" w:color="auto"/>
                  </w:tcBorders>
                  <w:shd w:val="clear" w:color="000000" w:fill="DAF2D0"/>
                  <w:noWrap/>
                  <w:vAlign w:val="bottom"/>
                  <w:hideMark/>
                </w:tcPr>
                <w:p w14:paraId="2DC7926C" w14:textId="77777777" w:rsidR="003D2B5B" w:rsidRPr="003D2B5B" w:rsidRDefault="003D2B5B" w:rsidP="003D2B5B">
                  <w:pPr>
                    <w:spacing w:after="0" w:line="240" w:lineRule="auto"/>
                    <w:jc w:val="center"/>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Dec</w:t>
                  </w:r>
                </w:p>
              </w:tc>
            </w:tr>
            <w:tr w:rsidR="003D2B5B" w:rsidRPr="003D2B5B" w14:paraId="60039AA6" w14:textId="77777777" w:rsidTr="003D2B5B">
              <w:trPr>
                <w:trHeight w:val="300"/>
              </w:trPr>
              <w:tc>
                <w:tcPr>
                  <w:tcW w:w="960" w:type="dxa"/>
                  <w:tcBorders>
                    <w:top w:val="nil"/>
                    <w:left w:val="single" w:sz="4" w:space="0" w:color="auto"/>
                    <w:bottom w:val="single" w:sz="4" w:space="0" w:color="auto"/>
                    <w:right w:val="single" w:sz="4" w:space="0" w:color="auto"/>
                  </w:tcBorders>
                  <w:noWrap/>
                  <w:vAlign w:val="bottom"/>
                  <w:hideMark/>
                </w:tcPr>
                <w:p w14:paraId="7AC6AD90"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40,891</w:t>
                  </w:r>
                </w:p>
              </w:tc>
              <w:tc>
                <w:tcPr>
                  <w:tcW w:w="960" w:type="dxa"/>
                  <w:tcBorders>
                    <w:top w:val="nil"/>
                    <w:left w:val="nil"/>
                    <w:bottom w:val="single" w:sz="4" w:space="0" w:color="auto"/>
                    <w:right w:val="single" w:sz="4" w:space="0" w:color="auto"/>
                  </w:tcBorders>
                  <w:noWrap/>
                  <w:vAlign w:val="bottom"/>
                  <w:hideMark/>
                </w:tcPr>
                <w:p w14:paraId="32FD6067" w14:textId="77777777" w:rsidR="003D2B5B" w:rsidRPr="003D2B5B" w:rsidRDefault="003D2B5B" w:rsidP="003D2B5B">
                  <w:pPr>
                    <w:spacing w:after="0" w:line="240" w:lineRule="auto"/>
                    <w:jc w:val="right"/>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100</w:t>
                  </w:r>
                </w:p>
              </w:tc>
              <w:tc>
                <w:tcPr>
                  <w:tcW w:w="960" w:type="dxa"/>
                  <w:tcBorders>
                    <w:top w:val="nil"/>
                    <w:left w:val="nil"/>
                    <w:bottom w:val="single" w:sz="4" w:space="0" w:color="auto"/>
                    <w:right w:val="single" w:sz="4" w:space="0" w:color="auto"/>
                  </w:tcBorders>
                  <w:noWrap/>
                  <w:vAlign w:val="bottom"/>
                  <w:hideMark/>
                </w:tcPr>
                <w:p w14:paraId="3D682942" w14:textId="77777777" w:rsidR="003D2B5B" w:rsidRPr="003D2B5B" w:rsidRDefault="003D2B5B" w:rsidP="003D2B5B">
                  <w:pPr>
                    <w:spacing w:after="0" w:line="240" w:lineRule="auto"/>
                    <w:rPr>
                      <w:rFonts w:ascii="Aptos Narrow" w:eastAsia="Times New Roman" w:hAnsi="Aptos Narrow" w:cs="Times New Roman"/>
                      <w:color w:val="000000"/>
                      <w:lang w:eastAsia="en-IE"/>
                    </w:rPr>
                  </w:pPr>
                  <w:r w:rsidRPr="003D2B5B">
                    <w:rPr>
                      <w:rFonts w:ascii="Aptos Narrow" w:eastAsia="Times New Roman" w:hAnsi="Aptos Narrow" w:cs="Times New Roman"/>
                      <w:color w:val="000000"/>
                      <w:lang w:eastAsia="en-IE"/>
                    </w:rPr>
                    <w:t> </w:t>
                  </w:r>
                </w:p>
              </w:tc>
            </w:tr>
          </w:tbl>
          <w:p w14:paraId="63AABB7F" w14:textId="42CF1914" w:rsidR="003D2B5B" w:rsidRPr="00472675" w:rsidRDefault="003D2B5B" w:rsidP="003B0B56"/>
        </w:tc>
      </w:tr>
      <w:tr w:rsidR="00B63043" w14:paraId="6DDDCD83" w14:textId="77777777" w:rsidTr="6D87B470">
        <w:tc>
          <w:tcPr>
            <w:tcW w:w="521" w:type="dxa"/>
          </w:tcPr>
          <w:p w14:paraId="50FDC7C8" w14:textId="268AD309" w:rsidR="00B63043" w:rsidRDefault="00B63043" w:rsidP="003B0B56">
            <w:pPr>
              <w:shd w:val="clear" w:color="auto" w:fill="FFFFFF"/>
              <w:spacing w:after="120"/>
              <w:rPr>
                <w:color w:val="808080" w:themeColor="background1" w:themeShade="80"/>
              </w:rPr>
            </w:pPr>
            <w:r>
              <w:rPr>
                <w:color w:val="808080" w:themeColor="background1" w:themeShade="80"/>
              </w:rPr>
              <w:t>2</w:t>
            </w:r>
          </w:p>
        </w:tc>
        <w:tc>
          <w:tcPr>
            <w:tcW w:w="3701" w:type="dxa"/>
            <w:vAlign w:val="center"/>
          </w:tcPr>
          <w:p w14:paraId="709D6F72" w14:textId="2547AD1F" w:rsidR="00B63043" w:rsidRPr="00B63043" w:rsidRDefault="6D87B470" w:rsidP="6D87B470">
            <w:pPr>
              <w:shd w:val="clear" w:color="auto" w:fill="FFFFFF" w:themeFill="background1"/>
              <w:spacing w:after="120"/>
            </w:pPr>
            <w:r w:rsidRPr="6D87B470">
              <w:rPr>
                <w:color w:val="808080" w:themeColor="background1" w:themeShade="80"/>
              </w:rPr>
              <w:t>Criterion B5 is split into B5a (fees payable by Teagasc, 10 percent) and B5b (end-user pricing, 10percent ). (a) How is each component scored — is the lowest price awarded full marks (lowest / submitted x marks), or is it a qualitative assessment against stated sub-categories? Please confirm the exact methodology and any weighting within each component. (b) We note an apparent inconsistency: the Pricing Schedule (Appendix 2, Sample Pricing tab) states that this pricing "is for transparency purposes only and will not form the primary basis of financial evaluation", whereas the TRD assigns B5b (end-user pricing) a 10 percent weighting. Please reconcile these and confirm how, and to what extent, end-user - sample pricing is scored.</w:t>
            </w:r>
          </w:p>
          <w:p w14:paraId="13D40209" w14:textId="64DB3004" w:rsidR="00B63043" w:rsidRPr="00B63043" w:rsidRDefault="00B63043" w:rsidP="6D87B470">
            <w:pPr>
              <w:shd w:val="clear" w:color="auto" w:fill="FFFFFF" w:themeFill="background1"/>
              <w:spacing w:after="120"/>
              <w:rPr>
                <w:color w:val="808080" w:themeColor="background1" w:themeShade="80"/>
              </w:rPr>
            </w:pPr>
          </w:p>
          <w:p w14:paraId="2279B858" w14:textId="680CF4F9" w:rsidR="00B63043" w:rsidRPr="00B63043" w:rsidRDefault="00B63043" w:rsidP="6D87B470">
            <w:pPr>
              <w:shd w:val="clear" w:color="auto" w:fill="FFFFFF" w:themeFill="background1"/>
              <w:spacing w:after="120"/>
              <w:rPr>
                <w:color w:val="808080" w:themeColor="background1" w:themeShade="80"/>
              </w:rPr>
            </w:pPr>
          </w:p>
          <w:p w14:paraId="19CB8CBE" w14:textId="2D47288B" w:rsidR="00B63043" w:rsidRPr="00B63043" w:rsidRDefault="00B63043" w:rsidP="6D87B470">
            <w:pPr>
              <w:shd w:val="clear" w:color="auto" w:fill="FFFFFF" w:themeFill="background1"/>
              <w:spacing w:after="120"/>
              <w:rPr>
                <w:color w:val="808080" w:themeColor="background1" w:themeShade="80"/>
              </w:rPr>
            </w:pPr>
          </w:p>
          <w:p w14:paraId="18B1EFA8" w14:textId="68817C3E" w:rsidR="00B63043" w:rsidRPr="00B63043" w:rsidRDefault="00B63043" w:rsidP="6D87B470">
            <w:pPr>
              <w:shd w:val="clear" w:color="auto" w:fill="FFFFFF" w:themeFill="background1"/>
              <w:spacing w:after="120"/>
              <w:rPr>
                <w:color w:val="808080" w:themeColor="background1" w:themeShade="80"/>
              </w:rPr>
            </w:pPr>
          </w:p>
          <w:p w14:paraId="37C4A1FA" w14:textId="191619B8" w:rsidR="00B63043" w:rsidRPr="00B63043" w:rsidRDefault="00B63043" w:rsidP="6D87B470">
            <w:pPr>
              <w:shd w:val="clear" w:color="auto" w:fill="FFFFFF" w:themeFill="background1"/>
              <w:spacing w:after="120"/>
              <w:rPr>
                <w:color w:val="808080" w:themeColor="background1" w:themeShade="80"/>
              </w:rPr>
            </w:pPr>
          </w:p>
          <w:p w14:paraId="01F39E2C" w14:textId="7AC4CB35" w:rsidR="00B63043" w:rsidRPr="00B63043" w:rsidRDefault="00B63043" w:rsidP="6D87B470">
            <w:pPr>
              <w:shd w:val="clear" w:color="auto" w:fill="FFFFFF" w:themeFill="background1"/>
              <w:spacing w:after="120"/>
              <w:rPr>
                <w:color w:val="808080" w:themeColor="background1" w:themeShade="80"/>
              </w:rPr>
            </w:pPr>
          </w:p>
          <w:p w14:paraId="342A1592" w14:textId="49D0809B" w:rsidR="00B63043" w:rsidRPr="00B63043" w:rsidRDefault="00B63043" w:rsidP="6D87B470">
            <w:pPr>
              <w:shd w:val="clear" w:color="auto" w:fill="FFFFFF" w:themeFill="background1"/>
              <w:spacing w:after="120"/>
              <w:rPr>
                <w:color w:val="808080" w:themeColor="background1" w:themeShade="80"/>
              </w:rPr>
            </w:pPr>
          </w:p>
          <w:p w14:paraId="1F253BF7" w14:textId="03FC3D33" w:rsidR="00B63043" w:rsidRPr="00B63043" w:rsidRDefault="00B63043" w:rsidP="6D87B470">
            <w:pPr>
              <w:shd w:val="clear" w:color="auto" w:fill="FFFFFF" w:themeFill="background1"/>
              <w:spacing w:after="120"/>
              <w:rPr>
                <w:color w:val="808080" w:themeColor="background1" w:themeShade="80"/>
              </w:rPr>
            </w:pPr>
          </w:p>
          <w:p w14:paraId="761652F5" w14:textId="55394193" w:rsidR="00B63043" w:rsidRPr="00B63043" w:rsidRDefault="00B63043" w:rsidP="6D87B470">
            <w:pPr>
              <w:shd w:val="clear" w:color="auto" w:fill="FFFFFF" w:themeFill="background1"/>
              <w:spacing w:after="120"/>
              <w:rPr>
                <w:color w:val="808080" w:themeColor="background1" w:themeShade="80"/>
              </w:rPr>
            </w:pPr>
          </w:p>
          <w:p w14:paraId="714CC90B" w14:textId="6311084C" w:rsidR="00B63043" w:rsidRPr="00B63043" w:rsidRDefault="00B63043" w:rsidP="6D87B470">
            <w:pPr>
              <w:shd w:val="clear" w:color="auto" w:fill="FFFFFF" w:themeFill="background1"/>
              <w:spacing w:after="120"/>
              <w:rPr>
                <w:color w:val="808080" w:themeColor="background1" w:themeShade="80"/>
              </w:rPr>
            </w:pPr>
          </w:p>
          <w:p w14:paraId="2C29B871" w14:textId="490ACEF4" w:rsidR="00B63043" w:rsidRPr="00B63043" w:rsidRDefault="00B63043" w:rsidP="6D87B470">
            <w:pPr>
              <w:shd w:val="clear" w:color="auto" w:fill="FFFFFF" w:themeFill="background1"/>
              <w:spacing w:after="120"/>
              <w:rPr>
                <w:color w:val="808080" w:themeColor="background1" w:themeShade="80"/>
              </w:rPr>
            </w:pPr>
          </w:p>
          <w:p w14:paraId="32E623B7" w14:textId="61058E0A" w:rsidR="00B63043" w:rsidRPr="00B63043" w:rsidRDefault="00B63043" w:rsidP="6D87B470">
            <w:pPr>
              <w:shd w:val="clear" w:color="auto" w:fill="FFFFFF" w:themeFill="background1"/>
              <w:spacing w:after="120"/>
              <w:rPr>
                <w:color w:val="808080" w:themeColor="background1" w:themeShade="80"/>
              </w:rPr>
            </w:pPr>
          </w:p>
        </w:tc>
        <w:tc>
          <w:tcPr>
            <w:tcW w:w="4794" w:type="dxa"/>
          </w:tcPr>
          <w:p w14:paraId="73D5A720" w14:textId="77777777" w:rsidR="004B5663" w:rsidRDefault="004B5663" w:rsidP="004B5663">
            <w:r>
              <w:lastRenderedPageBreak/>
              <w:t>B5 is comprised of two separate sub-criteria:</w:t>
            </w:r>
          </w:p>
          <w:p w14:paraId="667966CA" w14:textId="77777777" w:rsidR="004B5663" w:rsidRDefault="004B5663" w:rsidP="004B5663"/>
          <w:p w14:paraId="5A695070" w14:textId="77777777" w:rsidR="004B5663" w:rsidRDefault="004B5663" w:rsidP="004B5663">
            <w:r>
              <w:t>B5(a) – Fees Payable by Teagasc (10%)</w:t>
            </w:r>
          </w:p>
          <w:p w14:paraId="153FB899" w14:textId="77777777" w:rsidR="004B5663" w:rsidRDefault="004B5663" w:rsidP="004B5663"/>
          <w:p w14:paraId="48998C3D" w14:textId="77777777" w:rsidR="004B5663" w:rsidRDefault="004B5663" w:rsidP="004B5663">
            <w:r>
              <w:t>This element will be evaluated based on the costs payable directly by Teagasc under the contract, namely:</w:t>
            </w:r>
          </w:p>
          <w:p w14:paraId="45A5E503" w14:textId="77777777" w:rsidR="004B5663" w:rsidRDefault="004B5663" w:rsidP="004B5663"/>
          <w:p w14:paraId="084F90AA" w14:textId="77777777" w:rsidR="004B5663" w:rsidRDefault="004B5663" w:rsidP="004B5663">
            <w:r>
              <w:t>Implementation Costs (one-off);</w:t>
            </w:r>
          </w:p>
          <w:p w14:paraId="6F6D84CC" w14:textId="77777777" w:rsidR="004B5663" w:rsidRDefault="004B5663" w:rsidP="004B5663">
            <w:r>
              <w:t>Annual Service Fee(s); and</w:t>
            </w:r>
          </w:p>
          <w:p w14:paraId="578C8B68" w14:textId="77777777" w:rsidR="004B5663" w:rsidRDefault="004B5663" w:rsidP="004B5663">
            <w:r>
              <w:t>Notional Development Costs.</w:t>
            </w:r>
          </w:p>
          <w:p w14:paraId="45CCF404" w14:textId="77777777" w:rsidR="004B5663" w:rsidRDefault="004B5663" w:rsidP="004B5663"/>
          <w:p w14:paraId="62BA121F" w14:textId="77777777" w:rsidR="004B5663" w:rsidRDefault="004B5663" w:rsidP="004B5663">
            <w:r>
              <w:t>The score for B5(a) will be calculated using the pricing information provided within the relevant sections of Appendix 2 – Pricing Schedule.</w:t>
            </w:r>
          </w:p>
          <w:p w14:paraId="175612D8" w14:textId="77777777" w:rsidR="004B5663" w:rsidRDefault="004B5663" w:rsidP="004B5663"/>
          <w:p w14:paraId="5C1DAB4E" w14:textId="77777777" w:rsidR="004B5663" w:rsidRDefault="004B5663" w:rsidP="004B5663">
            <w:r>
              <w:t>B5(b) – End User Pricing (10%)</w:t>
            </w:r>
          </w:p>
          <w:p w14:paraId="7941AA12" w14:textId="77777777" w:rsidR="004B5663" w:rsidRDefault="004B5663" w:rsidP="004B5663"/>
          <w:p w14:paraId="67267377" w14:textId="77777777" w:rsidR="004B5663" w:rsidRDefault="004B5663" w:rsidP="004B5663">
            <w:r>
              <w:t>This element will be evaluated separately based on the Sample Pricing Schedule completed by the Tenderer. The purpose of this criterion is to assess the competitiveness and value for money of the pricing that will be charged to farmers and other end users of the service.</w:t>
            </w:r>
          </w:p>
          <w:p w14:paraId="4928910B" w14:textId="77777777" w:rsidR="004B5663" w:rsidRDefault="004B5663" w:rsidP="004B5663"/>
          <w:p w14:paraId="345133A8" w14:textId="71DE4FFA" w:rsidR="004B5663" w:rsidRDefault="004B5663" w:rsidP="004B5663">
            <w:r>
              <w:lastRenderedPageBreak/>
              <w:t>For the avoidance of doubt, the Sample Pricing Schedule will not form part of the calculation of the costs payable by Teagasc under B5(a). However, the Sample Pricing Schedule will be evaluated under B5(b) in accordance with the published award criteria with a 10% weighting. The statement “</w:t>
            </w:r>
            <w:r w:rsidRPr="004B5663">
              <w:t>is for transparency purposes only and will not form the primary basis of financial evaluation</w:t>
            </w:r>
            <w:r>
              <w:t>” is an error.</w:t>
            </w:r>
          </w:p>
          <w:p w14:paraId="2A3773A6" w14:textId="77777777" w:rsidR="004B5663" w:rsidRDefault="004B5663" w:rsidP="004B5663"/>
          <w:p w14:paraId="2C5C62F3" w14:textId="77777777" w:rsidR="004B5663" w:rsidRDefault="004B5663" w:rsidP="004B5663">
            <w:r>
              <w:t>Price scoring for both B5(a) and B5(b) will be calculated using the formula specified in the Request for Tender documentation:</w:t>
            </w:r>
          </w:p>
          <w:p w14:paraId="6F4CCE3B" w14:textId="77777777" w:rsidR="004B5663" w:rsidRDefault="004B5663" w:rsidP="004B5663"/>
          <w:p w14:paraId="753D67C1" w14:textId="56A2F916" w:rsidR="004B5663" w:rsidRDefault="004B5663" w:rsidP="004B5663">
            <w:r w:rsidRPr="004B5663">
              <w:t>Lowest price divided by price being evaluated multiplied by mark allocated for cost.</w:t>
            </w:r>
          </w:p>
          <w:p w14:paraId="777A6AB5" w14:textId="77777777" w:rsidR="004B5663" w:rsidRDefault="004B5663" w:rsidP="004B5663"/>
          <w:p w14:paraId="41F4F813" w14:textId="4FC25704" w:rsidR="004B5663" w:rsidRPr="00472675" w:rsidRDefault="004B5663" w:rsidP="004B5663">
            <w:r>
              <w:t>The Contracting Authority further confirms that Tenderers must ensure that pricing structures are transparent and commercially sustainable. Pricing submitted under B5(a) and B5(b) should represent genuine and sustainable market pricing and must not be structured in a manner that artificially inflates or suppresses costs between the two elements of the commercial model.</w:t>
            </w:r>
          </w:p>
        </w:tc>
      </w:tr>
      <w:tr w:rsidR="00B63043" w14:paraId="1E07E952" w14:textId="77777777" w:rsidTr="6D87B470">
        <w:tc>
          <w:tcPr>
            <w:tcW w:w="521" w:type="dxa"/>
          </w:tcPr>
          <w:p w14:paraId="78ED552B" w14:textId="5DFADF3C" w:rsidR="00B63043" w:rsidRDefault="00B63043" w:rsidP="003B0B56">
            <w:pPr>
              <w:shd w:val="clear" w:color="auto" w:fill="FFFFFF"/>
              <w:spacing w:after="120"/>
              <w:rPr>
                <w:color w:val="808080" w:themeColor="background1" w:themeShade="80"/>
              </w:rPr>
            </w:pPr>
            <w:r>
              <w:rPr>
                <w:color w:val="808080" w:themeColor="background1" w:themeShade="80"/>
              </w:rPr>
              <w:lastRenderedPageBreak/>
              <w:t>3</w:t>
            </w:r>
          </w:p>
        </w:tc>
        <w:tc>
          <w:tcPr>
            <w:tcW w:w="3701" w:type="dxa"/>
            <w:vAlign w:val="center"/>
          </w:tcPr>
          <w:p w14:paraId="43E93CDF" w14:textId="1F41734B" w:rsidR="00B63043" w:rsidRPr="00B63043" w:rsidRDefault="00B63043" w:rsidP="002D58C5">
            <w:pPr>
              <w:shd w:val="clear" w:color="auto" w:fill="FFFFFF"/>
              <w:spacing w:after="120"/>
              <w:rPr>
                <w:color w:val="808080" w:themeColor="background1" w:themeShade="80"/>
              </w:rPr>
            </w:pPr>
            <w:r w:rsidRPr="00B63043">
              <w:rPr>
                <w:color w:val="808080" w:themeColor="background1" w:themeShade="80"/>
              </w:rPr>
              <w:t>Can supporting appendices referenced from our responses to the weighted criteria — e.g. to allow inclusion of images, diagrams, process maps and sample report outputs that do not render well in a text field — be included and evaluated, or must all scored content sit within the response fields / comment boxes?</w:t>
            </w:r>
          </w:p>
        </w:tc>
        <w:tc>
          <w:tcPr>
            <w:tcW w:w="4794" w:type="dxa"/>
          </w:tcPr>
          <w:p w14:paraId="65D1005D" w14:textId="7BBCDF88" w:rsidR="00B63043" w:rsidRPr="00472675" w:rsidRDefault="004B5663" w:rsidP="003B0B56">
            <w:r w:rsidRPr="004B5663">
              <w:t>Tenderers may include supporting appendices where necessary to support their responses. The main response should clearly reference the relevant appendix. Tenderers should ensure that all key information required for evaluation is clearly identified within the response document and/or referenced appendix.</w:t>
            </w:r>
          </w:p>
        </w:tc>
      </w:tr>
      <w:tr w:rsidR="00B63043" w14:paraId="537F6F00" w14:textId="77777777" w:rsidTr="6D87B470">
        <w:tc>
          <w:tcPr>
            <w:tcW w:w="521" w:type="dxa"/>
          </w:tcPr>
          <w:p w14:paraId="04A0CBB1" w14:textId="7C52F083" w:rsidR="00B63043" w:rsidRDefault="00B63043" w:rsidP="003B0B56">
            <w:pPr>
              <w:shd w:val="clear" w:color="auto" w:fill="FFFFFF"/>
              <w:spacing w:after="120"/>
              <w:rPr>
                <w:color w:val="808080" w:themeColor="background1" w:themeShade="80"/>
              </w:rPr>
            </w:pPr>
            <w:r>
              <w:rPr>
                <w:color w:val="808080" w:themeColor="background1" w:themeShade="80"/>
              </w:rPr>
              <w:t>4</w:t>
            </w:r>
          </w:p>
        </w:tc>
        <w:tc>
          <w:tcPr>
            <w:tcW w:w="3701" w:type="dxa"/>
            <w:vAlign w:val="center"/>
          </w:tcPr>
          <w:p w14:paraId="02A6CD9E" w14:textId="4C70989F" w:rsidR="00B63043" w:rsidRPr="00B63043" w:rsidRDefault="6D87B470" w:rsidP="6D87B470">
            <w:pPr>
              <w:shd w:val="clear" w:color="auto" w:fill="FFFFFF" w:themeFill="background1"/>
              <w:spacing w:after="120"/>
            </w:pPr>
            <w:r w:rsidRPr="6D87B470">
              <w:rPr>
                <w:color w:val="808080" w:themeColor="background1" w:themeShade="80"/>
              </w:rPr>
              <w:t>Will all sampling requests be instigated by a Teagasc Advisor, or is it envisaged that farmers will be able to instigate requests independently?</w:t>
            </w:r>
          </w:p>
          <w:p w14:paraId="5F2095A7" w14:textId="121DB064" w:rsidR="00B63043" w:rsidRPr="00B63043" w:rsidRDefault="00B63043" w:rsidP="6D87B470">
            <w:pPr>
              <w:shd w:val="clear" w:color="auto" w:fill="FFFFFF" w:themeFill="background1"/>
              <w:spacing w:after="120"/>
              <w:rPr>
                <w:color w:val="808080" w:themeColor="background1" w:themeShade="80"/>
              </w:rPr>
            </w:pPr>
          </w:p>
          <w:p w14:paraId="27B301C5" w14:textId="56C185FC" w:rsidR="00B63043" w:rsidRPr="00B63043" w:rsidRDefault="00B63043" w:rsidP="6D87B470">
            <w:pPr>
              <w:shd w:val="clear" w:color="auto" w:fill="FFFFFF" w:themeFill="background1"/>
              <w:spacing w:after="120"/>
              <w:rPr>
                <w:color w:val="808080" w:themeColor="background1" w:themeShade="80"/>
              </w:rPr>
            </w:pPr>
          </w:p>
        </w:tc>
        <w:tc>
          <w:tcPr>
            <w:tcW w:w="4794" w:type="dxa"/>
          </w:tcPr>
          <w:p w14:paraId="4E32BE55" w14:textId="03FB6C66" w:rsidR="00B63043" w:rsidRPr="00472675" w:rsidRDefault="6D87B470" w:rsidP="003B0B56">
            <w:r w:rsidRPr="6D87B470">
              <w:rPr>
                <w:rFonts w:ascii="Calibri" w:eastAsia="Calibri" w:hAnsi="Calibri" w:cs="Calibri"/>
              </w:rPr>
              <w:t>The Contracting Authority envisages that requests may be initiated either by a Teagasc Advisor or directly by the farmer/client.</w:t>
            </w:r>
          </w:p>
          <w:p w14:paraId="5A32E0A7" w14:textId="70167EF9" w:rsidR="00B63043" w:rsidRPr="00472675" w:rsidRDefault="00B63043" w:rsidP="6D87B470">
            <w:pPr>
              <w:rPr>
                <w:rFonts w:ascii="Calibri" w:eastAsia="Calibri" w:hAnsi="Calibri" w:cs="Calibri"/>
              </w:rPr>
            </w:pPr>
          </w:p>
          <w:p w14:paraId="69C4EF44" w14:textId="79B772B3" w:rsidR="00B63043" w:rsidRPr="00472675" w:rsidRDefault="6D87B470" w:rsidP="003B0B56">
            <w:r w:rsidRPr="6D87B470">
              <w:rPr>
                <w:rFonts w:ascii="Calibri" w:eastAsia="Calibri" w:hAnsi="Calibri" w:cs="Calibri"/>
              </w:rPr>
              <w:t>Where a Teagasc Advisor initiates the request, the Advisor may create the request within the system and record the relevant details.</w:t>
            </w:r>
          </w:p>
          <w:p w14:paraId="16E110F6" w14:textId="182CBCDA" w:rsidR="00B63043" w:rsidRPr="00472675" w:rsidRDefault="00B63043" w:rsidP="6D87B470">
            <w:pPr>
              <w:rPr>
                <w:rFonts w:ascii="Calibri" w:eastAsia="Calibri" w:hAnsi="Calibri" w:cs="Calibri"/>
              </w:rPr>
            </w:pPr>
          </w:p>
          <w:p w14:paraId="02A194AE" w14:textId="2D9A36F4" w:rsidR="00B63043" w:rsidRPr="00472675" w:rsidRDefault="6D87B470" w:rsidP="003B0B56">
            <w:r w:rsidRPr="6D87B470">
              <w:rPr>
                <w:rFonts w:ascii="Calibri" w:eastAsia="Calibri" w:hAnsi="Calibri" w:cs="Calibri"/>
              </w:rPr>
              <w:t>Where a farmer/client initiates the request directly, the successful Tenderer will be responsible for ensuring that the request and associated sample information are recorded within the system.</w:t>
            </w:r>
          </w:p>
          <w:p w14:paraId="339DE22C" w14:textId="3E79C5D2" w:rsidR="00B63043" w:rsidRPr="00472675" w:rsidRDefault="00B63043" w:rsidP="6D87B470">
            <w:pPr>
              <w:rPr>
                <w:rFonts w:ascii="Calibri" w:eastAsia="Calibri" w:hAnsi="Calibri" w:cs="Calibri"/>
              </w:rPr>
            </w:pPr>
          </w:p>
          <w:p w14:paraId="3988588C" w14:textId="699E9061" w:rsidR="00B63043" w:rsidRPr="00472675" w:rsidRDefault="6D87B470" w:rsidP="003B0B56">
            <w:r w:rsidRPr="6D87B470">
              <w:rPr>
                <w:rFonts w:ascii="Calibri" w:eastAsia="Calibri" w:hAnsi="Calibri" w:cs="Calibri"/>
              </w:rPr>
              <w:t xml:space="preserve">Regardless of how the request is initiated, the successful Tenderer will be responsible for all operational aspects of service delivery, including </w:t>
            </w:r>
            <w:r w:rsidRPr="6D87B470">
              <w:rPr>
                <w:rFonts w:ascii="Calibri" w:eastAsia="Calibri" w:hAnsi="Calibri" w:cs="Calibri"/>
              </w:rPr>
              <w:lastRenderedPageBreak/>
              <w:t>scheduling, sample collection (where applicable), registration, logistics, laboratory analysis and reporting.</w:t>
            </w:r>
          </w:p>
          <w:p w14:paraId="1957AC73" w14:textId="4560C252" w:rsidR="00B63043" w:rsidRPr="00472675" w:rsidRDefault="00B63043" w:rsidP="6D87B470">
            <w:pPr>
              <w:rPr>
                <w:color w:val="FF0000"/>
              </w:rPr>
            </w:pPr>
          </w:p>
        </w:tc>
      </w:tr>
      <w:tr w:rsidR="00B63043" w14:paraId="3815280D" w14:textId="77777777" w:rsidTr="6D87B470">
        <w:tc>
          <w:tcPr>
            <w:tcW w:w="521" w:type="dxa"/>
          </w:tcPr>
          <w:p w14:paraId="5FA0C8D6" w14:textId="14E1CB20" w:rsidR="00B63043" w:rsidRDefault="00B63043" w:rsidP="003B0B56">
            <w:pPr>
              <w:shd w:val="clear" w:color="auto" w:fill="FFFFFF"/>
              <w:spacing w:after="120"/>
              <w:rPr>
                <w:color w:val="808080" w:themeColor="background1" w:themeShade="80"/>
              </w:rPr>
            </w:pPr>
            <w:r>
              <w:rPr>
                <w:color w:val="808080" w:themeColor="background1" w:themeShade="80"/>
              </w:rPr>
              <w:lastRenderedPageBreak/>
              <w:t>5</w:t>
            </w:r>
          </w:p>
        </w:tc>
        <w:tc>
          <w:tcPr>
            <w:tcW w:w="3701" w:type="dxa"/>
            <w:vAlign w:val="center"/>
          </w:tcPr>
          <w:p w14:paraId="36459215" w14:textId="708180C9" w:rsidR="00B63043" w:rsidRPr="00B63043" w:rsidRDefault="00B63043" w:rsidP="002D58C5">
            <w:pPr>
              <w:shd w:val="clear" w:color="auto" w:fill="FFFFFF"/>
              <w:spacing w:after="120"/>
              <w:rPr>
                <w:color w:val="808080" w:themeColor="background1" w:themeShade="80"/>
              </w:rPr>
            </w:pPr>
            <w:r w:rsidRPr="00B63043">
              <w:rPr>
                <w:color w:val="808080" w:themeColor="background1" w:themeShade="80"/>
              </w:rPr>
              <w:t>Sampling schedule - will Teagasc enable SSSL have full autonomy of soil sampler selection or is this to be preselected by the advisor or farmer ?</w:t>
            </w:r>
          </w:p>
        </w:tc>
        <w:tc>
          <w:tcPr>
            <w:tcW w:w="4794" w:type="dxa"/>
          </w:tcPr>
          <w:p w14:paraId="509B91BC" w14:textId="1D1BFA3C" w:rsidR="00B63043" w:rsidRPr="00472675" w:rsidRDefault="6D87B470" w:rsidP="003B0B56">
            <w:r>
              <w:t>The successful Tenderer will determine the appropriate sampler to undertake the work provided that all sampling personnel are appropriately trained, competent and subject to suitable supervision and quality assurance procedures.</w:t>
            </w:r>
          </w:p>
          <w:p w14:paraId="400FAECB" w14:textId="5719AB8A" w:rsidR="00B63043" w:rsidRPr="00472675" w:rsidRDefault="6D87B470" w:rsidP="6D87B470">
            <w:r>
              <w:t>Tenderers will be responsible for ensuring that sampling activities are carried out in accordance with the agreed sampling methodology, training requirements and quality control standards throughout the contract period.</w:t>
            </w:r>
          </w:p>
          <w:p w14:paraId="26020F64" w14:textId="379D7024" w:rsidR="00B63043" w:rsidRPr="00472675" w:rsidRDefault="00B63043" w:rsidP="6D87B470">
            <w:pPr>
              <w:rPr>
                <w:color w:val="FF0000"/>
              </w:rPr>
            </w:pPr>
          </w:p>
        </w:tc>
      </w:tr>
      <w:tr w:rsidR="00B63043" w14:paraId="65777421" w14:textId="77777777" w:rsidTr="6D87B470">
        <w:tc>
          <w:tcPr>
            <w:tcW w:w="521" w:type="dxa"/>
          </w:tcPr>
          <w:p w14:paraId="0B53A5E2" w14:textId="353A5614" w:rsidR="00B63043" w:rsidRDefault="00B63043" w:rsidP="003B0B56">
            <w:pPr>
              <w:shd w:val="clear" w:color="auto" w:fill="FFFFFF"/>
              <w:spacing w:after="120"/>
              <w:rPr>
                <w:color w:val="808080" w:themeColor="background1" w:themeShade="80"/>
              </w:rPr>
            </w:pPr>
            <w:r>
              <w:rPr>
                <w:color w:val="808080" w:themeColor="background1" w:themeShade="80"/>
              </w:rPr>
              <w:t>6</w:t>
            </w:r>
          </w:p>
        </w:tc>
        <w:tc>
          <w:tcPr>
            <w:tcW w:w="3701" w:type="dxa"/>
            <w:vAlign w:val="center"/>
          </w:tcPr>
          <w:p w14:paraId="410514D8" w14:textId="73890E89" w:rsidR="00B63043" w:rsidRPr="00B63043" w:rsidRDefault="6D87B470" w:rsidP="6D87B470">
            <w:pPr>
              <w:shd w:val="clear" w:color="auto" w:fill="FFFFFF" w:themeFill="background1"/>
              <w:spacing w:after="120"/>
            </w:pPr>
            <w:r w:rsidRPr="6D87B470">
              <w:rPr>
                <w:color w:val="808080" w:themeColor="background1" w:themeShade="80"/>
              </w:rPr>
              <w:t>Does Teagasc operate a CRM or client-management system (for example Microsoft Dynamics) holding client identity, herd / client numbers and advisor association? If so, please confirm the platform used and whether it is accessible to the service provider via an API or data feed.</w:t>
            </w:r>
          </w:p>
          <w:p w14:paraId="18B97C65" w14:textId="3F3EBA76" w:rsidR="00B63043" w:rsidRPr="00B63043" w:rsidRDefault="00B63043" w:rsidP="6D87B470">
            <w:pPr>
              <w:shd w:val="clear" w:color="auto" w:fill="FFFFFF" w:themeFill="background1"/>
              <w:spacing w:after="120"/>
              <w:rPr>
                <w:color w:val="808080" w:themeColor="background1" w:themeShade="80"/>
              </w:rPr>
            </w:pPr>
          </w:p>
          <w:p w14:paraId="5854566D" w14:textId="64656D66" w:rsidR="00B63043" w:rsidRPr="00B63043" w:rsidRDefault="00B63043" w:rsidP="6D87B470">
            <w:pPr>
              <w:shd w:val="clear" w:color="auto" w:fill="FFFFFF" w:themeFill="background1"/>
              <w:spacing w:after="120"/>
              <w:rPr>
                <w:color w:val="808080" w:themeColor="background1" w:themeShade="80"/>
              </w:rPr>
            </w:pPr>
          </w:p>
          <w:p w14:paraId="6155E6D5" w14:textId="45FD3319" w:rsidR="00B63043" w:rsidRPr="00B63043" w:rsidRDefault="00B63043" w:rsidP="6D87B470">
            <w:pPr>
              <w:shd w:val="clear" w:color="auto" w:fill="FFFFFF" w:themeFill="background1"/>
              <w:spacing w:after="120"/>
              <w:rPr>
                <w:color w:val="808080" w:themeColor="background1" w:themeShade="80"/>
              </w:rPr>
            </w:pPr>
          </w:p>
          <w:p w14:paraId="665F2B6B" w14:textId="319DF3C6" w:rsidR="00B63043" w:rsidRPr="00B63043" w:rsidRDefault="00B63043" w:rsidP="6D87B470">
            <w:pPr>
              <w:shd w:val="clear" w:color="auto" w:fill="FFFFFF" w:themeFill="background1"/>
              <w:spacing w:after="120"/>
              <w:rPr>
                <w:color w:val="808080" w:themeColor="background1" w:themeShade="80"/>
              </w:rPr>
            </w:pPr>
          </w:p>
          <w:p w14:paraId="71904BC0" w14:textId="281EC0B9" w:rsidR="00B63043" w:rsidRPr="00B63043" w:rsidRDefault="00B63043" w:rsidP="6D87B470">
            <w:pPr>
              <w:shd w:val="clear" w:color="auto" w:fill="FFFFFF" w:themeFill="background1"/>
              <w:spacing w:after="120"/>
              <w:rPr>
                <w:color w:val="808080" w:themeColor="background1" w:themeShade="80"/>
              </w:rPr>
            </w:pPr>
          </w:p>
          <w:p w14:paraId="0B75DAF6" w14:textId="1EBB65E7" w:rsidR="00B63043" w:rsidRPr="00B63043" w:rsidRDefault="00B63043" w:rsidP="6D87B470">
            <w:pPr>
              <w:shd w:val="clear" w:color="auto" w:fill="FFFFFF" w:themeFill="background1"/>
              <w:spacing w:after="120"/>
              <w:rPr>
                <w:color w:val="808080" w:themeColor="background1" w:themeShade="80"/>
              </w:rPr>
            </w:pPr>
          </w:p>
          <w:p w14:paraId="78D9EFA9" w14:textId="769B7719" w:rsidR="00B63043" w:rsidRPr="00B63043" w:rsidRDefault="00B63043" w:rsidP="6D87B470">
            <w:pPr>
              <w:shd w:val="clear" w:color="auto" w:fill="FFFFFF" w:themeFill="background1"/>
              <w:spacing w:after="120"/>
              <w:rPr>
                <w:color w:val="808080" w:themeColor="background1" w:themeShade="80"/>
              </w:rPr>
            </w:pPr>
          </w:p>
          <w:p w14:paraId="230F8E31" w14:textId="66E4DE5B" w:rsidR="00B63043" w:rsidRPr="00B63043" w:rsidRDefault="00B63043" w:rsidP="6D87B470">
            <w:pPr>
              <w:shd w:val="clear" w:color="auto" w:fill="FFFFFF" w:themeFill="background1"/>
              <w:spacing w:after="120"/>
              <w:rPr>
                <w:color w:val="808080" w:themeColor="background1" w:themeShade="80"/>
              </w:rPr>
            </w:pPr>
          </w:p>
        </w:tc>
        <w:tc>
          <w:tcPr>
            <w:tcW w:w="4794" w:type="dxa"/>
          </w:tcPr>
          <w:p w14:paraId="0366F3E3" w14:textId="6E9A331B" w:rsidR="00B63043" w:rsidRPr="00472675" w:rsidRDefault="6D87B470" w:rsidP="003B0B56">
            <w:r w:rsidRPr="6D87B470">
              <w:rPr>
                <w:rFonts w:ascii="Calibri" w:eastAsia="Calibri" w:hAnsi="Calibri" w:cs="Calibri"/>
              </w:rPr>
              <w:t>Teagasc maintains client information relevant to the delivery of advisory services.</w:t>
            </w:r>
          </w:p>
          <w:p w14:paraId="1E76D364" w14:textId="6BC3BA21" w:rsidR="00B63043" w:rsidRPr="00472675" w:rsidRDefault="00B63043" w:rsidP="6D87B470">
            <w:pPr>
              <w:rPr>
                <w:rFonts w:ascii="Calibri" w:eastAsia="Calibri" w:hAnsi="Calibri" w:cs="Calibri"/>
              </w:rPr>
            </w:pPr>
          </w:p>
          <w:p w14:paraId="59349A31" w14:textId="252BBED2" w:rsidR="00B63043" w:rsidRPr="00472675" w:rsidRDefault="6D87B470" w:rsidP="003B0B56">
            <w:r w:rsidRPr="6D87B470">
              <w:rPr>
                <w:rFonts w:ascii="Calibri" w:eastAsia="Calibri" w:hAnsi="Calibri" w:cs="Calibri"/>
              </w:rPr>
              <w:t>For the purposes of this contract, the Contracting Authority envisages that relevant client information will be provided to the successful Tenderer in an agreed electronic format, such as Excel or equivalent.</w:t>
            </w:r>
          </w:p>
          <w:p w14:paraId="7EA3371F" w14:textId="1C457141" w:rsidR="00B63043" w:rsidRPr="00472675" w:rsidRDefault="00B63043" w:rsidP="6D87B470">
            <w:pPr>
              <w:rPr>
                <w:rFonts w:ascii="Calibri" w:eastAsia="Calibri" w:hAnsi="Calibri" w:cs="Calibri"/>
              </w:rPr>
            </w:pPr>
          </w:p>
          <w:p w14:paraId="095A89D7" w14:textId="4E2C3032" w:rsidR="00B63043" w:rsidRPr="00472675" w:rsidRDefault="6D87B470" w:rsidP="003B0B56">
            <w:r w:rsidRPr="6D87B470">
              <w:rPr>
                <w:rFonts w:ascii="Calibri" w:eastAsia="Calibri" w:hAnsi="Calibri" w:cs="Calibri"/>
              </w:rPr>
              <w:t>Tenderers should not assume that direct access to Teagasc systems, including any CRM or client management systems, will be provided.</w:t>
            </w:r>
          </w:p>
          <w:p w14:paraId="24ADEA1A" w14:textId="1A1AD062" w:rsidR="00B63043" w:rsidRPr="00472675" w:rsidRDefault="00B63043" w:rsidP="6D87B470">
            <w:pPr>
              <w:rPr>
                <w:rFonts w:ascii="Calibri" w:eastAsia="Calibri" w:hAnsi="Calibri" w:cs="Calibri"/>
              </w:rPr>
            </w:pPr>
          </w:p>
          <w:p w14:paraId="7FD5C3F3" w14:textId="02BC2035" w:rsidR="00B63043" w:rsidRPr="00472675" w:rsidRDefault="6D87B470" w:rsidP="003B0B56">
            <w:r w:rsidRPr="6D87B470">
              <w:rPr>
                <w:rFonts w:ascii="Calibri" w:eastAsia="Calibri" w:hAnsi="Calibri" w:cs="Calibri"/>
              </w:rPr>
              <w:t>The Teagasc CRM will not be directly accessible via API.</w:t>
            </w:r>
          </w:p>
          <w:p w14:paraId="09747EDE" w14:textId="004DFDA1" w:rsidR="00B63043" w:rsidRPr="00472675" w:rsidRDefault="6D87B470" w:rsidP="003B0B56">
            <w:r w:rsidRPr="6D87B470">
              <w:rPr>
                <w:rFonts w:ascii="Calibri" w:eastAsia="Calibri" w:hAnsi="Calibri" w:cs="Calibri"/>
              </w:rPr>
              <w:t>Any transfer, storage or processing of personal data must be undertaken in accordance with applicable GDPR and data protection requirements.</w:t>
            </w:r>
          </w:p>
          <w:p w14:paraId="60F41432" w14:textId="0208EF8C" w:rsidR="00B63043" w:rsidRPr="00472675" w:rsidRDefault="00B63043" w:rsidP="6D87B470">
            <w:pPr>
              <w:rPr>
                <w:color w:val="FF0000"/>
              </w:rPr>
            </w:pPr>
          </w:p>
          <w:p w14:paraId="26CEC565" w14:textId="5B68297E" w:rsidR="00B63043" w:rsidRPr="00472675" w:rsidRDefault="00B63043" w:rsidP="6D87B470">
            <w:pPr>
              <w:rPr>
                <w:color w:val="FF0000"/>
              </w:rPr>
            </w:pPr>
          </w:p>
        </w:tc>
      </w:tr>
      <w:tr w:rsidR="00B63043" w14:paraId="777EE7C4" w14:textId="77777777" w:rsidTr="6D87B470">
        <w:tc>
          <w:tcPr>
            <w:tcW w:w="521" w:type="dxa"/>
          </w:tcPr>
          <w:p w14:paraId="5C8258B4" w14:textId="1A0513BC" w:rsidR="00B63043" w:rsidRDefault="00B63043" w:rsidP="003B0B56">
            <w:pPr>
              <w:shd w:val="clear" w:color="auto" w:fill="FFFFFF"/>
              <w:spacing w:after="120"/>
              <w:rPr>
                <w:color w:val="808080" w:themeColor="background1" w:themeShade="80"/>
              </w:rPr>
            </w:pPr>
            <w:r>
              <w:rPr>
                <w:color w:val="808080" w:themeColor="background1" w:themeShade="80"/>
              </w:rPr>
              <w:t>7</w:t>
            </w:r>
          </w:p>
        </w:tc>
        <w:tc>
          <w:tcPr>
            <w:tcW w:w="3701" w:type="dxa"/>
            <w:vAlign w:val="center"/>
          </w:tcPr>
          <w:p w14:paraId="20F4FE5F" w14:textId="70221750" w:rsidR="00B63043" w:rsidRPr="00B63043" w:rsidRDefault="6D87B470" w:rsidP="6D87B470">
            <w:pPr>
              <w:shd w:val="clear" w:color="auto" w:fill="FFFFFF" w:themeFill="background1"/>
              <w:spacing w:after="120"/>
            </w:pPr>
            <w:r w:rsidRPr="6D87B470">
              <w:rPr>
                <w:color w:val="808080" w:themeColor="background1" w:themeShade="80"/>
              </w:rPr>
              <w:t>What APIs (if any) does NMP Online currently expose, and do you envisage being able to provide API endpoints to support the integrated service, for example, to support 4.1 “Select parcel locations”?</w:t>
            </w:r>
          </w:p>
          <w:p w14:paraId="20E30186" w14:textId="68CD51B0" w:rsidR="00B63043" w:rsidRPr="00B63043" w:rsidRDefault="00B63043" w:rsidP="6D87B470">
            <w:pPr>
              <w:shd w:val="clear" w:color="auto" w:fill="FFFFFF" w:themeFill="background1"/>
              <w:spacing w:after="120"/>
              <w:rPr>
                <w:color w:val="808080" w:themeColor="background1" w:themeShade="80"/>
              </w:rPr>
            </w:pPr>
          </w:p>
          <w:p w14:paraId="12707A14" w14:textId="75BA2058" w:rsidR="00B63043" w:rsidRPr="00B63043" w:rsidRDefault="00B63043" w:rsidP="6D87B470">
            <w:pPr>
              <w:shd w:val="clear" w:color="auto" w:fill="FFFFFF" w:themeFill="background1"/>
              <w:spacing w:after="120"/>
              <w:rPr>
                <w:color w:val="808080" w:themeColor="background1" w:themeShade="80"/>
              </w:rPr>
            </w:pPr>
          </w:p>
          <w:p w14:paraId="14A55246" w14:textId="356DA958" w:rsidR="00B63043" w:rsidRPr="00B63043" w:rsidRDefault="00B63043" w:rsidP="6D87B470">
            <w:pPr>
              <w:shd w:val="clear" w:color="auto" w:fill="FFFFFF" w:themeFill="background1"/>
              <w:spacing w:after="120"/>
              <w:rPr>
                <w:color w:val="808080" w:themeColor="background1" w:themeShade="80"/>
              </w:rPr>
            </w:pPr>
          </w:p>
          <w:p w14:paraId="0B4A964D" w14:textId="412C8223" w:rsidR="00B63043" w:rsidRPr="00B63043" w:rsidRDefault="00B63043" w:rsidP="6D87B470">
            <w:pPr>
              <w:shd w:val="clear" w:color="auto" w:fill="FFFFFF" w:themeFill="background1"/>
              <w:spacing w:after="120"/>
              <w:rPr>
                <w:color w:val="808080" w:themeColor="background1" w:themeShade="80"/>
              </w:rPr>
            </w:pPr>
          </w:p>
          <w:p w14:paraId="2913B456" w14:textId="35750DC7" w:rsidR="00B63043" w:rsidRPr="00B63043" w:rsidRDefault="00B63043" w:rsidP="6D87B470">
            <w:pPr>
              <w:shd w:val="clear" w:color="auto" w:fill="FFFFFF" w:themeFill="background1"/>
              <w:spacing w:after="120"/>
              <w:rPr>
                <w:color w:val="808080" w:themeColor="background1" w:themeShade="80"/>
              </w:rPr>
            </w:pPr>
          </w:p>
          <w:p w14:paraId="47A40992" w14:textId="32EFEE4C" w:rsidR="00B63043" w:rsidRPr="00B63043" w:rsidRDefault="00B63043" w:rsidP="6D87B470">
            <w:pPr>
              <w:shd w:val="clear" w:color="auto" w:fill="FFFFFF" w:themeFill="background1"/>
              <w:spacing w:after="120"/>
              <w:rPr>
                <w:color w:val="808080" w:themeColor="background1" w:themeShade="80"/>
              </w:rPr>
            </w:pPr>
          </w:p>
          <w:p w14:paraId="337448D8" w14:textId="57441D14" w:rsidR="00B63043" w:rsidRPr="00B63043" w:rsidRDefault="00B63043" w:rsidP="6D87B470">
            <w:pPr>
              <w:shd w:val="clear" w:color="auto" w:fill="FFFFFF" w:themeFill="background1"/>
              <w:spacing w:after="120"/>
              <w:rPr>
                <w:color w:val="808080" w:themeColor="background1" w:themeShade="80"/>
              </w:rPr>
            </w:pPr>
          </w:p>
          <w:p w14:paraId="20DB1EC2" w14:textId="44FB48F9" w:rsidR="00B63043" w:rsidRPr="00B63043" w:rsidRDefault="00B63043" w:rsidP="6D87B470">
            <w:pPr>
              <w:shd w:val="clear" w:color="auto" w:fill="FFFFFF" w:themeFill="background1"/>
              <w:spacing w:after="120"/>
              <w:rPr>
                <w:color w:val="808080" w:themeColor="background1" w:themeShade="80"/>
              </w:rPr>
            </w:pPr>
          </w:p>
          <w:p w14:paraId="0F91DB7F" w14:textId="5F72E402" w:rsidR="00B63043" w:rsidRPr="00B63043" w:rsidRDefault="00B63043" w:rsidP="6D87B470">
            <w:pPr>
              <w:shd w:val="clear" w:color="auto" w:fill="FFFFFF" w:themeFill="background1"/>
              <w:spacing w:after="120"/>
              <w:rPr>
                <w:color w:val="808080" w:themeColor="background1" w:themeShade="80"/>
              </w:rPr>
            </w:pPr>
          </w:p>
        </w:tc>
        <w:tc>
          <w:tcPr>
            <w:tcW w:w="4794" w:type="dxa"/>
          </w:tcPr>
          <w:p w14:paraId="14CD6E1D" w14:textId="785ACFBA" w:rsidR="00B63043" w:rsidRPr="00472675" w:rsidRDefault="6D87B470" w:rsidP="003B0B56">
            <w:r w:rsidRPr="6D87B470">
              <w:rPr>
                <w:rFonts w:ascii="Calibri" w:eastAsia="Calibri" w:hAnsi="Calibri" w:cs="Calibri"/>
              </w:rPr>
              <w:lastRenderedPageBreak/>
              <w:t>The Contracting Authority confirms that NMP Online does not currently provide direct integration with external service provider systems.</w:t>
            </w:r>
          </w:p>
          <w:p w14:paraId="229E5325" w14:textId="222E2049" w:rsidR="00B63043" w:rsidRPr="00472675" w:rsidRDefault="00B63043" w:rsidP="6D87B470">
            <w:pPr>
              <w:rPr>
                <w:rFonts w:ascii="Calibri" w:eastAsia="Calibri" w:hAnsi="Calibri" w:cs="Calibri"/>
              </w:rPr>
            </w:pPr>
          </w:p>
          <w:p w14:paraId="4C85AAC9" w14:textId="13852540" w:rsidR="00B63043" w:rsidRPr="00472675" w:rsidRDefault="6D87B470" w:rsidP="003B0B56">
            <w:r w:rsidRPr="6D87B470">
              <w:rPr>
                <w:rFonts w:ascii="Calibri" w:eastAsia="Calibri" w:hAnsi="Calibri" w:cs="Calibri"/>
              </w:rPr>
              <w:t>The data exchange model envisaged under this contract is that relevant data will be transferred by the successful Tenderer to an agreed interface or database, from which NMP Online will access the required information.</w:t>
            </w:r>
          </w:p>
          <w:p w14:paraId="1E2D25A3" w14:textId="1F1C6F77" w:rsidR="00B63043" w:rsidRPr="00472675" w:rsidRDefault="00B63043" w:rsidP="6D87B470">
            <w:pPr>
              <w:rPr>
                <w:rFonts w:ascii="Calibri" w:eastAsia="Calibri" w:hAnsi="Calibri" w:cs="Calibri"/>
              </w:rPr>
            </w:pPr>
          </w:p>
          <w:p w14:paraId="3C5FB2A2" w14:textId="3C7F39A4" w:rsidR="00B63043" w:rsidRPr="00472675" w:rsidRDefault="6D87B470" w:rsidP="003B0B56">
            <w:r w:rsidRPr="6D87B470">
              <w:rPr>
                <w:rFonts w:ascii="Calibri" w:eastAsia="Calibri" w:hAnsi="Calibri" w:cs="Calibri"/>
              </w:rPr>
              <w:t>Tenderers should therefore not assume that direct API integration with NMP Online will be available.</w:t>
            </w:r>
          </w:p>
          <w:p w14:paraId="3F5E04DD" w14:textId="2EB50D0A" w:rsidR="00B63043" w:rsidRPr="00472675" w:rsidRDefault="6D87B470" w:rsidP="003B0B56">
            <w:r w:rsidRPr="6D87B470">
              <w:rPr>
                <w:rFonts w:ascii="Calibri" w:eastAsia="Calibri" w:hAnsi="Calibri" w:cs="Calibri"/>
              </w:rPr>
              <w:t xml:space="preserve">The Contracting Authority's requirement is for the successful Tenderer to provide the necessary data </w:t>
            </w:r>
            <w:r w:rsidRPr="6D87B470">
              <w:rPr>
                <w:rFonts w:ascii="Calibri" w:eastAsia="Calibri" w:hAnsi="Calibri" w:cs="Calibri"/>
              </w:rPr>
              <w:lastRenderedPageBreak/>
              <w:t>in the agreed format and structure to support downstream integration with Teagasc systems.</w:t>
            </w:r>
          </w:p>
          <w:p w14:paraId="5C0032F6" w14:textId="10B47BCF" w:rsidR="00B63043" w:rsidRPr="00472675" w:rsidRDefault="6D87B470" w:rsidP="003B0B56">
            <w:r w:rsidRPr="6D87B470">
              <w:rPr>
                <w:rFonts w:ascii="Calibri" w:eastAsia="Calibri" w:hAnsi="Calibri" w:cs="Calibri"/>
              </w:rPr>
              <w:t>Tenderers may propose alternative approaches to facilitate efficient data exchange and integration as part of their response.</w:t>
            </w:r>
          </w:p>
          <w:p w14:paraId="699E430B" w14:textId="083660DC" w:rsidR="00B63043" w:rsidRPr="00472675" w:rsidRDefault="00B63043" w:rsidP="6D87B470">
            <w:pPr>
              <w:rPr>
                <w:color w:val="FF0000"/>
              </w:rPr>
            </w:pPr>
          </w:p>
        </w:tc>
      </w:tr>
      <w:tr w:rsidR="00B63043" w14:paraId="1B990548" w14:textId="77777777" w:rsidTr="003D2B5B">
        <w:trPr>
          <w:trHeight w:val="4606"/>
        </w:trPr>
        <w:tc>
          <w:tcPr>
            <w:tcW w:w="521" w:type="dxa"/>
          </w:tcPr>
          <w:p w14:paraId="7EEA3A75" w14:textId="4FD2DE4D" w:rsidR="00B63043" w:rsidRDefault="00B63043" w:rsidP="003B0B56">
            <w:pPr>
              <w:shd w:val="clear" w:color="auto" w:fill="FFFFFF"/>
              <w:spacing w:after="120"/>
              <w:rPr>
                <w:color w:val="808080" w:themeColor="background1" w:themeShade="80"/>
              </w:rPr>
            </w:pPr>
            <w:r>
              <w:rPr>
                <w:color w:val="808080" w:themeColor="background1" w:themeShade="80"/>
              </w:rPr>
              <w:lastRenderedPageBreak/>
              <w:t>8</w:t>
            </w:r>
          </w:p>
        </w:tc>
        <w:tc>
          <w:tcPr>
            <w:tcW w:w="3701" w:type="dxa"/>
            <w:vAlign w:val="center"/>
          </w:tcPr>
          <w:p w14:paraId="3032C1B5" w14:textId="60DE6262" w:rsidR="00B63043" w:rsidRPr="00B63043" w:rsidRDefault="6D87B470" w:rsidP="6D87B470">
            <w:pPr>
              <w:shd w:val="clear" w:color="auto" w:fill="FFFFFF" w:themeFill="background1"/>
              <w:spacing w:after="120"/>
            </w:pPr>
            <w:r w:rsidRPr="6D87B470">
              <w:rPr>
                <w:color w:val="808080" w:themeColor="background1" w:themeShade="80"/>
              </w:rPr>
              <w:t>At what point does Teagasc expect a sample / job record to be created in the Soil Registration Database? Is registration required early in the process (once samples are collected by the sampler), or is it expected for the records to be created in the Soil Registration Database from the authorised results CSV transferred to the SFTP after laboratory analysis? Please confirm whether any pre-analysis registration of sampled jobs is expected, and by what mechanism.</w:t>
            </w:r>
          </w:p>
          <w:p w14:paraId="33C9A63A" w14:textId="57ADFBFC" w:rsidR="00B63043" w:rsidRPr="00B63043" w:rsidRDefault="00B63043" w:rsidP="6D87B470">
            <w:pPr>
              <w:shd w:val="clear" w:color="auto" w:fill="FFFFFF" w:themeFill="background1"/>
              <w:spacing w:after="120"/>
              <w:rPr>
                <w:color w:val="808080" w:themeColor="background1" w:themeShade="80"/>
              </w:rPr>
            </w:pPr>
          </w:p>
          <w:p w14:paraId="1388A366" w14:textId="69A27158" w:rsidR="00B63043" w:rsidRPr="00B63043" w:rsidRDefault="00B63043" w:rsidP="6D87B470">
            <w:pPr>
              <w:shd w:val="clear" w:color="auto" w:fill="FFFFFF" w:themeFill="background1"/>
              <w:spacing w:after="120"/>
              <w:rPr>
                <w:color w:val="808080" w:themeColor="background1" w:themeShade="80"/>
              </w:rPr>
            </w:pPr>
          </w:p>
          <w:p w14:paraId="7AD1893F" w14:textId="35CB0094" w:rsidR="00B63043" w:rsidRPr="00B63043" w:rsidRDefault="00B63043" w:rsidP="6D87B470">
            <w:pPr>
              <w:shd w:val="clear" w:color="auto" w:fill="FFFFFF" w:themeFill="background1"/>
              <w:spacing w:after="120"/>
              <w:rPr>
                <w:color w:val="808080" w:themeColor="background1" w:themeShade="80"/>
              </w:rPr>
            </w:pPr>
          </w:p>
        </w:tc>
        <w:tc>
          <w:tcPr>
            <w:tcW w:w="4794" w:type="dxa"/>
          </w:tcPr>
          <w:p w14:paraId="6E1C8807" w14:textId="5CB0EB2C" w:rsidR="00B63043" w:rsidRPr="003D2B5B" w:rsidRDefault="6D87B470" w:rsidP="6D87B470">
            <w:r w:rsidRPr="003D2B5B">
              <w:t>The Soil Registration Database is intended to hold only the completed and final soil analysis results and associated information. Job records within the Soil Registration Database are created by Teagasc systems upon receipt of the complete and final results file from the Tenderer.</w:t>
            </w:r>
          </w:p>
          <w:p w14:paraId="13950B17" w14:textId="391070C8" w:rsidR="00B63043" w:rsidRPr="003D2B5B" w:rsidRDefault="6D87B470" w:rsidP="6D87B470">
            <w:r w:rsidRPr="003D2B5B">
              <w:t>However, the Contracting Authority requires visibility of sampling requests, sample status and progress throughout the process through an appropriate tracking or workflow system.</w:t>
            </w:r>
          </w:p>
          <w:p w14:paraId="69FA42FE" w14:textId="689F8181" w:rsidR="00B63043" w:rsidRPr="003D2B5B" w:rsidRDefault="6D87B470" w:rsidP="6D87B470">
            <w:r w:rsidRPr="003D2B5B">
              <w:t>The Tenderers should provide a means of tracking and monitoring sampling activity throughout the service lifecycle, but are not required to create or maintain job records within the Soil Registration Database prior to completion of the analytical process.</w:t>
            </w:r>
          </w:p>
          <w:p w14:paraId="538B21B5" w14:textId="286B470B" w:rsidR="00B63043" w:rsidRPr="00472675" w:rsidRDefault="00B63043" w:rsidP="6D87B470"/>
        </w:tc>
      </w:tr>
      <w:tr w:rsidR="00B63043" w14:paraId="7780CA5C" w14:textId="77777777" w:rsidTr="6D87B470">
        <w:tc>
          <w:tcPr>
            <w:tcW w:w="521" w:type="dxa"/>
          </w:tcPr>
          <w:p w14:paraId="76F6E8BA" w14:textId="67A702FE" w:rsidR="00B63043" w:rsidRDefault="00B63043" w:rsidP="003B0B56">
            <w:pPr>
              <w:shd w:val="clear" w:color="auto" w:fill="FFFFFF"/>
              <w:spacing w:after="120"/>
              <w:rPr>
                <w:color w:val="808080" w:themeColor="background1" w:themeShade="80"/>
              </w:rPr>
            </w:pPr>
            <w:r>
              <w:rPr>
                <w:color w:val="808080" w:themeColor="background1" w:themeShade="80"/>
              </w:rPr>
              <w:t>9</w:t>
            </w:r>
          </w:p>
        </w:tc>
        <w:tc>
          <w:tcPr>
            <w:tcW w:w="3701" w:type="dxa"/>
            <w:vAlign w:val="center"/>
          </w:tcPr>
          <w:p w14:paraId="5F012E78" w14:textId="018D5F65" w:rsidR="00B63043" w:rsidRPr="00B63043" w:rsidRDefault="6D87B470" w:rsidP="6D87B470">
            <w:pPr>
              <w:shd w:val="clear" w:color="auto" w:fill="FFFFFF" w:themeFill="background1"/>
              <w:spacing w:after="120"/>
            </w:pPr>
            <w:r w:rsidRPr="6D87B470">
              <w:rPr>
                <w:color w:val="808080" w:themeColor="background1" w:themeShade="80"/>
              </w:rPr>
              <w:t>Will Teagasc facilitate using their offices as a sample drop off point for courier collection?</w:t>
            </w:r>
          </w:p>
          <w:p w14:paraId="629C8DA2" w14:textId="095DFD2E" w:rsidR="00B63043" w:rsidRPr="00B63043" w:rsidRDefault="00B63043" w:rsidP="6D87B470">
            <w:pPr>
              <w:shd w:val="clear" w:color="auto" w:fill="FFFFFF" w:themeFill="background1"/>
              <w:spacing w:after="120"/>
              <w:rPr>
                <w:color w:val="808080" w:themeColor="background1" w:themeShade="80"/>
              </w:rPr>
            </w:pPr>
          </w:p>
          <w:p w14:paraId="0CC61615" w14:textId="3AFAC2F9" w:rsidR="00B63043" w:rsidRPr="00B63043" w:rsidRDefault="00B63043" w:rsidP="6D87B470">
            <w:pPr>
              <w:shd w:val="clear" w:color="auto" w:fill="FFFFFF" w:themeFill="background1"/>
              <w:spacing w:after="120"/>
              <w:rPr>
                <w:color w:val="808080" w:themeColor="background1" w:themeShade="80"/>
              </w:rPr>
            </w:pPr>
          </w:p>
          <w:p w14:paraId="1B4E654B" w14:textId="4A6772E6" w:rsidR="00B63043" w:rsidRPr="00B63043" w:rsidRDefault="00B63043" w:rsidP="6D87B470">
            <w:pPr>
              <w:shd w:val="clear" w:color="auto" w:fill="FFFFFF" w:themeFill="background1"/>
              <w:spacing w:after="120"/>
              <w:rPr>
                <w:color w:val="808080" w:themeColor="background1" w:themeShade="80"/>
              </w:rPr>
            </w:pPr>
          </w:p>
          <w:p w14:paraId="38A1F7B5" w14:textId="4C764FFE" w:rsidR="00B63043" w:rsidRPr="00B63043" w:rsidRDefault="00B63043" w:rsidP="6D87B470">
            <w:pPr>
              <w:shd w:val="clear" w:color="auto" w:fill="FFFFFF" w:themeFill="background1"/>
              <w:spacing w:after="120"/>
              <w:rPr>
                <w:color w:val="808080" w:themeColor="background1" w:themeShade="80"/>
              </w:rPr>
            </w:pPr>
          </w:p>
          <w:p w14:paraId="794B25BF" w14:textId="6BC98672" w:rsidR="00B63043" w:rsidRPr="00B63043" w:rsidRDefault="00B63043" w:rsidP="6D87B470">
            <w:pPr>
              <w:shd w:val="clear" w:color="auto" w:fill="FFFFFF" w:themeFill="background1"/>
              <w:spacing w:after="120"/>
              <w:rPr>
                <w:color w:val="808080" w:themeColor="background1" w:themeShade="80"/>
              </w:rPr>
            </w:pPr>
          </w:p>
        </w:tc>
        <w:tc>
          <w:tcPr>
            <w:tcW w:w="4794" w:type="dxa"/>
          </w:tcPr>
          <w:p w14:paraId="2D4D8360" w14:textId="77777777" w:rsidR="00BF2BF5" w:rsidRDefault="00BF2BF5" w:rsidP="00BF2BF5">
            <w:r>
              <w:t>No.</w:t>
            </w:r>
          </w:p>
          <w:p w14:paraId="11B5C362" w14:textId="77777777" w:rsidR="00BF2BF5" w:rsidRDefault="00BF2BF5" w:rsidP="00BF2BF5"/>
          <w:p w14:paraId="05154159" w14:textId="77777777" w:rsidR="00BF2BF5" w:rsidRDefault="00BF2BF5" w:rsidP="00BF2BF5">
            <w:r>
              <w:t>Tenderers should not assume that Teagasc offices will be available for the receipt, storage, consolidation, packaging or collection of soil samples.</w:t>
            </w:r>
          </w:p>
          <w:p w14:paraId="1B78B665" w14:textId="77777777" w:rsidR="00BF2BF5" w:rsidRDefault="00BF2BF5" w:rsidP="00BF2BF5"/>
          <w:p w14:paraId="52F40C18" w14:textId="00FA09FA" w:rsidR="00B63043" w:rsidRPr="00472675" w:rsidRDefault="00BF2BF5" w:rsidP="00BF2BF5">
            <w:r>
              <w:t>Tenderers are required to propose a solution that operates independently of Teagasc office facilities and includes all necessary arrangements for sample collection, transport and logistics.</w:t>
            </w:r>
          </w:p>
        </w:tc>
      </w:tr>
      <w:tr w:rsidR="00B63043" w14:paraId="7F70FCEA" w14:textId="77777777" w:rsidTr="6D87B470">
        <w:tc>
          <w:tcPr>
            <w:tcW w:w="521" w:type="dxa"/>
          </w:tcPr>
          <w:p w14:paraId="10833F47" w14:textId="39622D23" w:rsidR="00B63043" w:rsidRDefault="00B63043" w:rsidP="003B0B56">
            <w:pPr>
              <w:shd w:val="clear" w:color="auto" w:fill="FFFFFF"/>
              <w:spacing w:after="120"/>
              <w:rPr>
                <w:color w:val="808080" w:themeColor="background1" w:themeShade="80"/>
              </w:rPr>
            </w:pPr>
            <w:r>
              <w:rPr>
                <w:color w:val="808080" w:themeColor="background1" w:themeShade="80"/>
              </w:rPr>
              <w:t>10</w:t>
            </w:r>
          </w:p>
        </w:tc>
        <w:tc>
          <w:tcPr>
            <w:tcW w:w="3701" w:type="dxa"/>
            <w:vAlign w:val="center"/>
          </w:tcPr>
          <w:p w14:paraId="161F3015" w14:textId="3941EAB1" w:rsidR="00B63043" w:rsidRPr="00B63043" w:rsidRDefault="00B63043" w:rsidP="002D58C5">
            <w:pPr>
              <w:shd w:val="clear" w:color="auto" w:fill="FFFFFF"/>
              <w:spacing w:after="120"/>
              <w:rPr>
                <w:color w:val="808080" w:themeColor="background1" w:themeShade="80"/>
              </w:rPr>
            </w:pPr>
            <w:r w:rsidRPr="00B63043">
              <w:rPr>
                <w:color w:val="808080" w:themeColor="background1" w:themeShade="80"/>
              </w:rPr>
              <w:t>And if yes to the above, will Teagasc enable courier labels to be printed and placed on the packages</w:t>
            </w:r>
          </w:p>
        </w:tc>
        <w:tc>
          <w:tcPr>
            <w:tcW w:w="4794" w:type="dxa"/>
          </w:tcPr>
          <w:p w14:paraId="45844C54" w14:textId="0DCF0E4B" w:rsidR="00B63043" w:rsidRPr="00472675" w:rsidRDefault="00BF2BF5" w:rsidP="003B0B56">
            <w:r>
              <w:t>As per Above</w:t>
            </w:r>
          </w:p>
        </w:tc>
      </w:tr>
      <w:tr w:rsidR="00B63043" w14:paraId="01980D8C" w14:textId="77777777" w:rsidTr="6D87B470">
        <w:tc>
          <w:tcPr>
            <w:tcW w:w="521" w:type="dxa"/>
          </w:tcPr>
          <w:p w14:paraId="38636103" w14:textId="3B7972EF" w:rsidR="00B63043" w:rsidRDefault="00B63043" w:rsidP="003B0B56">
            <w:pPr>
              <w:shd w:val="clear" w:color="auto" w:fill="FFFFFF"/>
              <w:spacing w:after="120"/>
              <w:rPr>
                <w:color w:val="808080" w:themeColor="background1" w:themeShade="80"/>
              </w:rPr>
            </w:pPr>
            <w:r>
              <w:rPr>
                <w:color w:val="808080" w:themeColor="background1" w:themeShade="80"/>
              </w:rPr>
              <w:t>11</w:t>
            </w:r>
          </w:p>
        </w:tc>
        <w:tc>
          <w:tcPr>
            <w:tcW w:w="3701" w:type="dxa"/>
            <w:vAlign w:val="center"/>
          </w:tcPr>
          <w:p w14:paraId="3EE09443" w14:textId="61CEDE4C" w:rsidR="00B63043" w:rsidRPr="00B63043" w:rsidRDefault="6D87B470" w:rsidP="6D87B470">
            <w:pPr>
              <w:shd w:val="clear" w:color="auto" w:fill="FFFFFF" w:themeFill="background1"/>
              <w:spacing w:after="120"/>
            </w:pPr>
            <w:r w:rsidRPr="6D87B470">
              <w:rPr>
                <w:color w:val="808080" w:themeColor="background1" w:themeShade="80"/>
              </w:rPr>
              <w:t>Will Teagasc facilitate the borrowing of soil corers for farmers who choose to collect samples themselves?</w:t>
            </w:r>
          </w:p>
          <w:p w14:paraId="2A0D2141" w14:textId="053F508E" w:rsidR="00B63043" w:rsidRPr="00B63043" w:rsidRDefault="00B63043" w:rsidP="6D87B470">
            <w:pPr>
              <w:shd w:val="clear" w:color="auto" w:fill="FFFFFF" w:themeFill="background1"/>
              <w:spacing w:after="120"/>
              <w:rPr>
                <w:color w:val="808080" w:themeColor="background1" w:themeShade="80"/>
              </w:rPr>
            </w:pPr>
          </w:p>
          <w:p w14:paraId="73B04A9B" w14:textId="7D378EEC" w:rsidR="00B63043" w:rsidRPr="00B63043" w:rsidRDefault="00B63043" w:rsidP="6D87B470">
            <w:pPr>
              <w:shd w:val="clear" w:color="auto" w:fill="FFFFFF" w:themeFill="background1"/>
              <w:spacing w:after="120"/>
              <w:rPr>
                <w:color w:val="808080" w:themeColor="background1" w:themeShade="80"/>
              </w:rPr>
            </w:pPr>
          </w:p>
          <w:p w14:paraId="38AEA4BE" w14:textId="7AAECF6A" w:rsidR="00B63043" w:rsidRPr="00B63043" w:rsidRDefault="00B63043" w:rsidP="6D87B470">
            <w:pPr>
              <w:shd w:val="clear" w:color="auto" w:fill="FFFFFF" w:themeFill="background1"/>
              <w:spacing w:after="120"/>
              <w:rPr>
                <w:color w:val="808080" w:themeColor="background1" w:themeShade="80"/>
              </w:rPr>
            </w:pPr>
          </w:p>
          <w:p w14:paraId="20B2A9E9" w14:textId="4887358E" w:rsidR="00B63043" w:rsidRPr="00B63043" w:rsidRDefault="00B63043" w:rsidP="6D87B470">
            <w:pPr>
              <w:shd w:val="clear" w:color="auto" w:fill="FFFFFF" w:themeFill="background1"/>
              <w:spacing w:after="120"/>
              <w:rPr>
                <w:color w:val="808080" w:themeColor="background1" w:themeShade="80"/>
              </w:rPr>
            </w:pPr>
          </w:p>
          <w:p w14:paraId="578D9458" w14:textId="0EC8FDC6" w:rsidR="00B63043" w:rsidRPr="00B63043" w:rsidRDefault="00B63043" w:rsidP="6D87B470">
            <w:pPr>
              <w:shd w:val="clear" w:color="auto" w:fill="FFFFFF" w:themeFill="background1"/>
              <w:spacing w:after="120"/>
              <w:rPr>
                <w:color w:val="808080" w:themeColor="background1" w:themeShade="80"/>
              </w:rPr>
            </w:pPr>
          </w:p>
        </w:tc>
        <w:tc>
          <w:tcPr>
            <w:tcW w:w="4794" w:type="dxa"/>
          </w:tcPr>
          <w:p w14:paraId="2EA2D802" w14:textId="77777777" w:rsidR="00BF2BF5" w:rsidRDefault="00BF2BF5" w:rsidP="00BF2BF5">
            <w:r>
              <w:t>Farmers who choose to collect soil samples themselves will be responsible for sourcing appropriate soil sampling equipment.</w:t>
            </w:r>
          </w:p>
          <w:p w14:paraId="38458697" w14:textId="77777777" w:rsidR="00BF2BF5" w:rsidRDefault="00BF2BF5" w:rsidP="00BF2BF5"/>
          <w:p w14:paraId="5E491BBB" w14:textId="77777777" w:rsidR="00BF2BF5" w:rsidRDefault="00BF2BF5" w:rsidP="00BF2BF5">
            <w:r>
              <w:t>Tenderers should not assume that Teagasc will provide soil corers or other soil sampling equipment to farmers or end users as part of this service.</w:t>
            </w:r>
          </w:p>
          <w:p w14:paraId="35B9BCB6" w14:textId="77777777" w:rsidR="00BF2BF5" w:rsidRDefault="00BF2BF5" w:rsidP="00BF2BF5"/>
          <w:p w14:paraId="6D80CF27" w14:textId="31895B8C" w:rsidR="00B63043" w:rsidRPr="00472675" w:rsidRDefault="00BF2BF5" w:rsidP="00BF2BF5">
            <w:r>
              <w:t>The provision of soil sampling equipment to farmers is not a requirement of this tender.</w:t>
            </w:r>
          </w:p>
        </w:tc>
      </w:tr>
      <w:tr w:rsidR="00B63043" w14:paraId="40CDF268" w14:textId="77777777" w:rsidTr="6D87B470">
        <w:tc>
          <w:tcPr>
            <w:tcW w:w="521" w:type="dxa"/>
          </w:tcPr>
          <w:p w14:paraId="2B2571F5" w14:textId="1BCBAF81" w:rsidR="00B63043" w:rsidRDefault="00B63043" w:rsidP="003B0B56">
            <w:pPr>
              <w:shd w:val="clear" w:color="auto" w:fill="FFFFFF"/>
              <w:spacing w:after="120"/>
              <w:rPr>
                <w:color w:val="808080" w:themeColor="background1" w:themeShade="80"/>
              </w:rPr>
            </w:pPr>
            <w:r>
              <w:rPr>
                <w:color w:val="808080" w:themeColor="background1" w:themeShade="80"/>
              </w:rPr>
              <w:t>12</w:t>
            </w:r>
          </w:p>
        </w:tc>
        <w:tc>
          <w:tcPr>
            <w:tcW w:w="3701" w:type="dxa"/>
            <w:vAlign w:val="center"/>
          </w:tcPr>
          <w:p w14:paraId="56917F0C" w14:textId="46D37A28" w:rsidR="00B63043" w:rsidRPr="00B63043" w:rsidRDefault="00B63043" w:rsidP="002D58C5">
            <w:pPr>
              <w:shd w:val="clear" w:color="auto" w:fill="FFFFFF"/>
              <w:spacing w:after="120"/>
              <w:rPr>
                <w:color w:val="808080" w:themeColor="background1" w:themeShade="80"/>
              </w:rPr>
            </w:pPr>
            <w:r w:rsidRPr="00B63043">
              <w:rPr>
                <w:color w:val="808080" w:themeColor="background1" w:themeShade="80"/>
              </w:rPr>
              <w:t xml:space="preserve">The RFT states that there is a requirement for both Full Service </w:t>
            </w:r>
            <w:r w:rsidRPr="00B63043">
              <w:rPr>
                <w:color w:val="808080" w:themeColor="background1" w:themeShade="80"/>
              </w:rPr>
              <w:lastRenderedPageBreak/>
              <w:t>Sampling and Assisted or Self Sampling and that the Teagasc Advisor should have the ability to select the appropriate service option at the point of request. We are a little confused on this, as we assumed it would be up to the farmer to choose which option, when he has seen the price for both Full Service or Self Service?</w:t>
            </w:r>
          </w:p>
        </w:tc>
        <w:tc>
          <w:tcPr>
            <w:tcW w:w="4794" w:type="dxa"/>
          </w:tcPr>
          <w:p w14:paraId="56978900" w14:textId="77777777" w:rsidR="00680062" w:rsidRDefault="00680062" w:rsidP="00680062">
            <w:r>
              <w:lastRenderedPageBreak/>
              <w:t>The Contracting Authority confirms that the choice between Full Service Sampling and Assisted / Self-</w:t>
            </w:r>
            <w:r>
              <w:lastRenderedPageBreak/>
              <w:t>Sampling will ultimately be determined by the farmer or client.</w:t>
            </w:r>
          </w:p>
          <w:p w14:paraId="0E6FB8EB" w14:textId="77777777" w:rsidR="00680062" w:rsidRDefault="00680062" w:rsidP="00680062"/>
          <w:p w14:paraId="6F15C2C5" w14:textId="77777777" w:rsidR="00680062" w:rsidRDefault="00680062" w:rsidP="00680062">
            <w:r>
              <w:t>The Teagasc Advisor will discuss the available service options with the farmer and, based on the farmer's preference, will initiate the request through the booking process using the appropriate service option.</w:t>
            </w:r>
          </w:p>
          <w:p w14:paraId="30DDF0A2" w14:textId="77777777" w:rsidR="00680062" w:rsidRDefault="00680062" w:rsidP="00680062"/>
          <w:p w14:paraId="26C3CE4C" w14:textId="4D655470" w:rsidR="00B63043" w:rsidRPr="00472675" w:rsidRDefault="00680062" w:rsidP="00680062">
            <w:r>
              <w:t>The requirement for the Advisor to select the service option is intended to ensure that the farmer's chosen service is correctly recorded and communicated to the successful Tenderer at the point of request.</w:t>
            </w:r>
          </w:p>
        </w:tc>
      </w:tr>
      <w:tr w:rsidR="00B63043" w14:paraId="2C8C3C38" w14:textId="77777777" w:rsidTr="6D87B470">
        <w:tc>
          <w:tcPr>
            <w:tcW w:w="521" w:type="dxa"/>
          </w:tcPr>
          <w:p w14:paraId="72B44EB2" w14:textId="7EA9C0A2" w:rsidR="00B63043" w:rsidRDefault="00B63043" w:rsidP="003B0B56">
            <w:pPr>
              <w:shd w:val="clear" w:color="auto" w:fill="FFFFFF"/>
              <w:spacing w:after="120"/>
              <w:rPr>
                <w:color w:val="808080" w:themeColor="background1" w:themeShade="80"/>
              </w:rPr>
            </w:pPr>
            <w:r>
              <w:rPr>
                <w:color w:val="808080" w:themeColor="background1" w:themeShade="80"/>
              </w:rPr>
              <w:lastRenderedPageBreak/>
              <w:t>13</w:t>
            </w:r>
          </w:p>
        </w:tc>
        <w:tc>
          <w:tcPr>
            <w:tcW w:w="3701" w:type="dxa"/>
            <w:vAlign w:val="center"/>
          </w:tcPr>
          <w:p w14:paraId="0A3C0618" w14:textId="60C03D2E" w:rsidR="00B63043" w:rsidRPr="00B63043" w:rsidRDefault="00B63043" w:rsidP="002D58C5">
            <w:pPr>
              <w:shd w:val="clear" w:color="auto" w:fill="FFFFFF"/>
              <w:spacing w:after="120"/>
              <w:rPr>
                <w:color w:val="808080" w:themeColor="background1" w:themeShade="80"/>
              </w:rPr>
            </w:pPr>
            <w:r w:rsidRPr="00B63043">
              <w:rPr>
                <w:color w:val="808080" w:themeColor="background1" w:themeShade="80"/>
              </w:rPr>
              <w:t>In Section 1 of the Requirements you specify that when the Advisory initiates a request, they will also indicate timing requirements. In Section 2.a Soil Sampling Requirements, 2. Programme Planning and Delivery you state that the provider must describe the proposed approach for Programme Planning. Can you clarify what you mean by Programme Planning in this instance.</w:t>
            </w:r>
          </w:p>
        </w:tc>
        <w:tc>
          <w:tcPr>
            <w:tcW w:w="4794" w:type="dxa"/>
          </w:tcPr>
          <w:p w14:paraId="0FD0899D" w14:textId="77777777" w:rsidR="00680062" w:rsidRDefault="00680062" w:rsidP="00680062">
            <w:r>
              <w:t>The reference to "timing requirements" in Section 1 relates to any preferred timing or scheduling information provided by the Teagasc Advisor and/or farmer when initiating a service request.</w:t>
            </w:r>
          </w:p>
          <w:p w14:paraId="4E3BFB9D" w14:textId="77777777" w:rsidR="00680062" w:rsidRDefault="00680062" w:rsidP="00680062"/>
          <w:p w14:paraId="6E309CFC" w14:textId="77777777" w:rsidR="00680062" w:rsidRDefault="00680062" w:rsidP="00680062">
            <w:r>
              <w:t>The reference to "Programme Planning" in Section 2.a refers to the Tenderer's overall approach to planning, managing and delivering the service at a national level.</w:t>
            </w:r>
          </w:p>
          <w:p w14:paraId="3BC26AE9" w14:textId="362DA72B" w:rsidR="00B63043" w:rsidRPr="00472675" w:rsidRDefault="00B63043" w:rsidP="00680062"/>
        </w:tc>
      </w:tr>
      <w:tr w:rsidR="00B63043" w14:paraId="21001BAF" w14:textId="77777777" w:rsidTr="6D87B470">
        <w:tc>
          <w:tcPr>
            <w:tcW w:w="521" w:type="dxa"/>
          </w:tcPr>
          <w:p w14:paraId="7B3FB246" w14:textId="02B61DAB" w:rsidR="00B63043" w:rsidRDefault="00B63043" w:rsidP="003B0B56">
            <w:pPr>
              <w:shd w:val="clear" w:color="auto" w:fill="FFFFFF"/>
              <w:spacing w:after="120"/>
              <w:rPr>
                <w:color w:val="808080" w:themeColor="background1" w:themeShade="80"/>
              </w:rPr>
            </w:pPr>
            <w:r>
              <w:rPr>
                <w:color w:val="808080" w:themeColor="background1" w:themeShade="80"/>
              </w:rPr>
              <w:t>14</w:t>
            </w:r>
          </w:p>
        </w:tc>
        <w:tc>
          <w:tcPr>
            <w:tcW w:w="3701" w:type="dxa"/>
            <w:vAlign w:val="center"/>
          </w:tcPr>
          <w:p w14:paraId="55A7180C" w14:textId="7BB14E9D" w:rsidR="00B63043" w:rsidRPr="00B63043" w:rsidRDefault="6D87B470" w:rsidP="6D87B470">
            <w:pPr>
              <w:shd w:val="clear" w:color="auto" w:fill="FFFFFF" w:themeFill="background1"/>
              <w:spacing w:after="120"/>
              <w:rPr>
                <w:color w:val="808080" w:themeColor="background1" w:themeShade="80"/>
              </w:rPr>
            </w:pPr>
            <w:r w:rsidRPr="6D87B470">
              <w:rPr>
                <w:color w:val="808080" w:themeColor="background1" w:themeShade="80"/>
              </w:rPr>
              <w:t>Section 2.c ICT and Data Integration Requirements 1. Overview states that the Advisor must be able to log in securely, select a registered farm or client, identify sampling areas through either LPIS parcel selection or with geo-coordinate and assign the task to a Soil Sampler. As this is a fully managed service, does the allocation to a Soil Sampler not lie with the Service Provider, not the Teagasc Advisor?</w:t>
            </w:r>
          </w:p>
        </w:tc>
        <w:tc>
          <w:tcPr>
            <w:tcW w:w="4794" w:type="dxa"/>
          </w:tcPr>
          <w:p w14:paraId="4B8E24C3" w14:textId="76716B88" w:rsidR="00680062" w:rsidRDefault="00680062" w:rsidP="00680062">
            <w:r>
              <w:t>The Contracting Authority confirms that the intention is not that the Teagasc Advisor will select or assign an individual soil sampler.</w:t>
            </w:r>
          </w:p>
          <w:p w14:paraId="27253332" w14:textId="77777777" w:rsidR="00680062" w:rsidRDefault="00680062" w:rsidP="00680062"/>
          <w:p w14:paraId="5929BD49" w14:textId="77777777" w:rsidR="00680062" w:rsidRDefault="00680062" w:rsidP="00680062">
            <w:r>
              <w:t>The reference to assigning the task to a Soil Sampler should be interpreted as initiating a sampling request within the proposed system.</w:t>
            </w:r>
          </w:p>
          <w:p w14:paraId="314F753C" w14:textId="77777777" w:rsidR="00680062" w:rsidRDefault="00680062" w:rsidP="00680062"/>
          <w:p w14:paraId="06525E81" w14:textId="175DA0BA" w:rsidR="00B63043" w:rsidRPr="00472675" w:rsidRDefault="00680062" w:rsidP="00680062">
            <w:r>
              <w:t>Tenderers should therefore assume that allocation of individual samplers remains the responsibility of the successful Tenderer.</w:t>
            </w:r>
          </w:p>
        </w:tc>
      </w:tr>
      <w:tr w:rsidR="00B63043" w14:paraId="03C21DA3" w14:textId="77777777" w:rsidTr="6D87B470">
        <w:tc>
          <w:tcPr>
            <w:tcW w:w="521" w:type="dxa"/>
          </w:tcPr>
          <w:p w14:paraId="1E367E89" w14:textId="61403A50" w:rsidR="00B63043" w:rsidRDefault="00B63043" w:rsidP="003B0B56">
            <w:pPr>
              <w:shd w:val="clear" w:color="auto" w:fill="FFFFFF"/>
              <w:spacing w:after="120"/>
              <w:rPr>
                <w:color w:val="808080" w:themeColor="background1" w:themeShade="80"/>
              </w:rPr>
            </w:pPr>
            <w:r>
              <w:rPr>
                <w:color w:val="808080" w:themeColor="background1" w:themeShade="80"/>
              </w:rPr>
              <w:t>15</w:t>
            </w:r>
          </w:p>
        </w:tc>
        <w:tc>
          <w:tcPr>
            <w:tcW w:w="3701" w:type="dxa"/>
            <w:vAlign w:val="center"/>
          </w:tcPr>
          <w:p w14:paraId="2BA121C2" w14:textId="72F88FC1" w:rsidR="00B63043" w:rsidRPr="00B63043" w:rsidRDefault="00B63043" w:rsidP="002D58C5">
            <w:pPr>
              <w:shd w:val="clear" w:color="auto" w:fill="FFFFFF"/>
              <w:spacing w:after="120"/>
              <w:rPr>
                <w:color w:val="808080" w:themeColor="background1" w:themeShade="80"/>
              </w:rPr>
            </w:pPr>
            <w:r w:rsidRPr="00B63043">
              <w:rPr>
                <w:color w:val="808080" w:themeColor="background1" w:themeShade="80"/>
              </w:rPr>
              <w:t xml:space="preserve">Section 4. Data Exchange Mechanism 4.1 Soil Sampling Initiation via Advisor Portal… bullet point 10 says that the system must allow the Teagasc Advisor to Receive provisional quote for order. As the prices will vary depending on whether this is a full service or </w:t>
            </w:r>
            <w:proofErr w:type="spellStart"/>
            <w:r w:rsidRPr="00B63043">
              <w:rPr>
                <w:color w:val="808080" w:themeColor="background1" w:themeShade="80"/>
              </w:rPr>
              <w:t>self service</w:t>
            </w:r>
            <w:proofErr w:type="spellEnd"/>
            <w:r w:rsidRPr="00B63043">
              <w:rPr>
                <w:color w:val="808080" w:themeColor="background1" w:themeShade="80"/>
              </w:rPr>
              <w:t>, can this information be provided directly to the farmer?</w:t>
            </w:r>
          </w:p>
        </w:tc>
        <w:tc>
          <w:tcPr>
            <w:tcW w:w="4794" w:type="dxa"/>
          </w:tcPr>
          <w:p w14:paraId="3BC199B5" w14:textId="77777777" w:rsidR="00680062" w:rsidRDefault="00680062" w:rsidP="00680062">
            <w:r>
              <w:t>The Contracting Authority confirms that the purpose of the functionality is to ensure that pricing information is available prior to commencement of the service.</w:t>
            </w:r>
          </w:p>
          <w:p w14:paraId="0D32800F" w14:textId="77777777" w:rsidR="00680062" w:rsidRDefault="00680062" w:rsidP="00680062"/>
          <w:p w14:paraId="656787FA" w14:textId="77777777" w:rsidR="00680062" w:rsidRDefault="00680062" w:rsidP="00680062">
            <w:r>
              <w:t>The Contracting Authority would be satisfied with a solution whereby the quotation is provided directly to the farmer or client by the successful Tenderer, provided that the pricing is transparent and the farmer is given the opportunity to accept the quotation prior to the service being undertaken.</w:t>
            </w:r>
          </w:p>
          <w:p w14:paraId="4FD87B6E" w14:textId="77777777" w:rsidR="00680062" w:rsidRDefault="00680062" w:rsidP="00680062"/>
          <w:p w14:paraId="3F03FD3C" w14:textId="77777777" w:rsidR="00680062" w:rsidRDefault="00680062" w:rsidP="00680062">
            <w:r>
              <w:lastRenderedPageBreak/>
              <w:t>The Teagasc Advisor's role is to facilitate initiation of the request rather than to manage the commercial relationship between the farmer and the successful Tenderer.</w:t>
            </w:r>
          </w:p>
          <w:p w14:paraId="1716AB36" w14:textId="77777777" w:rsidR="00680062" w:rsidRDefault="00680062" w:rsidP="00680062"/>
          <w:p w14:paraId="5F98CB74" w14:textId="5BB2E3DF" w:rsidR="00B63043" w:rsidRPr="00472675" w:rsidRDefault="00680062" w:rsidP="00680062">
            <w:r>
              <w:t>Tenderers should describe their proposed quotation and acceptance process as part of their response.</w:t>
            </w:r>
          </w:p>
        </w:tc>
      </w:tr>
      <w:tr w:rsidR="00B63043" w14:paraId="013ABED1" w14:textId="77777777" w:rsidTr="6D87B470">
        <w:tc>
          <w:tcPr>
            <w:tcW w:w="521" w:type="dxa"/>
          </w:tcPr>
          <w:p w14:paraId="42A5914C" w14:textId="322F9573" w:rsidR="00B63043" w:rsidRDefault="00B63043" w:rsidP="003B0B56">
            <w:pPr>
              <w:shd w:val="clear" w:color="auto" w:fill="FFFFFF"/>
              <w:spacing w:after="120"/>
              <w:rPr>
                <w:color w:val="808080" w:themeColor="background1" w:themeShade="80"/>
              </w:rPr>
            </w:pPr>
            <w:r>
              <w:rPr>
                <w:color w:val="808080" w:themeColor="background1" w:themeShade="80"/>
              </w:rPr>
              <w:lastRenderedPageBreak/>
              <w:t>16</w:t>
            </w:r>
          </w:p>
        </w:tc>
        <w:tc>
          <w:tcPr>
            <w:tcW w:w="3701" w:type="dxa"/>
            <w:vAlign w:val="center"/>
          </w:tcPr>
          <w:p w14:paraId="7684F0FB" w14:textId="77777777" w:rsidR="00043D64" w:rsidRPr="00152ACD" w:rsidRDefault="00043D64" w:rsidP="00043D64">
            <w:pPr>
              <w:shd w:val="clear" w:color="auto" w:fill="FFFFFF"/>
              <w:spacing w:after="120"/>
              <w:rPr>
                <w:color w:val="FF0000"/>
              </w:rPr>
            </w:pPr>
            <w:r w:rsidRPr="00152ACD">
              <w:rPr>
                <w:color w:val="FF0000"/>
              </w:rPr>
              <w:t>To allow us to fully understand resource requirements and therefore give the optimal price, can you confirm how the volume of samples is expected to be phased on a monthly basis through the year? Can you please share the expected volume (and ideally the historical volume in the last 2 full years) per month. </w:t>
            </w:r>
          </w:p>
          <w:p w14:paraId="651DD327" w14:textId="77777777" w:rsidR="00043D64" w:rsidRPr="00152ACD" w:rsidRDefault="00043D64" w:rsidP="00043D64">
            <w:pPr>
              <w:shd w:val="clear" w:color="auto" w:fill="FFFFFF"/>
              <w:spacing w:after="120"/>
              <w:rPr>
                <w:color w:val="FF0000"/>
              </w:rPr>
            </w:pPr>
            <w:r w:rsidRPr="00152ACD">
              <w:rPr>
                <w:color w:val="FF0000"/>
              </w:rPr>
              <w:t> </w:t>
            </w:r>
          </w:p>
          <w:p w14:paraId="443A76AE" w14:textId="77777777" w:rsidR="00043D64" w:rsidRPr="00152ACD" w:rsidRDefault="00043D64" w:rsidP="00043D64">
            <w:pPr>
              <w:shd w:val="clear" w:color="auto" w:fill="FFFFFF"/>
              <w:spacing w:after="120"/>
              <w:rPr>
                <w:color w:val="FF0000"/>
              </w:rPr>
            </w:pPr>
            <w:r w:rsidRPr="00152ACD">
              <w:rPr>
                <w:color w:val="FF0000"/>
              </w:rPr>
              <w:t>In particular the Soil 1/S1 package: </w:t>
            </w:r>
          </w:p>
          <w:p w14:paraId="11E7C030" w14:textId="77777777" w:rsidR="00043D64" w:rsidRPr="00152ACD" w:rsidRDefault="00043D64" w:rsidP="00043D64">
            <w:pPr>
              <w:shd w:val="clear" w:color="auto" w:fill="FFFFFF"/>
              <w:spacing w:after="120"/>
              <w:rPr>
                <w:color w:val="FF0000"/>
              </w:rPr>
            </w:pPr>
            <w:r w:rsidRPr="00152ACD">
              <w:rPr>
                <w:color w:val="FF0000"/>
              </w:rPr>
              <w:t> </w:t>
            </w:r>
          </w:p>
          <w:p w14:paraId="02C4B627" w14:textId="77777777" w:rsidR="00043D64" w:rsidRPr="00152ACD" w:rsidRDefault="00043D64" w:rsidP="00043D64">
            <w:pPr>
              <w:numPr>
                <w:ilvl w:val="0"/>
                <w:numId w:val="8"/>
              </w:numPr>
              <w:shd w:val="clear" w:color="auto" w:fill="FFFFFF"/>
              <w:spacing w:after="120"/>
              <w:rPr>
                <w:color w:val="FF0000"/>
              </w:rPr>
            </w:pPr>
            <w:r w:rsidRPr="00152ACD">
              <w:rPr>
                <w:color w:val="FF0000"/>
              </w:rPr>
              <w:t>What would the anticipated monthly split be of the 28,470 option? </w:t>
            </w:r>
          </w:p>
          <w:p w14:paraId="64C3F7B5" w14:textId="72137E40" w:rsidR="00B63043" w:rsidRPr="00043D64" w:rsidRDefault="00043D64" w:rsidP="003D2B5B">
            <w:pPr>
              <w:numPr>
                <w:ilvl w:val="0"/>
                <w:numId w:val="9"/>
              </w:numPr>
              <w:shd w:val="clear" w:color="auto" w:fill="FFFFFF"/>
              <w:spacing w:after="120"/>
              <w:rPr>
                <w:color w:val="808080" w:themeColor="background1" w:themeShade="80"/>
              </w:rPr>
            </w:pPr>
            <w:r w:rsidRPr="00152ACD">
              <w:rPr>
                <w:color w:val="FF0000"/>
              </w:rPr>
              <w:t>What would the anticipated monthly split be of the 9,490 option? </w:t>
            </w:r>
          </w:p>
        </w:tc>
        <w:tc>
          <w:tcPr>
            <w:tcW w:w="4794" w:type="dxa"/>
          </w:tcPr>
          <w:p w14:paraId="4D02D88F" w14:textId="7676A88F" w:rsidR="00B63043" w:rsidRPr="00472675" w:rsidRDefault="00043D64" w:rsidP="003D2B5B">
            <w:r>
              <w:rPr>
                <w:noProof/>
              </w:rPr>
              <w:drawing>
                <wp:inline distT="0" distB="0" distL="0" distR="0" wp14:anchorId="290024D3" wp14:editId="4E0D7CB9">
                  <wp:extent cx="2894330" cy="2345690"/>
                  <wp:effectExtent l="0" t="0" r="1270" b="0"/>
                  <wp:docPr id="1278225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4330" cy="2345690"/>
                          </a:xfrm>
                          <a:prstGeom prst="rect">
                            <a:avLst/>
                          </a:prstGeom>
                          <a:noFill/>
                          <a:ln>
                            <a:noFill/>
                          </a:ln>
                        </pic:spPr>
                      </pic:pic>
                    </a:graphicData>
                  </a:graphic>
                </wp:inline>
              </w:drawing>
            </w:r>
          </w:p>
        </w:tc>
      </w:tr>
      <w:tr w:rsidR="00B63043" w14:paraId="7C926EBB" w14:textId="77777777" w:rsidTr="6D87B470">
        <w:trPr>
          <w:trHeight w:val="1245"/>
        </w:trPr>
        <w:tc>
          <w:tcPr>
            <w:tcW w:w="521" w:type="dxa"/>
          </w:tcPr>
          <w:p w14:paraId="570D63F4" w14:textId="1D70B563" w:rsidR="00B63043" w:rsidRDefault="00B63043" w:rsidP="003B0B56">
            <w:pPr>
              <w:shd w:val="clear" w:color="auto" w:fill="FFFFFF"/>
              <w:spacing w:after="120"/>
              <w:rPr>
                <w:color w:val="808080" w:themeColor="background1" w:themeShade="80"/>
              </w:rPr>
            </w:pPr>
            <w:r>
              <w:rPr>
                <w:color w:val="808080" w:themeColor="background1" w:themeShade="80"/>
              </w:rPr>
              <w:t>17</w:t>
            </w:r>
          </w:p>
        </w:tc>
        <w:tc>
          <w:tcPr>
            <w:tcW w:w="3701" w:type="dxa"/>
            <w:vAlign w:val="center"/>
          </w:tcPr>
          <w:p w14:paraId="37C068D3" w14:textId="1A921147" w:rsidR="00B63043" w:rsidRPr="00152ACD" w:rsidRDefault="00043D64" w:rsidP="00B63043">
            <w:pPr>
              <w:shd w:val="clear" w:color="auto" w:fill="FFFFFF"/>
              <w:spacing w:after="120"/>
              <w:rPr>
                <w:color w:val="FF0000"/>
              </w:rPr>
            </w:pPr>
            <w:r w:rsidRPr="00152ACD">
              <w:rPr>
                <w:color w:val="FF0000"/>
              </w:rPr>
              <w:t>Can you also advise the highest daily (24-hour), and weekly (7 calendar day), volume we should plan to be able to deliver during peak periods? </w:t>
            </w:r>
          </w:p>
        </w:tc>
        <w:tc>
          <w:tcPr>
            <w:tcW w:w="4794" w:type="dxa"/>
          </w:tcPr>
          <w:p w14:paraId="6B8230AE" w14:textId="09C12953" w:rsidR="00B63043" w:rsidRPr="00152ACD" w:rsidRDefault="00043D64" w:rsidP="003B0B56">
            <w:pPr>
              <w:rPr>
                <w:color w:val="FF0000"/>
              </w:rPr>
            </w:pPr>
            <w:r w:rsidRPr="00152ACD">
              <w:rPr>
                <w:color w:val="FF0000"/>
              </w:rPr>
              <w:t>Further breakdown from Clarification 16 above is not available. </w:t>
            </w:r>
          </w:p>
        </w:tc>
      </w:tr>
      <w:tr w:rsidR="00B63043" w14:paraId="731AD947" w14:textId="77777777" w:rsidTr="6D87B470">
        <w:tc>
          <w:tcPr>
            <w:tcW w:w="521" w:type="dxa"/>
          </w:tcPr>
          <w:p w14:paraId="27866A00" w14:textId="69A1D690" w:rsidR="00B63043" w:rsidRDefault="00B63043" w:rsidP="003B0B56">
            <w:pPr>
              <w:shd w:val="clear" w:color="auto" w:fill="FFFFFF"/>
              <w:spacing w:after="120"/>
              <w:rPr>
                <w:color w:val="808080" w:themeColor="background1" w:themeShade="80"/>
              </w:rPr>
            </w:pPr>
            <w:r>
              <w:rPr>
                <w:color w:val="808080" w:themeColor="background1" w:themeShade="80"/>
              </w:rPr>
              <w:t>18</w:t>
            </w:r>
          </w:p>
        </w:tc>
        <w:tc>
          <w:tcPr>
            <w:tcW w:w="3701" w:type="dxa"/>
            <w:vAlign w:val="center"/>
          </w:tcPr>
          <w:p w14:paraId="78555C83" w14:textId="77777777" w:rsidR="00B63043" w:rsidRPr="00B63043" w:rsidRDefault="00B63043" w:rsidP="00B63043">
            <w:pPr>
              <w:shd w:val="clear" w:color="auto" w:fill="FFFFFF"/>
              <w:spacing w:after="120"/>
              <w:rPr>
                <w:color w:val="808080" w:themeColor="background1" w:themeShade="80"/>
              </w:rPr>
            </w:pPr>
            <w:r w:rsidRPr="00B63043">
              <w:rPr>
                <w:color w:val="808080" w:themeColor="background1" w:themeShade="80"/>
              </w:rPr>
              <w:t>Could we please get clarification regarding who is responsible for the registering of self service (samples taken by the Farmer) samples?</w:t>
            </w:r>
          </w:p>
          <w:p w14:paraId="547AB82B" w14:textId="6EEA7CB8" w:rsidR="00B63043" w:rsidRPr="00B63043" w:rsidRDefault="6D87B470" w:rsidP="6D87B470">
            <w:pPr>
              <w:shd w:val="clear" w:color="auto" w:fill="FFFFFF" w:themeFill="background1"/>
              <w:spacing w:after="120"/>
              <w:rPr>
                <w:color w:val="808080" w:themeColor="background1" w:themeShade="80"/>
              </w:rPr>
            </w:pPr>
            <w:r w:rsidRPr="6D87B470">
              <w:rPr>
                <w:color w:val="808080" w:themeColor="background1" w:themeShade="80"/>
              </w:rPr>
              <w:t>Section 2A - overview of the Tender Requirements documents states the following:</w:t>
            </w:r>
          </w:p>
          <w:p w14:paraId="02F81B5F" w14:textId="77777777" w:rsidR="00B63043" w:rsidRPr="00B63043" w:rsidRDefault="00B63043" w:rsidP="00B63043">
            <w:pPr>
              <w:shd w:val="clear" w:color="auto" w:fill="FFFFFF"/>
              <w:spacing w:after="120"/>
              <w:rPr>
                <w:color w:val="808080" w:themeColor="background1" w:themeShade="80"/>
              </w:rPr>
            </w:pPr>
            <w:r w:rsidRPr="00B63043">
              <w:rPr>
                <w:color w:val="808080" w:themeColor="background1" w:themeShade="80"/>
              </w:rPr>
              <w:t>• Assisted / Self-Sampling – where soil samples are collected by the farmer or client, and the Tenderer is responsible for arranging collection, transport, registration, laboratory analysis, and reporting of those samples.</w:t>
            </w:r>
          </w:p>
          <w:p w14:paraId="033EC583" w14:textId="77777777" w:rsidR="00B63043" w:rsidRPr="00B63043" w:rsidRDefault="00B63043" w:rsidP="00B63043">
            <w:pPr>
              <w:shd w:val="clear" w:color="auto" w:fill="FFFFFF"/>
              <w:spacing w:after="120"/>
              <w:rPr>
                <w:color w:val="808080" w:themeColor="background1" w:themeShade="80"/>
              </w:rPr>
            </w:pPr>
          </w:p>
          <w:p w14:paraId="1ECA5E02" w14:textId="14A57473" w:rsidR="00B63043" w:rsidRPr="00B63043" w:rsidRDefault="6D87B470" w:rsidP="6D87B470">
            <w:pPr>
              <w:shd w:val="clear" w:color="auto" w:fill="FFFFFF" w:themeFill="background1"/>
              <w:spacing w:after="120"/>
              <w:rPr>
                <w:color w:val="808080" w:themeColor="background1" w:themeShade="80"/>
              </w:rPr>
            </w:pPr>
            <w:r w:rsidRPr="6D87B470">
              <w:rPr>
                <w:color w:val="808080" w:themeColor="background1" w:themeShade="80"/>
              </w:rPr>
              <w:t>However, section 2.C Overview of the Requirement document states:</w:t>
            </w:r>
          </w:p>
          <w:p w14:paraId="6074AB28" w14:textId="74CB5BD5" w:rsidR="00B63043" w:rsidRPr="00B63043" w:rsidRDefault="6D87B470" w:rsidP="6D87B470">
            <w:pPr>
              <w:shd w:val="clear" w:color="auto" w:fill="FFFFFF" w:themeFill="background1"/>
              <w:spacing w:after="120"/>
            </w:pPr>
            <w:r w:rsidRPr="6D87B470">
              <w:rPr>
                <w:color w:val="808080" w:themeColor="background1" w:themeShade="80"/>
              </w:rPr>
              <w:lastRenderedPageBreak/>
              <w:t>The ICT integration solution must support the end-to-end workflow including registration of soil samples by Teagasc advisor for soil samples taken by farmer for collection service option</w:t>
            </w:r>
          </w:p>
          <w:p w14:paraId="25168D69" w14:textId="3289B220" w:rsidR="00B63043" w:rsidRPr="00B63043" w:rsidRDefault="00B63043" w:rsidP="6D87B470">
            <w:pPr>
              <w:shd w:val="clear" w:color="auto" w:fill="FFFFFF" w:themeFill="background1"/>
              <w:spacing w:after="120"/>
              <w:rPr>
                <w:color w:val="808080" w:themeColor="background1" w:themeShade="80"/>
              </w:rPr>
            </w:pPr>
          </w:p>
          <w:p w14:paraId="60A665CA" w14:textId="5717173D" w:rsidR="00B63043" w:rsidRPr="00B63043" w:rsidRDefault="00B63043" w:rsidP="6D87B470">
            <w:pPr>
              <w:shd w:val="clear" w:color="auto" w:fill="FFFFFF" w:themeFill="background1"/>
              <w:spacing w:after="120"/>
              <w:rPr>
                <w:color w:val="808080" w:themeColor="background1" w:themeShade="80"/>
              </w:rPr>
            </w:pPr>
          </w:p>
          <w:p w14:paraId="674283FA" w14:textId="7DBDCA18" w:rsidR="00B63043" w:rsidRPr="00B63043" w:rsidRDefault="00B63043" w:rsidP="6D87B470">
            <w:pPr>
              <w:shd w:val="clear" w:color="auto" w:fill="FFFFFF" w:themeFill="background1"/>
              <w:spacing w:after="120"/>
              <w:rPr>
                <w:color w:val="808080" w:themeColor="background1" w:themeShade="80"/>
              </w:rPr>
            </w:pPr>
          </w:p>
          <w:p w14:paraId="01748EAA" w14:textId="147C7589" w:rsidR="00B63043" w:rsidRPr="00B63043" w:rsidRDefault="00B63043" w:rsidP="6D87B470">
            <w:pPr>
              <w:shd w:val="clear" w:color="auto" w:fill="FFFFFF" w:themeFill="background1"/>
              <w:spacing w:after="120"/>
              <w:rPr>
                <w:color w:val="808080" w:themeColor="background1" w:themeShade="80"/>
              </w:rPr>
            </w:pPr>
          </w:p>
          <w:p w14:paraId="0D9F0DEF" w14:textId="59BE85F9" w:rsidR="00B63043" w:rsidRPr="00B63043" w:rsidRDefault="00B63043" w:rsidP="6D87B470">
            <w:pPr>
              <w:shd w:val="clear" w:color="auto" w:fill="FFFFFF" w:themeFill="background1"/>
              <w:spacing w:after="120"/>
              <w:rPr>
                <w:color w:val="808080" w:themeColor="background1" w:themeShade="80"/>
              </w:rPr>
            </w:pPr>
          </w:p>
          <w:p w14:paraId="146756FF" w14:textId="427C98CE" w:rsidR="00B63043" w:rsidRPr="00B63043" w:rsidRDefault="00B63043" w:rsidP="6D87B470">
            <w:pPr>
              <w:shd w:val="clear" w:color="auto" w:fill="FFFFFF" w:themeFill="background1"/>
              <w:spacing w:after="120"/>
              <w:rPr>
                <w:color w:val="808080" w:themeColor="background1" w:themeShade="80"/>
              </w:rPr>
            </w:pPr>
          </w:p>
          <w:p w14:paraId="6A9D462F" w14:textId="32E1D10F" w:rsidR="00B63043" w:rsidRPr="00B63043" w:rsidRDefault="00B63043" w:rsidP="6D87B470">
            <w:pPr>
              <w:shd w:val="clear" w:color="auto" w:fill="FFFFFF" w:themeFill="background1"/>
              <w:spacing w:after="120"/>
              <w:rPr>
                <w:color w:val="808080" w:themeColor="background1" w:themeShade="80"/>
              </w:rPr>
            </w:pPr>
          </w:p>
        </w:tc>
        <w:tc>
          <w:tcPr>
            <w:tcW w:w="4794" w:type="dxa"/>
          </w:tcPr>
          <w:p w14:paraId="3E54B296" w14:textId="6DA99336" w:rsidR="00B63043" w:rsidRPr="00472675" w:rsidRDefault="6D87B470" w:rsidP="6D87B470">
            <w:r>
              <w:lastRenderedPageBreak/>
              <w:t>The Contracting Authority acknowledges that the wording in the Requirements Document may give rise to different interpretations.</w:t>
            </w:r>
          </w:p>
          <w:p w14:paraId="597FD2A6" w14:textId="2A24E3AB" w:rsidR="00B63043" w:rsidRPr="00472675" w:rsidRDefault="00B63043" w:rsidP="6D87B470"/>
          <w:p w14:paraId="3EAB148A" w14:textId="31BD1E92" w:rsidR="00B63043" w:rsidRPr="00472675" w:rsidRDefault="6D87B470" w:rsidP="6D87B470">
            <w:r>
              <w:t>The intended operating model is that service requests may be initiated either:</w:t>
            </w:r>
          </w:p>
          <w:p w14:paraId="2324074E" w14:textId="09F0456B" w:rsidR="00B63043" w:rsidRPr="00472675" w:rsidRDefault="6D87B470" w:rsidP="6D87B470">
            <w:r>
              <w:t>by a Teagasc Advisor on behalf of a farmer/client; or</w:t>
            </w:r>
          </w:p>
          <w:p w14:paraId="7BB23CBE" w14:textId="6B654B8C" w:rsidR="00B63043" w:rsidRPr="00472675" w:rsidRDefault="6D87B470" w:rsidP="6D87B470">
            <w:r>
              <w:t>directly by the farmer/client.</w:t>
            </w:r>
          </w:p>
          <w:p w14:paraId="34565EE4" w14:textId="02302AEF" w:rsidR="00B63043" w:rsidRPr="00472675" w:rsidRDefault="00B63043" w:rsidP="6D87B470"/>
          <w:p w14:paraId="01C2F1CC" w14:textId="48624A33" w:rsidR="00B63043" w:rsidRPr="00472675" w:rsidRDefault="6D87B470" w:rsidP="6D87B470">
            <w:r>
              <w:t>Where a Teagasc Advisor initiates a request, the Advisor's role is to create the request and record the relevant service details. This may include either a Full Service Sampling request or an Assisted / Self-Sampling request.</w:t>
            </w:r>
          </w:p>
          <w:p w14:paraId="55E7FBFB" w14:textId="386F32D0" w:rsidR="00B63043" w:rsidRPr="00472675" w:rsidRDefault="00B63043" w:rsidP="6D87B470"/>
          <w:p w14:paraId="3C699E23" w14:textId="51166D3E" w:rsidR="00B63043" w:rsidRPr="00472675" w:rsidRDefault="6D87B470" w:rsidP="6D87B470">
            <w:r>
              <w:t xml:space="preserve">Responsibility for the registration, tracking and management of sample records, including samples </w:t>
            </w:r>
            <w:r>
              <w:lastRenderedPageBreak/>
              <w:t>collected by the farmer under the Assisted / Self-Sampling option, will rest with the successful Tenderer.</w:t>
            </w:r>
          </w:p>
          <w:p w14:paraId="411D3584" w14:textId="2BCB98A1" w:rsidR="00B63043" w:rsidRPr="00472675" w:rsidRDefault="00B63043" w:rsidP="6D87B470"/>
          <w:p w14:paraId="3583605B" w14:textId="5026DA4A" w:rsidR="00B63043" w:rsidRPr="00472675" w:rsidRDefault="6D87B470" w:rsidP="6D87B470">
            <w:r>
              <w:t>Where a farmer/client initiates a request directly, the successful Tenderer will be responsible for ensuring that the request and associated sample records are appropriately captured within the proposed solution and that the relevant information is transferred to Teagasc systems in accordance with the contract requirements.</w:t>
            </w:r>
          </w:p>
          <w:p w14:paraId="4808FB9D" w14:textId="200E0CD9" w:rsidR="00B63043" w:rsidRPr="00472675" w:rsidRDefault="00B63043" w:rsidP="6D87B470"/>
          <w:p w14:paraId="37AFCD28" w14:textId="477B6893" w:rsidR="00B63043" w:rsidRPr="00472675" w:rsidRDefault="6D87B470" w:rsidP="6D87B470">
            <w:r>
              <w:t>The reference to registration by the Teagasc Advisor should therefore be interpreted as initiation of a service request rather than creation and maintenance of the sample record itself.</w:t>
            </w:r>
          </w:p>
          <w:p w14:paraId="2E9A5E27" w14:textId="36E6E1FD" w:rsidR="00B63043" w:rsidRPr="00472675" w:rsidRDefault="00B63043" w:rsidP="00AA7656"/>
        </w:tc>
      </w:tr>
      <w:tr w:rsidR="00B63043" w14:paraId="25647745" w14:textId="77777777" w:rsidTr="6D87B470">
        <w:tc>
          <w:tcPr>
            <w:tcW w:w="521" w:type="dxa"/>
          </w:tcPr>
          <w:p w14:paraId="1C6E4752" w14:textId="2D166ADE" w:rsidR="00B63043" w:rsidRDefault="00B63043" w:rsidP="003B0B56">
            <w:pPr>
              <w:shd w:val="clear" w:color="auto" w:fill="FFFFFF"/>
              <w:spacing w:after="120"/>
              <w:rPr>
                <w:color w:val="808080" w:themeColor="background1" w:themeShade="80"/>
              </w:rPr>
            </w:pPr>
            <w:r>
              <w:rPr>
                <w:color w:val="808080" w:themeColor="background1" w:themeShade="80"/>
              </w:rPr>
              <w:lastRenderedPageBreak/>
              <w:t>19</w:t>
            </w:r>
          </w:p>
        </w:tc>
        <w:tc>
          <w:tcPr>
            <w:tcW w:w="3701" w:type="dxa"/>
            <w:vAlign w:val="center"/>
          </w:tcPr>
          <w:p w14:paraId="543E3D6C" w14:textId="54F38459" w:rsidR="00B63043" w:rsidRDefault="6D87B470" w:rsidP="6D87B470">
            <w:pPr>
              <w:shd w:val="clear" w:color="auto" w:fill="FFFFFF" w:themeFill="background1"/>
              <w:spacing w:after="120"/>
              <w:rPr>
                <w:color w:val="808080" w:themeColor="background1" w:themeShade="80"/>
              </w:rPr>
            </w:pPr>
            <w:r w:rsidRPr="6D87B470">
              <w:rPr>
                <w:color w:val="808080" w:themeColor="background1" w:themeShade="80"/>
              </w:rPr>
              <w:t>Section 2.c (ICT and Data Integration Requirements), clause 4.1 states that the system shall allow a Teagasc Advisor to “assign unique identifier at sample level to track job.” Please confirm whether this unique sample-level identifier must be assigned by the Advisor within the portal at the point of job creation, or whether it may instead be assigned to the sample by the sampler at the point of collection (e.g.by applying a pre-printed barcode) and then registered/linked to the corresponding job.</w:t>
            </w:r>
          </w:p>
          <w:p w14:paraId="11B48B62" w14:textId="77777777" w:rsidR="00B63043" w:rsidRDefault="00B63043" w:rsidP="00B63043">
            <w:pPr>
              <w:shd w:val="clear" w:color="auto" w:fill="FFFFFF"/>
              <w:spacing w:after="120"/>
              <w:rPr>
                <w:color w:val="808080" w:themeColor="background1" w:themeShade="80"/>
              </w:rPr>
            </w:pPr>
            <w:r>
              <w:rPr>
                <w:color w:val="808080" w:themeColor="background1" w:themeShade="80"/>
              </w:rPr>
              <w:t>Ref:</w:t>
            </w:r>
          </w:p>
          <w:p w14:paraId="25B73547" w14:textId="0909588B" w:rsidR="00B63043" w:rsidRPr="00B63043" w:rsidRDefault="6D87B470" w:rsidP="6D87B470">
            <w:pPr>
              <w:shd w:val="clear" w:color="auto" w:fill="FFFFFF" w:themeFill="background1"/>
              <w:spacing w:after="120"/>
            </w:pPr>
            <w:r w:rsidRPr="6D87B470">
              <w:rPr>
                <w:color w:val="808080" w:themeColor="background1" w:themeShade="80"/>
              </w:rPr>
              <w:t>Req. Doc §2.c clause 4.1</w:t>
            </w:r>
          </w:p>
          <w:p w14:paraId="6CAFC639" w14:textId="2C781FB1" w:rsidR="00B63043" w:rsidRPr="00B63043" w:rsidRDefault="00B63043" w:rsidP="6D87B470">
            <w:pPr>
              <w:shd w:val="clear" w:color="auto" w:fill="FFFFFF" w:themeFill="background1"/>
              <w:spacing w:after="120"/>
              <w:rPr>
                <w:color w:val="808080" w:themeColor="background1" w:themeShade="80"/>
              </w:rPr>
            </w:pPr>
          </w:p>
          <w:p w14:paraId="4DB2CD0F" w14:textId="68C0DBED" w:rsidR="00B63043" w:rsidRPr="00B63043" w:rsidRDefault="00B63043" w:rsidP="6D87B470">
            <w:pPr>
              <w:shd w:val="clear" w:color="auto" w:fill="FFFFFF" w:themeFill="background1"/>
              <w:spacing w:after="120"/>
              <w:rPr>
                <w:color w:val="808080" w:themeColor="background1" w:themeShade="80"/>
              </w:rPr>
            </w:pPr>
          </w:p>
        </w:tc>
        <w:tc>
          <w:tcPr>
            <w:tcW w:w="4794" w:type="dxa"/>
          </w:tcPr>
          <w:p w14:paraId="5F71A219" w14:textId="5A29B3CC" w:rsidR="00B63043" w:rsidRPr="003D2B5B" w:rsidRDefault="6D87B470" w:rsidP="6D87B470">
            <w:pPr>
              <w:rPr>
                <w:rFonts w:ascii="Calibri" w:eastAsia="Calibri" w:hAnsi="Calibri" w:cs="Calibri"/>
              </w:rPr>
            </w:pPr>
            <w:r w:rsidRPr="003D2B5B">
              <w:rPr>
                <w:rFonts w:ascii="Calibri" w:eastAsia="Calibri" w:hAnsi="Calibri" w:cs="Calibri"/>
              </w:rPr>
              <w:t>This requirement is intended to ensure that samples can be readily identified and tracked by the relevant Teagasc Advisor throughout the process. Where an unique identifier (Teagasc Advisor Code) is assigned by the sampler, it must be linked to the appropriate Teagasc Advisor and the corresponding Advisor-created job.</w:t>
            </w:r>
          </w:p>
        </w:tc>
      </w:tr>
      <w:tr w:rsidR="00B63043" w14:paraId="28D92DC9" w14:textId="77777777" w:rsidTr="6D87B470">
        <w:tc>
          <w:tcPr>
            <w:tcW w:w="521" w:type="dxa"/>
          </w:tcPr>
          <w:p w14:paraId="1EA02241" w14:textId="5C357853" w:rsidR="00B63043" w:rsidRDefault="00B63043" w:rsidP="003B0B56">
            <w:pPr>
              <w:shd w:val="clear" w:color="auto" w:fill="FFFFFF"/>
              <w:spacing w:after="120"/>
              <w:rPr>
                <w:color w:val="808080" w:themeColor="background1" w:themeShade="80"/>
              </w:rPr>
            </w:pPr>
            <w:r>
              <w:rPr>
                <w:color w:val="808080" w:themeColor="background1" w:themeShade="80"/>
              </w:rPr>
              <w:t>20</w:t>
            </w:r>
          </w:p>
        </w:tc>
        <w:tc>
          <w:tcPr>
            <w:tcW w:w="3701" w:type="dxa"/>
            <w:vAlign w:val="center"/>
          </w:tcPr>
          <w:p w14:paraId="143FBBFF" w14:textId="77777777" w:rsidR="00B63043" w:rsidRDefault="00B63043" w:rsidP="00B63043">
            <w:pPr>
              <w:shd w:val="clear" w:color="auto" w:fill="FFFFFF"/>
              <w:spacing w:after="120"/>
              <w:rPr>
                <w:color w:val="808080" w:themeColor="background1" w:themeShade="80"/>
              </w:rPr>
            </w:pPr>
            <w:r w:rsidRPr="00B63043">
              <w:rPr>
                <w:color w:val="808080" w:themeColor="background1" w:themeShade="80"/>
              </w:rPr>
              <w:t>Please define the “Sample ID” and “Advisor Sample Number” columns in</w:t>
            </w:r>
            <w:r>
              <w:rPr>
                <w:color w:val="808080" w:themeColor="background1" w:themeShade="80"/>
              </w:rPr>
              <w:t xml:space="preserve"> </w:t>
            </w:r>
            <w:r w:rsidRPr="00B63043">
              <w:rPr>
                <w:color w:val="808080" w:themeColor="background1" w:themeShade="80"/>
              </w:rPr>
              <w:t>the electronic file specification. In particular, is the “Advisor Sample</w:t>
            </w:r>
            <w:r>
              <w:rPr>
                <w:color w:val="808080" w:themeColor="background1" w:themeShade="80"/>
              </w:rPr>
              <w:t xml:space="preserve"> </w:t>
            </w:r>
            <w:r w:rsidRPr="00B63043">
              <w:rPr>
                <w:color w:val="808080" w:themeColor="background1" w:themeShade="80"/>
              </w:rPr>
              <w:t>Number” the same as the “unique identifier at sample level” referred to in</w:t>
            </w:r>
            <w:r>
              <w:rPr>
                <w:color w:val="808080" w:themeColor="background1" w:themeShade="80"/>
              </w:rPr>
              <w:t xml:space="preserve"> </w:t>
            </w:r>
            <w:r w:rsidRPr="00B63043">
              <w:rPr>
                <w:color w:val="808080" w:themeColor="background1" w:themeShade="80"/>
              </w:rPr>
              <w:t>clause 4.1 (see Q1)?</w:t>
            </w:r>
          </w:p>
          <w:p w14:paraId="58E4D6E3" w14:textId="77777777" w:rsidR="00B63043" w:rsidRDefault="00B63043" w:rsidP="00B63043">
            <w:pPr>
              <w:shd w:val="clear" w:color="auto" w:fill="FFFFFF"/>
              <w:spacing w:after="120"/>
              <w:rPr>
                <w:color w:val="808080" w:themeColor="background1" w:themeShade="80"/>
              </w:rPr>
            </w:pPr>
            <w:r>
              <w:rPr>
                <w:color w:val="808080" w:themeColor="background1" w:themeShade="80"/>
              </w:rPr>
              <w:t>Ref:</w:t>
            </w:r>
          </w:p>
          <w:p w14:paraId="004ED2BC" w14:textId="07ACB34F" w:rsidR="00B63043" w:rsidRPr="00B63043" w:rsidRDefault="00B63043" w:rsidP="00B63043">
            <w:pPr>
              <w:shd w:val="clear" w:color="auto" w:fill="FFFFFF"/>
              <w:spacing w:after="120"/>
              <w:rPr>
                <w:color w:val="808080" w:themeColor="background1" w:themeShade="80"/>
              </w:rPr>
            </w:pPr>
            <w:r w:rsidRPr="00B63043">
              <w:rPr>
                <w:color w:val="808080" w:themeColor="background1" w:themeShade="80"/>
              </w:rPr>
              <w:t>Req. Doc §2.c.5 (file</w:t>
            </w:r>
            <w:r>
              <w:rPr>
                <w:color w:val="808080" w:themeColor="background1" w:themeShade="80"/>
              </w:rPr>
              <w:t xml:space="preserve"> </w:t>
            </w:r>
            <w:r w:rsidRPr="00B63043">
              <w:rPr>
                <w:color w:val="808080" w:themeColor="background1" w:themeShade="80"/>
              </w:rPr>
              <w:t>spec) / CSV columns</w:t>
            </w:r>
          </w:p>
        </w:tc>
        <w:tc>
          <w:tcPr>
            <w:tcW w:w="4794" w:type="dxa"/>
          </w:tcPr>
          <w:p w14:paraId="1FDF0775" w14:textId="09F1E20D" w:rsidR="00B63043" w:rsidRPr="003D2B5B" w:rsidRDefault="6D87B470" w:rsidP="6D87B470">
            <w:r w:rsidRPr="003D2B5B">
              <w:t>The Sample ID is the identifier that is generated by the vendor to track the soil sample on their LIMS system.</w:t>
            </w:r>
          </w:p>
          <w:p w14:paraId="79D7030C" w14:textId="6998AB03" w:rsidR="00B63043" w:rsidRPr="003D2B5B" w:rsidRDefault="6D87B470" w:rsidP="6D87B470">
            <w:r w:rsidRPr="003D2B5B">
              <w:rPr>
                <w:rFonts w:ascii="Calibri" w:eastAsia="Calibri" w:hAnsi="Calibri" w:cs="Calibri"/>
              </w:rPr>
              <w:t>As outlined in clarification question 19, the Advisor Sample Number is Teagasc Advisor Code.</w:t>
            </w:r>
          </w:p>
          <w:p w14:paraId="6AF735D5" w14:textId="31F259F4" w:rsidR="00B63043" w:rsidRPr="00472675" w:rsidRDefault="00B63043" w:rsidP="6D87B470">
            <w:pPr>
              <w:rPr>
                <w:color w:val="FF0000"/>
              </w:rPr>
            </w:pPr>
          </w:p>
        </w:tc>
      </w:tr>
      <w:tr w:rsidR="00B63043" w14:paraId="4F5CCE36" w14:textId="77777777" w:rsidTr="6D87B470">
        <w:tc>
          <w:tcPr>
            <w:tcW w:w="521" w:type="dxa"/>
          </w:tcPr>
          <w:p w14:paraId="28DF1BFA" w14:textId="1CAEB4BB" w:rsidR="00B63043" w:rsidRDefault="00B63043" w:rsidP="003B0B56">
            <w:pPr>
              <w:shd w:val="clear" w:color="auto" w:fill="FFFFFF"/>
              <w:spacing w:after="120"/>
              <w:rPr>
                <w:color w:val="808080" w:themeColor="background1" w:themeShade="80"/>
              </w:rPr>
            </w:pPr>
            <w:r>
              <w:rPr>
                <w:color w:val="808080" w:themeColor="background1" w:themeShade="80"/>
              </w:rPr>
              <w:lastRenderedPageBreak/>
              <w:t>21</w:t>
            </w:r>
          </w:p>
        </w:tc>
        <w:tc>
          <w:tcPr>
            <w:tcW w:w="3701" w:type="dxa"/>
            <w:vAlign w:val="center"/>
          </w:tcPr>
          <w:p w14:paraId="3D5E0C32" w14:textId="77777777" w:rsidR="00B63043" w:rsidRDefault="00B63043" w:rsidP="00B63043">
            <w:pPr>
              <w:shd w:val="clear" w:color="auto" w:fill="FFFFFF"/>
              <w:spacing w:after="120"/>
              <w:rPr>
                <w:color w:val="808080" w:themeColor="background1" w:themeShade="80"/>
              </w:rPr>
            </w:pPr>
            <w:r w:rsidRPr="00B63043">
              <w:rPr>
                <w:color w:val="808080" w:themeColor="background1" w:themeShade="80"/>
              </w:rPr>
              <w:t>Which of these is the unique per-sample identifier used, with Job</w:t>
            </w:r>
            <w:r>
              <w:rPr>
                <w:color w:val="808080" w:themeColor="background1" w:themeShade="80"/>
              </w:rPr>
              <w:t xml:space="preserve"> </w:t>
            </w:r>
            <w:r w:rsidRPr="00B63043">
              <w:rPr>
                <w:color w:val="808080" w:themeColor="background1" w:themeShade="80"/>
              </w:rPr>
              <w:t>Number, to link results back to the Teagasc submission record?</w:t>
            </w:r>
          </w:p>
          <w:p w14:paraId="25C7BB7C" w14:textId="77777777" w:rsidR="00B63043" w:rsidRDefault="00B63043" w:rsidP="00B63043">
            <w:pPr>
              <w:shd w:val="clear" w:color="auto" w:fill="FFFFFF"/>
              <w:spacing w:after="120"/>
              <w:rPr>
                <w:color w:val="808080" w:themeColor="background1" w:themeShade="80"/>
              </w:rPr>
            </w:pPr>
            <w:r>
              <w:rPr>
                <w:color w:val="808080" w:themeColor="background1" w:themeShade="80"/>
              </w:rPr>
              <w:t>Ref:</w:t>
            </w:r>
          </w:p>
          <w:p w14:paraId="12410C08" w14:textId="383B8DA0" w:rsidR="00B63043" w:rsidRPr="00B63043" w:rsidRDefault="00B63043" w:rsidP="00B63043">
            <w:pPr>
              <w:shd w:val="clear" w:color="auto" w:fill="FFFFFF"/>
              <w:spacing w:after="120"/>
              <w:rPr>
                <w:color w:val="808080" w:themeColor="background1" w:themeShade="80"/>
              </w:rPr>
            </w:pPr>
            <w:r w:rsidRPr="00B63043">
              <w:rPr>
                <w:color w:val="808080" w:themeColor="background1" w:themeShade="80"/>
              </w:rPr>
              <w:t>Req. Doc §2.c.6 – Data Standards</w:t>
            </w:r>
          </w:p>
        </w:tc>
        <w:tc>
          <w:tcPr>
            <w:tcW w:w="4794" w:type="dxa"/>
          </w:tcPr>
          <w:p w14:paraId="777C979B" w14:textId="6C8C49DF" w:rsidR="00B63043" w:rsidRPr="003D2B5B" w:rsidRDefault="6D87B470" w:rsidP="6D87B470">
            <w:r w:rsidRPr="003D2B5B">
              <w:t>The unique per-sample identifier is the Sample ID that is generated by the vendor to track the soil sample on their LIMS system.</w:t>
            </w:r>
          </w:p>
          <w:p w14:paraId="647749F3" w14:textId="28E148D9" w:rsidR="00B63043" w:rsidRPr="00472675" w:rsidRDefault="00B63043" w:rsidP="6D87B470">
            <w:pPr>
              <w:rPr>
                <w:color w:val="FF0000"/>
              </w:rPr>
            </w:pPr>
          </w:p>
        </w:tc>
      </w:tr>
      <w:tr w:rsidR="00B63043" w14:paraId="1F810F6E" w14:textId="77777777" w:rsidTr="6D87B470">
        <w:tc>
          <w:tcPr>
            <w:tcW w:w="521" w:type="dxa"/>
          </w:tcPr>
          <w:p w14:paraId="0608CEB1" w14:textId="534FD594" w:rsidR="00B63043" w:rsidRDefault="00B63043" w:rsidP="003B0B56">
            <w:pPr>
              <w:shd w:val="clear" w:color="auto" w:fill="FFFFFF"/>
              <w:spacing w:after="120"/>
              <w:rPr>
                <w:color w:val="808080" w:themeColor="background1" w:themeShade="80"/>
              </w:rPr>
            </w:pPr>
            <w:r>
              <w:rPr>
                <w:color w:val="808080" w:themeColor="background1" w:themeShade="80"/>
              </w:rPr>
              <w:t>22</w:t>
            </w:r>
          </w:p>
        </w:tc>
        <w:tc>
          <w:tcPr>
            <w:tcW w:w="3701" w:type="dxa"/>
            <w:vAlign w:val="center"/>
          </w:tcPr>
          <w:p w14:paraId="6EECB6FF" w14:textId="77777777" w:rsidR="00B63043" w:rsidRDefault="00B63043" w:rsidP="00B63043">
            <w:pPr>
              <w:shd w:val="clear" w:color="auto" w:fill="FFFFFF"/>
              <w:spacing w:after="120"/>
              <w:rPr>
                <w:color w:val="808080" w:themeColor="background1" w:themeShade="80"/>
              </w:rPr>
            </w:pPr>
            <w:r w:rsidRPr="00B63043">
              <w:rPr>
                <w:color w:val="808080" w:themeColor="background1" w:themeShade="80"/>
              </w:rPr>
              <w:t>Is a specific format or numbering scheme required for that unique</w:t>
            </w:r>
            <w:r>
              <w:rPr>
                <w:color w:val="808080" w:themeColor="background1" w:themeShade="80"/>
              </w:rPr>
              <w:t xml:space="preserve"> </w:t>
            </w:r>
            <w:r w:rsidRPr="00B63043">
              <w:rPr>
                <w:color w:val="808080" w:themeColor="background1" w:themeShade="80"/>
              </w:rPr>
              <w:t>sample identifier, or may the Tenderer use its own?</w:t>
            </w:r>
          </w:p>
          <w:p w14:paraId="5E2D767A" w14:textId="77777777" w:rsidR="00B63043" w:rsidRDefault="00B63043" w:rsidP="00B63043">
            <w:pPr>
              <w:shd w:val="clear" w:color="auto" w:fill="FFFFFF"/>
              <w:spacing w:after="120"/>
              <w:rPr>
                <w:color w:val="808080" w:themeColor="background1" w:themeShade="80"/>
              </w:rPr>
            </w:pPr>
            <w:r>
              <w:rPr>
                <w:color w:val="808080" w:themeColor="background1" w:themeShade="80"/>
              </w:rPr>
              <w:t>Ref:</w:t>
            </w:r>
          </w:p>
          <w:p w14:paraId="1AEE2163" w14:textId="479E93C4" w:rsidR="00B63043" w:rsidRPr="00B63043" w:rsidRDefault="00B63043" w:rsidP="00B63043">
            <w:pPr>
              <w:shd w:val="clear" w:color="auto" w:fill="FFFFFF"/>
              <w:spacing w:after="120"/>
              <w:rPr>
                <w:color w:val="808080" w:themeColor="background1" w:themeShade="80"/>
              </w:rPr>
            </w:pPr>
            <w:r w:rsidRPr="00B63043">
              <w:rPr>
                <w:color w:val="808080" w:themeColor="background1" w:themeShade="80"/>
              </w:rPr>
              <w:t>Req. Doc §2.b – Sample Identification</w:t>
            </w:r>
          </w:p>
        </w:tc>
        <w:tc>
          <w:tcPr>
            <w:tcW w:w="4794" w:type="dxa"/>
          </w:tcPr>
          <w:p w14:paraId="618B87A6" w14:textId="7F6BD16F" w:rsidR="00B63043" w:rsidRPr="003D2B5B" w:rsidRDefault="6D87B470" w:rsidP="6D87B470">
            <w:r w:rsidRPr="003D2B5B">
              <w:t>Refer to answer to clarification question 19</w:t>
            </w:r>
          </w:p>
          <w:p w14:paraId="3C839893" w14:textId="671642D5" w:rsidR="00B63043" w:rsidRPr="00472675" w:rsidRDefault="00B63043" w:rsidP="6D87B470">
            <w:pPr>
              <w:rPr>
                <w:color w:val="FF0000"/>
              </w:rPr>
            </w:pPr>
          </w:p>
        </w:tc>
      </w:tr>
      <w:tr w:rsidR="00B63043" w14:paraId="3C48808B" w14:textId="77777777" w:rsidTr="6D87B470">
        <w:tc>
          <w:tcPr>
            <w:tcW w:w="521" w:type="dxa"/>
          </w:tcPr>
          <w:p w14:paraId="10CAE08E" w14:textId="710A3AA1" w:rsidR="00B63043" w:rsidRDefault="00B63043" w:rsidP="003B0B56">
            <w:pPr>
              <w:shd w:val="clear" w:color="auto" w:fill="FFFFFF"/>
              <w:spacing w:after="120"/>
              <w:rPr>
                <w:color w:val="808080" w:themeColor="background1" w:themeShade="80"/>
              </w:rPr>
            </w:pPr>
            <w:r>
              <w:rPr>
                <w:color w:val="808080" w:themeColor="background1" w:themeShade="80"/>
              </w:rPr>
              <w:t>23</w:t>
            </w:r>
          </w:p>
        </w:tc>
        <w:tc>
          <w:tcPr>
            <w:tcW w:w="3701" w:type="dxa"/>
            <w:vAlign w:val="center"/>
          </w:tcPr>
          <w:p w14:paraId="6163CA88" w14:textId="77777777" w:rsidR="00B63043" w:rsidRDefault="00B63043" w:rsidP="00B63043">
            <w:pPr>
              <w:shd w:val="clear" w:color="auto" w:fill="FFFFFF"/>
              <w:spacing w:after="120"/>
              <w:rPr>
                <w:color w:val="808080" w:themeColor="background1" w:themeShade="80"/>
              </w:rPr>
            </w:pPr>
            <w:r w:rsidRPr="00B63043">
              <w:rPr>
                <w:color w:val="808080" w:themeColor="background1" w:themeShade="80"/>
              </w:rPr>
              <w:t>The electronic file specification includes a column labelled “Field</w:t>
            </w:r>
            <w:r>
              <w:rPr>
                <w:color w:val="808080" w:themeColor="background1" w:themeShade="80"/>
              </w:rPr>
              <w:t xml:space="preserve"> </w:t>
            </w:r>
            <w:r w:rsidRPr="00B63043">
              <w:rPr>
                <w:color w:val="808080" w:themeColor="background1" w:themeShade="80"/>
              </w:rPr>
              <w:t>Name/NMP Number”. Please clarify whether this is a single combined</w:t>
            </w:r>
            <w:r>
              <w:rPr>
                <w:color w:val="808080" w:themeColor="background1" w:themeShade="80"/>
              </w:rPr>
              <w:t xml:space="preserve"> </w:t>
            </w:r>
            <w:r w:rsidRPr="00B63043">
              <w:rPr>
                <w:color w:val="808080" w:themeColor="background1" w:themeShade="80"/>
              </w:rPr>
              <w:t>field (field name and NMP number together) or one or the other.</w:t>
            </w:r>
          </w:p>
          <w:p w14:paraId="61443D81" w14:textId="77777777" w:rsidR="00B63043" w:rsidRDefault="00B63043" w:rsidP="00B63043">
            <w:pPr>
              <w:shd w:val="clear" w:color="auto" w:fill="FFFFFF"/>
              <w:spacing w:after="120"/>
              <w:rPr>
                <w:color w:val="808080" w:themeColor="background1" w:themeShade="80"/>
              </w:rPr>
            </w:pPr>
            <w:r>
              <w:rPr>
                <w:color w:val="808080" w:themeColor="background1" w:themeShade="80"/>
              </w:rPr>
              <w:t>Ref:</w:t>
            </w:r>
          </w:p>
          <w:p w14:paraId="52155165" w14:textId="16E9B02B" w:rsidR="00B63043" w:rsidRPr="00B63043" w:rsidRDefault="00B63043" w:rsidP="00B63043">
            <w:pPr>
              <w:shd w:val="clear" w:color="auto" w:fill="FFFFFF"/>
              <w:spacing w:after="120"/>
              <w:rPr>
                <w:color w:val="808080" w:themeColor="background1" w:themeShade="80"/>
              </w:rPr>
            </w:pPr>
            <w:r w:rsidRPr="00B63043">
              <w:rPr>
                <w:color w:val="808080" w:themeColor="background1" w:themeShade="80"/>
              </w:rPr>
              <w:t>Req. Doc §2.c.5 (file spec) / CSV columns</w:t>
            </w:r>
          </w:p>
        </w:tc>
        <w:tc>
          <w:tcPr>
            <w:tcW w:w="4794" w:type="dxa"/>
          </w:tcPr>
          <w:p w14:paraId="16E0772C" w14:textId="442BAFD3" w:rsidR="00B63043" w:rsidRPr="00472675" w:rsidRDefault="6D87B470" w:rsidP="6D87B470">
            <w:pPr>
              <w:rPr>
                <w:color w:val="FF0000"/>
              </w:rPr>
            </w:pPr>
            <w:r w:rsidRPr="003D2B5B">
              <w:t>This is a single field.</w:t>
            </w:r>
          </w:p>
        </w:tc>
      </w:tr>
      <w:tr w:rsidR="00B63043" w14:paraId="121E4ACF" w14:textId="77777777" w:rsidTr="6D87B470">
        <w:tc>
          <w:tcPr>
            <w:tcW w:w="521" w:type="dxa"/>
          </w:tcPr>
          <w:p w14:paraId="6581E966" w14:textId="0DDBC673" w:rsidR="00B63043" w:rsidRDefault="00B63043" w:rsidP="003B0B56">
            <w:pPr>
              <w:shd w:val="clear" w:color="auto" w:fill="FFFFFF"/>
              <w:spacing w:after="120"/>
              <w:rPr>
                <w:color w:val="808080" w:themeColor="background1" w:themeShade="80"/>
              </w:rPr>
            </w:pPr>
            <w:r>
              <w:rPr>
                <w:color w:val="808080" w:themeColor="background1" w:themeShade="80"/>
              </w:rPr>
              <w:t>24</w:t>
            </w:r>
          </w:p>
        </w:tc>
        <w:tc>
          <w:tcPr>
            <w:tcW w:w="3701" w:type="dxa"/>
            <w:vAlign w:val="center"/>
          </w:tcPr>
          <w:p w14:paraId="62CE759A" w14:textId="0C1E9F81" w:rsidR="00B63043" w:rsidRPr="00B63043" w:rsidRDefault="00B63043" w:rsidP="00B63043">
            <w:pPr>
              <w:shd w:val="clear" w:color="auto" w:fill="FFFFFF"/>
              <w:spacing w:after="120"/>
              <w:rPr>
                <w:color w:val="808080" w:themeColor="background1" w:themeShade="80"/>
              </w:rPr>
            </w:pPr>
            <w:r w:rsidRPr="00B63043">
              <w:rPr>
                <w:color w:val="808080" w:themeColor="background1" w:themeShade="80"/>
              </w:rPr>
              <w:t>The sampling and analysis charge is payable by the farmer/client</w:t>
            </w:r>
            <w:r>
              <w:rPr>
                <w:color w:val="808080" w:themeColor="background1" w:themeShade="80"/>
              </w:rPr>
              <w:t xml:space="preserve"> </w:t>
            </w:r>
            <w:r w:rsidRPr="00B63043">
              <w:rPr>
                <w:color w:val="808080" w:themeColor="background1" w:themeShade="80"/>
              </w:rPr>
              <w:t>(Pricing component (b)), while the Requirements Document envisages</w:t>
            </w:r>
            <w:r>
              <w:rPr>
                <w:color w:val="808080" w:themeColor="background1" w:themeShade="80"/>
              </w:rPr>
              <w:t xml:space="preserve"> </w:t>
            </w:r>
            <w:r w:rsidRPr="00B63043">
              <w:rPr>
                <w:color w:val="808080" w:themeColor="background1" w:themeShade="80"/>
              </w:rPr>
              <w:t>the Teagasc Advisor selecting the service type at the point of request.</w:t>
            </w:r>
          </w:p>
          <w:p w14:paraId="6C5D2300" w14:textId="77777777" w:rsidR="00B63043" w:rsidRDefault="00B63043" w:rsidP="00B63043">
            <w:pPr>
              <w:shd w:val="clear" w:color="auto" w:fill="FFFFFF"/>
              <w:spacing w:after="120"/>
              <w:rPr>
                <w:color w:val="808080" w:themeColor="background1" w:themeShade="80"/>
              </w:rPr>
            </w:pPr>
            <w:r w:rsidRPr="00B63043">
              <w:rPr>
                <w:color w:val="808080" w:themeColor="background1" w:themeShade="80"/>
              </w:rPr>
              <w:t>Please clarify the contractual basis for this: (a) if Teagasc Advisors are</w:t>
            </w:r>
            <w:r>
              <w:rPr>
                <w:color w:val="808080" w:themeColor="background1" w:themeShade="80"/>
              </w:rPr>
              <w:t xml:space="preserve"> </w:t>
            </w:r>
            <w:r w:rsidRPr="00B63043">
              <w:rPr>
                <w:color w:val="808080" w:themeColor="background1" w:themeShade="80"/>
              </w:rPr>
              <w:t>authorised to enter into the contract for services on behalf of their clients,</w:t>
            </w:r>
            <w:r>
              <w:rPr>
                <w:color w:val="808080" w:themeColor="background1" w:themeShade="80"/>
              </w:rPr>
              <w:t xml:space="preserve"> </w:t>
            </w:r>
            <w:r w:rsidRPr="00B63043">
              <w:rPr>
                <w:color w:val="808080" w:themeColor="background1" w:themeShade="80"/>
              </w:rPr>
              <w:t>does Teagasc accept liability for the charges arising from the service</w:t>
            </w:r>
            <w:r>
              <w:rPr>
                <w:color w:val="808080" w:themeColor="background1" w:themeShade="80"/>
              </w:rPr>
              <w:t xml:space="preserve"> </w:t>
            </w:r>
            <w:r w:rsidRPr="00B63043">
              <w:rPr>
                <w:color w:val="808080" w:themeColor="background1" w:themeShade="80"/>
              </w:rPr>
              <w:t>type the Advisor selects; or (b) if Advisors are not so authorised, on what</w:t>
            </w:r>
            <w:r>
              <w:rPr>
                <w:color w:val="808080" w:themeColor="background1" w:themeShade="80"/>
              </w:rPr>
              <w:t xml:space="preserve"> </w:t>
            </w:r>
            <w:r w:rsidRPr="00B63043">
              <w:rPr>
                <w:color w:val="808080" w:themeColor="background1" w:themeShade="80"/>
              </w:rPr>
              <w:t>basis is the Advisor able to specify the service type and commit the client</w:t>
            </w:r>
            <w:r>
              <w:rPr>
                <w:color w:val="808080" w:themeColor="background1" w:themeShade="80"/>
              </w:rPr>
              <w:t xml:space="preserve"> </w:t>
            </w:r>
            <w:r w:rsidRPr="00B63043">
              <w:rPr>
                <w:color w:val="808080" w:themeColor="background1" w:themeShade="80"/>
              </w:rPr>
              <w:t>to the associated charge?</w:t>
            </w:r>
          </w:p>
          <w:p w14:paraId="511E5F23" w14:textId="5BE16EF0" w:rsidR="00B63043" w:rsidRDefault="00B63043" w:rsidP="00B63043">
            <w:pPr>
              <w:shd w:val="clear" w:color="auto" w:fill="FFFFFF"/>
              <w:spacing w:after="120"/>
              <w:rPr>
                <w:color w:val="808080" w:themeColor="background1" w:themeShade="80"/>
              </w:rPr>
            </w:pPr>
            <w:r>
              <w:rPr>
                <w:color w:val="808080" w:themeColor="background1" w:themeShade="80"/>
              </w:rPr>
              <w:t>Ref:</w:t>
            </w:r>
          </w:p>
          <w:p w14:paraId="5C5BF976" w14:textId="77777777" w:rsidR="00B63043" w:rsidRDefault="00B63043" w:rsidP="00B63043">
            <w:pPr>
              <w:shd w:val="clear" w:color="auto" w:fill="FFFFFF"/>
              <w:spacing w:after="120"/>
              <w:rPr>
                <w:color w:val="808080" w:themeColor="background1" w:themeShade="80"/>
              </w:rPr>
            </w:pPr>
            <w:r w:rsidRPr="00B63043">
              <w:rPr>
                <w:color w:val="808080" w:themeColor="background1" w:themeShade="80"/>
              </w:rPr>
              <w:t>Pricing Schedule – Commercial Model (item 7); Req. Doc §2.a</w:t>
            </w:r>
          </w:p>
          <w:p w14:paraId="330CF14D" w14:textId="77777777" w:rsidR="003D2B5B" w:rsidRDefault="003D2B5B" w:rsidP="00B63043">
            <w:pPr>
              <w:shd w:val="clear" w:color="auto" w:fill="FFFFFF"/>
              <w:spacing w:after="120"/>
              <w:rPr>
                <w:color w:val="808080" w:themeColor="background1" w:themeShade="80"/>
              </w:rPr>
            </w:pPr>
          </w:p>
          <w:p w14:paraId="02D3389E" w14:textId="77777777" w:rsidR="003D2B5B" w:rsidRDefault="003D2B5B" w:rsidP="00B63043">
            <w:pPr>
              <w:shd w:val="clear" w:color="auto" w:fill="FFFFFF"/>
              <w:spacing w:after="120"/>
              <w:rPr>
                <w:color w:val="808080" w:themeColor="background1" w:themeShade="80"/>
              </w:rPr>
            </w:pPr>
          </w:p>
          <w:p w14:paraId="505DDDD2" w14:textId="77777777" w:rsidR="003D2B5B" w:rsidRDefault="003D2B5B" w:rsidP="00B63043">
            <w:pPr>
              <w:shd w:val="clear" w:color="auto" w:fill="FFFFFF"/>
              <w:spacing w:after="120"/>
              <w:rPr>
                <w:color w:val="808080" w:themeColor="background1" w:themeShade="80"/>
              </w:rPr>
            </w:pPr>
          </w:p>
          <w:p w14:paraId="58FEFDF7" w14:textId="77777777" w:rsidR="003D2B5B" w:rsidRDefault="003D2B5B" w:rsidP="00B63043">
            <w:pPr>
              <w:shd w:val="clear" w:color="auto" w:fill="FFFFFF"/>
              <w:spacing w:after="120"/>
              <w:rPr>
                <w:color w:val="808080" w:themeColor="background1" w:themeShade="80"/>
              </w:rPr>
            </w:pPr>
          </w:p>
          <w:p w14:paraId="43E3D6E1" w14:textId="0DBA48EE" w:rsidR="003D2B5B" w:rsidRPr="00B63043" w:rsidRDefault="003D2B5B" w:rsidP="00B63043">
            <w:pPr>
              <w:shd w:val="clear" w:color="auto" w:fill="FFFFFF"/>
              <w:spacing w:after="120"/>
              <w:rPr>
                <w:color w:val="808080" w:themeColor="background1" w:themeShade="80"/>
              </w:rPr>
            </w:pPr>
          </w:p>
        </w:tc>
        <w:tc>
          <w:tcPr>
            <w:tcW w:w="4794" w:type="dxa"/>
          </w:tcPr>
          <w:p w14:paraId="3CF154C8" w14:textId="77777777" w:rsidR="00AA7656" w:rsidRDefault="00AA7656" w:rsidP="00AA7656">
            <w:r>
              <w:lastRenderedPageBreak/>
              <w:t>The Contracting Authority confirms that Teagasc Advisors are not authorised to enter into contracts on behalf of farmers or other clients and do not accept liability for any charges arising from services provided by the successful Tenderer.</w:t>
            </w:r>
          </w:p>
          <w:p w14:paraId="114E548D" w14:textId="77777777" w:rsidR="00AA7656" w:rsidRDefault="00AA7656" w:rsidP="00AA7656"/>
          <w:p w14:paraId="050E5B2D" w14:textId="77777777" w:rsidR="00AA7656" w:rsidRDefault="00AA7656" w:rsidP="00AA7656">
            <w:r>
              <w:t>The role of the Teagasc Advisor is to facilitate access to the service by initiating a request through the proposed system and recording the service option selected by the farmer or client.</w:t>
            </w:r>
          </w:p>
          <w:p w14:paraId="12CC786F" w14:textId="77777777" w:rsidR="00AA7656" w:rsidRDefault="00AA7656" w:rsidP="00AA7656"/>
          <w:p w14:paraId="4934FECF" w14:textId="77777777" w:rsidR="00AA7656" w:rsidRDefault="00AA7656" w:rsidP="00AA7656">
            <w:r>
              <w:t>The choice between Full Service Sampling and Assisted / Self-Sampling will ultimately be made by the farmer or client.</w:t>
            </w:r>
          </w:p>
          <w:p w14:paraId="112025CA" w14:textId="77777777" w:rsidR="00AA7656" w:rsidRDefault="00AA7656" w:rsidP="00AA7656"/>
          <w:p w14:paraId="19568104" w14:textId="77777777" w:rsidR="00AA7656" w:rsidRDefault="00AA7656" w:rsidP="00AA7656">
            <w:r>
              <w:t>The successful Tenderer will be responsible for providing pricing information and/or quotations to the farmer or client and for obtaining any required acceptance prior to commencement of the service.</w:t>
            </w:r>
          </w:p>
          <w:p w14:paraId="26A026A2" w14:textId="77777777" w:rsidR="00AA7656" w:rsidRDefault="00AA7656" w:rsidP="00AA7656"/>
          <w:p w14:paraId="68F6E6D2" w14:textId="77777777" w:rsidR="00AA7656" w:rsidRDefault="00AA7656" w:rsidP="00AA7656">
            <w:r>
              <w:t>Any contractual arrangement for the provision of sampling and analysis services, and any associated payment obligations, will be between the successful Tenderer and the farmer or client.</w:t>
            </w:r>
          </w:p>
          <w:p w14:paraId="6301FB8D" w14:textId="77777777" w:rsidR="00AA7656" w:rsidRDefault="00AA7656" w:rsidP="00AA7656"/>
          <w:p w14:paraId="16B75400" w14:textId="5E1C3453" w:rsidR="00B63043" w:rsidRPr="00472675" w:rsidRDefault="00AA7656" w:rsidP="00AA7656">
            <w:r>
              <w:lastRenderedPageBreak/>
              <w:t>The reference to the Advisor selecting the service type should therefore be interpreted as recording and communicating the farmer's chosen service option rather than entering into a contractual commitment on behalf of the farmer.</w:t>
            </w:r>
          </w:p>
        </w:tc>
      </w:tr>
      <w:tr w:rsidR="00B63043" w14:paraId="62F9E7F5" w14:textId="77777777" w:rsidTr="6D87B470">
        <w:tc>
          <w:tcPr>
            <w:tcW w:w="521" w:type="dxa"/>
          </w:tcPr>
          <w:p w14:paraId="6D223816" w14:textId="4227440E" w:rsidR="00B63043" w:rsidRDefault="00B63043" w:rsidP="003B0B56">
            <w:pPr>
              <w:shd w:val="clear" w:color="auto" w:fill="FFFFFF"/>
              <w:spacing w:after="120"/>
              <w:rPr>
                <w:color w:val="808080" w:themeColor="background1" w:themeShade="80"/>
              </w:rPr>
            </w:pPr>
            <w:r>
              <w:rPr>
                <w:color w:val="808080" w:themeColor="background1" w:themeShade="80"/>
              </w:rPr>
              <w:lastRenderedPageBreak/>
              <w:t>25</w:t>
            </w:r>
          </w:p>
        </w:tc>
        <w:tc>
          <w:tcPr>
            <w:tcW w:w="3701" w:type="dxa"/>
            <w:vAlign w:val="center"/>
          </w:tcPr>
          <w:p w14:paraId="21719298" w14:textId="77777777" w:rsidR="00B63043" w:rsidRDefault="00B63043" w:rsidP="00B63043">
            <w:pPr>
              <w:shd w:val="clear" w:color="auto" w:fill="FFFFFF"/>
              <w:spacing w:after="120"/>
              <w:rPr>
                <w:color w:val="808080" w:themeColor="background1" w:themeShade="80"/>
              </w:rPr>
            </w:pPr>
            <w:r w:rsidRPr="00B63043">
              <w:rPr>
                <w:color w:val="808080" w:themeColor="background1" w:themeShade="80"/>
              </w:rPr>
              <w:t>Accordingly, please confirm whether the farmer/client may instead specify or confirm the service type, with the Advisor initiating the request</w:t>
            </w:r>
          </w:p>
          <w:p w14:paraId="552C7913" w14:textId="77777777" w:rsidR="00B63043" w:rsidRDefault="00B63043" w:rsidP="00B63043">
            <w:pPr>
              <w:shd w:val="clear" w:color="auto" w:fill="FFFFFF"/>
              <w:spacing w:after="120"/>
              <w:rPr>
                <w:color w:val="808080" w:themeColor="background1" w:themeShade="80"/>
              </w:rPr>
            </w:pPr>
            <w:r>
              <w:rPr>
                <w:color w:val="808080" w:themeColor="background1" w:themeShade="80"/>
              </w:rPr>
              <w:t>Ref:</w:t>
            </w:r>
          </w:p>
          <w:p w14:paraId="17B729E3" w14:textId="77777777" w:rsidR="00B63043" w:rsidRDefault="00B63043" w:rsidP="00B63043">
            <w:pPr>
              <w:shd w:val="clear" w:color="auto" w:fill="FFFFFF"/>
              <w:spacing w:after="120"/>
              <w:rPr>
                <w:color w:val="808080" w:themeColor="background1" w:themeShade="80"/>
              </w:rPr>
            </w:pPr>
            <w:r w:rsidRPr="00B63043">
              <w:rPr>
                <w:color w:val="808080" w:themeColor="background1" w:themeShade="80"/>
              </w:rPr>
              <w:t>Req. Doc §2.a – service</w:t>
            </w:r>
            <w:r>
              <w:rPr>
                <w:color w:val="808080" w:themeColor="background1" w:themeShade="80"/>
              </w:rPr>
              <w:t>-</w:t>
            </w:r>
            <w:r w:rsidRPr="00B63043">
              <w:rPr>
                <w:color w:val="808080" w:themeColor="background1" w:themeShade="80"/>
              </w:rPr>
              <w:t>option selection</w:t>
            </w:r>
          </w:p>
          <w:p w14:paraId="5B9DE1BE" w14:textId="77777777" w:rsidR="003D2B5B" w:rsidRDefault="003D2B5B" w:rsidP="00B63043">
            <w:pPr>
              <w:shd w:val="clear" w:color="auto" w:fill="FFFFFF"/>
              <w:spacing w:after="120"/>
              <w:rPr>
                <w:color w:val="808080" w:themeColor="background1" w:themeShade="80"/>
              </w:rPr>
            </w:pPr>
          </w:p>
          <w:p w14:paraId="7D2F4C40" w14:textId="77777777" w:rsidR="003D2B5B" w:rsidRDefault="003D2B5B" w:rsidP="00B63043">
            <w:pPr>
              <w:shd w:val="clear" w:color="auto" w:fill="FFFFFF"/>
              <w:spacing w:after="120"/>
              <w:rPr>
                <w:color w:val="808080" w:themeColor="background1" w:themeShade="80"/>
              </w:rPr>
            </w:pPr>
          </w:p>
          <w:p w14:paraId="3363B8B0" w14:textId="77777777" w:rsidR="003D2B5B" w:rsidRDefault="003D2B5B" w:rsidP="00B63043">
            <w:pPr>
              <w:shd w:val="clear" w:color="auto" w:fill="FFFFFF"/>
              <w:spacing w:after="120"/>
              <w:rPr>
                <w:color w:val="808080" w:themeColor="background1" w:themeShade="80"/>
              </w:rPr>
            </w:pPr>
          </w:p>
          <w:p w14:paraId="09E17E08" w14:textId="77777777" w:rsidR="003D2B5B" w:rsidRDefault="003D2B5B" w:rsidP="00B63043">
            <w:pPr>
              <w:shd w:val="clear" w:color="auto" w:fill="FFFFFF"/>
              <w:spacing w:after="120"/>
              <w:rPr>
                <w:color w:val="808080" w:themeColor="background1" w:themeShade="80"/>
              </w:rPr>
            </w:pPr>
          </w:p>
          <w:p w14:paraId="3C6F6802" w14:textId="77777777" w:rsidR="003D2B5B" w:rsidRDefault="003D2B5B" w:rsidP="00B63043">
            <w:pPr>
              <w:shd w:val="clear" w:color="auto" w:fill="FFFFFF"/>
              <w:spacing w:after="120"/>
              <w:rPr>
                <w:color w:val="808080" w:themeColor="background1" w:themeShade="80"/>
              </w:rPr>
            </w:pPr>
          </w:p>
          <w:p w14:paraId="54CEA192" w14:textId="19EAC100" w:rsidR="003D2B5B" w:rsidRPr="00B63043" w:rsidRDefault="003D2B5B" w:rsidP="00B63043">
            <w:pPr>
              <w:shd w:val="clear" w:color="auto" w:fill="FFFFFF"/>
              <w:spacing w:after="120"/>
              <w:rPr>
                <w:color w:val="808080" w:themeColor="background1" w:themeShade="80"/>
              </w:rPr>
            </w:pPr>
          </w:p>
        </w:tc>
        <w:tc>
          <w:tcPr>
            <w:tcW w:w="4794" w:type="dxa"/>
          </w:tcPr>
          <w:p w14:paraId="613318C0" w14:textId="77777777" w:rsidR="000E1CB7" w:rsidRDefault="000E1CB7" w:rsidP="000E1CB7">
            <w:r>
              <w:t>Yes.</w:t>
            </w:r>
          </w:p>
          <w:p w14:paraId="004964EE" w14:textId="77777777" w:rsidR="000E1CB7" w:rsidRDefault="000E1CB7" w:rsidP="000E1CB7"/>
          <w:p w14:paraId="1AB1B683" w14:textId="77777777" w:rsidR="000E1CB7" w:rsidRDefault="000E1CB7" w:rsidP="000E1CB7">
            <w:r>
              <w:t>The Contracting Authority confirms that the service type may be specified or confirmed by the farmer or client.</w:t>
            </w:r>
          </w:p>
          <w:p w14:paraId="2EB36DF9" w14:textId="77777777" w:rsidR="000E1CB7" w:rsidRDefault="000E1CB7" w:rsidP="000E1CB7"/>
          <w:p w14:paraId="348EBC07" w14:textId="77777777" w:rsidR="000E1CB7" w:rsidRDefault="000E1CB7" w:rsidP="000E1CB7">
            <w:r>
              <w:t>The role of the Teagasc Advisor is to facilitate access to the service and initiate the request through the proposed system.</w:t>
            </w:r>
          </w:p>
          <w:p w14:paraId="62D038D3" w14:textId="77777777" w:rsidR="000E1CB7" w:rsidRDefault="000E1CB7" w:rsidP="000E1CB7"/>
          <w:p w14:paraId="6920E026" w14:textId="77777777" w:rsidR="000E1CB7" w:rsidRDefault="000E1CB7" w:rsidP="000E1CB7">
            <w:r>
              <w:t>The service option recorded within the system should reflect the preference of the farmer or client. The Advisor's role is therefore to record and communicate the selected service option as part of the request initiation process rather than to determine the service type on behalf of the farmer or client.</w:t>
            </w:r>
          </w:p>
          <w:p w14:paraId="2D44086B" w14:textId="77777777" w:rsidR="000E1CB7" w:rsidRDefault="000E1CB7" w:rsidP="000E1CB7"/>
          <w:p w14:paraId="1619485D" w14:textId="2603B8F4" w:rsidR="00B63043" w:rsidRPr="00472675" w:rsidRDefault="000E1CB7" w:rsidP="000E1CB7">
            <w:r>
              <w:t>Tenderers may propose workflow arrangements that facilitate confirmation of the selected service option directly with the farmer or client as part of the booking and quotation process.</w:t>
            </w:r>
          </w:p>
        </w:tc>
      </w:tr>
      <w:tr w:rsidR="000E1CB7" w14:paraId="6C5567AB" w14:textId="77777777" w:rsidTr="6D87B470">
        <w:tc>
          <w:tcPr>
            <w:tcW w:w="521" w:type="dxa"/>
          </w:tcPr>
          <w:p w14:paraId="64D561EF" w14:textId="6DD43CBD" w:rsidR="000E1CB7" w:rsidRDefault="000E1CB7" w:rsidP="003B0B56">
            <w:pPr>
              <w:shd w:val="clear" w:color="auto" w:fill="FFFFFF"/>
              <w:spacing w:after="120"/>
              <w:rPr>
                <w:color w:val="808080" w:themeColor="background1" w:themeShade="80"/>
              </w:rPr>
            </w:pPr>
            <w:r>
              <w:rPr>
                <w:color w:val="808080" w:themeColor="background1" w:themeShade="80"/>
              </w:rPr>
              <w:t>26</w:t>
            </w:r>
          </w:p>
        </w:tc>
        <w:tc>
          <w:tcPr>
            <w:tcW w:w="3701" w:type="dxa"/>
            <w:vAlign w:val="center"/>
          </w:tcPr>
          <w:p w14:paraId="691AF526" w14:textId="273FA62A" w:rsidR="000E1CB7" w:rsidRPr="00B63043" w:rsidRDefault="000E1CB7" w:rsidP="00B63043">
            <w:pPr>
              <w:shd w:val="clear" w:color="auto" w:fill="FFFFFF"/>
              <w:spacing w:after="120"/>
              <w:rPr>
                <w:color w:val="808080" w:themeColor="background1" w:themeShade="80"/>
              </w:rPr>
            </w:pPr>
            <w:r w:rsidRPr="000E1CB7">
              <w:rPr>
                <w:color w:val="808080" w:themeColor="background1" w:themeShade="80"/>
              </w:rPr>
              <w:t>Please confirm the expected number of Teagasc platform users (Advisors and any other roles) requiring access to the booking and service management platform at go-live, and any anticipated range over the contract term.</w:t>
            </w:r>
          </w:p>
        </w:tc>
        <w:tc>
          <w:tcPr>
            <w:tcW w:w="4794" w:type="dxa"/>
          </w:tcPr>
          <w:p w14:paraId="4A3B9F27" w14:textId="159C5412" w:rsidR="000E1CB7" w:rsidRPr="00472675" w:rsidRDefault="6D87B470" w:rsidP="6D87B470">
            <w:r w:rsidRPr="6D87B470">
              <w:t>Approx. 500 users</w:t>
            </w:r>
          </w:p>
        </w:tc>
      </w:tr>
      <w:tr w:rsidR="6D87B470" w14:paraId="1E34BDE1" w14:textId="77777777" w:rsidTr="6D87B470">
        <w:trPr>
          <w:trHeight w:val="300"/>
        </w:trPr>
        <w:tc>
          <w:tcPr>
            <w:tcW w:w="521" w:type="dxa"/>
          </w:tcPr>
          <w:p w14:paraId="0A4DE464" w14:textId="1B47E4F7" w:rsidR="6D87B470" w:rsidRDefault="6D87B470" w:rsidP="6D87B470">
            <w:r w:rsidRPr="6D87B470">
              <w:rPr>
                <w:color w:val="808080" w:themeColor="background1" w:themeShade="80"/>
              </w:rPr>
              <w:t>27</w:t>
            </w:r>
          </w:p>
        </w:tc>
        <w:tc>
          <w:tcPr>
            <w:tcW w:w="3701" w:type="dxa"/>
            <w:vAlign w:val="center"/>
          </w:tcPr>
          <w:p w14:paraId="0270EC2F" w14:textId="2F7A4212" w:rsidR="6D87B470" w:rsidRDefault="6D87B470" w:rsidP="6D87B470">
            <w:r w:rsidRPr="6D87B470">
              <w:rPr>
                <w:color w:val="808080" w:themeColor="background1" w:themeShade="80"/>
              </w:rPr>
              <w:t>Please confirm whether the successful Tenderer may require farmers/clients to accept the Tenderer’s own end-user terms and conditions (including payment terms) at the point of booking or service confirmation</w:t>
            </w:r>
          </w:p>
          <w:p w14:paraId="34A1ADEE" w14:textId="4D5FD7CE" w:rsidR="6D87B470" w:rsidRDefault="6D87B470" w:rsidP="6D87B470">
            <w:pPr>
              <w:rPr>
                <w:color w:val="808080" w:themeColor="background1" w:themeShade="80"/>
              </w:rPr>
            </w:pPr>
          </w:p>
          <w:p w14:paraId="0CD21C05" w14:textId="30BFC525" w:rsidR="6D87B470" w:rsidRDefault="6D87B470" w:rsidP="6D87B470">
            <w:pPr>
              <w:rPr>
                <w:color w:val="808080" w:themeColor="background1" w:themeShade="80"/>
              </w:rPr>
            </w:pPr>
          </w:p>
          <w:p w14:paraId="1946EF13" w14:textId="2D99071A" w:rsidR="6D87B470" w:rsidRDefault="6D87B470" w:rsidP="6D87B470">
            <w:pPr>
              <w:rPr>
                <w:color w:val="808080" w:themeColor="background1" w:themeShade="80"/>
              </w:rPr>
            </w:pPr>
          </w:p>
          <w:p w14:paraId="69D0EAEB" w14:textId="71AF69C3" w:rsidR="6D87B470" w:rsidRDefault="6D87B470" w:rsidP="6D87B470">
            <w:pPr>
              <w:rPr>
                <w:color w:val="808080" w:themeColor="background1" w:themeShade="80"/>
              </w:rPr>
            </w:pPr>
          </w:p>
          <w:p w14:paraId="34146EA7" w14:textId="1AB4C4C3" w:rsidR="6D87B470" w:rsidRDefault="6D87B470" w:rsidP="6D87B470">
            <w:pPr>
              <w:rPr>
                <w:color w:val="808080" w:themeColor="background1" w:themeShade="80"/>
              </w:rPr>
            </w:pPr>
          </w:p>
        </w:tc>
        <w:tc>
          <w:tcPr>
            <w:tcW w:w="4794" w:type="dxa"/>
          </w:tcPr>
          <w:p w14:paraId="06B4409D" w14:textId="0B4A5962" w:rsidR="6D87B470" w:rsidRDefault="6D87B470" w:rsidP="6D87B470">
            <w:r w:rsidRPr="6D87B470">
              <w:t>The Contracting Authority acknowledges that the successful Tenderer may require farmers or clients to accept reasonable end-user terms and conditions, including payment terms, as part of the booking or service confirmation process.</w:t>
            </w:r>
          </w:p>
          <w:p w14:paraId="49B42AFC" w14:textId="0232F6E1" w:rsidR="6D87B470" w:rsidRDefault="6D87B470" w:rsidP="6D87B470">
            <w:r w:rsidRPr="6D87B470">
              <w:t>Any such terms and conditions must be consistent with the requirements of the contract and must not conflict with any obligations owed by the successful Tenderer to the Contracting Authority under the resulting contract.</w:t>
            </w:r>
          </w:p>
          <w:p w14:paraId="5B59EAAF" w14:textId="178C0C7F" w:rsidR="6D87B470" w:rsidRDefault="6D87B470" w:rsidP="6D87B470"/>
        </w:tc>
      </w:tr>
      <w:tr w:rsidR="6D87B470" w14:paraId="07F21BCC" w14:textId="77777777" w:rsidTr="6D87B470">
        <w:trPr>
          <w:trHeight w:val="300"/>
        </w:trPr>
        <w:tc>
          <w:tcPr>
            <w:tcW w:w="521" w:type="dxa"/>
          </w:tcPr>
          <w:p w14:paraId="64C31FF0" w14:textId="750E87CD" w:rsidR="6D87B470" w:rsidRDefault="6D87B470" w:rsidP="6D87B470">
            <w:r w:rsidRPr="6D87B470">
              <w:rPr>
                <w:color w:val="808080" w:themeColor="background1" w:themeShade="80"/>
              </w:rPr>
              <w:t>28</w:t>
            </w:r>
          </w:p>
        </w:tc>
        <w:tc>
          <w:tcPr>
            <w:tcW w:w="3701" w:type="dxa"/>
            <w:vAlign w:val="center"/>
          </w:tcPr>
          <w:p w14:paraId="7E842CFC" w14:textId="4EBF127B" w:rsidR="6D87B470" w:rsidRDefault="003D2B5B" w:rsidP="6D87B470">
            <w:r w:rsidRPr="003D2B5B">
              <w:t xml:space="preserve">Please confirm the current charging model applicable to farmers/clients under the existing or most recent arrangements for soil sampling and analysis, including whether farmers currently pay directly and, if so, the </w:t>
            </w:r>
            <w:r w:rsidRPr="003D2B5B">
              <w:lastRenderedPageBreak/>
              <w:t>applicable sample rate(s) or charging basis.</w:t>
            </w:r>
          </w:p>
        </w:tc>
        <w:tc>
          <w:tcPr>
            <w:tcW w:w="4794" w:type="dxa"/>
          </w:tcPr>
          <w:p w14:paraId="28B33392" w14:textId="36A68078" w:rsidR="6D87B470" w:rsidRDefault="003D2B5B" w:rsidP="6D87B470">
            <w:hyperlink r:id="rId11" w:history="1">
              <w:r w:rsidRPr="003D2B5B">
                <w:rPr>
                  <w:rStyle w:val="Hyperlink"/>
                </w:rPr>
                <w:t>https://teagasc.ie/environment/soil/soil-fertility/soil-analysis/soil-tests/</w:t>
              </w:r>
            </w:hyperlink>
          </w:p>
        </w:tc>
      </w:tr>
      <w:tr w:rsidR="6D87B470" w14:paraId="313C90FB" w14:textId="77777777" w:rsidTr="6D87B470">
        <w:trPr>
          <w:trHeight w:val="5175"/>
        </w:trPr>
        <w:tc>
          <w:tcPr>
            <w:tcW w:w="521" w:type="dxa"/>
          </w:tcPr>
          <w:p w14:paraId="72E623C6" w14:textId="188A0E7B" w:rsidR="6D87B470" w:rsidRDefault="6D87B470" w:rsidP="6D87B470">
            <w:r w:rsidRPr="6D87B470">
              <w:rPr>
                <w:color w:val="808080" w:themeColor="background1" w:themeShade="80"/>
              </w:rPr>
              <w:t>29</w:t>
            </w:r>
          </w:p>
        </w:tc>
        <w:tc>
          <w:tcPr>
            <w:tcW w:w="3701" w:type="dxa"/>
            <w:vAlign w:val="center"/>
          </w:tcPr>
          <w:p w14:paraId="4512DD38" w14:textId="54FBACC2" w:rsidR="6D87B470" w:rsidRDefault="6D87B470" w:rsidP="6D87B470">
            <w:r w:rsidRPr="6D87B470">
              <w:rPr>
                <w:color w:val="808080" w:themeColor="background1" w:themeShade="80"/>
              </w:rPr>
              <w:t>Given the stated contract duration of 7 years, please confirm whether any form of indexation, annual price review, or inflation adjustment mechanism will apply during the contract term in respect of fees payable by Teagasc and/or end-user sample pricing.</w:t>
            </w:r>
          </w:p>
          <w:p w14:paraId="47C7EA60" w14:textId="13D6743E" w:rsidR="6D87B470" w:rsidRDefault="6D87B470" w:rsidP="6D87B470">
            <w:pPr>
              <w:rPr>
                <w:color w:val="808080" w:themeColor="background1" w:themeShade="80"/>
              </w:rPr>
            </w:pPr>
          </w:p>
          <w:p w14:paraId="17EADEF6" w14:textId="7684E41F" w:rsidR="6D87B470" w:rsidRDefault="6D87B470" w:rsidP="6D87B470">
            <w:pPr>
              <w:rPr>
                <w:color w:val="808080" w:themeColor="background1" w:themeShade="80"/>
              </w:rPr>
            </w:pPr>
          </w:p>
          <w:p w14:paraId="3E149B2C" w14:textId="77777777" w:rsidR="003D2B5B" w:rsidRDefault="003D2B5B" w:rsidP="6D87B470">
            <w:pPr>
              <w:rPr>
                <w:color w:val="808080" w:themeColor="background1" w:themeShade="80"/>
              </w:rPr>
            </w:pPr>
          </w:p>
          <w:p w14:paraId="4C24DBA9" w14:textId="146D0C07" w:rsidR="6D87B470" w:rsidRDefault="6D87B470" w:rsidP="6D87B470">
            <w:pPr>
              <w:rPr>
                <w:color w:val="808080" w:themeColor="background1" w:themeShade="80"/>
              </w:rPr>
            </w:pPr>
          </w:p>
          <w:p w14:paraId="00B2DA34" w14:textId="05C78082" w:rsidR="6D87B470" w:rsidRDefault="6D87B470" w:rsidP="6D87B470">
            <w:pPr>
              <w:rPr>
                <w:color w:val="808080" w:themeColor="background1" w:themeShade="80"/>
              </w:rPr>
            </w:pPr>
          </w:p>
          <w:p w14:paraId="0000FA35" w14:textId="005B4A24" w:rsidR="6D87B470" w:rsidRDefault="6D87B470" w:rsidP="6D87B470">
            <w:pPr>
              <w:rPr>
                <w:color w:val="808080" w:themeColor="background1" w:themeShade="80"/>
              </w:rPr>
            </w:pPr>
          </w:p>
          <w:p w14:paraId="65B2B452" w14:textId="05CD6E0C" w:rsidR="6D87B470" w:rsidRDefault="6D87B470" w:rsidP="6D87B470">
            <w:pPr>
              <w:rPr>
                <w:color w:val="808080" w:themeColor="background1" w:themeShade="80"/>
              </w:rPr>
            </w:pPr>
          </w:p>
          <w:p w14:paraId="13E67835" w14:textId="6E0F2CB6" w:rsidR="6D87B470" w:rsidRDefault="6D87B470" w:rsidP="6D87B470">
            <w:pPr>
              <w:rPr>
                <w:color w:val="808080" w:themeColor="background1" w:themeShade="80"/>
              </w:rPr>
            </w:pPr>
          </w:p>
          <w:p w14:paraId="77A12985" w14:textId="77777777" w:rsidR="6D87B470" w:rsidRDefault="6D87B470" w:rsidP="6D87B470">
            <w:pPr>
              <w:rPr>
                <w:color w:val="808080" w:themeColor="background1" w:themeShade="80"/>
              </w:rPr>
            </w:pPr>
          </w:p>
          <w:p w14:paraId="573F7DD3" w14:textId="77777777" w:rsidR="003D2B5B" w:rsidRDefault="003D2B5B" w:rsidP="6D87B470">
            <w:pPr>
              <w:rPr>
                <w:color w:val="808080" w:themeColor="background1" w:themeShade="80"/>
              </w:rPr>
            </w:pPr>
          </w:p>
          <w:p w14:paraId="3261F9FA" w14:textId="7A294A6D" w:rsidR="003D2B5B" w:rsidRDefault="003D2B5B" w:rsidP="6D87B470">
            <w:pPr>
              <w:rPr>
                <w:color w:val="808080" w:themeColor="background1" w:themeShade="80"/>
              </w:rPr>
            </w:pPr>
          </w:p>
        </w:tc>
        <w:tc>
          <w:tcPr>
            <w:tcW w:w="4794" w:type="dxa"/>
          </w:tcPr>
          <w:p w14:paraId="2D00135D" w14:textId="40200CAE" w:rsidR="6D87B470" w:rsidRDefault="6D87B470" w:rsidP="6D87B470">
            <w:r w:rsidRPr="6D87B470">
              <w:t>The Pricing Schedule allows Tenderers to specify annual charges payable by Teagasc over the duration of the contract.</w:t>
            </w:r>
          </w:p>
          <w:p w14:paraId="349DC975" w14:textId="0ECF8A68" w:rsidR="6D87B470" w:rsidRDefault="6D87B470" w:rsidP="6D87B470"/>
          <w:p w14:paraId="0214AE96" w14:textId="5B6F9292" w:rsidR="6D87B470" w:rsidRDefault="6D87B470" w:rsidP="6D87B470">
            <w:r w:rsidRPr="6D87B470">
              <w:t>The sample pricing submitted within the Sample Pricing Schedule will be evaluated based on Year 1 pricing.</w:t>
            </w:r>
          </w:p>
          <w:p w14:paraId="4DFF0DFA" w14:textId="5F9CAB62" w:rsidR="6D87B470" w:rsidRDefault="6D87B470" w:rsidP="6D87B470"/>
          <w:p w14:paraId="721B7065" w14:textId="33A2CEFC" w:rsidR="6D87B470" w:rsidRDefault="6D87B470" w:rsidP="6D87B470">
            <w:r w:rsidRPr="6D87B470">
              <w:t xml:space="preserve">The Contracting Authority recognises that the contract duration is seven years and that changes in costs may occur over that period. </w:t>
            </w:r>
          </w:p>
          <w:p w14:paraId="62A9110B" w14:textId="6AF2963E" w:rsidR="6D87B470" w:rsidRDefault="6D87B470" w:rsidP="6D87B470"/>
          <w:p w14:paraId="46302E03" w14:textId="7B6A5BB4" w:rsidR="6D87B470" w:rsidRDefault="6D87B470" w:rsidP="6D87B470">
            <w:r w:rsidRPr="6D87B470">
              <w:t>Sample pricing may be reviewed every three years. Any proposed adjustment will be considered having regard to changes in the CPI over the preceding three-year period and any other relevant market factors.</w:t>
            </w:r>
          </w:p>
        </w:tc>
      </w:tr>
      <w:tr w:rsidR="6D87B470" w14:paraId="7F1ECF77" w14:textId="77777777" w:rsidTr="6D87B470">
        <w:trPr>
          <w:trHeight w:val="300"/>
        </w:trPr>
        <w:tc>
          <w:tcPr>
            <w:tcW w:w="521" w:type="dxa"/>
          </w:tcPr>
          <w:p w14:paraId="0571EC83" w14:textId="7814B5A2" w:rsidR="6D87B470" w:rsidRDefault="6D87B470" w:rsidP="6D87B470">
            <w:r w:rsidRPr="6D87B470">
              <w:rPr>
                <w:color w:val="808080" w:themeColor="background1" w:themeShade="80"/>
              </w:rPr>
              <w:t>30</w:t>
            </w:r>
          </w:p>
        </w:tc>
        <w:tc>
          <w:tcPr>
            <w:tcW w:w="3701" w:type="dxa"/>
            <w:vAlign w:val="center"/>
          </w:tcPr>
          <w:p w14:paraId="3598BED4" w14:textId="6BD40DA0" w:rsidR="6D87B470" w:rsidRDefault="6D87B470" w:rsidP="6D87B470">
            <w:r w:rsidRPr="6D87B470">
              <w:rPr>
                <w:color w:val="808080" w:themeColor="background1" w:themeShade="80"/>
              </w:rPr>
              <w:t>The Pricing Schedule refers to sample pricing “based on 30,000 samples” for full service and “based on 10,000 samples” for farmer self-sample collection and also states that this section is for transparency purposes only and will not form the primary basis of financial evaluation. Please confirm whether these volumes are purely notional evaluation assumptions or whether they represent anticipated annual demand based on prior experience.</w:t>
            </w:r>
          </w:p>
        </w:tc>
        <w:tc>
          <w:tcPr>
            <w:tcW w:w="4794" w:type="dxa"/>
          </w:tcPr>
          <w:p w14:paraId="23262543" w14:textId="75CBAB20" w:rsidR="6D87B470" w:rsidRDefault="6D87B470" w:rsidP="6D87B470">
            <w:r w:rsidRPr="6D87B470">
              <w:t>The volumes included within the Sample Pricing Schedule are notional quantities and have been provided for pricing and comparison purposes only.</w:t>
            </w:r>
          </w:p>
          <w:p w14:paraId="23E7B406" w14:textId="38DC74D8" w:rsidR="6D87B470" w:rsidRDefault="6D87B470" w:rsidP="6D87B470"/>
          <w:p w14:paraId="733B748B" w14:textId="1601490A" w:rsidR="6D87B470" w:rsidRDefault="6D87B470" w:rsidP="6D87B470">
            <w:r w:rsidRPr="6D87B470">
              <w:t>The figures are based on historical programme activity and are intended to provide Tenderers with a common basis for preparing their financial submissions.</w:t>
            </w:r>
          </w:p>
          <w:p w14:paraId="3917F558" w14:textId="2998F790" w:rsidR="6D87B470" w:rsidRDefault="6D87B470" w:rsidP="6D87B470">
            <w:r w:rsidRPr="6D87B470">
              <w:t>The Contracting Authority does not guarantee any minimum or maximum volume of sampling or analysis services under the contract.</w:t>
            </w:r>
          </w:p>
          <w:p w14:paraId="37FDCEA4" w14:textId="7118BC90" w:rsidR="6D87B470" w:rsidRDefault="6D87B470" w:rsidP="6D87B470">
            <w:r w:rsidRPr="6D87B470">
              <w:t>For additional context, historical sample volumes and sample type distributions are provided with these Clarifications.</w:t>
            </w:r>
          </w:p>
          <w:p w14:paraId="14058626" w14:textId="5D6D76DA" w:rsidR="6D87B470" w:rsidRDefault="6D87B470" w:rsidP="6D87B470"/>
        </w:tc>
      </w:tr>
      <w:tr w:rsidR="6D87B470" w14:paraId="0EB083C3" w14:textId="77777777" w:rsidTr="6D87B470">
        <w:trPr>
          <w:trHeight w:val="300"/>
        </w:trPr>
        <w:tc>
          <w:tcPr>
            <w:tcW w:w="521" w:type="dxa"/>
          </w:tcPr>
          <w:p w14:paraId="52DE6BF4" w14:textId="78B7070D" w:rsidR="6D87B470" w:rsidRDefault="6D87B470" w:rsidP="6D87B470">
            <w:r w:rsidRPr="6D87B470">
              <w:rPr>
                <w:color w:val="808080" w:themeColor="background1" w:themeShade="80"/>
              </w:rPr>
              <w:t>31</w:t>
            </w:r>
          </w:p>
        </w:tc>
        <w:tc>
          <w:tcPr>
            <w:tcW w:w="3701" w:type="dxa"/>
            <w:vAlign w:val="center"/>
          </w:tcPr>
          <w:p w14:paraId="056F8735" w14:textId="53928C9B" w:rsidR="6D87B470" w:rsidRDefault="6D87B470" w:rsidP="6D87B470">
            <w:r w:rsidRPr="6D87B470">
              <w:rPr>
                <w:color w:val="808080" w:themeColor="background1" w:themeShade="80"/>
              </w:rPr>
              <w:t>Where the Teagasc Advisor initiates the sampling request who is responsible for payment?</w:t>
            </w:r>
          </w:p>
          <w:p w14:paraId="350F501F" w14:textId="0C04EB71" w:rsidR="6D87B470" w:rsidRDefault="6D87B470" w:rsidP="6D87B470">
            <w:pPr>
              <w:rPr>
                <w:color w:val="808080" w:themeColor="background1" w:themeShade="80"/>
              </w:rPr>
            </w:pPr>
          </w:p>
          <w:p w14:paraId="3F0FEA68" w14:textId="708C1C13" w:rsidR="6D87B470" w:rsidRDefault="6D87B470" w:rsidP="6D87B470">
            <w:pPr>
              <w:rPr>
                <w:color w:val="808080" w:themeColor="background1" w:themeShade="80"/>
              </w:rPr>
            </w:pPr>
          </w:p>
        </w:tc>
        <w:tc>
          <w:tcPr>
            <w:tcW w:w="4794" w:type="dxa"/>
          </w:tcPr>
          <w:p w14:paraId="465C6082" w14:textId="03A32E92" w:rsidR="6D87B470" w:rsidRDefault="6D87B470" w:rsidP="6D87B470">
            <w:r w:rsidRPr="6D87B470">
              <w:t>The farmer or client remains responsible for payment of the sampling and analysis services.</w:t>
            </w:r>
          </w:p>
          <w:p w14:paraId="51451D35" w14:textId="35BAA6E9" w:rsidR="6D87B470" w:rsidRDefault="6D87B470" w:rsidP="6D87B470">
            <w:r w:rsidRPr="6D87B470">
              <w:t>Where a Teagasc Advisor initiates a request, the Advisor is acting solely to facilitate access to the service and is not entering into a contract on behalf of the farmer or client.</w:t>
            </w:r>
          </w:p>
          <w:p w14:paraId="0B5A5A09" w14:textId="7D05DB40" w:rsidR="6D87B470" w:rsidRDefault="6D87B470" w:rsidP="6D87B470"/>
          <w:p w14:paraId="40D24F30" w14:textId="1A3E0C23" w:rsidR="6D87B470" w:rsidRDefault="6D87B470" w:rsidP="6D87B470">
            <w:r w:rsidRPr="6D87B470">
              <w:t>Any contractual arrangement and payment obligation for sampling and analysis services will be between the successful Tenderer and the farmer or client.</w:t>
            </w:r>
          </w:p>
          <w:p w14:paraId="58AB5019" w14:textId="39058FB4" w:rsidR="6D87B470" w:rsidRDefault="6D87B470" w:rsidP="6D87B470"/>
        </w:tc>
      </w:tr>
      <w:tr w:rsidR="6D87B470" w14:paraId="167D73BD" w14:textId="77777777" w:rsidTr="6D87B470">
        <w:trPr>
          <w:trHeight w:val="300"/>
        </w:trPr>
        <w:tc>
          <w:tcPr>
            <w:tcW w:w="521" w:type="dxa"/>
          </w:tcPr>
          <w:p w14:paraId="04D7CAA7" w14:textId="7AE41F0F" w:rsidR="6D87B470" w:rsidRDefault="6D87B470" w:rsidP="6D87B470">
            <w:r w:rsidRPr="6D87B470">
              <w:rPr>
                <w:color w:val="808080" w:themeColor="background1" w:themeShade="80"/>
              </w:rPr>
              <w:t>32</w:t>
            </w:r>
          </w:p>
        </w:tc>
        <w:tc>
          <w:tcPr>
            <w:tcW w:w="3701" w:type="dxa"/>
            <w:vAlign w:val="center"/>
          </w:tcPr>
          <w:p w14:paraId="11A50891" w14:textId="640D1E74" w:rsidR="6D87B470" w:rsidRDefault="6D87B470" w:rsidP="6D87B470">
            <w:r w:rsidRPr="6D87B470">
              <w:rPr>
                <w:color w:val="808080" w:themeColor="background1" w:themeShade="80"/>
              </w:rPr>
              <w:t xml:space="preserve">Please confirm whether Tenderers are required to insert all substantive </w:t>
            </w:r>
            <w:r w:rsidRPr="6D87B470">
              <w:rPr>
                <w:color w:val="808080" w:themeColor="background1" w:themeShade="80"/>
              </w:rPr>
              <w:lastRenderedPageBreak/>
              <w:t>responses directly into the boxes/tables provided in the Tender Response Document, or whether it is acceptable to provide concise responses in the boxes with fuller narrative responses in clearly cross-referenced appendices</w:t>
            </w:r>
          </w:p>
        </w:tc>
        <w:tc>
          <w:tcPr>
            <w:tcW w:w="4794" w:type="dxa"/>
          </w:tcPr>
          <w:p w14:paraId="03CD0FBC" w14:textId="705184A0" w:rsidR="6D87B470" w:rsidRDefault="6D87B470" w:rsidP="6D87B470">
            <w:r w:rsidRPr="6D87B470">
              <w:lastRenderedPageBreak/>
              <w:t xml:space="preserve">Tenderers may provide detailed supporting information in clearly referenced appendices. The </w:t>
            </w:r>
            <w:r w:rsidRPr="6D87B470">
              <w:lastRenderedPageBreak/>
              <w:t>main response document should contain sufficient information to enable evaluation and should clearly identify any supporting appendices being referenced.</w:t>
            </w:r>
          </w:p>
        </w:tc>
      </w:tr>
      <w:tr w:rsidR="6D87B470" w14:paraId="5CD0B5D3" w14:textId="77777777" w:rsidTr="6D87B470">
        <w:trPr>
          <w:trHeight w:val="300"/>
        </w:trPr>
        <w:tc>
          <w:tcPr>
            <w:tcW w:w="521" w:type="dxa"/>
          </w:tcPr>
          <w:p w14:paraId="3BB974ED" w14:textId="61FA3B54" w:rsidR="6D87B470" w:rsidRDefault="6D87B470" w:rsidP="6D87B470">
            <w:r w:rsidRPr="6D87B470">
              <w:rPr>
                <w:color w:val="808080" w:themeColor="background1" w:themeShade="80"/>
              </w:rPr>
              <w:lastRenderedPageBreak/>
              <w:t>33</w:t>
            </w:r>
          </w:p>
        </w:tc>
        <w:tc>
          <w:tcPr>
            <w:tcW w:w="3701" w:type="dxa"/>
            <w:vAlign w:val="center"/>
          </w:tcPr>
          <w:p w14:paraId="5A135F3A" w14:textId="7539E7E5" w:rsidR="6D87B470" w:rsidRDefault="6D87B470" w:rsidP="6D87B470">
            <w:r w:rsidRPr="6D87B470">
              <w:rPr>
                <w:color w:val="808080" w:themeColor="background1" w:themeShade="80"/>
              </w:rPr>
              <w:t>The Pricing Schedule notes that sample pricing is for transparency purposes only and will not form the primary basis of financial evaluation, whereas the Tender Response Document states end-user pricing will be evaluated under the Commercial Model &amp; Cost criterion. Can you please confirm how pricing scores will be allocated</w:t>
            </w:r>
          </w:p>
        </w:tc>
        <w:tc>
          <w:tcPr>
            <w:tcW w:w="4794" w:type="dxa"/>
          </w:tcPr>
          <w:p w14:paraId="5E23C463" w14:textId="5ABE1000" w:rsidR="6D87B470" w:rsidRDefault="6D87B470" w:rsidP="6D87B470">
            <w:r w:rsidRPr="6D87B470">
              <w:t>Please refer to Clarification Response No. 2 regarding the evaluation of B5(a) and B5(b).</w:t>
            </w:r>
          </w:p>
        </w:tc>
      </w:tr>
      <w:tr w:rsidR="6D87B470" w14:paraId="035630AF" w14:textId="77777777" w:rsidTr="6D87B470">
        <w:trPr>
          <w:trHeight w:val="300"/>
        </w:trPr>
        <w:tc>
          <w:tcPr>
            <w:tcW w:w="521" w:type="dxa"/>
          </w:tcPr>
          <w:p w14:paraId="7AE27DE4" w14:textId="3F3AD7F6" w:rsidR="6D87B470" w:rsidRDefault="6D87B470" w:rsidP="6D87B470">
            <w:r w:rsidRPr="6D87B470">
              <w:rPr>
                <w:color w:val="808080" w:themeColor="background1" w:themeShade="80"/>
              </w:rPr>
              <w:t>34</w:t>
            </w:r>
          </w:p>
        </w:tc>
        <w:tc>
          <w:tcPr>
            <w:tcW w:w="3701" w:type="dxa"/>
            <w:vAlign w:val="center"/>
          </w:tcPr>
          <w:p w14:paraId="7562CA9F" w14:textId="49BBE71C" w:rsidR="6D87B470" w:rsidRDefault="6D87B470" w:rsidP="6D87B470">
            <w:r w:rsidRPr="6D87B470">
              <w:rPr>
                <w:color w:val="808080" w:themeColor="background1" w:themeShade="80"/>
              </w:rPr>
              <w:t>Section A4 of the Tender Response Document specifies certain insurance requirements on a pass/fail basis, while the RFT (as applicable) refers separately to Professional Indemnity Insurance. Please confirm that Professional Indemnity Insurance is required to be in place at the time of tender submission and whether it is intended to be assessed on a pass/fail basis.</w:t>
            </w:r>
          </w:p>
        </w:tc>
        <w:tc>
          <w:tcPr>
            <w:tcW w:w="4794" w:type="dxa"/>
          </w:tcPr>
          <w:p w14:paraId="334804FA" w14:textId="3C90713E" w:rsidR="6D87B470" w:rsidRDefault="6D87B470" w:rsidP="6D87B470">
            <w:r w:rsidRPr="6D87B470">
              <w:t>Professional Indemnity Insurance is required and evidence may be requested prior to contract award. Equivalent confirmation from insurers will be accepted at tender stage</w:t>
            </w:r>
          </w:p>
        </w:tc>
      </w:tr>
      <w:tr w:rsidR="6D87B470" w14:paraId="708CFE96" w14:textId="77777777" w:rsidTr="6D87B470">
        <w:trPr>
          <w:trHeight w:val="300"/>
        </w:trPr>
        <w:tc>
          <w:tcPr>
            <w:tcW w:w="521" w:type="dxa"/>
          </w:tcPr>
          <w:p w14:paraId="650C93B4" w14:textId="61085961" w:rsidR="6D87B470" w:rsidRDefault="6D87B470" w:rsidP="6D87B470">
            <w:r w:rsidRPr="6D87B470">
              <w:rPr>
                <w:color w:val="808080" w:themeColor="background1" w:themeShade="80"/>
              </w:rPr>
              <w:t>35</w:t>
            </w:r>
          </w:p>
        </w:tc>
        <w:tc>
          <w:tcPr>
            <w:tcW w:w="3701" w:type="dxa"/>
            <w:vAlign w:val="center"/>
          </w:tcPr>
          <w:p w14:paraId="3F1932E8" w14:textId="6DE4F085" w:rsidR="6D87B470" w:rsidRDefault="6D87B470" w:rsidP="6D87B470">
            <w:r w:rsidRPr="6D87B470">
              <w:rPr>
                <w:color w:val="808080" w:themeColor="background1" w:themeShade="80"/>
              </w:rPr>
              <w:t>Please confirm the requirement for Product Liability Insurance. This would not seem applicable for this contract.</w:t>
            </w:r>
          </w:p>
        </w:tc>
        <w:tc>
          <w:tcPr>
            <w:tcW w:w="4794" w:type="dxa"/>
          </w:tcPr>
          <w:p w14:paraId="169A1994" w14:textId="3DD67029" w:rsidR="6D87B470" w:rsidRDefault="6D87B470" w:rsidP="6D87B470">
            <w:r w:rsidRPr="6D87B470">
              <w:t>Product Liability Insurance is not required for this contract.</w:t>
            </w:r>
          </w:p>
        </w:tc>
      </w:tr>
      <w:tr w:rsidR="6D87B470" w14:paraId="4383B060" w14:textId="77777777" w:rsidTr="6D87B470">
        <w:trPr>
          <w:trHeight w:val="300"/>
        </w:trPr>
        <w:tc>
          <w:tcPr>
            <w:tcW w:w="521" w:type="dxa"/>
          </w:tcPr>
          <w:p w14:paraId="1CF1EF67" w14:textId="16D397AD" w:rsidR="6D87B470" w:rsidRDefault="6D87B470" w:rsidP="6D87B470">
            <w:r w:rsidRPr="6D87B470">
              <w:rPr>
                <w:color w:val="808080" w:themeColor="background1" w:themeShade="80"/>
              </w:rPr>
              <w:t>36</w:t>
            </w:r>
          </w:p>
        </w:tc>
        <w:tc>
          <w:tcPr>
            <w:tcW w:w="3701" w:type="dxa"/>
            <w:vAlign w:val="center"/>
          </w:tcPr>
          <w:p w14:paraId="0B0D6F57" w14:textId="71717518" w:rsidR="6D87B470" w:rsidRDefault="6D87B470" w:rsidP="6D87B470">
            <w:r w:rsidRPr="6D87B470">
              <w:rPr>
                <w:color w:val="808080" w:themeColor="background1" w:themeShade="80"/>
              </w:rPr>
              <w:t>Please confirm the meaning of “Charges paid or projected to be paid” for the purposes of the limitation of liability clause, including whether “Charges” includes only amounts payable by Teagasc or also end-user charges, and the period over which projected Charges are to be calculated.</w:t>
            </w:r>
          </w:p>
          <w:p w14:paraId="35483FD8" w14:textId="05EBA514" w:rsidR="6D87B470" w:rsidRDefault="6D87B470" w:rsidP="6D87B470">
            <w:pPr>
              <w:rPr>
                <w:color w:val="808080" w:themeColor="background1" w:themeShade="80"/>
              </w:rPr>
            </w:pPr>
          </w:p>
          <w:p w14:paraId="46A66BE2" w14:textId="10FA6C25" w:rsidR="6D87B470" w:rsidRDefault="6D87B470" w:rsidP="6D87B470">
            <w:pPr>
              <w:rPr>
                <w:color w:val="808080" w:themeColor="background1" w:themeShade="80"/>
              </w:rPr>
            </w:pPr>
          </w:p>
        </w:tc>
        <w:tc>
          <w:tcPr>
            <w:tcW w:w="4794" w:type="dxa"/>
          </w:tcPr>
          <w:p w14:paraId="40F9602F" w14:textId="00579DA8" w:rsidR="6D87B470" w:rsidRDefault="6D87B470" w:rsidP="6D87B470">
            <w:r w:rsidRPr="6D87B470">
              <w:t>For the purposes of Clause 5(E), "Charges paid or projected to be paid under this Agreement" refers to amounts payable by the Contracting Authority under the resulting contract.</w:t>
            </w:r>
          </w:p>
          <w:p w14:paraId="323967FC" w14:textId="6C2C1B98" w:rsidR="6D87B470" w:rsidRDefault="6D87B470" w:rsidP="6D87B470"/>
          <w:p w14:paraId="0FB6475C" w14:textId="479A3C0C" w:rsidR="6D87B470" w:rsidRDefault="6D87B470" w:rsidP="6D87B470">
            <w:r w:rsidRPr="6D87B470">
              <w:t>This includes charges payable by Teagasc under the contract, such as implementation costs, annual service fees and any other amounts payable by Teagasc under the Agreement over its full term.</w:t>
            </w:r>
          </w:p>
          <w:p w14:paraId="5A6D2581" w14:textId="11896526" w:rsidR="6D87B470" w:rsidRDefault="6D87B470" w:rsidP="6D87B470">
            <w:r w:rsidRPr="6D87B470">
              <w:t>It does not include amounts charged by the successful Tenderer directly to farmers, clients or other end users in connection with soil sampling and analysis services.</w:t>
            </w:r>
          </w:p>
          <w:p w14:paraId="4326EA56" w14:textId="01A2FC3A" w:rsidR="6D87B470" w:rsidRDefault="6D87B470" w:rsidP="6D87B470">
            <w:r w:rsidRPr="6D87B470">
              <w:t>For the avoidance of doubt, end-user charges arise under separate arrangements between the successful Tenderer and the relevant farmer or client and do not form part of the Charges payable by the Contracting Authority under this Agreement.</w:t>
            </w:r>
          </w:p>
          <w:p w14:paraId="6F16C216" w14:textId="49E56085" w:rsidR="6D87B470" w:rsidRDefault="6D87B470" w:rsidP="6D87B470"/>
        </w:tc>
      </w:tr>
      <w:tr w:rsidR="6D87B470" w14:paraId="2C4A0D21" w14:textId="77777777" w:rsidTr="6D87B470">
        <w:trPr>
          <w:trHeight w:val="300"/>
        </w:trPr>
        <w:tc>
          <w:tcPr>
            <w:tcW w:w="521" w:type="dxa"/>
          </w:tcPr>
          <w:p w14:paraId="7E14DB19" w14:textId="010FEAA3" w:rsidR="6D87B470" w:rsidRDefault="6D87B470" w:rsidP="6D87B470">
            <w:r w:rsidRPr="6D87B470">
              <w:rPr>
                <w:color w:val="808080" w:themeColor="background1" w:themeShade="80"/>
              </w:rPr>
              <w:lastRenderedPageBreak/>
              <w:t>37</w:t>
            </w:r>
          </w:p>
        </w:tc>
        <w:tc>
          <w:tcPr>
            <w:tcW w:w="3701" w:type="dxa"/>
            <w:vAlign w:val="center"/>
          </w:tcPr>
          <w:p w14:paraId="2ADF7CAA" w14:textId="13D04BF9" w:rsidR="6D87B470" w:rsidRDefault="6D87B470" w:rsidP="6D87B470">
            <w:r w:rsidRPr="6D87B470">
              <w:rPr>
                <w:color w:val="808080" w:themeColor="background1" w:themeShade="80"/>
              </w:rPr>
              <w:t>Please confirm whether TUPE is considered by the Contracting Authority to apply to this procurement and, if so, what TUPE information will be made available to Tenderers.</w:t>
            </w:r>
          </w:p>
          <w:p w14:paraId="2715C1EE" w14:textId="29685F2C" w:rsidR="6D87B470" w:rsidRDefault="6D87B470" w:rsidP="6D87B470">
            <w:pPr>
              <w:rPr>
                <w:color w:val="808080" w:themeColor="background1" w:themeShade="80"/>
              </w:rPr>
            </w:pPr>
          </w:p>
          <w:p w14:paraId="53D7576F" w14:textId="73DC51EA" w:rsidR="6D87B470" w:rsidRDefault="6D87B470" w:rsidP="6D87B470">
            <w:pPr>
              <w:rPr>
                <w:color w:val="808080" w:themeColor="background1" w:themeShade="80"/>
              </w:rPr>
            </w:pPr>
          </w:p>
          <w:p w14:paraId="435D9ABB" w14:textId="436643A5" w:rsidR="6D87B470" w:rsidRDefault="6D87B470" w:rsidP="6D87B470">
            <w:pPr>
              <w:rPr>
                <w:color w:val="808080" w:themeColor="background1" w:themeShade="80"/>
              </w:rPr>
            </w:pPr>
          </w:p>
          <w:p w14:paraId="01CE11EC" w14:textId="2FC73901" w:rsidR="6D87B470" w:rsidRDefault="6D87B470" w:rsidP="6D87B470">
            <w:pPr>
              <w:rPr>
                <w:color w:val="808080" w:themeColor="background1" w:themeShade="80"/>
              </w:rPr>
            </w:pPr>
          </w:p>
          <w:p w14:paraId="29814A9C" w14:textId="5E36DBC3" w:rsidR="6D87B470" w:rsidRDefault="6D87B470" w:rsidP="6D87B470">
            <w:pPr>
              <w:rPr>
                <w:color w:val="808080" w:themeColor="background1" w:themeShade="80"/>
              </w:rPr>
            </w:pPr>
          </w:p>
          <w:p w14:paraId="42A5503F" w14:textId="09EEC3D7" w:rsidR="6D87B470" w:rsidRDefault="6D87B470" w:rsidP="6D87B470">
            <w:pPr>
              <w:rPr>
                <w:color w:val="808080" w:themeColor="background1" w:themeShade="80"/>
              </w:rPr>
            </w:pPr>
          </w:p>
          <w:p w14:paraId="160DC201" w14:textId="030E8C5B" w:rsidR="6D87B470" w:rsidRDefault="6D87B470" w:rsidP="6D87B470">
            <w:pPr>
              <w:rPr>
                <w:color w:val="808080" w:themeColor="background1" w:themeShade="80"/>
              </w:rPr>
            </w:pPr>
          </w:p>
          <w:p w14:paraId="08B209F9" w14:textId="2CCDB322" w:rsidR="6D87B470" w:rsidRDefault="6D87B470" w:rsidP="6D87B470">
            <w:pPr>
              <w:rPr>
                <w:color w:val="808080" w:themeColor="background1" w:themeShade="80"/>
              </w:rPr>
            </w:pPr>
          </w:p>
          <w:p w14:paraId="3B296C3A" w14:textId="4CD7E972" w:rsidR="6D87B470" w:rsidRDefault="6D87B470" w:rsidP="6D87B470">
            <w:pPr>
              <w:rPr>
                <w:color w:val="808080" w:themeColor="background1" w:themeShade="80"/>
              </w:rPr>
            </w:pPr>
          </w:p>
        </w:tc>
        <w:tc>
          <w:tcPr>
            <w:tcW w:w="4794" w:type="dxa"/>
          </w:tcPr>
          <w:p w14:paraId="0381D1D3" w14:textId="5528F2EA" w:rsidR="6D87B470" w:rsidRDefault="6D87B470" w:rsidP="6D87B470">
            <w:r w:rsidRPr="6D87B470">
              <w:t>The Contracting Authority is not aware of any circumstances which would give rise to the application of the European Communities (Protection of Employees on Transfer of Undertakings) Regulations 2003 (TUPE) in relation to this procurement.</w:t>
            </w:r>
          </w:p>
          <w:p w14:paraId="2A4FC208" w14:textId="4F27CF96" w:rsidR="6D87B470" w:rsidRDefault="6D87B470" w:rsidP="6D87B470"/>
          <w:p w14:paraId="0F4925B3" w14:textId="4A361F28" w:rsidR="6D87B470" w:rsidRDefault="6D87B470" w:rsidP="6D87B470">
            <w:r w:rsidRPr="6D87B470">
              <w:t>No Teagasc employees are assigned to the services and no employee transfer information is available from the Contracting Authority.</w:t>
            </w:r>
          </w:p>
          <w:p w14:paraId="2854AAE8" w14:textId="04885CD5" w:rsidR="6D87B470" w:rsidRDefault="6D87B470" w:rsidP="6D87B470"/>
          <w:p w14:paraId="0E8A28D2" w14:textId="0F794805" w:rsidR="6D87B470" w:rsidRDefault="6D87B470" w:rsidP="6D87B470">
            <w:r w:rsidRPr="6D87B470">
              <w:t>Tenderers should satisfy themselves as to the applicability or otherwise of TUPE and take their own legal advice where considered necessary.</w:t>
            </w:r>
          </w:p>
          <w:p w14:paraId="49BE3ACB" w14:textId="175CFDEC" w:rsidR="6D87B470" w:rsidRDefault="6D87B470" w:rsidP="6D87B470"/>
        </w:tc>
      </w:tr>
      <w:tr w:rsidR="6D87B470" w14:paraId="0EE9226D" w14:textId="77777777" w:rsidTr="6D87B470">
        <w:trPr>
          <w:trHeight w:val="300"/>
        </w:trPr>
        <w:tc>
          <w:tcPr>
            <w:tcW w:w="521" w:type="dxa"/>
          </w:tcPr>
          <w:p w14:paraId="72455C93" w14:textId="3ACCA29B" w:rsidR="6D87B470" w:rsidRDefault="6D87B470" w:rsidP="6D87B470">
            <w:r w:rsidRPr="6D87B470">
              <w:rPr>
                <w:color w:val="808080" w:themeColor="background1" w:themeShade="80"/>
              </w:rPr>
              <w:t>38</w:t>
            </w:r>
          </w:p>
        </w:tc>
        <w:tc>
          <w:tcPr>
            <w:tcW w:w="3701" w:type="dxa"/>
            <w:vAlign w:val="center"/>
          </w:tcPr>
          <w:p w14:paraId="2524B56C" w14:textId="609DCD14" w:rsidR="6D87B470" w:rsidRPr="00152ACD" w:rsidRDefault="00043D64" w:rsidP="6D87B470">
            <w:pPr>
              <w:rPr>
                <w:color w:val="FF0000"/>
              </w:rPr>
            </w:pPr>
            <w:r w:rsidRPr="00152ACD">
              <w:rPr>
                <w:color w:val="FF0000"/>
              </w:rPr>
              <w:t>Can you please confirm what information / data will be provided to the successful bidder to enable the development of the sample booking and planning system, e.g. LPIS land parcels, farm type, crop types per land parcel, farm identification information and contact details? </w:t>
            </w:r>
          </w:p>
        </w:tc>
        <w:tc>
          <w:tcPr>
            <w:tcW w:w="4794" w:type="dxa"/>
          </w:tcPr>
          <w:p w14:paraId="1DBEAE3A" w14:textId="440A6874" w:rsidR="6D87B470" w:rsidRPr="00152ACD" w:rsidRDefault="00416A81" w:rsidP="6D87B470">
            <w:pPr>
              <w:rPr>
                <w:color w:val="FF0000"/>
              </w:rPr>
            </w:pPr>
            <w:r w:rsidRPr="00152ACD">
              <w:rPr>
                <w:color w:val="FF0000"/>
              </w:rPr>
              <w:t xml:space="preserve">Teagasc will provide the successful Tenderer with the sample data necessary to configure the sample booking and planning system. The proposed solution must support the generation of output files consistent with the format and structure of the sample CSV file included in the Tender documentation.  </w:t>
            </w:r>
          </w:p>
        </w:tc>
      </w:tr>
    </w:tbl>
    <w:p w14:paraId="6E988A16" w14:textId="77777777" w:rsidR="00F94F01" w:rsidRPr="00F94F01" w:rsidRDefault="00F94F01" w:rsidP="00F94F01">
      <w:pPr>
        <w:jc w:val="center"/>
        <w:rPr>
          <w:b/>
          <w:u w:val="single"/>
        </w:rPr>
      </w:pPr>
    </w:p>
    <w:sectPr w:rsidR="00F94F01" w:rsidRPr="00F94F0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B6791" w14:textId="77777777" w:rsidR="008F181B" w:rsidRDefault="008F181B" w:rsidP="00851ECD">
      <w:pPr>
        <w:spacing w:after="0" w:line="240" w:lineRule="auto"/>
      </w:pPr>
      <w:r>
        <w:separator/>
      </w:r>
    </w:p>
  </w:endnote>
  <w:endnote w:type="continuationSeparator" w:id="0">
    <w:p w14:paraId="18B48E6B" w14:textId="77777777" w:rsidR="008F181B" w:rsidRDefault="008F181B" w:rsidP="0085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B4C8" w14:textId="77777777" w:rsidR="008F181B" w:rsidRDefault="008F181B" w:rsidP="00851ECD">
      <w:pPr>
        <w:spacing w:after="0" w:line="240" w:lineRule="auto"/>
      </w:pPr>
      <w:r>
        <w:separator/>
      </w:r>
    </w:p>
  </w:footnote>
  <w:footnote w:type="continuationSeparator" w:id="0">
    <w:p w14:paraId="6271716E" w14:textId="77777777" w:rsidR="008F181B" w:rsidRDefault="008F181B" w:rsidP="0085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54E0" w14:textId="4E1BFBDA" w:rsidR="00851ECD" w:rsidRDefault="00D66E9F" w:rsidP="00B63043">
    <w:pPr>
      <w:spacing w:after="0" w:line="240" w:lineRule="auto"/>
    </w:pPr>
    <w:r>
      <w:rPr>
        <w:rFonts w:ascii="Times New Roman" w:eastAsia="Times New Roman" w:hAnsi="Times New Roman" w:cs="Times New Roman"/>
        <w:b/>
        <w:bCs/>
        <w:smallCaps/>
        <w:noProof/>
        <w:sz w:val="32"/>
        <w:szCs w:val="32"/>
        <w:lang w:eastAsia="en-IE"/>
      </w:rPr>
      <w:drawing>
        <wp:anchor distT="0" distB="0" distL="114300" distR="114300" simplePos="0" relativeHeight="251658240" behindDoc="1" locked="0" layoutInCell="1" allowOverlap="1" wp14:anchorId="2D71BD90" wp14:editId="67164463">
          <wp:simplePos x="0" y="0"/>
          <wp:positionH relativeFrom="column">
            <wp:posOffset>5048250</wp:posOffset>
          </wp:positionH>
          <wp:positionV relativeFrom="paragraph">
            <wp:posOffset>-163830</wp:posOffset>
          </wp:positionV>
          <wp:extent cx="1524000" cy="5956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95630"/>
                  </a:xfrm>
                  <a:prstGeom prst="rect">
                    <a:avLst/>
                  </a:prstGeom>
                  <a:noFill/>
                </pic:spPr>
              </pic:pic>
            </a:graphicData>
          </a:graphic>
        </wp:anchor>
      </w:drawing>
    </w:r>
    <w:r w:rsidR="00572DA5" w:rsidRPr="00851ECD">
      <w:rPr>
        <w:sz w:val="28"/>
      </w:rPr>
      <w:t>Clarifications</w:t>
    </w:r>
    <w:r w:rsidR="00572DA5">
      <w:rPr>
        <w:sz w:val="28"/>
      </w:rPr>
      <w:t xml:space="preserve"> </w:t>
    </w:r>
    <w:r w:rsidR="00F163A8">
      <w:rPr>
        <w:sz w:val="28"/>
      </w:rPr>
      <w:t>–</w:t>
    </w:r>
    <w:r w:rsidR="00144535">
      <w:rPr>
        <w:sz w:val="28"/>
      </w:rPr>
      <w:t xml:space="preserve"> </w:t>
    </w:r>
    <w:r w:rsidR="00302819" w:rsidRPr="00302819">
      <w:rPr>
        <w:sz w:val="28"/>
      </w:rPr>
      <w:t>C</w:t>
    </w:r>
    <w:r w:rsidR="00FC4412">
      <w:rPr>
        <w:sz w:val="28"/>
      </w:rPr>
      <w:t>4</w:t>
    </w:r>
    <w:r w:rsidR="00B63043">
      <w:rPr>
        <w:sz w:val="28"/>
      </w:rPr>
      <w:t>444</w:t>
    </w:r>
    <w:r w:rsidR="00302819" w:rsidRPr="00302819">
      <w:rPr>
        <w:sz w:val="28"/>
      </w:rPr>
      <w:t xml:space="preserve"> </w:t>
    </w:r>
    <w:r w:rsidR="00D873C4">
      <w:rPr>
        <w:sz w:val="28"/>
      </w:rPr>
      <w:t>–</w:t>
    </w:r>
    <w:r w:rsidR="00302819" w:rsidRPr="00302819">
      <w:rPr>
        <w:sz w:val="28"/>
      </w:rPr>
      <w:t xml:space="preserve"> </w:t>
    </w:r>
    <w:r w:rsidR="00B63043" w:rsidRPr="00B63043">
      <w:rPr>
        <w:sz w:val="28"/>
      </w:rPr>
      <w:t>Soils Analysis and Sampling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51CB"/>
    <w:multiLevelType w:val="hybridMultilevel"/>
    <w:tmpl w:val="DEF0302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1DC6AFB"/>
    <w:multiLevelType w:val="hybridMultilevel"/>
    <w:tmpl w:val="C3201C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3C3AE4"/>
    <w:multiLevelType w:val="multilevel"/>
    <w:tmpl w:val="D6C26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E60DE"/>
    <w:multiLevelType w:val="multilevel"/>
    <w:tmpl w:val="E7CAB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10016F"/>
    <w:multiLevelType w:val="multilevel"/>
    <w:tmpl w:val="7EAAE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D06D8B"/>
    <w:multiLevelType w:val="hybridMultilevel"/>
    <w:tmpl w:val="469AFE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7F03902"/>
    <w:multiLevelType w:val="hybridMultilevel"/>
    <w:tmpl w:val="27623138"/>
    <w:lvl w:ilvl="0" w:tplc="764E1ABC">
      <w:numFmt w:val="bullet"/>
      <w:lvlText w:val="•"/>
      <w:lvlJc w:val="left"/>
      <w:pPr>
        <w:ind w:left="720" w:hanging="720"/>
      </w:pPr>
      <w:rPr>
        <w:rFonts w:ascii="Calibri" w:eastAsiaTheme="minorHAns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7B35962"/>
    <w:multiLevelType w:val="hybridMultilevel"/>
    <w:tmpl w:val="BB0899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4ED08B8"/>
    <w:multiLevelType w:val="hybridMultilevel"/>
    <w:tmpl w:val="7780EFFE"/>
    <w:lvl w:ilvl="0" w:tplc="661A9490">
      <w:start w:val="1"/>
      <w:numFmt w:val="bullet"/>
      <w:lvlText w:val=""/>
      <w:lvlJc w:val="left"/>
      <w:pPr>
        <w:ind w:left="720" w:hanging="360"/>
      </w:pPr>
      <w:rPr>
        <w:rFonts w:ascii="Symbol" w:hAnsi="Symbol" w:hint="default"/>
      </w:rPr>
    </w:lvl>
    <w:lvl w:ilvl="1" w:tplc="CE2AA3AE">
      <w:start w:val="1"/>
      <w:numFmt w:val="lowerLetter"/>
      <w:lvlText w:val="%2."/>
      <w:lvlJc w:val="left"/>
      <w:pPr>
        <w:ind w:left="1440" w:hanging="360"/>
      </w:pPr>
    </w:lvl>
    <w:lvl w:ilvl="2" w:tplc="C54A2F86">
      <w:start w:val="1"/>
      <w:numFmt w:val="lowerRoman"/>
      <w:lvlText w:val="%3."/>
      <w:lvlJc w:val="right"/>
      <w:pPr>
        <w:ind w:left="2160" w:hanging="180"/>
      </w:pPr>
    </w:lvl>
    <w:lvl w:ilvl="3" w:tplc="9E4AFBC0">
      <w:start w:val="1"/>
      <w:numFmt w:val="decimal"/>
      <w:lvlText w:val="%4."/>
      <w:lvlJc w:val="left"/>
      <w:pPr>
        <w:ind w:left="2880" w:hanging="360"/>
      </w:pPr>
    </w:lvl>
    <w:lvl w:ilvl="4" w:tplc="7BFCD800">
      <w:start w:val="1"/>
      <w:numFmt w:val="lowerLetter"/>
      <w:lvlText w:val="%5."/>
      <w:lvlJc w:val="left"/>
      <w:pPr>
        <w:ind w:left="3600" w:hanging="360"/>
      </w:pPr>
    </w:lvl>
    <w:lvl w:ilvl="5" w:tplc="1E340092">
      <w:start w:val="1"/>
      <w:numFmt w:val="lowerRoman"/>
      <w:lvlText w:val="%6."/>
      <w:lvlJc w:val="right"/>
      <w:pPr>
        <w:ind w:left="4320" w:hanging="180"/>
      </w:pPr>
    </w:lvl>
    <w:lvl w:ilvl="6" w:tplc="58D2047E">
      <w:start w:val="1"/>
      <w:numFmt w:val="decimal"/>
      <w:lvlText w:val="%7."/>
      <w:lvlJc w:val="left"/>
      <w:pPr>
        <w:ind w:left="5040" w:hanging="360"/>
      </w:pPr>
    </w:lvl>
    <w:lvl w:ilvl="7" w:tplc="BFE8DACE">
      <w:start w:val="1"/>
      <w:numFmt w:val="lowerLetter"/>
      <w:lvlText w:val="%8."/>
      <w:lvlJc w:val="left"/>
      <w:pPr>
        <w:ind w:left="5760" w:hanging="360"/>
      </w:pPr>
    </w:lvl>
    <w:lvl w:ilvl="8" w:tplc="968877F6">
      <w:start w:val="1"/>
      <w:numFmt w:val="lowerRoman"/>
      <w:lvlText w:val="%9."/>
      <w:lvlJc w:val="right"/>
      <w:pPr>
        <w:ind w:left="6480" w:hanging="180"/>
      </w:pPr>
    </w:lvl>
  </w:abstractNum>
  <w:num w:numId="1" w16cid:durableId="530579586">
    <w:abstractNumId w:val="8"/>
  </w:num>
  <w:num w:numId="2" w16cid:durableId="1739591800">
    <w:abstractNumId w:val="1"/>
  </w:num>
  <w:num w:numId="3" w16cid:durableId="1171915987">
    <w:abstractNumId w:val="0"/>
  </w:num>
  <w:num w:numId="4" w16cid:durableId="1560480476">
    <w:abstractNumId w:val="7"/>
  </w:num>
  <w:num w:numId="5" w16cid:durableId="742726081">
    <w:abstractNumId w:val="6"/>
  </w:num>
  <w:num w:numId="6" w16cid:durableId="830222289">
    <w:abstractNumId w:val="5"/>
  </w:num>
  <w:num w:numId="7" w16cid:durableId="470680962">
    <w:abstractNumId w:val="2"/>
  </w:num>
  <w:num w:numId="8" w16cid:durableId="1964729628">
    <w:abstractNumId w:val="3"/>
  </w:num>
  <w:num w:numId="9" w16cid:durableId="2143693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05"/>
    <w:rsid w:val="00017EC0"/>
    <w:rsid w:val="00043D64"/>
    <w:rsid w:val="00072544"/>
    <w:rsid w:val="00072835"/>
    <w:rsid w:val="0009107F"/>
    <w:rsid w:val="000A4B29"/>
    <w:rsid w:val="000A6BAB"/>
    <w:rsid w:val="000B2AFE"/>
    <w:rsid w:val="000B3C70"/>
    <w:rsid w:val="000C4D10"/>
    <w:rsid w:val="000E18E3"/>
    <w:rsid w:val="000E1CB7"/>
    <w:rsid w:val="0010585F"/>
    <w:rsid w:val="00137C05"/>
    <w:rsid w:val="00144535"/>
    <w:rsid w:val="00152ACD"/>
    <w:rsid w:val="00185AB5"/>
    <w:rsid w:val="001915A3"/>
    <w:rsid w:val="001B3909"/>
    <w:rsid w:val="002069D3"/>
    <w:rsid w:val="00264D6E"/>
    <w:rsid w:val="002D58C5"/>
    <w:rsid w:val="002E059C"/>
    <w:rsid w:val="002F23BF"/>
    <w:rsid w:val="002F40FF"/>
    <w:rsid w:val="00302819"/>
    <w:rsid w:val="003138BA"/>
    <w:rsid w:val="00313ADE"/>
    <w:rsid w:val="00315D99"/>
    <w:rsid w:val="00350C48"/>
    <w:rsid w:val="0039492B"/>
    <w:rsid w:val="003B0B56"/>
    <w:rsid w:val="003C3045"/>
    <w:rsid w:val="003D2B5B"/>
    <w:rsid w:val="003D6D27"/>
    <w:rsid w:val="003F6C0E"/>
    <w:rsid w:val="00410579"/>
    <w:rsid w:val="00416A81"/>
    <w:rsid w:val="004243A4"/>
    <w:rsid w:val="00432EEE"/>
    <w:rsid w:val="00434344"/>
    <w:rsid w:val="00456AA7"/>
    <w:rsid w:val="00466412"/>
    <w:rsid w:val="00472675"/>
    <w:rsid w:val="004A4FB3"/>
    <w:rsid w:val="004B5663"/>
    <w:rsid w:val="004F313A"/>
    <w:rsid w:val="004F3B4B"/>
    <w:rsid w:val="004F4EB2"/>
    <w:rsid w:val="005324D3"/>
    <w:rsid w:val="00555054"/>
    <w:rsid w:val="00572DA5"/>
    <w:rsid w:val="005B358C"/>
    <w:rsid w:val="005C4E3B"/>
    <w:rsid w:val="0060556B"/>
    <w:rsid w:val="00620B5C"/>
    <w:rsid w:val="0067449D"/>
    <w:rsid w:val="00680062"/>
    <w:rsid w:val="006802FD"/>
    <w:rsid w:val="006F5BB7"/>
    <w:rsid w:val="00711703"/>
    <w:rsid w:val="00747947"/>
    <w:rsid w:val="00750785"/>
    <w:rsid w:val="00794A13"/>
    <w:rsid w:val="00797574"/>
    <w:rsid w:val="007A1345"/>
    <w:rsid w:val="007A719F"/>
    <w:rsid w:val="007A78AC"/>
    <w:rsid w:val="007B3C92"/>
    <w:rsid w:val="007F29EA"/>
    <w:rsid w:val="007F5BFE"/>
    <w:rsid w:val="008314A2"/>
    <w:rsid w:val="0083467C"/>
    <w:rsid w:val="00851ECD"/>
    <w:rsid w:val="00860DA2"/>
    <w:rsid w:val="00871FE1"/>
    <w:rsid w:val="0087628C"/>
    <w:rsid w:val="00883E5E"/>
    <w:rsid w:val="008B2368"/>
    <w:rsid w:val="008B622B"/>
    <w:rsid w:val="008F181B"/>
    <w:rsid w:val="009028B3"/>
    <w:rsid w:val="00911BA2"/>
    <w:rsid w:val="00924F27"/>
    <w:rsid w:val="009859CB"/>
    <w:rsid w:val="009919D2"/>
    <w:rsid w:val="009C6D62"/>
    <w:rsid w:val="009F468D"/>
    <w:rsid w:val="009F5DF4"/>
    <w:rsid w:val="00A04FC9"/>
    <w:rsid w:val="00A54921"/>
    <w:rsid w:val="00A54FCE"/>
    <w:rsid w:val="00A64909"/>
    <w:rsid w:val="00A754D9"/>
    <w:rsid w:val="00A834D9"/>
    <w:rsid w:val="00A85862"/>
    <w:rsid w:val="00A8727E"/>
    <w:rsid w:val="00AA3167"/>
    <w:rsid w:val="00AA7656"/>
    <w:rsid w:val="00AB2EC5"/>
    <w:rsid w:val="00AE3719"/>
    <w:rsid w:val="00B17F06"/>
    <w:rsid w:val="00B3296A"/>
    <w:rsid w:val="00B41A4B"/>
    <w:rsid w:val="00B46967"/>
    <w:rsid w:val="00B63043"/>
    <w:rsid w:val="00B736E5"/>
    <w:rsid w:val="00BC30CF"/>
    <w:rsid w:val="00BD00E0"/>
    <w:rsid w:val="00BF2BF5"/>
    <w:rsid w:val="00C022ED"/>
    <w:rsid w:val="00C10D55"/>
    <w:rsid w:val="00C27536"/>
    <w:rsid w:val="00C425D9"/>
    <w:rsid w:val="00C830E1"/>
    <w:rsid w:val="00C93D61"/>
    <w:rsid w:val="00CD6274"/>
    <w:rsid w:val="00CE25B3"/>
    <w:rsid w:val="00CF48D5"/>
    <w:rsid w:val="00CF5324"/>
    <w:rsid w:val="00D00ABF"/>
    <w:rsid w:val="00D02281"/>
    <w:rsid w:val="00D041C1"/>
    <w:rsid w:val="00D07FC9"/>
    <w:rsid w:val="00D102FD"/>
    <w:rsid w:val="00D10CE1"/>
    <w:rsid w:val="00D36DEA"/>
    <w:rsid w:val="00D6606A"/>
    <w:rsid w:val="00D66E9F"/>
    <w:rsid w:val="00D84237"/>
    <w:rsid w:val="00D873C4"/>
    <w:rsid w:val="00DA6888"/>
    <w:rsid w:val="00DB0BA1"/>
    <w:rsid w:val="00DC43E2"/>
    <w:rsid w:val="00DD750B"/>
    <w:rsid w:val="00E01557"/>
    <w:rsid w:val="00E25E2B"/>
    <w:rsid w:val="00E310C8"/>
    <w:rsid w:val="00E716F9"/>
    <w:rsid w:val="00E87FBE"/>
    <w:rsid w:val="00EA5C9E"/>
    <w:rsid w:val="00ED3667"/>
    <w:rsid w:val="00EE2073"/>
    <w:rsid w:val="00EE4C58"/>
    <w:rsid w:val="00F01202"/>
    <w:rsid w:val="00F03518"/>
    <w:rsid w:val="00F132E9"/>
    <w:rsid w:val="00F163A8"/>
    <w:rsid w:val="00F17393"/>
    <w:rsid w:val="00F440E4"/>
    <w:rsid w:val="00F51A44"/>
    <w:rsid w:val="00F54B60"/>
    <w:rsid w:val="00F94F01"/>
    <w:rsid w:val="00FA74D0"/>
    <w:rsid w:val="00FC4412"/>
    <w:rsid w:val="00FD1AE0"/>
    <w:rsid w:val="6D87B4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91623"/>
  <w15:chartTrackingRefBased/>
  <w15:docId w15:val="{8A83246B-397F-4707-920A-25B3EFF7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B2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4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4F01"/>
    <w:pPr>
      <w:spacing w:before="100" w:beforeAutospacing="1" w:after="100" w:afterAutospacing="1" w:line="240" w:lineRule="auto"/>
    </w:pPr>
    <w:rPr>
      <w:rFonts w:ascii="Times New Roman" w:hAnsi="Times New Roman" w:cs="Times New Roman"/>
      <w:sz w:val="24"/>
      <w:szCs w:val="24"/>
      <w:lang w:eastAsia="en-IE"/>
    </w:rPr>
  </w:style>
  <w:style w:type="paragraph" w:styleId="ListParagraph">
    <w:name w:val="List Paragraph"/>
    <w:basedOn w:val="Normal"/>
    <w:uiPriority w:val="34"/>
    <w:qFormat/>
    <w:rsid w:val="00F94F01"/>
    <w:pPr>
      <w:ind w:left="720"/>
      <w:contextualSpacing/>
    </w:pPr>
  </w:style>
  <w:style w:type="paragraph" w:styleId="Header">
    <w:name w:val="header"/>
    <w:basedOn w:val="Normal"/>
    <w:link w:val="HeaderChar"/>
    <w:uiPriority w:val="99"/>
    <w:unhideWhenUsed/>
    <w:rsid w:val="00851E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ECD"/>
  </w:style>
  <w:style w:type="paragraph" w:styleId="Footer">
    <w:name w:val="footer"/>
    <w:basedOn w:val="Normal"/>
    <w:link w:val="FooterChar"/>
    <w:uiPriority w:val="99"/>
    <w:unhideWhenUsed/>
    <w:rsid w:val="00851E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ECD"/>
  </w:style>
  <w:style w:type="character" w:styleId="Emphasis">
    <w:name w:val="Emphasis"/>
    <w:basedOn w:val="DefaultParagraphFont"/>
    <w:uiPriority w:val="20"/>
    <w:qFormat/>
    <w:rsid w:val="00572DA5"/>
    <w:rPr>
      <w:i/>
      <w:iCs/>
    </w:rPr>
  </w:style>
  <w:style w:type="character" w:styleId="Hyperlink">
    <w:name w:val="Hyperlink"/>
    <w:basedOn w:val="DefaultParagraphFont"/>
    <w:uiPriority w:val="99"/>
    <w:unhideWhenUsed/>
    <w:rsid w:val="003D2B5B"/>
    <w:rPr>
      <w:color w:val="0563C1" w:themeColor="hyperlink"/>
      <w:u w:val="single"/>
    </w:rPr>
  </w:style>
  <w:style w:type="character" w:styleId="UnresolvedMention">
    <w:name w:val="Unresolved Mention"/>
    <w:basedOn w:val="DefaultParagraphFont"/>
    <w:uiPriority w:val="99"/>
    <w:semiHidden/>
    <w:unhideWhenUsed/>
    <w:rsid w:val="003D2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95778">
      <w:bodyDiv w:val="1"/>
      <w:marLeft w:val="0"/>
      <w:marRight w:val="0"/>
      <w:marTop w:val="0"/>
      <w:marBottom w:val="0"/>
      <w:divBdr>
        <w:top w:val="none" w:sz="0" w:space="0" w:color="auto"/>
        <w:left w:val="none" w:sz="0" w:space="0" w:color="auto"/>
        <w:bottom w:val="none" w:sz="0" w:space="0" w:color="auto"/>
        <w:right w:val="none" w:sz="0" w:space="0" w:color="auto"/>
      </w:divBdr>
    </w:div>
    <w:div w:id="434715780">
      <w:bodyDiv w:val="1"/>
      <w:marLeft w:val="0"/>
      <w:marRight w:val="0"/>
      <w:marTop w:val="0"/>
      <w:marBottom w:val="0"/>
      <w:divBdr>
        <w:top w:val="none" w:sz="0" w:space="0" w:color="auto"/>
        <w:left w:val="none" w:sz="0" w:space="0" w:color="auto"/>
        <w:bottom w:val="none" w:sz="0" w:space="0" w:color="auto"/>
        <w:right w:val="none" w:sz="0" w:space="0" w:color="auto"/>
      </w:divBdr>
    </w:div>
    <w:div w:id="872500388">
      <w:bodyDiv w:val="1"/>
      <w:marLeft w:val="0"/>
      <w:marRight w:val="0"/>
      <w:marTop w:val="0"/>
      <w:marBottom w:val="0"/>
      <w:divBdr>
        <w:top w:val="none" w:sz="0" w:space="0" w:color="auto"/>
        <w:left w:val="none" w:sz="0" w:space="0" w:color="auto"/>
        <w:bottom w:val="none" w:sz="0" w:space="0" w:color="auto"/>
        <w:right w:val="none" w:sz="0" w:space="0" w:color="auto"/>
      </w:divBdr>
    </w:div>
    <w:div w:id="928848037">
      <w:bodyDiv w:val="1"/>
      <w:marLeft w:val="0"/>
      <w:marRight w:val="0"/>
      <w:marTop w:val="0"/>
      <w:marBottom w:val="0"/>
      <w:divBdr>
        <w:top w:val="none" w:sz="0" w:space="0" w:color="auto"/>
        <w:left w:val="none" w:sz="0" w:space="0" w:color="auto"/>
        <w:bottom w:val="none" w:sz="0" w:space="0" w:color="auto"/>
        <w:right w:val="none" w:sz="0" w:space="0" w:color="auto"/>
      </w:divBdr>
    </w:div>
    <w:div w:id="1250120332">
      <w:bodyDiv w:val="1"/>
      <w:marLeft w:val="0"/>
      <w:marRight w:val="0"/>
      <w:marTop w:val="0"/>
      <w:marBottom w:val="0"/>
      <w:divBdr>
        <w:top w:val="none" w:sz="0" w:space="0" w:color="auto"/>
        <w:left w:val="none" w:sz="0" w:space="0" w:color="auto"/>
        <w:bottom w:val="none" w:sz="0" w:space="0" w:color="auto"/>
        <w:right w:val="none" w:sz="0" w:space="0" w:color="auto"/>
      </w:divBdr>
    </w:div>
    <w:div w:id="1609041079">
      <w:bodyDiv w:val="1"/>
      <w:marLeft w:val="0"/>
      <w:marRight w:val="0"/>
      <w:marTop w:val="0"/>
      <w:marBottom w:val="0"/>
      <w:divBdr>
        <w:top w:val="none" w:sz="0" w:space="0" w:color="auto"/>
        <w:left w:val="none" w:sz="0" w:space="0" w:color="auto"/>
        <w:bottom w:val="none" w:sz="0" w:space="0" w:color="auto"/>
        <w:right w:val="none" w:sz="0" w:space="0" w:color="auto"/>
      </w:divBdr>
    </w:div>
    <w:div w:id="18137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gasc.ie/environment/soil/soil-fertility/soil-analysis/soil-test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7871FA0D0C834CB5A6E9823C42F05C" ma:contentTypeVersion="2" ma:contentTypeDescription="Create a new document." ma:contentTypeScope="" ma:versionID="5b7c4bfe48564ea793b1df2a2ab500e5">
  <xsd:schema xmlns:xsd="http://www.w3.org/2001/XMLSchema" xmlns:xs="http://www.w3.org/2001/XMLSchema" xmlns:p="http://schemas.microsoft.com/office/2006/metadata/properties" xmlns:ns2="82862dd1-7aba-4e4c-9d4b-df9b7353e2d4" targetNamespace="http://schemas.microsoft.com/office/2006/metadata/properties" ma:root="true" ma:fieldsID="5a8d4a7e4689e52c8554d91bcf156619" ns2:_="">
    <xsd:import namespace="82862dd1-7aba-4e4c-9d4b-df9b7353e2d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62dd1-7aba-4e4c-9d4b-df9b7353e2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D62765-6AA6-47AF-82A3-4F20FC5B57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BB9AF5-F59B-418D-8260-C75464467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62dd1-7aba-4e4c-9d4b-df9b7353e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F680A-1D57-45E9-9C14-0D58532462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4176</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Kenny</dc:creator>
  <cp:keywords/>
  <dc:description/>
  <cp:lastModifiedBy>Enda Fitzpatrick</cp:lastModifiedBy>
  <cp:revision>6</cp:revision>
  <dcterms:created xsi:type="dcterms:W3CDTF">2026-07-01T08:35:00Z</dcterms:created>
  <dcterms:modified xsi:type="dcterms:W3CDTF">2026-07-01T08:55:00Z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0x010100C37871FA0D0C834CB5A6E9823C42F05C</vt:lpwstr>
  </property>
</Properties>
</file>